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Handelsgesetzbuch (HGB)</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10.05.1897</w:t>
      </w:r>
    </w:p>
    <w:p>
      <w:pPr>
        <w:pStyle w:val="Stand"/>
      </w:pPr>
      <w:r>
        <w:rPr>
          <w:b/>
        </w:rPr>
        <w:t xml:space="preserve">Letzte Änderung: </w:t>
      </w:r>
      <w:r>
        <w:t>Art. 4 G v. 04.02.2026 I Nr. 33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Erstes Buch Handelsstand</w:t>
        </w:r>
      </w:hyperlink>
    </w:p>
    <w:p>
      <w:pPr>
        <w:pStyle w:val="Übersicht"/>
        <w:ind w:left="340"/>
      </w:pPr>
      <w:hyperlink w:anchor="b1" w:history="1">
        <w:r>
          <w:rPr>
            <w:b/>
            <w:color w:val="0A3A8C"/>
            <w:u w:val="single"/>
          </w:rPr>
          <w:t xml:space="preserve">Erster Abschnitt Kaufleute</w:t>
        </w:r>
      </w:hyperlink>
    </w:p>
    <w:p>
      <w:pPr>
        <w:pStyle w:val="Übersicht"/>
        <w:ind w:left="680"/>
      </w:pPr>
      <w:hyperlink w:anchor="b2" w:history="1">
        <w:r>
          <w:rPr>
            <w:color w:val="0A3A8C"/>
            <w:u w:val="single"/>
          </w:rPr>
          <w:t xml:space="preserve">§§ 1 bis 3</w:t>
        </w:r>
      </w:hyperlink>
    </w:p>
    <w:p>
      <w:pPr>
        <w:pStyle w:val="Übersicht"/>
        <w:ind w:left="680"/>
      </w:pPr>
      <w:hyperlink w:anchor="b5" w:history="1">
        <w:r>
          <w:rPr>
            <w:color w:val="0A3A8C"/>
            <w:u w:val="single"/>
          </w:rPr>
          <w:t xml:space="preserve">§ 4 (weggefallen)</w:t>
        </w:r>
      </w:hyperlink>
    </w:p>
    <w:p>
      <w:pPr>
        <w:pStyle w:val="Übersicht"/>
        <w:ind w:left="680"/>
      </w:pPr>
      <w:hyperlink w:anchor="b6" w:history="1">
        <w:r>
          <w:rPr>
            <w:color w:val="0A3A8C"/>
            <w:u w:val="single"/>
          </w:rPr>
          <w:t xml:space="preserve">§§ 5 bis 7</w:t>
        </w:r>
      </w:hyperlink>
    </w:p>
    <w:p>
      <w:pPr>
        <w:pStyle w:val="Übersicht"/>
        <w:ind w:left="340"/>
      </w:pPr>
      <w:hyperlink w:anchor="b9" w:history="1">
        <w:r>
          <w:rPr>
            <w:b/>
            <w:color w:val="0A3A8C"/>
            <w:u w:val="single"/>
          </w:rPr>
          <w:t xml:space="preserve">Zweiter Abschnitt Handelsregister; Unternehmensregister</w:t>
        </w:r>
      </w:hyperlink>
    </w:p>
    <w:p>
      <w:pPr>
        <w:pStyle w:val="Übersicht"/>
        <w:ind w:left="680"/>
      </w:pPr>
      <w:hyperlink w:anchor="b10" w:history="1">
        <w:r>
          <w:rPr>
            <w:color w:val="0A3A8C"/>
            <w:u w:val="single"/>
          </w:rPr>
          <w:t xml:space="preserve">§ 8 Handelsregister</w:t>
        </w:r>
      </w:hyperlink>
    </w:p>
    <w:p>
      <w:pPr>
        <w:pStyle w:val="Übersicht"/>
        <w:ind w:left="680"/>
      </w:pPr>
      <w:hyperlink w:anchor="b11" w:history="1">
        <w:r>
          <w:rPr>
            <w:color w:val="0A3A8C"/>
            <w:u w:val="single"/>
          </w:rPr>
          <w:t xml:space="preserve">§ 8a Eintragungen in das Handelsregister; Verordnungsermächtigung</w:t>
        </w:r>
      </w:hyperlink>
    </w:p>
    <w:p>
      <w:pPr>
        <w:pStyle w:val="Übersicht"/>
        <w:ind w:left="680"/>
      </w:pPr>
      <w:hyperlink w:anchor="b12" w:history="1">
        <w:r>
          <w:rPr>
            <w:color w:val="0A3A8C"/>
            <w:u w:val="single"/>
          </w:rPr>
          <w:t xml:space="preserve">§ 8b Unternehmensregister</w:t>
        </w:r>
      </w:hyperlink>
    </w:p>
    <w:p>
      <w:pPr>
        <w:pStyle w:val="Übersicht"/>
        <w:ind w:left="680"/>
      </w:pPr>
      <w:hyperlink w:anchor="b13" w:history="1">
        <w:r>
          <w:rPr>
            <w:color w:val="0A3A8C"/>
            <w:u w:val="single"/>
          </w:rPr>
          <w:t xml:space="preserve">§ 9 Einsichtnahme in das Handelsregister und das Unternehmensregister</w:t>
        </w:r>
      </w:hyperlink>
    </w:p>
    <w:p>
      <w:pPr>
        <w:pStyle w:val="Übersicht"/>
        <w:ind w:left="680"/>
      </w:pPr>
      <w:hyperlink w:anchor="b14" w:history="1">
        <w:r>
          <w:rPr>
            <w:color w:val="0A3A8C"/>
            <w:u w:val="single"/>
          </w:rPr>
          <w:t xml:space="preserve">§ 9a Übertragung der Führung des Unternehmensregisters; Verordnungsermächtigung</w:t>
        </w:r>
      </w:hyperlink>
    </w:p>
    <w:p>
      <w:pPr>
        <w:pStyle w:val="Übersicht"/>
        <w:ind w:left="680"/>
      </w:pPr>
      <w:hyperlink w:anchor="b15" w:history="1">
        <w:r>
          <w:rPr>
            <w:color w:val="0A3A8C"/>
            <w:u w:val="single"/>
          </w:rPr>
          <w:t xml:space="preserve">§ 9b Europäisches System der Registervernetzung</w:t>
        </w:r>
      </w:hyperlink>
    </w:p>
    <w:p>
      <w:pPr>
        <w:pStyle w:val="Übersicht"/>
        <w:ind w:left="680"/>
      </w:pPr>
      <w:hyperlink w:anchor="b16" w:history="1">
        <w:r>
          <w:rPr>
            <w:color w:val="0A3A8C"/>
            <w:u w:val="single"/>
          </w:rPr>
          <w:t xml:space="preserve">§ 9c Informationsaustausch über disqualifizierte Personen über das Europäische System der Registervernetzung</w:t>
        </w:r>
      </w:hyperlink>
    </w:p>
    <w:p>
      <w:pPr>
        <w:pStyle w:val="Übersicht"/>
        <w:ind w:left="680"/>
      </w:pPr>
      <w:hyperlink w:anchor="b17" w:history="1">
        <w:r>
          <w:rPr>
            <w:color w:val="0A3A8C"/>
            <w:u w:val="single"/>
          </w:rPr>
          <w:t xml:space="preserve">§ 9d Sammelstelle für das zentrale europäische Zugangsportal; Verordnungsermächtigung</w:t>
        </w:r>
      </w:hyperlink>
    </w:p>
    <w:p>
      <w:pPr>
        <w:pStyle w:val="Übersicht"/>
        <w:ind w:left="680"/>
      </w:pPr>
      <w:hyperlink w:anchor="b18" w:history="1">
        <w:r>
          <w:rPr>
            <w:color w:val="0A3A8C"/>
            <w:u w:val="single"/>
          </w:rPr>
          <w:t xml:space="preserve">§ 10 Bekanntmachung der Eintragungen; Registerbekanntmachungen</w:t>
        </w:r>
      </w:hyperlink>
    </w:p>
    <w:p>
      <w:pPr>
        <w:pStyle w:val="Übersicht"/>
        <w:ind w:left="680"/>
      </w:pPr>
      <w:hyperlink w:anchor="b19" w:history="1">
        <w:r>
          <w:rPr>
            <w:color w:val="0A3A8C"/>
            <w:u w:val="single"/>
          </w:rPr>
          <w:t xml:space="preserve">§ 10a Anwendung der Verordnung (EU) 2016/679</w:t>
        </w:r>
      </w:hyperlink>
    </w:p>
    <w:p>
      <w:pPr>
        <w:pStyle w:val="Übersicht"/>
        <w:ind w:left="680"/>
      </w:pPr>
      <w:hyperlink w:anchor="b20" w:history="1">
        <w:r>
          <w:rPr>
            <w:color w:val="0A3A8C"/>
            <w:u w:val="single"/>
          </w:rPr>
          <w:t xml:space="preserve">§ 11 Offenlegung in der Amtssprache eines Mitgliedstaats der Europäischen 
Union</w:t>
        </w:r>
      </w:hyperlink>
    </w:p>
    <w:p>
      <w:pPr>
        <w:pStyle w:val="Übersicht"/>
        <w:ind w:left="680"/>
      </w:pPr>
      <w:hyperlink w:anchor="b21" w:history="1">
        <w:r>
          <w:rPr>
            <w:color w:val="0A3A8C"/>
            <w:u w:val="single"/>
          </w:rPr>
          <w:t xml:space="preserve">§ 12 Anmeldungen zur Eintragung und Einreichungen</w:t>
        </w:r>
      </w:hyperlink>
    </w:p>
    <w:p>
      <w:pPr>
        <w:pStyle w:val="Übersicht"/>
        <w:ind w:left="680"/>
      </w:pPr>
      <w:hyperlink w:anchor="b22" w:history="1">
        <w:r>
          <w:rPr>
            <w:color w:val="0A3A8C"/>
            <w:u w:val="single"/>
          </w:rPr>
          <w:t xml:space="preserve">§ 13 Zweigniederlassungen von Unternehmen mit Sitz im Inland</w:t>
        </w:r>
      </w:hyperlink>
    </w:p>
    <w:p>
      <w:pPr>
        <w:pStyle w:val="Übersicht"/>
        <w:ind w:left="680"/>
      </w:pPr>
      <w:hyperlink w:anchor="b23" w:history="1">
        <w:r>
          <w:rPr>
            <w:color w:val="0A3A8C"/>
            <w:u w:val="single"/>
          </w:rPr>
          <w:t xml:space="preserve">§ 13a Europäische Zweigniederlassungen von Kapitalgesellschaften mit Sitz im Inland</w:t>
        </w:r>
      </w:hyperlink>
    </w:p>
    <w:p>
      <w:pPr>
        <w:pStyle w:val="Übersicht"/>
        <w:ind w:left="680"/>
      </w:pPr>
      <w:hyperlink w:anchor="b24" w:history="1">
        <w:r>
          <w:rPr>
            <w:color w:val="0A3A8C"/>
            <w:u w:val="single"/>
          </w:rPr>
          <w:t xml:space="preserve">§§ 13b u. 13c (weggefallen)</w:t>
        </w:r>
      </w:hyperlink>
    </w:p>
    <w:p>
      <w:pPr>
        <w:pStyle w:val="Übersicht"/>
        <w:ind w:left="680"/>
      </w:pPr>
      <w:hyperlink w:anchor="b25" w:history="1">
        <w:r>
          <w:rPr>
            <w:color w:val="0A3A8C"/>
            <w:u w:val="single"/>
          </w:rPr>
          <w:t xml:space="preserve">§ 13d Sitz oder Hauptniederlassung im Ausland</w:t>
        </w:r>
      </w:hyperlink>
    </w:p>
    <w:p>
      <w:pPr>
        <w:pStyle w:val="Übersicht"/>
        <w:ind w:left="680"/>
      </w:pPr>
      <w:hyperlink w:anchor="b26" w:history="1">
        <w:r>
          <w:rPr>
            <w:color w:val="0A3A8C"/>
            <w:u w:val="single"/>
          </w:rPr>
          <w:t xml:space="preserve">§ 13e Zweigniederlassungen von Kapitalgesellschaften mit Sitz im Ausland</w:t>
        </w:r>
      </w:hyperlink>
    </w:p>
    <w:p>
      <w:pPr>
        <w:pStyle w:val="Übersicht"/>
        <w:ind w:left="680"/>
      </w:pPr>
      <w:hyperlink w:anchor="b27" w:history="1">
        <w:r>
          <w:rPr>
            <w:color w:val="0A3A8C"/>
            <w:u w:val="single"/>
          </w:rPr>
          <w:t xml:space="preserve">§ 13f Zweigniederlassungen von Aktiengesellschaften mit Sitz im Ausland</w:t>
        </w:r>
      </w:hyperlink>
    </w:p>
    <w:p>
      <w:pPr>
        <w:pStyle w:val="Übersicht"/>
        <w:ind w:left="680"/>
      </w:pPr>
      <w:hyperlink w:anchor="b28" w:history="1">
        <w:r>
          <w:rPr>
            <w:color w:val="0A3A8C"/>
            <w:u w:val="single"/>
          </w:rPr>
          <w:t xml:space="preserve">§ 13g Zweigniederlassungen von Gesellschaften mit beschränkter Haftung mit Sitz im Ausland</w:t>
        </w:r>
      </w:hyperlink>
    </w:p>
    <w:p>
      <w:pPr>
        <w:pStyle w:val="Übersicht"/>
        <w:ind w:left="680"/>
      </w:pPr>
      <w:hyperlink w:anchor="b29" w:history="1">
        <w:r>
          <w:rPr>
            <w:color w:val="0A3A8C"/>
            <w:u w:val="single"/>
          </w:rPr>
          <w:t xml:space="preserve">§ 13h Verlegung des Sitzes einer Hauptniederlassung im Inland</w:t>
        </w:r>
      </w:hyperlink>
    </w:p>
    <w:p>
      <w:pPr>
        <w:pStyle w:val="Übersicht"/>
        <w:ind w:left="680"/>
      </w:pPr>
      <w:hyperlink w:anchor="b30" w:history="1">
        <w:r>
          <w:rPr>
            <w:color w:val="0A3A8C"/>
            <w:u w:val="single"/>
          </w:rPr>
          <w:t xml:space="preserve">§§ 14 bis 15</w:t>
        </w:r>
      </w:hyperlink>
    </w:p>
    <w:p>
      <w:pPr>
        <w:pStyle w:val="Übersicht"/>
        <w:ind w:left="680"/>
      </w:pPr>
      <w:hyperlink w:anchor="b32" w:history="1">
        <w:r>
          <w:rPr>
            <w:color w:val="0A3A8C"/>
            <w:u w:val="single"/>
          </w:rPr>
          <w:t xml:space="preserve">§ 15a Öffentliche Zustellung</w:t>
        </w:r>
      </w:hyperlink>
    </w:p>
    <w:p>
      <w:pPr>
        <w:pStyle w:val="Übersicht"/>
        <w:ind w:left="680"/>
      </w:pPr>
      <w:hyperlink w:anchor="b33" w:history="1">
        <w:r>
          <w:rPr>
            <w:color w:val="0A3A8C"/>
            <w:u w:val="single"/>
          </w:rPr>
          <w:t xml:space="preserve">§ 16</w:t>
        </w:r>
      </w:hyperlink>
    </w:p>
    <w:p>
      <w:pPr>
        <w:pStyle w:val="Übersicht"/>
        <w:ind w:left="340"/>
      </w:pPr>
      <w:hyperlink w:anchor="b34" w:history="1">
        <w:r>
          <w:rPr>
            <w:b/>
            <w:color w:val="0A3A8C"/>
            <w:u w:val="single"/>
          </w:rPr>
          <w:t xml:space="preserve">Dritter Abschnitt Handelsfirma</w:t>
        </w:r>
      </w:hyperlink>
    </w:p>
    <w:p>
      <w:pPr>
        <w:pStyle w:val="Übersicht"/>
        <w:ind w:left="680"/>
      </w:pPr>
      <w:hyperlink w:anchor="b35" w:history="1">
        <w:r>
          <w:rPr>
            <w:color w:val="0A3A8C"/>
            <w:u w:val="single"/>
          </w:rPr>
          <w:t xml:space="preserve">§§ 17 bis 19</w:t>
        </w:r>
      </w:hyperlink>
    </w:p>
    <w:p>
      <w:pPr>
        <w:pStyle w:val="Übersicht"/>
        <w:ind w:left="680"/>
      </w:pPr>
      <w:hyperlink w:anchor="b38" w:history="1">
        <w:r>
          <w:rPr>
            <w:color w:val="0A3A8C"/>
            <w:u w:val="single"/>
          </w:rPr>
          <w:t xml:space="preserve">§ 20 (weggefallen)</w:t>
        </w:r>
      </w:hyperlink>
    </w:p>
    <w:p>
      <w:pPr>
        <w:pStyle w:val="Übersicht"/>
        <w:ind w:left="680"/>
      </w:pPr>
      <w:hyperlink w:anchor="b39" w:history="1">
        <w:r>
          <w:rPr>
            <w:color w:val="0A3A8C"/>
            <w:u w:val="single"/>
          </w:rPr>
          <w:t xml:space="preserve">§§ 21 bis 34</w:t>
        </w:r>
      </w:hyperlink>
    </w:p>
    <w:p>
      <w:pPr>
        <w:pStyle w:val="Übersicht"/>
        <w:ind w:left="680"/>
      </w:pPr>
      <w:hyperlink w:anchor="b53" w:history="1">
        <w:r>
          <w:rPr>
            <w:color w:val="0A3A8C"/>
            <w:u w:val="single"/>
          </w:rPr>
          <w:t xml:space="preserve">§ 35 (weggefallen)</w:t>
        </w:r>
      </w:hyperlink>
    </w:p>
    <w:p>
      <w:pPr>
        <w:pStyle w:val="Übersicht"/>
        <w:ind w:left="680"/>
      </w:pPr>
      <w:hyperlink w:anchor="b54" w:history="1">
        <w:r>
          <w:rPr>
            <w:color w:val="0A3A8C"/>
            <w:u w:val="single"/>
          </w:rPr>
          <w:t xml:space="preserve">§ 36 (weggefallen)</w:t>
        </w:r>
      </w:hyperlink>
    </w:p>
    <w:p>
      <w:pPr>
        <w:pStyle w:val="Übersicht"/>
        <w:ind w:left="680"/>
      </w:pPr>
      <w:hyperlink w:anchor="b55" w:history="1">
        <w:r>
          <w:rPr>
            <w:color w:val="0A3A8C"/>
            <w:u w:val="single"/>
          </w:rPr>
          <w:t xml:space="preserve">§§ 37 bis 37a</w:t>
        </w:r>
      </w:hyperlink>
    </w:p>
    <w:p>
      <w:pPr>
        <w:pStyle w:val="Übersicht"/>
        <w:ind w:left="340"/>
      </w:pPr>
      <w:hyperlink w:anchor="b57" w:history="1">
        <w:r>
          <w:rPr>
            <w:b/>
            <w:color w:val="0A3A8C"/>
            <w:u w:val="single"/>
          </w:rPr>
          <w:t xml:space="preserve">Vierter Abschnitt Handelsbücher</w:t>
        </w:r>
      </w:hyperlink>
    </w:p>
    <w:p>
      <w:pPr>
        <w:pStyle w:val="Übersicht"/>
        <w:ind w:left="680"/>
      </w:pPr>
      <w:hyperlink w:anchor="b58" w:history="1">
        <w:r>
          <w:rPr>
            <w:color w:val="0A3A8C"/>
            <w:u w:val="single"/>
          </w:rPr>
          <w:t xml:space="preserve">§§ 38 bis 47b (weggefallen)</w:t>
        </w:r>
      </w:hyperlink>
    </w:p>
    <w:p>
      <w:pPr>
        <w:pStyle w:val="Übersicht"/>
        <w:ind w:left="340"/>
      </w:pPr>
      <w:hyperlink w:anchor="b59" w:history="1">
        <w:r>
          <w:rPr>
            <w:b/>
            <w:color w:val="0A3A8C"/>
            <w:u w:val="single"/>
          </w:rPr>
          <w:t xml:space="preserve">Fünfter Abschnitt Prokura und
Handlungsvollmacht</w:t>
        </w:r>
      </w:hyperlink>
    </w:p>
    <w:p>
      <w:pPr>
        <w:pStyle w:val="Übersicht"/>
        <w:ind w:left="680"/>
      </w:pPr>
      <w:hyperlink w:anchor="b60" w:history="1">
        <w:r>
          <w:rPr>
            <w:color w:val="0A3A8C"/>
            <w:u w:val="single"/>
          </w:rPr>
          <w:t xml:space="preserve">§§ 48 bis 58</w:t>
        </w:r>
      </w:hyperlink>
    </w:p>
    <w:p>
      <w:pPr>
        <w:pStyle w:val="Übersicht"/>
        <w:ind w:left="340"/>
      </w:pPr>
      <w:hyperlink w:anchor="b71" w:history="1">
        <w:r>
          <w:rPr>
            <w:b/>
            <w:color w:val="0A3A8C"/>
            <w:u w:val="single"/>
          </w:rPr>
          <w:t xml:space="preserve">Sechster Abschnitt Handlungsgehilfen und
Handlungslehrlinge</w:t>
        </w:r>
      </w:hyperlink>
    </w:p>
    <w:p>
      <w:pPr>
        <w:pStyle w:val="Übersicht"/>
        <w:ind w:left="680"/>
      </w:pPr>
      <w:hyperlink w:anchor="b72" w:history="1">
        <w:r>
          <w:rPr>
            <w:color w:val="0A3A8C"/>
            <w:u w:val="single"/>
          </w:rPr>
          <w:t xml:space="preserve">§§ 59 bis 62</w:t>
        </w:r>
      </w:hyperlink>
    </w:p>
    <w:p>
      <w:pPr>
        <w:pStyle w:val="Übersicht"/>
        <w:ind w:left="680"/>
      </w:pPr>
      <w:hyperlink w:anchor="b76" w:history="1">
        <w:r>
          <w:rPr>
            <w:color w:val="0A3A8C"/>
            <w:u w:val="single"/>
          </w:rPr>
          <w:t xml:space="preserve">§ 63 (weggefallen)</w:t>
        </w:r>
      </w:hyperlink>
    </w:p>
    <w:p>
      <w:pPr>
        <w:pStyle w:val="Übersicht"/>
        <w:ind w:left="680"/>
      </w:pPr>
      <w:hyperlink w:anchor="b77" w:history="1">
        <w:r>
          <w:rPr>
            <w:color w:val="0A3A8C"/>
            <w:u w:val="single"/>
          </w:rPr>
          <w:t xml:space="preserve">§§ 64 bis 65</w:t>
        </w:r>
      </w:hyperlink>
    </w:p>
    <w:p>
      <w:pPr>
        <w:pStyle w:val="Übersicht"/>
        <w:ind w:left="680"/>
      </w:pPr>
      <w:hyperlink w:anchor="b79" w:history="1">
        <w:r>
          <w:rPr>
            <w:color w:val="0A3A8C"/>
            <w:u w:val="single"/>
          </w:rPr>
          <w:t xml:space="preserve">§§ 66 bis 72 (weggefallen)</w:t>
        </w:r>
      </w:hyperlink>
    </w:p>
    <w:p>
      <w:pPr>
        <w:pStyle w:val="Übersicht"/>
        <w:ind w:left="680"/>
      </w:pPr>
      <w:hyperlink w:anchor="b80" w:history="1">
        <w:r>
          <w:rPr>
            <w:color w:val="0A3A8C"/>
            <w:u w:val="single"/>
          </w:rPr>
          <w:t xml:space="preserve">§ 73 (weggefallen)</w:t>
        </w:r>
      </w:hyperlink>
    </w:p>
    <w:p>
      <w:pPr>
        <w:pStyle w:val="Übersicht"/>
        <w:ind w:left="680"/>
      </w:pPr>
      <w:hyperlink w:anchor="b81" w:history="1">
        <w:r>
          <w:rPr>
            <w:color w:val="0A3A8C"/>
            <w:u w:val="single"/>
          </w:rPr>
          <w:t xml:space="preserve">§§ 74 bis 75a</w:t>
        </w:r>
      </w:hyperlink>
    </w:p>
    <w:p>
      <w:pPr>
        <w:pStyle w:val="Übersicht"/>
        <w:ind w:left="680"/>
      </w:pPr>
      <w:hyperlink w:anchor="b87" w:history="1">
        <w:r>
          <w:rPr>
            <w:color w:val="0A3A8C"/>
            <w:u w:val="single"/>
          </w:rPr>
          <w:t xml:space="preserve">§ 75b (weggefallen)</w:t>
        </w:r>
      </w:hyperlink>
    </w:p>
    <w:p>
      <w:pPr>
        <w:pStyle w:val="Übersicht"/>
        <w:ind w:left="680"/>
      </w:pPr>
      <w:hyperlink w:anchor="b88" w:history="1">
        <w:r>
          <w:rPr>
            <w:color w:val="0A3A8C"/>
            <w:u w:val="single"/>
          </w:rPr>
          <w:t xml:space="preserve">§§ 75c bis 75d</w:t>
        </w:r>
      </w:hyperlink>
    </w:p>
    <w:p>
      <w:pPr>
        <w:pStyle w:val="Übersicht"/>
        <w:ind w:left="680"/>
      </w:pPr>
      <w:hyperlink w:anchor="b90" w:history="1">
        <w:r>
          <w:rPr>
            <w:color w:val="0A3A8C"/>
            <w:u w:val="single"/>
          </w:rPr>
          <w:t xml:space="preserve">§ 75e (weggefallen)</w:t>
        </w:r>
      </w:hyperlink>
    </w:p>
    <w:p>
      <w:pPr>
        <w:pStyle w:val="Übersicht"/>
        <w:ind w:left="680"/>
      </w:pPr>
      <w:hyperlink w:anchor="b91" w:history="1">
        <w:r>
          <w:rPr>
            <w:color w:val="0A3A8C"/>
            <w:u w:val="single"/>
          </w:rPr>
          <w:t xml:space="preserve">§§ 75f bis 75h</w:t>
        </w:r>
      </w:hyperlink>
    </w:p>
    <w:p>
      <w:pPr>
        <w:pStyle w:val="Übersicht"/>
        <w:ind w:left="680"/>
      </w:pPr>
      <w:hyperlink w:anchor="b94" w:history="1">
        <w:r>
          <w:rPr>
            <w:color w:val="0A3A8C"/>
            <w:u w:val="single"/>
          </w:rPr>
          <w:t xml:space="preserve">§§ 76 bis 82 (weggefallen)</w:t>
        </w:r>
      </w:hyperlink>
    </w:p>
    <w:p>
      <w:pPr>
        <w:pStyle w:val="Übersicht"/>
        <w:ind w:left="680"/>
      </w:pPr>
      <w:hyperlink w:anchor="b95" w:history="1">
        <w:r>
          <w:rPr>
            <w:color w:val="0A3A8C"/>
            <w:u w:val="single"/>
          </w:rPr>
          <w:t xml:space="preserve">§§ 82a bis 83</w:t>
        </w:r>
      </w:hyperlink>
    </w:p>
    <w:p>
      <w:pPr>
        <w:pStyle w:val="Übersicht"/>
        <w:ind w:left="340"/>
      </w:pPr>
      <w:hyperlink w:anchor="b97" w:history="1">
        <w:r>
          <w:rPr>
            <w:b/>
            <w:color w:val="0A3A8C"/>
            <w:u w:val="single"/>
          </w:rPr>
          <w:t xml:space="preserve">Siebenter Abschnitt Handelsvertreter</w:t>
        </w:r>
      </w:hyperlink>
    </w:p>
    <w:p>
      <w:pPr>
        <w:pStyle w:val="Übersicht"/>
        <w:ind w:left="680"/>
      </w:pPr>
      <w:hyperlink w:anchor="b98" w:history="1">
        <w:r>
          <w:rPr>
            <w:color w:val="0A3A8C"/>
            <w:u w:val="single"/>
          </w:rPr>
          <w:t xml:space="preserve">§§ 84 bis 87d</w:t>
        </w:r>
      </w:hyperlink>
    </w:p>
    <w:p>
      <w:pPr>
        <w:pStyle w:val="Übersicht"/>
        <w:ind w:left="680"/>
      </w:pPr>
      <w:hyperlink w:anchor="b108" w:history="1">
        <w:r>
          <w:rPr>
            <w:color w:val="0A3A8C"/>
            <w:u w:val="single"/>
          </w:rPr>
          <w:t xml:space="preserve">§ 88 (weggefallen)</w:t>
        </w:r>
      </w:hyperlink>
    </w:p>
    <w:p>
      <w:pPr>
        <w:pStyle w:val="Übersicht"/>
        <w:ind w:left="680"/>
      </w:pPr>
      <w:hyperlink w:anchor="b109" w:history="1">
        <w:r>
          <w:rPr>
            <w:color w:val="0A3A8C"/>
            <w:u w:val="single"/>
          </w:rPr>
          <w:t xml:space="preserve">§§ 88a bis 92c</w:t>
        </w:r>
      </w:hyperlink>
    </w:p>
    <w:p>
      <w:pPr>
        <w:pStyle w:val="Übersicht"/>
        <w:ind w:left="340"/>
      </w:pPr>
      <w:hyperlink w:anchor="b121" w:history="1">
        <w:r>
          <w:rPr>
            <w:b/>
            <w:color w:val="0A3A8C"/>
            <w:u w:val="single"/>
          </w:rPr>
          <w:t xml:space="preserve">Achter Abschnitt Handelsmakler</w:t>
        </w:r>
      </w:hyperlink>
    </w:p>
    <w:p>
      <w:pPr>
        <w:pStyle w:val="Übersicht"/>
        <w:ind w:left="680"/>
      </w:pPr>
      <w:hyperlink w:anchor="b122" w:history="1">
        <w:r>
          <w:rPr>
            <w:color w:val="0A3A8C"/>
            <w:u w:val="single"/>
          </w:rPr>
          <w:t xml:space="preserve">§§ 93 bis 104</w:t>
        </w:r>
      </w:hyperlink>
    </w:p>
    <w:p>
      <w:pPr>
        <w:pStyle w:val="Übersicht"/>
        <w:ind w:left="340"/>
      </w:pPr>
      <w:hyperlink w:anchor="b134" w:history="1">
        <w:r>
          <w:rPr>
            <w:b/>
            <w:color w:val="0A3A8C"/>
            <w:u w:val="single"/>
          </w:rPr>
          <w:t xml:space="preserve">Neunter Abschnitt Bußgeldvorschriften</w:t>
        </w:r>
      </w:hyperlink>
    </w:p>
    <w:p>
      <w:pPr>
        <w:pStyle w:val="Übersicht"/>
        <w:ind w:left="680"/>
      </w:pPr>
      <w:hyperlink w:anchor="b135" w:history="1">
        <w:r>
          <w:rPr>
            <w:color w:val="0A3A8C"/>
            <w:u w:val="single"/>
          </w:rPr>
          <w:t xml:space="preserve">§ 104a Bußgeldvorschrift</w:t>
        </w:r>
      </w:hyperlink>
    </w:p>
    <w:p>
      <w:pPr>
        <w:pStyle w:val="Übersicht"/>
        <w:ind w:left="0"/>
      </w:pPr>
      <w:hyperlink w:anchor="b136" w:history="1">
        <w:r>
          <w:rPr>
            <w:b/>
            <w:color w:val="0A3A8C"/>
            <w:u w:val="single"/>
          </w:rPr>
          <w:t xml:space="preserve">Zweites Buch Handelsgesellschaften und stille
Gesellschaft</w:t>
        </w:r>
      </w:hyperlink>
    </w:p>
    <w:p>
      <w:pPr>
        <w:pStyle w:val="Übersicht"/>
        <w:ind w:left="340"/>
      </w:pPr>
      <w:hyperlink w:anchor="b137" w:history="1">
        <w:r>
          <w:rPr>
            <w:b/>
            <w:color w:val="0A3A8C"/>
            <w:u w:val="single"/>
          </w:rPr>
          <w:t xml:space="preserve">Erster Abschnitt Offene Handelsgesellschaft</w:t>
        </w:r>
      </w:hyperlink>
    </w:p>
    <w:p>
      <w:pPr>
        <w:pStyle w:val="Übersicht"/>
        <w:ind w:left="680"/>
      </w:pPr>
      <w:hyperlink w:anchor="b138" w:history="1">
        <w:r>
          <w:rPr>
            <w:b/>
            <w:color w:val="0A3A8C"/>
            <w:u w:val="single"/>
          </w:rPr>
          <w:t xml:space="preserve">Erster Titel Errichtung der Gesellschaft</w:t>
        </w:r>
      </w:hyperlink>
    </w:p>
    <w:p>
      <w:pPr>
        <w:pStyle w:val="Übersicht"/>
        <w:ind w:left="1020"/>
      </w:pPr>
      <w:hyperlink w:anchor="b139" w:history="1">
        <w:r>
          <w:rPr>
            <w:color w:val="0A3A8C"/>
            <w:u w:val="single"/>
          </w:rPr>
          <w:t xml:space="preserve">§ 105 Begriff der offenen Handelsgesellschaft; Anwendbarkeit des Bürgerlichen Gesetzbuchs</w:t>
        </w:r>
      </w:hyperlink>
    </w:p>
    <w:p>
      <w:pPr>
        <w:pStyle w:val="Übersicht"/>
        <w:ind w:left="1020"/>
      </w:pPr>
      <w:hyperlink w:anchor="b140" w:history="1">
        <w:r>
          <w:rPr>
            <w:color w:val="0A3A8C"/>
            <w:u w:val="single"/>
          </w:rPr>
          <w:t xml:space="preserve">§ 106 Anmeldung zum Handelsregister; Statuswechsel</w:t>
        </w:r>
      </w:hyperlink>
    </w:p>
    <w:p>
      <w:pPr>
        <w:pStyle w:val="Übersicht"/>
        <w:ind w:left="1020"/>
      </w:pPr>
      <w:hyperlink w:anchor="b141" w:history="1">
        <w:r>
          <w:rPr>
            <w:color w:val="0A3A8C"/>
            <w:u w:val="single"/>
          </w:rPr>
          <w:t xml:space="preserve">§ 107 Kleingewerbliche, vermögensverwaltende oder freiberufliche Gesellschaft; Statuswechsel</w:t>
        </w:r>
      </w:hyperlink>
    </w:p>
    <w:p>
      <w:pPr>
        <w:pStyle w:val="Übersicht"/>
        <w:ind w:left="680"/>
      </w:pPr>
      <w:hyperlink w:anchor="b142" w:history="1">
        <w:r>
          <w:rPr>
            <w:b/>
            <w:color w:val="0A3A8C"/>
            <w:u w:val="single"/>
          </w:rPr>
          <w:t xml:space="preserve">Zweiter Titel Rechtsverhältnis der Gesellschafter untereinander und der Gesellschafter zur Gesellschaft</w:t>
        </w:r>
      </w:hyperlink>
    </w:p>
    <w:p>
      <w:pPr>
        <w:pStyle w:val="Übersicht"/>
        <w:ind w:left="1020"/>
      </w:pPr>
      <w:hyperlink w:anchor="b143" w:history="1">
        <w:r>
          <w:rPr>
            <w:color w:val="0A3A8C"/>
            <w:u w:val="single"/>
          </w:rPr>
          <w:t xml:space="preserve">§ 108 Gestaltungsfreiheit</w:t>
        </w:r>
      </w:hyperlink>
    </w:p>
    <w:p>
      <w:pPr>
        <w:pStyle w:val="Übersicht"/>
        <w:ind w:left="1020"/>
      </w:pPr>
      <w:hyperlink w:anchor="b144" w:history="1">
        <w:r>
          <w:rPr>
            <w:color w:val="0A3A8C"/>
            <w:u w:val="single"/>
          </w:rPr>
          <w:t xml:space="preserve">§ 109 Beschlussfassung</w:t>
        </w:r>
      </w:hyperlink>
    </w:p>
    <w:p>
      <w:pPr>
        <w:pStyle w:val="Übersicht"/>
        <w:ind w:left="1020"/>
      </w:pPr>
      <w:hyperlink w:anchor="b145" w:history="1">
        <w:r>
          <w:rPr>
            <w:color w:val="0A3A8C"/>
            <w:u w:val="single"/>
          </w:rPr>
          <w:t xml:space="preserve">§ 110 Anfechtbarkeit und Nichtigkeit von Gesellschafterbeschlüssen</w:t>
        </w:r>
      </w:hyperlink>
    </w:p>
    <w:p>
      <w:pPr>
        <w:pStyle w:val="Übersicht"/>
        <w:ind w:left="1020"/>
      </w:pPr>
      <w:hyperlink w:anchor="b146" w:history="1">
        <w:r>
          <w:rPr>
            <w:color w:val="0A3A8C"/>
            <w:u w:val="single"/>
          </w:rPr>
          <w:t xml:space="preserve">§ 111 Anfechtungsbefugnis; Rechtsschutzbedürfnis</w:t>
        </w:r>
      </w:hyperlink>
    </w:p>
    <w:p>
      <w:pPr>
        <w:pStyle w:val="Übersicht"/>
        <w:ind w:left="1020"/>
      </w:pPr>
      <w:hyperlink w:anchor="b147" w:history="1">
        <w:r>
          <w:rPr>
            <w:color w:val="0A3A8C"/>
            <w:u w:val="single"/>
          </w:rPr>
          <w:t xml:space="preserve">§ 112 Klagefrist</w:t>
        </w:r>
      </w:hyperlink>
    </w:p>
    <w:p>
      <w:pPr>
        <w:pStyle w:val="Übersicht"/>
        <w:ind w:left="1020"/>
      </w:pPr>
      <w:hyperlink w:anchor="b148" w:history="1">
        <w:r>
          <w:rPr>
            <w:color w:val="0A3A8C"/>
            <w:u w:val="single"/>
          </w:rPr>
          <w:t xml:space="preserve">§ 113 Anfechtungsklage</w:t>
        </w:r>
      </w:hyperlink>
    </w:p>
    <w:p>
      <w:pPr>
        <w:pStyle w:val="Übersicht"/>
        <w:ind w:left="1020"/>
      </w:pPr>
      <w:hyperlink w:anchor="b149" w:history="1">
        <w:r>
          <w:rPr>
            <w:color w:val="0A3A8C"/>
            <w:u w:val="single"/>
          </w:rPr>
          <w:t xml:space="preserve">§ 114 Nichtigkeitsklage</w:t>
        </w:r>
      </w:hyperlink>
    </w:p>
    <w:p>
      <w:pPr>
        <w:pStyle w:val="Übersicht"/>
        <w:ind w:left="1020"/>
      </w:pPr>
      <w:hyperlink w:anchor="b150" w:history="1">
        <w:r>
          <w:rPr>
            <w:color w:val="0A3A8C"/>
            <w:u w:val="single"/>
          </w:rPr>
          <w:t xml:space="preserve">§ 115 Verbindung von Anfechtungs- und Feststellungsklage</w:t>
        </w:r>
      </w:hyperlink>
    </w:p>
    <w:p>
      <w:pPr>
        <w:pStyle w:val="Übersicht"/>
        <w:ind w:left="1020"/>
      </w:pPr>
      <w:hyperlink w:anchor="b151" w:history="1">
        <w:r>
          <w:rPr>
            <w:color w:val="0A3A8C"/>
            <w:u w:val="single"/>
          </w:rPr>
          <w:t xml:space="preserve">§ 116 Geschäftsführungsbefugnis</w:t>
        </w:r>
      </w:hyperlink>
    </w:p>
    <w:p>
      <w:pPr>
        <w:pStyle w:val="Übersicht"/>
        <w:ind w:left="1020"/>
      </w:pPr>
      <w:hyperlink w:anchor="b152" w:history="1">
        <w:r>
          <w:rPr>
            <w:color w:val="0A3A8C"/>
            <w:u w:val="single"/>
          </w:rPr>
          <w:t xml:space="preserve">§ 117 Wettbewerbsverbot</w:t>
        </w:r>
      </w:hyperlink>
    </w:p>
    <w:p>
      <w:pPr>
        <w:pStyle w:val="Übersicht"/>
        <w:ind w:left="1020"/>
      </w:pPr>
      <w:hyperlink w:anchor="b153" w:history="1">
        <w:r>
          <w:rPr>
            <w:color w:val="0A3A8C"/>
            <w:u w:val="single"/>
          </w:rPr>
          <w:t xml:space="preserve">§ 118 Verletzung des Wettbewerbsverbots</w:t>
        </w:r>
      </w:hyperlink>
    </w:p>
    <w:p>
      <w:pPr>
        <w:pStyle w:val="Übersicht"/>
        <w:ind w:left="1020"/>
      </w:pPr>
      <w:hyperlink w:anchor="b154" w:history="1">
        <w:r>
          <w:rPr>
            <w:color w:val="0A3A8C"/>
            <w:u w:val="single"/>
          </w:rPr>
          <w:t xml:space="preserve">§ 119 Verzinsungspflicht</w:t>
        </w:r>
      </w:hyperlink>
    </w:p>
    <w:p>
      <w:pPr>
        <w:pStyle w:val="Übersicht"/>
        <w:ind w:left="1020"/>
      </w:pPr>
      <w:hyperlink w:anchor="b155" w:history="1">
        <w:r>
          <w:rPr>
            <w:color w:val="0A3A8C"/>
            <w:u w:val="single"/>
          </w:rPr>
          <w:t xml:space="preserve">§ 120 Ermittlung von Gewinn- und Verlustanteilen</w:t>
        </w:r>
      </w:hyperlink>
    </w:p>
    <w:p>
      <w:pPr>
        <w:pStyle w:val="Übersicht"/>
        <w:ind w:left="1020"/>
      </w:pPr>
      <w:hyperlink w:anchor="b156" w:history="1">
        <w:r>
          <w:rPr>
            <w:color w:val="0A3A8C"/>
            <w:u w:val="single"/>
          </w:rPr>
          <w:t xml:space="preserve">§ 121 Feststellung des Jahresabschlusses</w:t>
        </w:r>
      </w:hyperlink>
    </w:p>
    <w:p>
      <w:pPr>
        <w:pStyle w:val="Übersicht"/>
        <w:ind w:left="1020"/>
      </w:pPr>
      <w:hyperlink w:anchor="b157" w:history="1">
        <w:r>
          <w:rPr>
            <w:color w:val="0A3A8C"/>
            <w:u w:val="single"/>
          </w:rPr>
          <w:t xml:space="preserve">§ 122 Gewinnauszahlung</w:t>
        </w:r>
      </w:hyperlink>
    </w:p>
    <w:p>
      <w:pPr>
        <w:pStyle w:val="Übersicht"/>
        <w:ind w:left="680"/>
      </w:pPr>
      <w:hyperlink w:anchor="b158" w:history="1">
        <w:r>
          <w:rPr>
            <w:b/>
            <w:color w:val="0A3A8C"/>
            <w:u w:val="single"/>
          </w:rPr>
          <w:t xml:space="preserve">Dritter Titel Rechtsverhältnis der Gesellschaft zu Dritten</w:t>
        </w:r>
      </w:hyperlink>
    </w:p>
    <w:p>
      <w:pPr>
        <w:pStyle w:val="Übersicht"/>
        <w:ind w:left="1020"/>
      </w:pPr>
      <w:hyperlink w:anchor="b159" w:history="1">
        <w:r>
          <w:rPr>
            <w:color w:val="0A3A8C"/>
            <w:u w:val="single"/>
          </w:rPr>
          <w:t xml:space="preserve">§ 123 Entstehung der Gesellschaft im Verhältnis zu Dritten</w:t>
        </w:r>
      </w:hyperlink>
    </w:p>
    <w:p>
      <w:pPr>
        <w:pStyle w:val="Übersicht"/>
        <w:ind w:left="1020"/>
      </w:pPr>
      <w:hyperlink w:anchor="b160" w:history="1">
        <w:r>
          <w:rPr>
            <w:color w:val="0A3A8C"/>
            <w:u w:val="single"/>
          </w:rPr>
          <w:t xml:space="preserve">§ 124 Vertretung der Gesellschaft</w:t>
        </w:r>
      </w:hyperlink>
    </w:p>
    <w:p>
      <w:pPr>
        <w:pStyle w:val="Übersicht"/>
        <w:ind w:left="1020"/>
      </w:pPr>
      <w:hyperlink w:anchor="b161" w:history="1">
        <w:r>
          <w:rPr>
            <w:color w:val="0A3A8C"/>
            <w:u w:val="single"/>
          </w:rPr>
          <w:t xml:space="preserve">§ 125 Angaben auf Geschäftsbriefen</w:t>
        </w:r>
      </w:hyperlink>
    </w:p>
    <w:p>
      <w:pPr>
        <w:pStyle w:val="Übersicht"/>
        <w:ind w:left="1020"/>
      </w:pPr>
      <w:hyperlink w:anchor="b162" w:history="1">
        <w:r>
          <w:rPr>
            <w:color w:val="0A3A8C"/>
            <w:u w:val="single"/>
          </w:rPr>
          <w:t xml:space="preserve">§ 126 Persönliche Haftung der Gesellschafter</w:t>
        </w:r>
      </w:hyperlink>
    </w:p>
    <w:p>
      <w:pPr>
        <w:pStyle w:val="Übersicht"/>
        <w:ind w:left="1020"/>
      </w:pPr>
      <w:hyperlink w:anchor="b163" w:history="1">
        <w:r>
          <w:rPr>
            <w:color w:val="0A3A8C"/>
            <w:u w:val="single"/>
          </w:rPr>
          <w:t xml:space="preserve">§ 127 Haftung des eintretenden Gesellschafters</w:t>
        </w:r>
      </w:hyperlink>
    </w:p>
    <w:p>
      <w:pPr>
        <w:pStyle w:val="Übersicht"/>
        <w:ind w:left="1020"/>
      </w:pPr>
      <w:hyperlink w:anchor="b164" w:history="1">
        <w:r>
          <w:rPr>
            <w:color w:val="0A3A8C"/>
            <w:u w:val="single"/>
          </w:rPr>
          <w:t xml:space="preserve">§ 128 Einwendungen und Einreden des Gesellschafters</w:t>
        </w:r>
      </w:hyperlink>
    </w:p>
    <w:p>
      <w:pPr>
        <w:pStyle w:val="Übersicht"/>
        <w:ind w:left="1020"/>
      </w:pPr>
      <w:hyperlink w:anchor="b165" w:history="1">
        <w:r>
          <w:rPr>
            <w:color w:val="0A3A8C"/>
            <w:u w:val="single"/>
          </w:rPr>
          <w:t xml:space="preserve">§ 129 Zwangsvollstreckung gegen die Gesellschaft oder gegen ihre Gesellschafter</w:t>
        </w:r>
      </w:hyperlink>
    </w:p>
    <w:p>
      <w:pPr>
        <w:pStyle w:val="Übersicht"/>
        <w:ind w:left="680"/>
      </w:pPr>
      <w:hyperlink w:anchor="b166" w:history="1">
        <w:r>
          <w:rPr>
            <w:b/>
            <w:color w:val="0A3A8C"/>
            <w:u w:val="single"/>
          </w:rPr>
          <w:t xml:space="preserve">Vierter Titel Ausscheiden eines Gesellschafters</w:t>
        </w:r>
      </w:hyperlink>
    </w:p>
    <w:p>
      <w:pPr>
        <w:pStyle w:val="Übersicht"/>
        <w:ind w:left="1020"/>
      </w:pPr>
      <w:hyperlink w:anchor="b167" w:history="1">
        <w:r>
          <w:rPr>
            <w:color w:val="0A3A8C"/>
            <w:u w:val="single"/>
          </w:rPr>
          <w:t xml:space="preserve">§ 130 Gründe für das Ausscheiden; Zeitpunkt des Ausscheidens</w:t>
        </w:r>
      </w:hyperlink>
    </w:p>
    <w:p>
      <w:pPr>
        <w:pStyle w:val="Übersicht"/>
        <w:ind w:left="1020"/>
      </w:pPr>
      <w:hyperlink w:anchor="b168" w:history="1">
        <w:r>
          <w:rPr>
            <w:color w:val="0A3A8C"/>
            <w:u w:val="single"/>
          </w:rPr>
          <w:t xml:space="preserve">§ 131 Fortsetzung mit dem Erben; Ausscheiden des Erben</w:t>
        </w:r>
      </w:hyperlink>
    </w:p>
    <w:p>
      <w:pPr>
        <w:pStyle w:val="Übersicht"/>
        <w:ind w:left="1020"/>
      </w:pPr>
      <w:hyperlink w:anchor="b169" w:history="1">
        <w:r>
          <w:rPr>
            <w:color w:val="0A3A8C"/>
            <w:u w:val="single"/>
          </w:rPr>
          <w:t xml:space="preserve">§ 132 Kündigung der Mitgliedschaft durch den Gesellschafter</w:t>
        </w:r>
      </w:hyperlink>
    </w:p>
    <w:p>
      <w:pPr>
        <w:pStyle w:val="Übersicht"/>
        <w:ind w:left="1020"/>
      </w:pPr>
      <w:hyperlink w:anchor="b170" w:history="1">
        <w:r>
          <w:rPr>
            <w:color w:val="0A3A8C"/>
            <w:u w:val="single"/>
          </w:rPr>
          <w:t xml:space="preserve">§ 133 Kündigung der Mitgliedschaft durch einen Privatgläubiger des Gesellschafters</w:t>
        </w:r>
      </w:hyperlink>
    </w:p>
    <w:p>
      <w:pPr>
        <w:pStyle w:val="Übersicht"/>
        <w:ind w:left="1020"/>
      </w:pPr>
      <w:hyperlink w:anchor="b171" w:history="1">
        <w:r>
          <w:rPr>
            <w:color w:val="0A3A8C"/>
            <w:u w:val="single"/>
          </w:rPr>
          <w:t xml:space="preserve">§ 134 Gerichtliche Entscheidung über Ausschließungsklage</w:t>
        </w:r>
      </w:hyperlink>
    </w:p>
    <w:p>
      <w:pPr>
        <w:pStyle w:val="Übersicht"/>
        <w:ind w:left="1020"/>
      </w:pPr>
      <w:hyperlink w:anchor="b172" w:history="1">
        <w:r>
          <w:rPr>
            <w:color w:val="0A3A8C"/>
            <w:u w:val="single"/>
          </w:rPr>
          <w:t xml:space="preserve">§ 135 Ansprüche des ausgeschiedenen Gesellschafters</w:t>
        </w:r>
      </w:hyperlink>
    </w:p>
    <w:p>
      <w:pPr>
        <w:pStyle w:val="Übersicht"/>
        <w:ind w:left="1020"/>
      </w:pPr>
      <w:hyperlink w:anchor="b173" w:history="1">
        <w:r>
          <w:rPr>
            <w:color w:val="0A3A8C"/>
            <w:u w:val="single"/>
          </w:rPr>
          <w:t xml:space="preserve">§ 136 Haftung des ausgeschiedenen Gesellschafters für Fehlbetrag</w:t>
        </w:r>
      </w:hyperlink>
    </w:p>
    <w:p>
      <w:pPr>
        <w:pStyle w:val="Übersicht"/>
        <w:ind w:left="1020"/>
      </w:pPr>
      <w:hyperlink w:anchor="b174" w:history="1">
        <w:r>
          <w:rPr>
            <w:color w:val="0A3A8C"/>
            <w:u w:val="single"/>
          </w:rPr>
          <w:t xml:space="preserve">§ 137 Nachhaftung des ausgeschiedenen Gesellschafters</w:t>
        </w:r>
      </w:hyperlink>
    </w:p>
    <w:p>
      <w:pPr>
        <w:pStyle w:val="Übersicht"/>
        <w:ind w:left="680"/>
      </w:pPr>
      <w:hyperlink w:anchor="b175" w:history="1">
        <w:r>
          <w:rPr>
            <w:b/>
            <w:color w:val="0A3A8C"/>
            <w:u w:val="single"/>
          </w:rPr>
          <w:t xml:space="preserve">Fünfter Titel Auflösung der Gesellschaft</w:t>
        </w:r>
      </w:hyperlink>
    </w:p>
    <w:p>
      <w:pPr>
        <w:pStyle w:val="Übersicht"/>
        <w:ind w:left="1020"/>
      </w:pPr>
      <w:hyperlink w:anchor="b176" w:history="1">
        <w:r>
          <w:rPr>
            <w:color w:val="0A3A8C"/>
            <w:u w:val="single"/>
          </w:rPr>
          <w:t xml:space="preserve">§ 138 Auflösungsgründe</w:t>
        </w:r>
      </w:hyperlink>
    </w:p>
    <w:p>
      <w:pPr>
        <w:pStyle w:val="Übersicht"/>
        <w:ind w:left="1020"/>
      </w:pPr>
      <w:hyperlink w:anchor="b177" w:history="1">
        <w:r>
          <w:rPr>
            <w:color w:val="0A3A8C"/>
            <w:u w:val="single"/>
          </w:rPr>
          <w:t xml:space="preserve">§ 139 Auflösung durch gerichtliche Entscheidung</w:t>
        </w:r>
      </w:hyperlink>
    </w:p>
    <w:p>
      <w:pPr>
        <w:pStyle w:val="Übersicht"/>
        <w:ind w:left="1020"/>
      </w:pPr>
      <w:hyperlink w:anchor="b178" w:history="1">
        <w:r>
          <w:rPr>
            <w:color w:val="0A3A8C"/>
            <w:u w:val="single"/>
          </w:rPr>
          <w:t xml:space="preserve">§ 140 Auflösungsbeschluss</w:t>
        </w:r>
      </w:hyperlink>
    </w:p>
    <w:p>
      <w:pPr>
        <w:pStyle w:val="Übersicht"/>
        <w:ind w:left="1020"/>
      </w:pPr>
      <w:hyperlink w:anchor="b179" w:history="1">
        <w:r>
          <w:rPr>
            <w:color w:val="0A3A8C"/>
            <w:u w:val="single"/>
          </w:rPr>
          <w:t xml:space="preserve">§ 141 Anmeldung der Auflösung</w:t>
        </w:r>
      </w:hyperlink>
    </w:p>
    <w:p>
      <w:pPr>
        <w:pStyle w:val="Übersicht"/>
        <w:ind w:left="1020"/>
      </w:pPr>
      <w:hyperlink w:anchor="b180" w:history="1">
        <w:r>
          <w:rPr>
            <w:color w:val="0A3A8C"/>
            <w:u w:val="single"/>
          </w:rPr>
          <w:t xml:space="preserve">§ 142 Fortsetzung der Gesellschaft</w:t>
        </w:r>
      </w:hyperlink>
    </w:p>
    <w:p>
      <w:pPr>
        <w:pStyle w:val="Übersicht"/>
        <w:ind w:left="680"/>
      </w:pPr>
      <w:hyperlink w:anchor="b181" w:history="1">
        <w:r>
          <w:rPr>
            <w:b/>
            <w:color w:val="0A3A8C"/>
            <w:u w:val="single"/>
          </w:rPr>
          <w:t xml:space="preserve">Sechster Titel Liquidation der Gesellschaft</w:t>
        </w:r>
      </w:hyperlink>
    </w:p>
    <w:p>
      <w:pPr>
        <w:pStyle w:val="Übersicht"/>
        <w:ind w:left="1020"/>
      </w:pPr>
      <w:hyperlink w:anchor="b182" w:history="1">
        <w:r>
          <w:rPr>
            <w:color w:val="0A3A8C"/>
            <w:u w:val="single"/>
          </w:rPr>
          <w:t xml:space="preserve">§ 143 Notwendigkeit der Liquidation; anwendbare Vorschriften</w:t>
        </w:r>
      </w:hyperlink>
    </w:p>
    <w:p>
      <w:pPr>
        <w:pStyle w:val="Übersicht"/>
        <w:ind w:left="1020"/>
      </w:pPr>
      <w:hyperlink w:anchor="b183" w:history="1">
        <w:r>
          <w:rPr>
            <w:color w:val="0A3A8C"/>
            <w:u w:val="single"/>
          </w:rPr>
          <w:t xml:space="preserve">§ 144 Liquidatoren</w:t>
        </w:r>
      </w:hyperlink>
    </w:p>
    <w:p>
      <w:pPr>
        <w:pStyle w:val="Übersicht"/>
        <w:ind w:left="1020"/>
      </w:pPr>
      <w:hyperlink w:anchor="b184" w:history="1">
        <w:r>
          <w:rPr>
            <w:color w:val="0A3A8C"/>
            <w:u w:val="single"/>
          </w:rPr>
          <w:t xml:space="preserve">§ 145 Gerichtliche Berufung und Abberufung von Liquidatoren</w:t>
        </w:r>
      </w:hyperlink>
    </w:p>
    <w:p>
      <w:pPr>
        <w:pStyle w:val="Übersicht"/>
        <w:ind w:left="1020"/>
      </w:pPr>
      <w:hyperlink w:anchor="b185" w:history="1">
        <w:r>
          <w:rPr>
            <w:color w:val="0A3A8C"/>
            <w:u w:val="single"/>
          </w:rPr>
          <w:t xml:space="preserve">§ 146 Geschäftsführungs- und Vertretungsbefugnis der Liquidatoren</w:t>
        </w:r>
      </w:hyperlink>
    </w:p>
    <w:p>
      <w:pPr>
        <w:pStyle w:val="Übersicht"/>
        <w:ind w:left="1020"/>
      </w:pPr>
      <w:hyperlink w:anchor="b186" w:history="1">
        <w:r>
          <w:rPr>
            <w:color w:val="0A3A8C"/>
            <w:u w:val="single"/>
          </w:rPr>
          <w:t xml:space="preserve">§ 147 Anmeldung der Liquidatoren</w:t>
        </w:r>
      </w:hyperlink>
    </w:p>
    <w:p>
      <w:pPr>
        <w:pStyle w:val="Übersicht"/>
        <w:ind w:left="1020"/>
      </w:pPr>
      <w:hyperlink w:anchor="b187" w:history="1">
        <w:r>
          <w:rPr>
            <w:color w:val="0A3A8C"/>
            <w:u w:val="single"/>
          </w:rPr>
          <w:t xml:space="preserve">§ 148 Rechtsstellung der Liquidatoren</w:t>
        </w:r>
      </w:hyperlink>
    </w:p>
    <w:p>
      <w:pPr>
        <w:pStyle w:val="Übersicht"/>
        <w:ind w:left="1020"/>
      </w:pPr>
      <w:hyperlink w:anchor="b188" w:history="1">
        <w:r>
          <w:rPr>
            <w:color w:val="0A3A8C"/>
            <w:u w:val="single"/>
          </w:rPr>
          <w:t xml:space="preserve">§ 149 Haftung des Gesellschafters für Fehlbetrag</w:t>
        </w:r>
      </w:hyperlink>
    </w:p>
    <w:p>
      <w:pPr>
        <w:pStyle w:val="Übersicht"/>
        <w:ind w:left="1020"/>
      </w:pPr>
      <w:hyperlink w:anchor="b189" w:history="1">
        <w:r>
          <w:rPr>
            <w:color w:val="0A3A8C"/>
            <w:u w:val="single"/>
          </w:rPr>
          <w:t xml:space="preserve">§ 150 Anmeldung des Erlöschens der Firma</w:t>
        </w:r>
      </w:hyperlink>
    </w:p>
    <w:p>
      <w:pPr>
        <w:pStyle w:val="Übersicht"/>
        <w:ind w:left="1020"/>
      </w:pPr>
      <w:hyperlink w:anchor="b190" w:history="1">
        <w:r>
          <w:rPr>
            <w:color w:val="0A3A8C"/>
            <w:u w:val="single"/>
          </w:rPr>
          <w:t xml:space="preserve">§ 151 Verjährung von Ansprüchen aus der Gesellschafterhaftung</w:t>
        </w:r>
      </w:hyperlink>
    </w:p>
    <w:p>
      <w:pPr>
        <w:pStyle w:val="Übersicht"/>
        <w:ind w:left="1020"/>
      </w:pPr>
      <w:hyperlink w:anchor="b191" w:history="1">
        <w:r>
          <w:rPr>
            <w:color w:val="0A3A8C"/>
            <w:u w:val="single"/>
          </w:rPr>
          <w:t xml:space="preserve">§ 152 Aufbewahrung der Geschäftsunterlagen; Einsicht in die Geschäftsunterlagen</w:t>
        </w:r>
      </w:hyperlink>
    </w:p>
    <w:p>
      <w:pPr>
        <w:pStyle w:val="Übersicht"/>
        <w:ind w:left="1020"/>
      </w:pPr>
      <w:hyperlink w:anchor="b192" w:history="1">
        <w:r>
          <w:rPr>
            <w:color w:val="0A3A8C"/>
            <w:u w:val="single"/>
          </w:rPr>
          <w:t xml:space="preserve">§§ 153 bis 160</w:t>
        </w:r>
      </w:hyperlink>
    </w:p>
    <w:p>
      <w:pPr>
        <w:pStyle w:val="Übersicht"/>
        <w:ind w:left="340"/>
      </w:pPr>
      <w:hyperlink w:anchor="b193" w:history="1">
        <w:r>
          <w:rPr>
            <w:b/>
            <w:color w:val="0A3A8C"/>
            <w:u w:val="single"/>
          </w:rPr>
          <w:t xml:space="preserve">Zweiter Abschnitt Kommanditgesellschaft</w:t>
        </w:r>
      </w:hyperlink>
    </w:p>
    <w:p>
      <w:pPr>
        <w:pStyle w:val="Übersicht"/>
        <w:ind w:left="680"/>
      </w:pPr>
      <w:hyperlink w:anchor="b194" w:history="1">
        <w:r>
          <w:rPr>
            <w:color w:val="0A3A8C"/>
            <w:u w:val="single"/>
          </w:rPr>
          <w:t xml:space="preserve">§§ 161 bis 163</w:t>
        </w:r>
      </w:hyperlink>
    </w:p>
    <w:p>
      <w:pPr>
        <w:pStyle w:val="Übersicht"/>
        <w:ind w:left="680"/>
      </w:pPr>
      <w:hyperlink w:anchor="b197" w:history="1">
        <w:r>
          <w:rPr>
            <w:color w:val="0A3A8C"/>
            <w:u w:val="single"/>
          </w:rPr>
          <w:t xml:space="preserve">§ 164 Geschäftsführungsbefugnis</w:t>
        </w:r>
      </w:hyperlink>
    </w:p>
    <w:p>
      <w:pPr>
        <w:pStyle w:val="Übersicht"/>
        <w:ind w:left="680"/>
      </w:pPr>
      <w:hyperlink w:anchor="b198" w:history="1">
        <w:r>
          <w:rPr>
            <w:color w:val="0A3A8C"/>
            <w:u w:val="single"/>
          </w:rPr>
          <w:t xml:space="preserve">§ 165</w:t>
        </w:r>
      </w:hyperlink>
    </w:p>
    <w:p>
      <w:pPr>
        <w:pStyle w:val="Übersicht"/>
        <w:ind w:left="680"/>
      </w:pPr>
      <w:hyperlink w:anchor="b199" w:history="1">
        <w:r>
          <w:rPr>
            <w:color w:val="0A3A8C"/>
            <w:u w:val="single"/>
          </w:rPr>
          <w:t xml:space="preserve">§ 166 Informationsrecht der Kommanditisten</w:t>
        </w:r>
      </w:hyperlink>
    </w:p>
    <w:p>
      <w:pPr>
        <w:pStyle w:val="Übersicht"/>
        <w:ind w:left="680"/>
      </w:pPr>
      <w:hyperlink w:anchor="b200" w:history="1">
        <w:r>
          <w:rPr>
            <w:color w:val="0A3A8C"/>
            <w:u w:val="single"/>
          </w:rPr>
          <w:t xml:space="preserve">§ 167 Verlustbeteiligung</w:t>
        </w:r>
      </w:hyperlink>
    </w:p>
    <w:p>
      <w:pPr>
        <w:pStyle w:val="Übersicht"/>
        <w:ind w:left="680"/>
      </w:pPr>
      <w:hyperlink w:anchor="b201" w:history="1">
        <w:r>
          <w:rPr>
            <w:color w:val="0A3A8C"/>
            <w:u w:val="single"/>
          </w:rPr>
          <w:t xml:space="preserve">§ 168 (weggefallen)</w:t>
        </w:r>
      </w:hyperlink>
    </w:p>
    <w:p>
      <w:pPr>
        <w:pStyle w:val="Übersicht"/>
        <w:ind w:left="680"/>
      </w:pPr>
      <w:hyperlink w:anchor="b202" w:history="1">
        <w:r>
          <w:rPr>
            <w:color w:val="0A3A8C"/>
            <w:u w:val="single"/>
          </w:rPr>
          <w:t xml:space="preserve">§ 169</w:t>
        </w:r>
      </w:hyperlink>
    </w:p>
    <w:p>
      <w:pPr>
        <w:pStyle w:val="Übersicht"/>
        <w:ind w:left="680"/>
      </w:pPr>
      <w:hyperlink w:anchor="b203" w:history="1">
        <w:r>
          <w:rPr>
            <w:color w:val="0A3A8C"/>
            <w:u w:val="single"/>
          </w:rPr>
          <w:t xml:space="preserve">§ 170 Vertretung der Kommanditgesellschaft</w:t>
        </w:r>
      </w:hyperlink>
    </w:p>
    <w:p>
      <w:pPr>
        <w:pStyle w:val="Übersicht"/>
        <w:ind w:left="680"/>
      </w:pPr>
      <w:hyperlink w:anchor="b204" w:history="1">
        <w:r>
          <w:rPr>
            <w:color w:val="0A3A8C"/>
            <w:u w:val="single"/>
          </w:rPr>
          <w:t xml:space="preserve">§§ 171 bis 172</w:t>
        </w:r>
      </w:hyperlink>
    </w:p>
    <w:p>
      <w:pPr>
        <w:pStyle w:val="Übersicht"/>
        <w:ind w:left="680"/>
      </w:pPr>
      <w:hyperlink w:anchor="b206" w:history="1">
        <w:r>
          <w:rPr>
            <w:color w:val="0A3A8C"/>
            <w:u w:val="single"/>
          </w:rPr>
          <w:t xml:space="preserve">§ 172a (weggefallen)</w:t>
        </w:r>
      </w:hyperlink>
    </w:p>
    <w:p>
      <w:pPr>
        <w:pStyle w:val="Übersicht"/>
        <w:ind w:left="680"/>
      </w:pPr>
      <w:hyperlink w:anchor="b207" w:history="1">
        <w:r>
          <w:rPr>
            <w:color w:val="0A3A8C"/>
            <w:u w:val="single"/>
          </w:rPr>
          <w:t xml:space="preserve">§§ 173 bis 174</w:t>
        </w:r>
      </w:hyperlink>
    </w:p>
    <w:p>
      <w:pPr>
        <w:pStyle w:val="Übersicht"/>
        <w:ind w:left="680"/>
      </w:pPr>
      <w:hyperlink w:anchor="b209" w:history="1">
        <w:r>
          <w:rPr>
            <w:color w:val="0A3A8C"/>
            <w:u w:val="single"/>
          </w:rPr>
          <w:t xml:space="preserve">§ 175 Anmeldung der Änderung der Haftsumme</w:t>
        </w:r>
      </w:hyperlink>
    </w:p>
    <w:p>
      <w:pPr>
        <w:pStyle w:val="Übersicht"/>
        <w:ind w:left="680"/>
      </w:pPr>
      <w:hyperlink w:anchor="b210" w:history="1">
        <w:r>
          <w:rPr>
            <w:color w:val="0A3A8C"/>
            <w:u w:val="single"/>
          </w:rPr>
          <w:t xml:space="preserve">§§ 176 bis 177a</w:t>
        </w:r>
      </w:hyperlink>
    </w:p>
    <w:p>
      <w:pPr>
        <w:pStyle w:val="Übersicht"/>
        <w:ind w:left="680"/>
      </w:pPr>
      <w:hyperlink w:anchor="b213" w:history="1">
        <w:r>
          <w:rPr>
            <w:color w:val="0A3A8C"/>
            <w:u w:val="single"/>
          </w:rPr>
          <w:t xml:space="preserve">§ 178 Liquidation der Kommanditgesellschaft</w:t>
        </w:r>
      </w:hyperlink>
    </w:p>
    <w:p>
      <w:pPr>
        <w:pStyle w:val="Übersicht"/>
        <w:ind w:left="680"/>
      </w:pPr>
      <w:hyperlink w:anchor="b214" w:history="1">
        <w:r>
          <w:rPr>
            <w:color w:val="0A3A8C"/>
            <w:u w:val="single"/>
          </w:rPr>
          <w:t xml:space="preserve">§ 179 Insolvenz der Kommanditgesellschaft</w:t>
        </w:r>
      </w:hyperlink>
    </w:p>
    <w:p>
      <w:pPr>
        <w:pStyle w:val="Übersicht"/>
        <w:ind w:left="680"/>
      </w:pPr>
      <w:hyperlink w:anchor="b215" w:history="1">
        <w:r>
          <w:rPr>
            <w:color w:val="0A3A8C"/>
            <w:u w:val="single"/>
          </w:rPr>
          <w:t xml:space="preserve">§§ 180 bis 229 (weggefallen)</w:t>
        </w:r>
      </w:hyperlink>
    </w:p>
    <w:p>
      <w:pPr>
        <w:pStyle w:val="Übersicht"/>
        <w:ind w:left="340"/>
      </w:pPr>
      <w:hyperlink w:anchor="b216" w:history="1">
        <w:r>
          <w:rPr>
            <w:b/>
            <w:color w:val="0A3A8C"/>
            <w:u w:val="single"/>
          </w:rPr>
          <w:t xml:space="preserve">Dritter Abschnitt Stille Gesellschaft</w:t>
        </w:r>
      </w:hyperlink>
    </w:p>
    <w:p>
      <w:pPr>
        <w:pStyle w:val="Übersicht"/>
        <w:ind w:left="680"/>
      </w:pPr>
      <w:hyperlink w:anchor="b217" w:history="1">
        <w:r>
          <w:rPr>
            <w:color w:val="0A3A8C"/>
            <w:u w:val="single"/>
          </w:rPr>
          <w:t xml:space="preserve">§§ 230 bis 232</w:t>
        </w:r>
      </w:hyperlink>
    </w:p>
    <w:p>
      <w:pPr>
        <w:pStyle w:val="Übersicht"/>
        <w:ind w:left="680"/>
      </w:pPr>
      <w:hyperlink w:anchor="b220" w:history="1">
        <w:r>
          <w:rPr>
            <w:color w:val="0A3A8C"/>
            <w:u w:val="single"/>
          </w:rPr>
          <w:t xml:space="preserve">§ 233 Informationsrecht des stillen Gesellschafters</w:t>
        </w:r>
      </w:hyperlink>
    </w:p>
    <w:p>
      <w:pPr>
        <w:pStyle w:val="Übersicht"/>
        <w:ind w:left="680"/>
      </w:pPr>
      <w:hyperlink w:anchor="b221" w:history="1">
        <w:r>
          <w:rPr>
            <w:color w:val="0A3A8C"/>
            <w:u w:val="single"/>
          </w:rPr>
          <w:t xml:space="preserve">§§ 234 bis 236</w:t>
        </w:r>
      </w:hyperlink>
    </w:p>
    <w:p>
      <w:pPr>
        <w:pStyle w:val="Übersicht"/>
        <w:ind w:left="680"/>
      </w:pPr>
      <w:hyperlink w:anchor="b224" w:history="1">
        <w:r>
          <w:rPr>
            <w:color w:val="0A3A8C"/>
            <w:u w:val="single"/>
          </w:rPr>
          <w:t xml:space="preserve">§ 237 (weggefallen)</w:t>
        </w:r>
      </w:hyperlink>
    </w:p>
    <w:p>
      <w:pPr>
        <w:pStyle w:val="Übersicht"/>
        <w:ind w:left="0"/>
      </w:pPr>
      <w:hyperlink w:anchor="b225" w:history="1">
        <w:r>
          <w:rPr>
            <w:b/>
            <w:color w:val="0A3A8C"/>
            <w:u w:val="single"/>
          </w:rPr>
          <w:t xml:space="preserve">Drittes Buch Handelsbücher</w:t>
        </w:r>
      </w:hyperlink>
    </w:p>
    <w:p>
      <w:pPr>
        <w:pStyle w:val="Übersicht"/>
        <w:ind w:left="340"/>
      </w:pPr>
      <w:hyperlink w:anchor="b226" w:history="1">
        <w:r>
          <w:rPr>
            <w:b/>
            <w:color w:val="0A3A8C"/>
            <w:u w:val="single"/>
          </w:rPr>
          <w:t xml:space="preserve">Erster Abschnitt Vorschriften für alle
Kaufleute</w:t>
        </w:r>
      </w:hyperlink>
    </w:p>
    <w:p>
      <w:pPr>
        <w:pStyle w:val="Übersicht"/>
        <w:ind w:left="680"/>
      </w:pPr>
      <w:hyperlink w:anchor="b227" w:history="1">
        <w:r>
          <w:rPr>
            <w:b/>
            <w:color w:val="0A3A8C"/>
            <w:u w:val="single"/>
          </w:rPr>
          <w:t xml:space="preserve">Erster Unterabschnitt Buchführung. Inventar</w:t>
        </w:r>
      </w:hyperlink>
    </w:p>
    <w:p>
      <w:pPr>
        <w:pStyle w:val="Übersicht"/>
        <w:ind w:left="1020"/>
      </w:pPr>
      <w:hyperlink w:anchor="b228" w:history="1">
        <w:r>
          <w:rPr>
            <w:color w:val="0A3A8C"/>
            <w:u w:val="single"/>
          </w:rPr>
          <w:t xml:space="preserve">§ 238 Buchführungspflicht</w:t>
        </w:r>
      </w:hyperlink>
    </w:p>
    <w:p>
      <w:pPr>
        <w:pStyle w:val="Übersicht"/>
        <w:ind w:left="1020"/>
      </w:pPr>
      <w:hyperlink w:anchor="b229" w:history="1">
        <w:r>
          <w:rPr>
            <w:color w:val="0A3A8C"/>
            <w:u w:val="single"/>
          </w:rPr>
          <w:t xml:space="preserve">§ 239 Führung der Handelsbücher</w:t>
        </w:r>
      </w:hyperlink>
    </w:p>
    <w:p>
      <w:pPr>
        <w:pStyle w:val="Übersicht"/>
        <w:ind w:left="1020"/>
      </w:pPr>
      <w:hyperlink w:anchor="b230" w:history="1">
        <w:r>
          <w:rPr>
            <w:color w:val="0A3A8C"/>
            <w:u w:val="single"/>
          </w:rPr>
          <w:t xml:space="preserve">§ 240 Inventar</w:t>
        </w:r>
      </w:hyperlink>
    </w:p>
    <w:p>
      <w:pPr>
        <w:pStyle w:val="Übersicht"/>
        <w:ind w:left="1020"/>
      </w:pPr>
      <w:hyperlink w:anchor="b231" w:history="1">
        <w:r>
          <w:rPr>
            <w:color w:val="0A3A8C"/>
            <w:u w:val="single"/>
          </w:rPr>
          <w:t xml:space="preserve">§ 241 Inventurvereinfachungsverfahren</w:t>
        </w:r>
      </w:hyperlink>
    </w:p>
    <w:p>
      <w:pPr>
        <w:pStyle w:val="Übersicht"/>
        <w:ind w:left="1020"/>
      </w:pPr>
      <w:hyperlink w:anchor="b232" w:history="1">
        <w:r>
          <w:rPr>
            <w:color w:val="0A3A8C"/>
            <w:u w:val="single"/>
          </w:rPr>
          <w:t xml:space="preserve">§ 241a Befreiung von der Pflicht zur Buchführung und Erstellung eines Inventars</w:t>
        </w:r>
      </w:hyperlink>
    </w:p>
    <w:p>
      <w:pPr>
        <w:pStyle w:val="Übersicht"/>
        <w:ind w:left="680"/>
      </w:pPr>
      <w:hyperlink w:anchor="b233" w:history="1">
        <w:r>
          <w:rPr>
            <w:b/>
            <w:color w:val="0A3A8C"/>
            <w:u w:val="single"/>
          </w:rPr>
          <w:t xml:space="preserve">Zweiter Unterabschnitt Eröffnungsbilanz.
Jahresabschluß</w:t>
        </w:r>
      </w:hyperlink>
    </w:p>
    <w:p>
      <w:pPr>
        <w:pStyle w:val="Übersicht"/>
        <w:ind w:left="1020"/>
      </w:pPr>
      <w:hyperlink w:anchor="b234" w:history="1">
        <w:r>
          <w:rPr>
            <w:b/>
            <w:color w:val="0A3A8C"/>
            <w:u w:val="single"/>
          </w:rPr>
          <w:t xml:space="preserve">Erster Titel Allgemeine Vorschriften</w:t>
        </w:r>
      </w:hyperlink>
    </w:p>
    <w:p>
      <w:pPr>
        <w:pStyle w:val="Übersicht"/>
        <w:ind w:left="1361"/>
      </w:pPr>
      <w:hyperlink w:anchor="b235" w:history="1">
        <w:r>
          <w:rPr>
            <w:color w:val="0A3A8C"/>
            <w:u w:val="single"/>
          </w:rPr>
          <w:t xml:space="preserve">§ 242 Pflicht zur Aufstellung</w:t>
        </w:r>
      </w:hyperlink>
    </w:p>
    <w:p>
      <w:pPr>
        <w:pStyle w:val="Übersicht"/>
        <w:ind w:left="1361"/>
      </w:pPr>
      <w:hyperlink w:anchor="b236" w:history="1">
        <w:r>
          <w:rPr>
            <w:color w:val="0A3A8C"/>
            <w:u w:val="single"/>
          </w:rPr>
          <w:t xml:space="preserve">§ 243 Aufstellungsgrundsatz</w:t>
        </w:r>
      </w:hyperlink>
    </w:p>
    <w:p>
      <w:pPr>
        <w:pStyle w:val="Übersicht"/>
        <w:ind w:left="1361"/>
      </w:pPr>
      <w:hyperlink w:anchor="b237" w:history="1">
        <w:r>
          <w:rPr>
            <w:color w:val="0A3A8C"/>
            <w:u w:val="single"/>
          </w:rPr>
          <w:t xml:space="preserve">§ 244 Sprache. Währungseinheit</w:t>
        </w:r>
      </w:hyperlink>
    </w:p>
    <w:p>
      <w:pPr>
        <w:pStyle w:val="Übersicht"/>
        <w:ind w:left="1361"/>
      </w:pPr>
      <w:hyperlink w:anchor="b238" w:history="1">
        <w:r>
          <w:rPr>
            <w:color w:val="0A3A8C"/>
            <w:u w:val="single"/>
          </w:rPr>
          <w:t xml:space="preserve">§ 245 Unterzeichnung</w:t>
        </w:r>
      </w:hyperlink>
    </w:p>
    <w:p>
      <w:pPr>
        <w:pStyle w:val="Übersicht"/>
        <w:ind w:left="1020"/>
      </w:pPr>
      <w:hyperlink w:anchor="b239" w:history="1">
        <w:r>
          <w:rPr>
            <w:b/>
            <w:color w:val="0A3A8C"/>
            <w:u w:val="single"/>
          </w:rPr>
          <w:t xml:space="preserve">Zweiter Titel Ansatzvorschriften</w:t>
        </w:r>
      </w:hyperlink>
    </w:p>
    <w:p>
      <w:pPr>
        <w:pStyle w:val="Übersicht"/>
        <w:ind w:left="1361"/>
      </w:pPr>
      <w:hyperlink w:anchor="b240" w:history="1">
        <w:r>
          <w:rPr>
            <w:color w:val="0A3A8C"/>
            <w:u w:val="single"/>
          </w:rPr>
          <w:t xml:space="preserve">§ 246 Vollständigkeit. Verrechnungsverbot</w:t>
        </w:r>
      </w:hyperlink>
    </w:p>
    <w:p>
      <w:pPr>
        <w:pStyle w:val="Übersicht"/>
        <w:ind w:left="1361"/>
      </w:pPr>
      <w:hyperlink w:anchor="b241" w:history="1">
        <w:r>
          <w:rPr>
            <w:color w:val="0A3A8C"/>
            <w:u w:val="single"/>
          </w:rPr>
          <w:t xml:space="preserve">§ 247 Inhalt der Bilanz</w:t>
        </w:r>
      </w:hyperlink>
    </w:p>
    <w:p>
      <w:pPr>
        <w:pStyle w:val="Übersicht"/>
        <w:ind w:left="1361"/>
      </w:pPr>
      <w:hyperlink w:anchor="b242" w:history="1">
        <w:r>
          <w:rPr>
            <w:color w:val="0A3A8C"/>
            <w:u w:val="single"/>
          </w:rPr>
          <w:t xml:space="preserve">§ 248 Bilanzierungsverbote und -wahlrechte</w:t>
        </w:r>
      </w:hyperlink>
    </w:p>
    <w:p>
      <w:pPr>
        <w:pStyle w:val="Übersicht"/>
        <w:ind w:left="1361"/>
      </w:pPr>
      <w:hyperlink w:anchor="b243" w:history="1">
        <w:r>
          <w:rPr>
            <w:color w:val="0A3A8C"/>
            <w:u w:val="single"/>
          </w:rPr>
          <w:t xml:space="preserve">§ 249 Rückstellungen</w:t>
        </w:r>
      </w:hyperlink>
    </w:p>
    <w:p>
      <w:pPr>
        <w:pStyle w:val="Übersicht"/>
        <w:ind w:left="1361"/>
      </w:pPr>
      <w:hyperlink w:anchor="b244" w:history="1">
        <w:r>
          <w:rPr>
            <w:color w:val="0A3A8C"/>
            <w:u w:val="single"/>
          </w:rPr>
          <w:t xml:space="preserve">§ 250 Rechnungsabgrenzungsposten</w:t>
        </w:r>
      </w:hyperlink>
    </w:p>
    <w:p>
      <w:pPr>
        <w:pStyle w:val="Übersicht"/>
        <w:ind w:left="1361"/>
      </w:pPr>
      <w:hyperlink w:anchor="b245" w:history="1">
        <w:r>
          <w:rPr>
            <w:color w:val="0A3A8C"/>
            <w:u w:val="single"/>
          </w:rPr>
          <w:t xml:space="preserve">§ 251 Haftungsverhältnisse</w:t>
        </w:r>
      </w:hyperlink>
    </w:p>
    <w:p>
      <w:pPr>
        <w:pStyle w:val="Übersicht"/>
        <w:ind w:left="1020"/>
      </w:pPr>
      <w:hyperlink w:anchor="b246" w:history="1">
        <w:r>
          <w:rPr>
            <w:b/>
            <w:color w:val="0A3A8C"/>
            <w:u w:val="single"/>
          </w:rPr>
          <w:t xml:space="preserve">Dritter Titel Bewertungsvorschriften</w:t>
        </w:r>
      </w:hyperlink>
    </w:p>
    <w:p>
      <w:pPr>
        <w:pStyle w:val="Übersicht"/>
        <w:ind w:left="1361"/>
      </w:pPr>
      <w:hyperlink w:anchor="b247" w:history="1">
        <w:r>
          <w:rPr>
            <w:color w:val="0A3A8C"/>
            <w:u w:val="single"/>
          </w:rPr>
          <w:t xml:space="preserve">§ 252 Allgemeine Bewertungsgrundsätze</w:t>
        </w:r>
      </w:hyperlink>
    </w:p>
    <w:p>
      <w:pPr>
        <w:pStyle w:val="Übersicht"/>
        <w:ind w:left="1361"/>
      </w:pPr>
      <w:hyperlink w:anchor="b248" w:history="1">
        <w:r>
          <w:rPr>
            <w:color w:val="0A3A8C"/>
            <w:u w:val="single"/>
          </w:rPr>
          <w:t xml:space="preserve">§ 253 Zugangs- und Folgebewertung</w:t>
        </w:r>
      </w:hyperlink>
    </w:p>
    <w:p>
      <w:pPr>
        <w:pStyle w:val="Übersicht"/>
        <w:ind w:left="1361"/>
      </w:pPr>
      <w:hyperlink w:anchor="b249" w:history="1">
        <w:r>
          <w:rPr>
            <w:color w:val="0A3A8C"/>
            <w:u w:val="single"/>
          </w:rPr>
          <w:t xml:space="preserve">§ 254 Bildung von Bewertungseinheiten</w:t>
        </w:r>
      </w:hyperlink>
    </w:p>
    <w:p>
      <w:pPr>
        <w:pStyle w:val="Übersicht"/>
        <w:ind w:left="1361"/>
      </w:pPr>
      <w:hyperlink w:anchor="b250" w:history="1">
        <w:r>
          <w:rPr>
            <w:color w:val="0A3A8C"/>
            <w:u w:val="single"/>
          </w:rPr>
          <w:t xml:space="preserve">§ 255 Bewertungsmaßstäbe</w:t>
        </w:r>
      </w:hyperlink>
    </w:p>
    <w:p>
      <w:pPr>
        <w:pStyle w:val="Übersicht"/>
        <w:ind w:left="1361"/>
      </w:pPr>
      <w:hyperlink w:anchor="b251" w:history="1">
        <w:r>
          <w:rPr>
            <w:color w:val="0A3A8C"/>
            <w:u w:val="single"/>
          </w:rPr>
          <w:t xml:space="preserve">§ 256 Bewertungsvereinfachungsverfahren</w:t>
        </w:r>
      </w:hyperlink>
    </w:p>
    <w:p>
      <w:pPr>
        <w:pStyle w:val="Übersicht"/>
        <w:ind w:left="1361"/>
      </w:pPr>
      <w:hyperlink w:anchor="b252" w:history="1">
        <w:r>
          <w:rPr>
            <w:color w:val="0A3A8C"/>
            <w:u w:val="single"/>
          </w:rPr>
          <w:t xml:space="preserve">§ 256a Währungsumrechnung</w:t>
        </w:r>
      </w:hyperlink>
    </w:p>
    <w:p>
      <w:pPr>
        <w:pStyle w:val="Übersicht"/>
        <w:ind w:left="680"/>
      </w:pPr>
      <w:hyperlink w:anchor="b253" w:history="1">
        <w:r>
          <w:rPr>
            <w:b/>
            <w:color w:val="0A3A8C"/>
            <w:u w:val="single"/>
          </w:rPr>
          <w:t xml:space="preserve">Dritter Unterabschnitt Aufbewahrung und
Vorlage</w:t>
        </w:r>
      </w:hyperlink>
    </w:p>
    <w:p>
      <w:pPr>
        <w:pStyle w:val="Übersicht"/>
        <w:ind w:left="1020"/>
      </w:pPr>
      <w:hyperlink w:anchor="b254" w:history="1">
        <w:r>
          <w:rPr>
            <w:color w:val="0A3A8C"/>
            <w:u w:val="single"/>
          </w:rPr>
          <w:t xml:space="preserve">§ 257 Aufbewahrung von UnterlagenAufbewahrungsfristen</w:t>
        </w:r>
      </w:hyperlink>
    </w:p>
    <w:p>
      <w:pPr>
        <w:pStyle w:val="Übersicht"/>
        <w:ind w:left="1020"/>
      </w:pPr>
      <w:hyperlink w:anchor="b255" w:history="1">
        <w:r>
          <w:rPr>
            <w:color w:val="0A3A8C"/>
            <w:u w:val="single"/>
          </w:rPr>
          <w:t xml:space="preserve">§ 258 Vorlegung im Rechtsstreit</w:t>
        </w:r>
      </w:hyperlink>
    </w:p>
    <w:p>
      <w:pPr>
        <w:pStyle w:val="Übersicht"/>
        <w:ind w:left="1020"/>
      </w:pPr>
      <w:hyperlink w:anchor="b256" w:history="1">
        <w:r>
          <w:rPr>
            <w:color w:val="0A3A8C"/>
            <w:u w:val="single"/>
          </w:rPr>
          <w:t xml:space="preserve">§ 259 Auszug bei Vorlegung im Rechtsstreit</w:t>
        </w:r>
      </w:hyperlink>
    </w:p>
    <w:p>
      <w:pPr>
        <w:pStyle w:val="Übersicht"/>
        <w:ind w:left="1020"/>
      </w:pPr>
      <w:hyperlink w:anchor="b257" w:history="1">
        <w:r>
          <w:rPr>
            <w:color w:val="0A3A8C"/>
            <w:u w:val="single"/>
          </w:rPr>
          <w:t xml:space="preserve">§ 260 Vorlegung bei Auseinandersetzungen</w:t>
        </w:r>
      </w:hyperlink>
    </w:p>
    <w:p>
      <w:pPr>
        <w:pStyle w:val="Übersicht"/>
        <w:ind w:left="1020"/>
      </w:pPr>
      <w:hyperlink w:anchor="b258" w:history="1">
        <w:r>
          <w:rPr>
            <w:color w:val="0A3A8C"/>
            <w:u w:val="single"/>
          </w:rPr>
          <w:t xml:space="preserve">§ 261 Vorlegung von Unterlagen auf Bild- oder Datenträgern</w:t>
        </w:r>
      </w:hyperlink>
    </w:p>
    <w:p>
      <w:pPr>
        <w:pStyle w:val="Übersicht"/>
        <w:ind w:left="680"/>
      </w:pPr>
      <w:hyperlink w:anchor="b259" w:history="1">
        <w:r>
          <w:rPr>
            <w:b/>
            <w:color w:val="0A3A8C"/>
            <w:u w:val="single"/>
          </w:rPr>
          <w:t xml:space="preserve">Vierter Unterabschnitt Landesrecht</w:t>
        </w:r>
      </w:hyperlink>
    </w:p>
    <w:p>
      <w:pPr>
        <w:pStyle w:val="Übersicht"/>
        <w:ind w:left="1020"/>
      </w:pPr>
      <w:hyperlink w:anchor="b260" w:history="1">
        <w:r>
          <w:rPr>
            <w:color w:val="0A3A8C"/>
            <w:u w:val="single"/>
          </w:rPr>
          <w:t xml:space="preserve">§ 262 (weggefallen)</w:t>
        </w:r>
      </w:hyperlink>
    </w:p>
    <w:p>
      <w:pPr>
        <w:pStyle w:val="Übersicht"/>
        <w:ind w:left="1020"/>
      </w:pPr>
      <w:hyperlink w:anchor="b261" w:history="1">
        <w:r>
          <w:rPr>
            <w:color w:val="0A3A8C"/>
            <w:u w:val="single"/>
          </w:rPr>
          <w:t xml:space="preserve">§ 263 Vorbehalt landesrechtlicher Vorschriften</w:t>
        </w:r>
      </w:hyperlink>
    </w:p>
    <w:p>
      <w:pPr>
        <w:pStyle w:val="Übersicht"/>
        <w:ind w:left="340"/>
      </w:pPr>
      <w:hyperlink w:anchor="b262" w:history="1">
        <w:r>
          <w:rPr>
            <w:b/>
            <w:color w:val="0A3A8C"/>
            <w:u w:val="single"/>
          </w:rPr>
          <w:t xml:space="preserve">Zweiter Abschnitt Ergänzende Vorschriften
für Kapitalgesellschaften (Aktiengesellschaften,
Kommanditgesellschaften auf Aktien und Gesellschaften mit
beschränkter Haftung) sowie bestimmte Personenhandelsgesellschaften</w:t>
        </w:r>
      </w:hyperlink>
    </w:p>
    <w:p>
      <w:pPr>
        <w:pStyle w:val="Übersicht"/>
        <w:ind w:left="680"/>
      </w:pPr>
      <w:hyperlink w:anchor="b263" w:history="1">
        <w:r>
          <w:rPr>
            <w:b/>
            <w:color w:val="0A3A8C"/>
            <w:u w:val="single"/>
          </w:rPr>
          <w:t xml:space="preserve">Erster Unterabschnitt Jahresabschluß
der Kapitalgesellschaft und Lagebericht</w:t>
        </w:r>
      </w:hyperlink>
    </w:p>
    <w:p>
      <w:pPr>
        <w:pStyle w:val="Übersicht"/>
        <w:ind w:left="1020"/>
      </w:pPr>
      <w:hyperlink w:anchor="b264" w:history="1">
        <w:r>
          <w:rPr>
            <w:b/>
            <w:color w:val="0A3A8C"/>
            <w:u w:val="single"/>
          </w:rPr>
          <w:t xml:space="preserve">Erster Titel Allgemeine Vorschriften</w:t>
        </w:r>
      </w:hyperlink>
    </w:p>
    <w:p>
      <w:pPr>
        <w:pStyle w:val="Übersicht"/>
        <w:ind w:left="1361"/>
      </w:pPr>
      <w:hyperlink w:anchor="b265" w:history="1">
        <w:r>
          <w:rPr>
            <w:color w:val="0A3A8C"/>
            <w:u w:val="single"/>
          </w:rPr>
          <w:t xml:space="preserve">§ 264 Pflicht zur Aufstellung; Befreiung</w:t>
        </w:r>
      </w:hyperlink>
    </w:p>
    <w:p>
      <w:pPr>
        <w:pStyle w:val="Übersicht"/>
        <w:ind w:left="1361"/>
      </w:pPr>
      <w:hyperlink w:anchor="b266" w:history="1">
        <w:r>
          <w:rPr>
            <w:color w:val="0A3A8C"/>
            <w:u w:val="single"/>
          </w:rPr>
          <w:t xml:space="preserve">§ 264a Anwendung auf bestimmte offene Handelsgesellschaften und
Kommanditgesellschaften</w:t>
        </w:r>
      </w:hyperlink>
    </w:p>
    <w:p>
      <w:pPr>
        <w:pStyle w:val="Übersicht"/>
        <w:ind w:left="1361"/>
      </w:pPr>
      <w:hyperlink w:anchor="b267" w:history="1">
        <w:r>
          <w:rPr>
            <w:color w:val="0A3A8C"/>
            <w:u w:val="single"/>
          </w:rPr>
          <w:t xml:space="preserve">§ 264b Befreiung der offenen Handelsgesellschaften und Kommanditgesellschaften im Sinne des § 264a von der Anwendung der Vorschriften dieses Abschnitts</w:t>
        </w:r>
      </w:hyperlink>
    </w:p>
    <w:p>
      <w:pPr>
        <w:pStyle w:val="Übersicht"/>
        <w:ind w:left="1361"/>
      </w:pPr>
      <w:hyperlink w:anchor="b268" w:history="1">
        <w:r>
          <w:rPr>
            <w:color w:val="0A3A8C"/>
            <w:u w:val="single"/>
          </w:rPr>
          <w:t xml:space="preserve">§ 264c Besondere Bestimmungen für offene Handelsgesellschaften und Kommanditgesellschaften im Sinne des § 264a</w:t>
        </w:r>
      </w:hyperlink>
    </w:p>
    <w:p>
      <w:pPr>
        <w:pStyle w:val="Übersicht"/>
        <w:ind w:left="1361"/>
      </w:pPr>
      <w:hyperlink w:anchor="b269" w:history="1">
        <w:r>
          <w:rPr>
            <w:color w:val="0A3A8C"/>
            <w:u w:val="single"/>
          </w:rPr>
          <w:t xml:space="preserve">§ 264d Kapitalmarktorientierte Kapitalgesellschaft</w:t>
        </w:r>
      </w:hyperlink>
    </w:p>
    <w:p>
      <w:pPr>
        <w:pStyle w:val="Übersicht"/>
        <w:ind w:left="1361"/>
      </w:pPr>
      <w:hyperlink w:anchor="b270" w:history="1">
        <w:r>
          <w:rPr>
            <w:color w:val="0A3A8C"/>
            <w:u w:val="single"/>
          </w:rPr>
          <w:t xml:space="preserve">§ 265 Allgemeine Grundsätze für die Gliederung</w:t>
        </w:r>
      </w:hyperlink>
    </w:p>
    <w:p>
      <w:pPr>
        <w:pStyle w:val="Übersicht"/>
        <w:ind w:left="1020"/>
      </w:pPr>
      <w:hyperlink w:anchor="b271" w:history="1">
        <w:r>
          <w:rPr>
            <w:b/>
            <w:color w:val="0A3A8C"/>
            <w:u w:val="single"/>
          </w:rPr>
          <w:t xml:space="preserve">Zweiter Titel Bilanz</w:t>
        </w:r>
      </w:hyperlink>
    </w:p>
    <w:p>
      <w:pPr>
        <w:pStyle w:val="Übersicht"/>
        <w:ind w:left="1361"/>
      </w:pPr>
      <w:hyperlink w:anchor="b272" w:history="1">
        <w:r>
          <w:rPr>
            <w:color w:val="0A3A8C"/>
            <w:u w:val="single"/>
          </w:rPr>
          <w:t xml:space="preserve">§ 266 Gliederung der Bilanz</w:t>
        </w:r>
      </w:hyperlink>
    </w:p>
    <w:p>
      <w:pPr>
        <w:pStyle w:val="Übersicht"/>
        <w:ind w:left="1361"/>
      </w:pPr>
      <w:hyperlink w:anchor="b273" w:history="1">
        <w:r>
          <w:rPr>
            <w:color w:val="0A3A8C"/>
            <w:u w:val="single"/>
          </w:rPr>
          <w:t xml:space="preserve">§ 267 Umschreibung der Größenklassen</w:t>
        </w:r>
      </w:hyperlink>
    </w:p>
    <w:p>
      <w:pPr>
        <w:pStyle w:val="Übersicht"/>
        <w:ind w:left="1361"/>
      </w:pPr>
      <w:hyperlink w:anchor="b274" w:history="1">
        <w:r>
          <w:rPr>
            <w:color w:val="0A3A8C"/>
            <w:u w:val="single"/>
          </w:rPr>
          <w:t xml:space="preserve">§ 267a Kleinstkapitalgesellschaften</w:t>
        </w:r>
      </w:hyperlink>
    </w:p>
    <w:p>
      <w:pPr>
        <w:pStyle w:val="Übersicht"/>
        <w:ind w:left="1361"/>
      </w:pPr>
      <w:hyperlink w:anchor="b275" w:history="1">
        <w:r>
          <w:rPr>
            <w:color w:val="0A3A8C"/>
            <w:u w:val="single"/>
          </w:rPr>
          <w:t xml:space="preserve">§ 268 Vorschriften zu einzelnen Posten der BilanzBilanzvermerke</w:t>
        </w:r>
      </w:hyperlink>
    </w:p>
    <w:p>
      <w:pPr>
        <w:pStyle w:val="Übersicht"/>
        <w:ind w:left="1361"/>
      </w:pPr>
      <w:hyperlink w:anchor="b276" w:history="1">
        <w:r>
          <w:rPr>
            <w:color w:val="0A3A8C"/>
            <w:u w:val="single"/>
          </w:rPr>
          <w:t xml:space="preserve">§ 269 (weggefallen)</w:t>
        </w:r>
      </w:hyperlink>
    </w:p>
    <w:p>
      <w:pPr>
        <w:pStyle w:val="Übersicht"/>
        <w:ind w:left="1361"/>
      </w:pPr>
      <w:hyperlink w:anchor="b277" w:history="1">
        <w:r>
          <w:rPr>
            <w:color w:val="0A3A8C"/>
            <w:u w:val="single"/>
          </w:rPr>
          <w:t xml:space="preserve">§ 270 Bildung bestimmter Posten</w:t>
        </w:r>
      </w:hyperlink>
    </w:p>
    <w:p>
      <w:pPr>
        <w:pStyle w:val="Übersicht"/>
        <w:ind w:left="1361"/>
      </w:pPr>
      <w:hyperlink w:anchor="b278" w:history="1">
        <w:r>
          <w:rPr>
            <w:color w:val="0A3A8C"/>
            <w:u w:val="single"/>
          </w:rPr>
          <w:t xml:space="preserve">§ 271 Beteiligungen. Verbundene Unternehmen</w:t>
        </w:r>
      </w:hyperlink>
    </w:p>
    <w:p>
      <w:pPr>
        <w:pStyle w:val="Übersicht"/>
        <w:ind w:left="1361"/>
      </w:pPr>
      <w:hyperlink w:anchor="b279" w:history="1">
        <w:r>
          <w:rPr>
            <w:color w:val="0A3A8C"/>
            <w:u w:val="single"/>
          </w:rPr>
          <w:t xml:space="preserve">§ 272 Eigenkapital</w:t>
        </w:r>
      </w:hyperlink>
    </w:p>
    <w:p>
      <w:pPr>
        <w:pStyle w:val="Übersicht"/>
        <w:ind w:left="1361"/>
      </w:pPr>
      <w:hyperlink w:anchor="b280" w:history="1">
        <w:r>
          <w:rPr>
            <w:color w:val="0A3A8C"/>
            <w:u w:val="single"/>
          </w:rPr>
          <w:t xml:space="preserve">§ 273 (weggefallen)</w:t>
        </w:r>
      </w:hyperlink>
    </w:p>
    <w:p>
      <w:pPr>
        <w:pStyle w:val="Übersicht"/>
        <w:ind w:left="1361"/>
      </w:pPr>
      <w:hyperlink w:anchor="b281" w:history="1">
        <w:r>
          <w:rPr>
            <w:color w:val="0A3A8C"/>
            <w:u w:val="single"/>
          </w:rPr>
          <w:t xml:space="preserve">§ 274 Latente Steuern</w:t>
        </w:r>
      </w:hyperlink>
    </w:p>
    <w:p>
      <w:pPr>
        <w:pStyle w:val="Übersicht"/>
        <w:ind w:left="1361"/>
      </w:pPr>
      <w:hyperlink w:anchor="b282" w:history="1">
        <w:r>
          <w:rPr>
            <w:color w:val="0A3A8C"/>
            <w:u w:val="single"/>
          </w:rPr>
          <w:t xml:space="preserve">§ 274a Größenabhängige Erleichterungen</w:t>
        </w:r>
      </w:hyperlink>
    </w:p>
    <w:p>
      <w:pPr>
        <w:pStyle w:val="Übersicht"/>
        <w:ind w:left="1020"/>
      </w:pPr>
      <w:hyperlink w:anchor="b283" w:history="1">
        <w:r>
          <w:rPr>
            <w:b/>
            <w:color w:val="0A3A8C"/>
            <w:u w:val="single"/>
          </w:rPr>
          <w:t xml:space="preserve">Dritter Titel Gewinn- und Verlustrechnung</w:t>
        </w:r>
      </w:hyperlink>
    </w:p>
    <w:p>
      <w:pPr>
        <w:pStyle w:val="Übersicht"/>
        <w:ind w:left="1361"/>
      </w:pPr>
      <w:hyperlink w:anchor="b284" w:history="1">
        <w:r>
          <w:rPr>
            <w:color w:val="0A3A8C"/>
            <w:u w:val="single"/>
          </w:rPr>
          <w:t xml:space="preserve">§ 275 Gliederung</w:t>
        </w:r>
      </w:hyperlink>
    </w:p>
    <w:p>
      <w:pPr>
        <w:pStyle w:val="Übersicht"/>
        <w:ind w:left="1361"/>
      </w:pPr>
      <w:hyperlink w:anchor="b285" w:history="1">
        <w:r>
          <w:rPr>
            <w:color w:val="0A3A8C"/>
            <w:u w:val="single"/>
          </w:rPr>
          <w:t xml:space="preserve">§ 276 Größenabhängige Erleichterungen</w:t>
        </w:r>
      </w:hyperlink>
    </w:p>
    <w:p>
      <w:pPr>
        <w:pStyle w:val="Übersicht"/>
        <w:ind w:left="1361"/>
      </w:pPr>
      <w:hyperlink w:anchor="b286" w:history="1">
        <w:r>
          <w:rPr>
            <w:color w:val="0A3A8C"/>
            <w:u w:val="single"/>
          </w:rPr>
          <w:t xml:space="preserve">§ 277 Vorschriften zu einzelnen Posten der Gewinn- und Verlustrechnung</w:t>
        </w:r>
      </w:hyperlink>
    </w:p>
    <w:p>
      <w:pPr>
        <w:pStyle w:val="Übersicht"/>
        <w:ind w:left="1361"/>
      </w:pPr>
      <w:hyperlink w:anchor="b287" w:history="1">
        <w:r>
          <w:rPr>
            <w:color w:val="0A3A8C"/>
            <w:u w:val="single"/>
          </w:rPr>
          <w:t xml:space="preserve">§ 278 (weggefallen)</w:t>
        </w:r>
      </w:hyperlink>
    </w:p>
    <w:p>
      <w:pPr>
        <w:pStyle w:val="Übersicht"/>
        <w:ind w:left="1020"/>
      </w:pPr>
      <w:hyperlink w:anchor="b288" w:history="1">
        <w:r>
          <w:rPr>
            <w:b/>
            <w:color w:val="0A3A8C"/>
            <w:u w:val="single"/>
          </w:rPr>
          <w:t xml:space="preserve">Vierter Titel (weggefallen)</w:t>
        </w:r>
      </w:hyperlink>
    </w:p>
    <w:p>
      <w:pPr>
        <w:pStyle w:val="Übersicht"/>
        <w:ind w:left="1361"/>
      </w:pPr>
      <w:hyperlink w:anchor="b289" w:history="1">
        <w:r>
          <w:rPr>
            <w:color w:val="0A3A8C"/>
            <w:u w:val="single"/>
          </w:rPr>
          <w:t xml:space="preserve">§§ 279 bis 283 (weggefallen)</w:t>
        </w:r>
      </w:hyperlink>
    </w:p>
    <w:p>
      <w:pPr>
        <w:pStyle w:val="Übersicht"/>
        <w:ind w:left="1020"/>
      </w:pPr>
      <w:hyperlink w:anchor="b290" w:history="1">
        <w:r>
          <w:rPr>
            <w:b/>
            <w:color w:val="0A3A8C"/>
            <w:u w:val="single"/>
          </w:rPr>
          <w:t xml:space="preserve">Fünfter Titel Anhang</w:t>
        </w:r>
      </w:hyperlink>
    </w:p>
    <w:p>
      <w:pPr>
        <w:pStyle w:val="Übersicht"/>
        <w:ind w:left="1361"/>
      </w:pPr>
      <w:hyperlink w:anchor="b291" w:history="1">
        <w:r>
          <w:rPr>
            <w:color w:val="0A3A8C"/>
            <w:u w:val="single"/>
          </w:rPr>
          <w:t xml:space="preserve">§ 284 Erläuterung der Bilanz und der Gewinn- und Verlustrechnung</w:t>
        </w:r>
      </w:hyperlink>
    </w:p>
    <w:p>
      <w:pPr>
        <w:pStyle w:val="Übersicht"/>
        <w:ind w:left="1361"/>
      </w:pPr>
      <w:hyperlink w:anchor="b292" w:history="1">
        <w:r>
          <w:rPr>
            <w:color w:val="0A3A8C"/>
            <w:u w:val="single"/>
          </w:rPr>
          <w:t xml:space="preserve">§ 285 Sonstige Pflichtangaben</w:t>
        </w:r>
      </w:hyperlink>
    </w:p>
    <w:p>
      <w:pPr>
        <w:pStyle w:val="Übersicht"/>
        <w:ind w:left="1361"/>
      </w:pPr>
      <w:hyperlink w:anchor="b293" w:history="1">
        <w:r>
          <w:rPr>
            <w:color w:val="0A3A8C"/>
            <w:u w:val="single"/>
          </w:rPr>
          <w:t xml:space="preserve">§ 286 Unterlassen von Angaben</w:t>
        </w:r>
      </w:hyperlink>
    </w:p>
    <w:p>
      <w:pPr>
        <w:pStyle w:val="Übersicht"/>
        <w:ind w:left="1361"/>
      </w:pPr>
      <w:hyperlink w:anchor="b294" w:history="1">
        <w:r>
          <w:rPr>
            <w:color w:val="0A3A8C"/>
            <w:u w:val="single"/>
          </w:rPr>
          <w:t xml:space="preserve">§ 287 (weggefallen)</w:t>
        </w:r>
      </w:hyperlink>
    </w:p>
    <w:p>
      <w:pPr>
        <w:pStyle w:val="Übersicht"/>
        <w:ind w:left="1361"/>
      </w:pPr>
      <w:hyperlink w:anchor="b295" w:history="1">
        <w:r>
          <w:rPr>
            <w:color w:val="0A3A8C"/>
            <w:u w:val="single"/>
          </w:rPr>
          <w:t xml:space="preserve">§ 288 Größenabhängige Erleichterungen</w:t>
        </w:r>
      </w:hyperlink>
    </w:p>
    <w:p>
      <w:pPr>
        <w:pStyle w:val="Übersicht"/>
        <w:ind w:left="1020"/>
      </w:pPr>
      <w:hyperlink w:anchor="b296" w:history="1">
        <w:r>
          <w:rPr>
            <w:b/>
            <w:color w:val="0A3A8C"/>
            <w:u w:val="single"/>
          </w:rPr>
          <w:t xml:space="preserve">Sechster Titel Lagebericht</w:t>
        </w:r>
      </w:hyperlink>
    </w:p>
    <w:p>
      <w:pPr>
        <w:pStyle w:val="Übersicht"/>
        <w:ind w:left="1361"/>
      </w:pPr>
      <w:hyperlink w:anchor="b297" w:history="1">
        <w:r>
          <w:rPr>
            <w:color w:val="0A3A8C"/>
            <w:u w:val="single"/>
          </w:rPr>
          <w:t xml:space="preserve">§ 289 Inhalt des Lageberichts</w:t>
        </w:r>
      </w:hyperlink>
    </w:p>
    <w:p>
      <w:pPr>
        <w:pStyle w:val="Übersicht"/>
        <w:ind w:left="1361"/>
      </w:pPr>
      <w:hyperlink w:anchor="b298" w:history="1">
        <w:r>
          <w:rPr>
            <w:color w:val="0A3A8C"/>
            <w:u w:val="single"/>
          </w:rPr>
          <w:t xml:space="preserve">§ 289a Ergänzende Vorgaben für bestimmte Aktiengesellschaften und Kommanditgesellschaften auf Aktien</w:t>
        </w:r>
      </w:hyperlink>
    </w:p>
    <w:p>
      <w:pPr>
        <w:pStyle w:val="Übersicht"/>
        <w:ind w:left="1361"/>
      </w:pPr>
      <w:hyperlink w:anchor="b299" w:history="1">
        <w:r>
          <w:rPr>
            <w:color w:val="0A3A8C"/>
            <w:u w:val="single"/>
          </w:rPr>
          <w:t xml:space="preserve">§ 289b Pflicht zur nichtfinanziellen Erklärung; Befreiungen</w:t>
        </w:r>
      </w:hyperlink>
    </w:p>
    <w:p>
      <w:pPr>
        <w:pStyle w:val="Übersicht"/>
        <w:ind w:left="1361"/>
      </w:pPr>
      <w:hyperlink w:anchor="b300" w:history="1">
        <w:r>
          <w:rPr>
            <w:color w:val="0A3A8C"/>
            <w:u w:val="single"/>
          </w:rPr>
          <w:t xml:space="preserve">§ 289c Inhalt der nichtfinanziellen Erklärung</w:t>
        </w:r>
      </w:hyperlink>
    </w:p>
    <w:p>
      <w:pPr>
        <w:pStyle w:val="Übersicht"/>
        <w:ind w:left="1361"/>
      </w:pPr>
      <w:hyperlink w:anchor="b301" w:history="1">
        <w:r>
          <w:rPr>
            <w:color w:val="0A3A8C"/>
            <w:u w:val="single"/>
          </w:rPr>
          <w:t xml:space="preserve">§ 289d Nutzung von Rahmenwerken</w:t>
        </w:r>
      </w:hyperlink>
    </w:p>
    <w:p>
      <w:pPr>
        <w:pStyle w:val="Übersicht"/>
        <w:ind w:left="1361"/>
      </w:pPr>
      <w:hyperlink w:anchor="b302" w:history="1">
        <w:r>
          <w:rPr>
            <w:color w:val="0A3A8C"/>
            <w:u w:val="single"/>
          </w:rPr>
          <w:t xml:space="preserve">§ 289e Weglassen nachteiliger Angaben</w:t>
        </w:r>
      </w:hyperlink>
    </w:p>
    <w:p>
      <w:pPr>
        <w:pStyle w:val="Übersicht"/>
        <w:ind w:left="1361"/>
      </w:pPr>
      <w:hyperlink w:anchor="b303" w:history="1">
        <w:r>
          <w:rPr>
            <w:color w:val="0A3A8C"/>
            <w:u w:val="single"/>
          </w:rPr>
          <w:t xml:space="preserve">§ 289f Erklärung zur Unternehmensführung</w:t>
        </w:r>
      </w:hyperlink>
    </w:p>
    <w:p>
      <w:pPr>
        <w:pStyle w:val="Übersicht"/>
        <w:ind w:left="680"/>
      </w:pPr>
      <w:hyperlink w:anchor="b304" w:history="1">
        <w:r>
          <w:rPr>
            <w:b/>
            <w:color w:val="0A3A8C"/>
            <w:u w:val="single"/>
          </w:rPr>
          <w:t xml:space="preserve">Zweiter Unterabschnitt Konzernabschluß
und Konzernlagebericht</w:t>
        </w:r>
      </w:hyperlink>
    </w:p>
    <w:p>
      <w:pPr>
        <w:pStyle w:val="Übersicht"/>
        <w:ind w:left="1020"/>
      </w:pPr>
      <w:hyperlink w:anchor="b305" w:history="1">
        <w:r>
          <w:rPr>
            <w:b/>
            <w:color w:val="0A3A8C"/>
            <w:u w:val="single"/>
          </w:rPr>
          <w:t xml:space="preserve">Erster Titel Anwendungsbereich</w:t>
        </w:r>
      </w:hyperlink>
    </w:p>
    <w:p>
      <w:pPr>
        <w:pStyle w:val="Übersicht"/>
        <w:ind w:left="1361"/>
      </w:pPr>
      <w:hyperlink w:anchor="b306" w:history="1">
        <w:r>
          <w:rPr>
            <w:color w:val="0A3A8C"/>
            <w:u w:val="single"/>
          </w:rPr>
          <w:t xml:space="preserve">§ 290 Pflicht zur Aufstellung</w:t>
        </w:r>
      </w:hyperlink>
    </w:p>
    <w:p>
      <w:pPr>
        <w:pStyle w:val="Übersicht"/>
        <w:ind w:left="1361"/>
      </w:pPr>
      <w:hyperlink w:anchor="b307" w:history="1">
        <w:r>
          <w:rPr>
            <w:color w:val="0A3A8C"/>
            <w:u w:val="single"/>
          </w:rPr>
          <w:t xml:space="preserve">§ 291 Befreiende Wirkung von EU/EWR-Konzernabschlüssen</w:t>
        </w:r>
      </w:hyperlink>
    </w:p>
    <w:p>
      <w:pPr>
        <w:pStyle w:val="Übersicht"/>
        <w:ind w:left="1361"/>
      </w:pPr>
      <w:hyperlink w:anchor="b308" w:history="1">
        <w:r>
          <w:rPr>
            <w:color w:val="0A3A8C"/>
            <w:u w:val="single"/>
          </w:rPr>
          <w:t xml:space="preserve">§ 292 Befreiende Wirkung von Konzernabschlüssen aus Drittstaaten</w:t>
        </w:r>
      </w:hyperlink>
    </w:p>
    <w:p>
      <w:pPr>
        <w:pStyle w:val="Übersicht"/>
        <w:ind w:left="1361"/>
      </w:pPr>
      <w:hyperlink w:anchor="b309" w:history="1">
        <w:r>
          <w:rPr>
            <w:color w:val="0A3A8C"/>
            <w:u w:val="single"/>
          </w:rPr>
          <w:t xml:space="preserve">§ 292a (weggefallen)</w:t>
        </w:r>
      </w:hyperlink>
    </w:p>
    <w:p>
      <w:pPr>
        <w:pStyle w:val="Übersicht"/>
        <w:ind w:left="1361"/>
      </w:pPr>
      <w:hyperlink w:anchor="b310" w:history="1">
        <w:r>
          <w:rPr>
            <w:color w:val="0A3A8C"/>
            <w:u w:val="single"/>
          </w:rPr>
          <w:t xml:space="preserve">§ 293 Größenabhängige Befreiungen</w:t>
        </w:r>
      </w:hyperlink>
    </w:p>
    <w:p>
      <w:pPr>
        <w:pStyle w:val="Übersicht"/>
        <w:ind w:left="1020"/>
      </w:pPr>
      <w:hyperlink w:anchor="b311" w:history="1">
        <w:r>
          <w:rPr>
            <w:b/>
            <w:color w:val="0A3A8C"/>
            <w:u w:val="single"/>
          </w:rPr>
          <w:t xml:space="preserve">Zweiter Titel Konsolidierungskreis</w:t>
        </w:r>
      </w:hyperlink>
    </w:p>
    <w:p>
      <w:pPr>
        <w:pStyle w:val="Übersicht"/>
        <w:ind w:left="1361"/>
      </w:pPr>
      <w:hyperlink w:anchor="b312" w:history="1">
        <w:r>
          <w:rPr>
            <w:color w:val="0A3A8C"/>
            <w:u w:val="single"/>
          </w:rPr>
          <w:t xml:space="preserve">§ 294 Einzubeziehende Unternehmen Vorlage- und Auskunftspflichten</w:t>
        </w:r>
      </w:hyperlink>
    </w:p>
    <w:p>
      <w:pPr>
        <w:pStyle w:val="Übersicht"/>
        <w:ind w:left="1361"/>
      </w:pPr>
      <w:hyperlink w:anchor="b313" w:history="1">
        <w:r>
          <w:rPr>
            <w:color w:val="0A3A8C"/>
            <w:u w:val="single"/>
          </w:rPr>
          <w:t xml:space="preserve">§ 295 (weggefallen)</w:t>
        </w:r>
      </w:hyperlink>
    </w:p>
    <w:p>
      <w:pPr>
        <w:pStyle w:val="Übersicht"/>
        <w:ind w:left="1361"/>
      </w:pPr>
      <w:hyperlink w:anchor="b314" w:history="1">
        <w:r>
          <w:rPr>
            <w:color w:val="0A3A8C"/>
            <w:u w:val="single"/>
          </w:rPr>
          <w:t xml:space="preserve">§ 296 Verzicht auf die Einbeziehung</w:t>
        </w:r>
      </w:hyperlink>
    </w:p>
    <w:p>
      <w:pPr>
        <w:pStyle w:val="Übersicht"/>
        <w:ind w:left="1020"/>
      </w:pPr>
      <w:hyperlink w:anchor="b315" w:history="1">
        <w:r>
          <w:rPr>
            <w:b/>
            <w:color w:val="0A3A8C"/>
            <w:u w:val="single"/>
          </w:rPr>
          <w:t xml:space="preserve">Dritter Titel Inhalt und Form des
Konzernabschlusses</w:t>
        </w:r>
      </w:hyperlink>
    </w:p>
    <w:p>
      <w:pPr>
        <w:pStyle w:val="Übersicht"/>
        <w:ind w:left="1361"/>
      </w:pPr>
      <w:hyperlink w:anchor="b316" w:history="1">
        <w:r>
          <w:rPr>
            <w:color w:val="0A3A8C"/>
            <w:u w:val="single"/>
          </w:rPr>
          <w:t xml:space="preserve">§ 297 Inhalt</w:t>
        </w:r>
      </w:hyperlink>
    </w:p>
    <w:p>
      <w:pPr>
        <w:pStyle w:val="Übersicht"/>
        <w:ind w:left="1361"/>
      </w:pPr>
      <w:hyperlink w:anchor="b317" w:history="1">
        <w:r>
          <w:rPr>
            <w:color w:val="0A3A8C"/>
            <w:u w:val="single"/>
          </w:rPr>
          <w:t xml:space="preserve">§ 298 Anzuwendende VorschriftenErleichterungen</w:t>
        </w:r>
      </w:hyperlink>
    </w:p>
    <w:p>
      <w:pPr>
        <w:pStyle w:val="Übersicht"/>
        <w:ind w:left="1361"/>
      </w:pPr>
      <w:hyperlink w:anchor="b318" w:history="1">
        <w:r>
          <w:rPr>
            <w:color w:val="0A3A8C"/>
            <w:u w:val="single"/>
          </w:rPr>
          <w:t xml:space="preserve">§ 299 Stichtag für die Aufstellung</w:t>
        </w:r>
      </w:hyperlink>
    </w:p>
    <w:p>
      <w:pPr>
        <w:pStyle w:val="Übersicht"/>
        <w:ind w:left="1020"/>
      </w:pPr>
      <w:hyperlink w:anchor="b319" w:history="1">
        <w:r>
          <w:rPr>
            <w:b/>
            <w:color w:val="0A3A8C"/>
            <w:u w:val="single"/>
          </w:rPr>
          <w:t xml:space="preserve">Vierter Titel Vollkonsolidierung</w:t>
        </w:r>
      </w:hyperlink>
    </w:p>
    <w:p>
      <w:pPr>
        <w:pStyle w:val="Übersicht"/>
        <w:ind w:left="1361"/>
      </w:pPr>
      <w:hyperlink w:anchor="b320" w:history="1">
        <w:r>
          <w:rPr>
            <w:color w:val="0A3A8C"/>
            <w:u w:val="single"/>
          </w:rPr>
          <w:t xml:space="preserve">§ 300 KonsolidierungsgrundsätzeVollständigkeitsgebot</w:t>
        </w:r>
      </w:hyperlink>
    </w:p>
    <w:p>
      <w:pPr>
        <w:pStyle w:val="Übersicht"/>
        <w:ind w:left="1361"/>
      </w:pPr>
      <w:hyperlink w:anchor="b321" w:history="1">
        <w:r>
          <w:rPr>
            <w:color w:val="0A3A8C"/>
            <w:u w:val="single"/>
          </w:rPr>
          <w:t xml:space="preserve">§ 301 Kapitalkonsolidierung</w:t>
        </w:r>
      </w:hyperlink>
    </w:p>
    <w:p>
      <w:pPr>
        <w:pStyle w:val="Übersicht"/>
        <w:ind w:left="1361"/>
      </w:pPr>
      <w:hyperlink w:anchor="b322" w:history="1">
        <w:r>
          <w:rPr>
            <w:color w:val="0A3A8C"/>
            <w:u w:val="single"/>
          </w:rPr>
          <w:t xml:space="preserve">§ 302 (weggefallen)</w:t>
        </w:r>
      </w:hyperlink>
    </w:p>
    <w:p>
      <w:pPr>
        <w:pStyle w:val="Übersicht"/>
        <w:ind w:left="1361"/>
      </w:pPr>
      <w:hyperlink w:anchor="b323" w:history="1">
        <w:r>
          <w:rPr>
            <w:color w:val="0A3A8C"/>
            <w:u w:val="single"/>
          </w:rPr>
          <w:t xml:space="preserve">§ 303 Schuldenkonsolidierung</w:t>
        </w:r>
      </w:hyperlink>
    </w:p>
    <w:p>
      <w:pPr>
        <w:pStyle w:val="Übersicht"/>
        <w:ind w:left="1361"/>
      </w:pPr>
      <w:hyperlink w:anchor="b324" w:history="1">
        <w:r>
          <w:rPr>
            <w:color w:val="0A3A8C"/>
            <w:u w:val="single"/>
          </w:rPr>
          <w:t xml:space="preserve">§ 304 Behandlung der Zwischenergebnisse</w:t>
        </w:r>
      </w:hyperlink>
    </w:p>
    <w:p>
      <w:pPr>
        <w:pStyle w:val="Übersicht"/>
        <w:ind w:left="1361"/>
      </w:pPr>
      <w:hyperlink w:anchor="b325" w:history="1">
        <w:r>
          <w:rPr>
            <w:color w:val="0A3A8C"/>
            <w:u w:val="single"/>
          </w:rPr>
          <w:t xml:space="preserve">§ 305 Aufwands- und Ertragskonsolidierung</w:t>
        </w:r>
      </w:hyperlink>
    </w:p>
    <w:p>
      <w:pPr>
        <w:pStyle w:val="Übersicht"/>
        <w:ind w:left="1361"/>
      </w:pPr>
      <w:hyperlink w:anchor="b326" w:history="1">
        <w:r>
          <w:rPr>
            <w:color w:val="0A3A8C"/>
            <w:u w:val="single"/>
          </w:rPr>
          <w:t xml:space="preserve">§ 306 Latente Steuern</w:t>
        </w:r>
      </w:hyperlink>
    </w:p>
    <w:p>
      <w:pPr>
        <w:pStyle w:val="Übersicht"/>
        <w:ind w:left="1361"/>
      </w:pPr>
      <w:hyperlink w:anchor="b327" w:history="1">
        <w:r>
          <w:rPr>
            <w:color w:val="0A3A8C"/>
            <w:u w:val="single"/>
          </w:rPr>
          <w:t xml:space="preserve">§ 307 Anteile anderer Gesellschafter</w:t>
        </w:r>
      </w:hyperlink>
    </w:p>
    <w:p>
      <w:pPr>
        <w:pStyle w:val="Übersicht"/>
        <w:ind w:left="1020"/>
      </w:pPr>
      <w:hyperlink w:anchor="b328" w:history="1">
        <w:r>
          <w:rPr>
            <w:b/>
            <w:color w:val="0A3A8C"/>
            <w:u w:val="single"/>
          </w:rPr>
          <w:t xml:space="preserve">Fünfter Titel Bewertungsvorschriften</w:t>
        </w:r>
      </w:hyperlink>
    </w:p>
    <w:p>
      <w:pPr>
        <w:pStyle w:val="Übersicht"/>
        <w:ind w:left="1361"/>
      </w:pPr>
      <w:hyperlink w:anchor="b329" w:history="1">
        <w:r>
          <w:rPr>
            <w:color w:val="0A3A8C"/>
            <w:u w:val="single"/>
          </w:rPr>
          <w:t xml:space="preserve">§ 308 Einheitliche Bewertung</w:t>
        </w:r>
      </w:hyperlink>
    </w:p>
    <w:p>
      <w:pPr>
        <w:pStyle w:val="Übersicht"/>
        <w:ind w:left="1361"/>
      </w:pPr>
      <w:hyperlink w:anchor="b330" w:history="1">
        <w:r>
          <w:rPr>
            <w:color w:val="0A3A8C"/>
            <w:u w:val="single"/>
          </w:rPr>
          <w:t xml:space="preserve">§ 308a Umrechnung von auf fremde Währung lautenden Abschlüssen</w:t>
        </w:r>
      </w:hyperlink>
    </w:p>
    <w:p>
      <w:pPr>
        <w:pStyle w:val="Übersicht"/>
        <w:ind w:left="1361"/>
      </w:pPr>
      <w:hyperlink w:anchor="b331" w:history="1">
        <w:r>
          <w:rPr>
            <w:color w:val="0A3A8C"/>
            <w:u w:val="single"/>
          </w:rPr>
          <w:t xml:space="preserve">§ 309 Behandlung des Unterschiedsbetrags</w:t>
        </w:r>
      </w:hyperlink>
    </w:p>
    <w:p>
      <w:pPr>
        <w:pStyle w:val="Übersicht"/>
        <w:ind w:left="1020"/>
      </w:pPr>
      <w:hyperlink w:anchor="b332" w:history="1">
        <w:r>
          <w:rPr>
            <w:b/>
            <w:color w:val="0A3A8C"/>
            <w:u w:val="single"/>
          </w:rPr>
          <w:t xml:space="preserve">Sechster Titel Anteilmäßige Konsolidierung</w:t>
        </w:r>
      </w:hyperlink>
    </w:p>
    <w:p>
      <w:pPr>
        <w:pStyle w:val="Übersicht"/>
        <w:ind w:left="1361"/>
      </w:pPr>
      <w:hyperlink w:anchor="b333" w:history="1">
        <w:r>
          <w:rPr>
            <w:color w:val="0A3A8C"/>
            <w:u w:val="single"/>
          </w:rPr>
          <w:t xml:space="preserve">§ 310 Anteilmäßige Konsolidierung</w:t>
        </w:r>
      </w:hyperlink>
    </w:p>
    <w:p>
      <w:pPr>
        <w:pStyle w:val="Übersicht"/>
        <w:ind w:left="1020"/>
      </w:pPr>
      <w:hyperlink w:anchor="b334" w:history="1">
        <w:r>
          <w:rPr>
            <w:b/>
            <w:color w:val="0A3A8C"/>
            <w:u w:val="single"/>
          </w:rPr>
          <w:t xml:space="preserve">Siebenter Titel Assoziierte Unternehmen</w:t>
        </w:r>
      </w:hyperlink>
    </w:p>
    <w:p>
      <w:pPr>
        <w:pStyle w:val="Übersicht"/>
        <w:ind w:left="1361"/>
      </w:pPr>
      <w:hyperlink w:anchor="b335" w:history="1">
        <w:r>
          <w:rPr>
            <w:color w:val="0A3A8C"/>
            <w:u w:val="single"/>
          </w:rPr>
          <w:t xml:space="preserve">§ 311 Definition. Befreiung</w:t>
        </w:r>
      </w:hyperlink>
    </w:p>
    <w:p>
      <w:pPr>
        <w:pStyle w:val="Übersicht"/>
        <w:ind w:left="1361"/>
      </w:pPr>
      <w:hyperlink w:anchor="b336" w:history="1">
        <w:r>
          <w:rPr>
            <w:color w:val="0A3A8C"/>
            <w:u w:val="single"/>
          </w:rPr>
          <w:t xml:space="preserve">§ 312 Wertansatz der Beteiligung und Behandlung des Unterschiedsbetrags</w:t>
        </w:r>
      </w:hyperlink>
    </w:p>
    <w:p>
      <w:pPr>
        <w:pStyle w:val="Übersicht"/>
        <w:ind w:left="1020"/>
      </w:pPr>
      <w:hyperlink w:anchor="b337" w:history="1">
        <w:r>
          <w:rPr>
            <w:b/>
            <w:color w:val="0A3A8C"/>
            <w:u w:val="single"/>
          </w:rPr>
          <w:t xml:space="preserve">Achter Titel Konzernanhang</w:t>
        </w:r>
      </w:hyperlink>
    </w:p>
    <w:p>
      <w:pPr>
        <w:pStyle w:val="Übersicht"/>
        <w:ind w:left="1361"/>
      </w:pPr>
      <w:hyperlink w:anchor="b338" w:history="1">
        <w:r>
          <w:rPr>
            <w:color w:val="0A3A8C"/>
            <w:u w:val="single"/>
          </w:rPr>
          <w:t xml:space="preserve">§ 313 Erläuterung der Konzernbilanz und der Konzern-Gewinn- und Verlustrechnung. Angaben zum Beteiligungsbesitz.</w:t>
        </w:r>
      </w:hyperlink>
    </w:p>
    <w:p>
      <w:pPr>
        <w:pStyle w:val="Übersicht"/>
        <w:ind w:left="1361"/>
      </w:pPr>
      <w:hyperlink w:anchor="b339" w:history="1">
        <w:r>
          <w:rPr>
            <w:color w:val="0A3A8C"/>
            <w:u w:val="single"/>
          </w:rPr>
          <w:t xml:space="preserve">§ 314 Sonstige Pflichtangaben</w:t>
        </w:r>
      </w:hyperlink>
    </w:p>
    <w:p>
      <w:pPr>
        <w:pStyle w:val="Übersicht"/>
        <w:ind w:left="1020"/>
      </w:pPr>
      <w:hyperlink w:anchor="b340" w:history="1">
        <w:r>
          <w:rPr>
            <w:b/>
            <w:color w:val="0A3A8C"/>
            <w:u w:val="single"/>
          </w:rPr>
          <w:t xml:space="preserve">Neunter Titel Konzernlagebericht</w:t>
        </w:r>
      </w:hyperlink>
    </w:p>
    <w:p>
      <w:pPr>
        <w:pStyle w:val="Übersicht"/>
        <w:ind w:left="1361"/>
      </w:pPr>
      <w:hyperlink w:anchor="b341" w:history="1">
        <w:r>
          <w:rPr>
            <w:color w:val="0A3A8C"/>
            <w:u w:val="single"/>
          </w:rPr>
          <w:t xml:space="preserve">§ 315 Inhalt des Konzernlageberichts</w:t>
        </w:r>
      </w:hyperlink>
    </w:p>
    <w:p>
      <w:pPr>
        <w:pStyle w:val="Übersicht"/>
        <w:ind w:left="1361"/>
      </w:pPr>
      <w:hyperlink w:anchor="b342" w:history="1">
        <w:r>
          <w:rPr>
            <w:color w:val="0A3A8C"/>
            <w:u w:val="single"/>
          </w:rPr>
          <w:t xml:space="preserve">§ 315a Ergänzende Vorschriften für bestimmte Aktiengesellschaften und Kommanditgesellschaften auf Aktien</w:t>
        </w:r>
      </w:hyperlink>
    </w:p>
    <w:p>
      <w:pPr>
        <w:pStyle w:val="Übersicht"/>
        <w:ind w:left="1361"/>
      </w:pPr>
      <w:hyperlink w:anchor="b343" w:history="1">
        <w:r>
          <w:rPr>
            <w:color w:val="0A3A8C"/>
            <w:u w:val="single"/>
          </w:rPr>
          <w:t xml:space="preserve">§ 315b Pflicht zur nichtfinanziellen Konzernerklärung; Befreiungen</w:t>
        </w:r>
      </w:hyperlink>
    </w:p>
    <w:p>
      <w:pPr>
        <w:pStyle w:val="Übersicht"/>
        <w:ind w:left="1361"/>
      </w:pPr>
      <w:hyperlink w:anchor="b344" w:history="1">
        <w:r>
          <w:rPr>
            <w:color w:val="0A3A8C"/>
            <w:u w:val="single"/>
          </w:rPr>
          <w:t xml:space="preserve">§ 315c Inhalt der nichtfinanziellen Konzernerklärung</w:t>
        </w:r>
      </w:hyperlink>
    </w:p>
    <w:p>
      <w:pPr>
        <w:pStyle w:val="Übersicht"/>
        <w:ind w:left="1361"/>
      </w:pPr>
      <w:hyperlink w:anchor="b345" w:history="1">
        <w:r>
          <w:rPr>
            <w:color w:val="0A3A8C"/>
            <w:u w:val="single"/>
          </w:rPr>
          <w:t xml:space="preserve">§ 315d Konzernerklärung zur Unternehmensführung</w:t>
        </w:r>
      </w:hyperlink>
    </w:p>
    <w:p>
      <w:pPr>
        <w:pStyle w:val="Übersicht"/>
        <w:ind w:left="1020"/>
      </w:pPr>
      <w:hyperlink w:anchor="b346" w:history="1">
        <w:r>
          <w:rPr>
            <w:b/>
            <w:color w:val="0A3A8C"/>
            <w:u w:val="single"/>
          </w:rPr>
          <w:t xml:space="preserve">Zehnter Titel Konzernabschluss nach
internationalen Rechnungslegungsstandards</w:t>
        </w:r>
      </w:hyperlink>
    </w:p>
    <w:p>
      <w:pPr>
        <w:pStyle w:val="Übersicht"/>
        <w:ind w:left="1361"/>
      </w:pPr>
      <w:hyperlink w:anchor="b347" w:history="1">
        <w:r>
          <w:rPr>
            <w:color w:val="0A3A8C"/>
            <w:u w:val="single"/>
          </w:rPr>
          <w:t xml:space="preserve">§ 315e</w:t>
        </w:r>
      </w:hyperlink>
    </w:p>
    <w:p>
      <w:pPr>
        <w:pStyle w:val="Übersicht"/>
        <w:ind w:left="680"/>
      </w:pPr>
      <w:hyperlink w:anchor="b348" w:history="1">
        <w:r>
          <w:rPr>
            <w:b/>
            <w:color w:val="0A3A8C"/>
            <w:u w:val="single"/>
          </w:rPr>
          <w:t xml:space="preserve">Dritter Unterabschnitt Prüfung</w:t>
        </w:r>
      </w:hyperlink>
    </w:p>
    <w:p>
      <w:pPr>
        <w:pStyle w:val="Übersicht"/>
        <w:ind w:left="1020"/>
      </w:pPr>
      <w:hyperlink w:anchor="b349" w:history="1">
        <w:r>
          <w:rPr>
            <w:color w:val="0A3A8C"/>
            <w:u w:val="single"/>
          </w:rPr>
          <w:t xml:space="preserve">§ 316 Pflicht zur Prüfung</w:t>
        </w:r>
      </w:hyperlink>
    </w:p>
    <w:p>
      <w:pPr>
        <w:pStyle w:val="Übersicht"/>
        <w:ind w:left="1020"/>
      </w:pPr>
      <w:hyperlink w:anchor="b350" w:history="1">
        <w:r>
          <w:rPr>
            <w:color w:val="0A3A8C"/>
            <w:u w:val="single"/>
          </w:rPr>
          <w:t xml:space="preserve">§ 316a Abschlussprüfung bei Unternehmen von öffentlichem Interesse</w:t>
        </w:r>
      </w:hyperlink>
    </w:p>
    <w:p>
      <w:pPr>
        <w:pStyle w:val="Übersicht"/>
        <w:ind w:left="1020"/>
      </w:pPr>
      <w:hyperlink w:anchor="b351" w:history="1">
        <w:r>
          <w:rPr>
            <w:color w:val="0A3A8C"/>
            <w:u w:val="single"/>
          </w:rPr>
          <w:t xml:space="preserve">§ 317 Gegenstand und Umfang der Prüfung</w:t>
        </w:r>
      </w:hyperlink>
    </w:p>
    <w:p>
      <w:pPr>
        <w:pStyle w:val="Übersicht"/>
        <w:ind w:left="1020"/>
      </w:pPr>
      <w:hyperlink w:anchor="b352" w:history="1">
        <w:r>
          <w:rPr>
            <w:color w:val="0A3A8C"/>
            <w:u w:val="single"/>
          </w:rPr>
          <w:t xml:space="preserve">§ 318 Bestellung und Abberufung des Abschlußprüfers</w:t>
        </w:r>
      </w:hyperlink>
    </w:p>
    <w:p>
      <w:pPr>
        <w:pStyle w:val="Übersicht"/>
        <w:ind w:left="1020"/>
      </w:pPr>
      <w:hyperlink w:anchor="b353" w:history="1">
        <w:r>
          <w:rPr>
            <w:color w:val="0A3A8C"/>
            <w:u w:val="single"/>
          </w:rPr>
          <w:t xml:space="preserve">§ 319 Auswahl der Abschlussprüfer und Ausschlussgründe</w:t>
        </w:r>
      </w:hyperlink>
    </w:p>
    <w:p>
      <w:pPr>
        <w:pStyle w:val="Übersicht"/>
        <w:ind w:left="1020"/>
      </w:pPr>
      <w:hyperlink w:anchor="b354" w:history="1">
        <w:r>
          <w:rPr>
            <w:color w:val="0A3A8C"/>
            <w:u w:val="single"/>
          </w:rPr>
          <w:t xml:space="preserve">§ 319a (weggefallen)</w:t>
        </w:r>
      </w:hyperlink>
    </w:p>
    <w:p>
      <w:pPr>
        <w:pStyle w:val="Übersicht"/>
        <w:ind w:left="1020"/>
      </w:pPr>
      <w:hyperlink w:anchor="b355" w:history="1">
        <w:r>
          <w:rPr>
            <w:color w:val="0A3A8C"/>
            <w:u w:val="single"/>
          </w:rPr>
          <w:t xml:space="preserve">§ 319b Netzwerk</w:t>
        </w:r>
      </w:hyperlink>
    </w:p>
    <w:p>
      <w:pPr>
        <w:pStyle w:val="Übersicht"/>
        <w:ind w:left="1020"/>
      </w:pPr>
      <w:hyperlink w:anchor="b356" w:history="1">
        <w:r>
          <w:rPr>
            <w:color w:val="0A3A8C"/>
            <w:u w:val="single"/>
          </w:rPr>
          <w:t xml:space="preserve">§ 320 Vorlagepflicht. Auskunftsrecht</w:t>
        </w:r>
      </w:hyperlink>
    </w:p>
    <w:p>
      <w:pPr>
        <w:pStyle w:val="Übersicht"/>
        <w:ind w:left="1020"/>
      </w:pPr>
      <w:hyperlink w:anchor="b357" w:history="1">
        <w:r>
          <w:rPr>
            <w:color w:val="0A3A8C"/>
            <w:u w:val="single"/>
          </w:rPr>
          <w:t xml:space="preserve">§ 321 Prüfungsbericht</w:t>
        </w:r>
      </w:hyperlink>
    </w:p>
    <w:p>
      <w:pPr>
        <w:pStyle w:val="Übersicht"/>
        <w:ind w:left="1020"/>
      </w:pPr>
      <w:hyperlink w:anchor="b358" w:history="1">
        <w:r>
          <w:rPr>
            <w:color w:val="0A3A8C"/>
            <w:u w:val="single"/>
          </w:rPr>
          <w:t xml:space="preserve">§ 321a Offenlegung des Prüfungsberichts in besonderen Fällen</w:t>
        </w:r>
      </w:hyperlink>
    </w:p>
    <w:p>
      <w:pPr>
        <w:pStyle w:val="Übersicht"/>
        <w:ind w:left="1020"/>
      </w:pPr>
      <w:hyperlink w:anchor="b359" w:history="1">
        <w:r>
          <w:rPr>
            <w:color w:val="0A3A8C"/>
            <w:u w:val="single"/>
          </w:rPr>
          <w:t xml:space="preserve">§ 322 Bestätigungsvermerk</w:t>
        </w:r>
      </w:hyperlink>
    </w:p>
    <w:p>
      <w:pPr>
        <w:pStyle w:val="Übersicht"/>
        <w:ind w:left="1020"/>
      </w:pPr>
      <w:hyperlink w:anchor="b360" w:history="1">
        <w:r>
          <w:rPr>
            <w:color w:val="0A3A8C"/>
            <w:u w:val="single"/>
          </w:rPr>
          <w:t xml:space="preserve">§ 323 Verantwortlichkeit des Abschlußprüfers</w:t>
        </w:r>
      </w:hyperlink>
    </w:p>
    <w:p>
      <w:pPr>
        <w:pStyle w:val="Übersicht"/>
        <w:ind w:left="1020"/>
      </w:pPr>
      <w:hyperlink w:anchor="b361" w:history="1">
        <w:r>
          <w:rPr>
            <w:color w:val="0A3A8C"/>
            <w:u w:val="single"/>
          </w:rPr>
          <w:t xml:space="preserve">§ 324 Prüfungsausschuss</w:t>
        </w:r>
      </w:hyperlink>
    </w:p>
    <w:p>
      <w:pPr>
        <w:pStyle w:val="Übersicht"/>
        <w:ind w:left="1020"/>
      </w:pPr>
      <w:hyperlink w:anchor="b362" w:history="1">
        <w:r>
          <w:rPr>
            <w:color w:val="0A3A8C"/>
            <w:u w:val="single"/>
          </w:rPr>
          <w:t xml:space="preserve">§ 324a Anwendung auf den Einzelabschluss nach § 325 Abs. 2a</w:t>
        </w:r>
      </w:hyperlink>
    </w:p>
    <w:p>
      <w:pPr>
        <w:pStyle w:val="Übersicht"/>
        <w:ind w:left="680"/>
      </w:pPr>
      <w:hyperlink w:anchor="b363" w:history="1">
        <w:r>
          <w:rPr>
            <w:b/>
            <w:color w:val="0A3A8C"/>
            <w:u w:val="single"/>
          </w:rPr>
          <w:t xml:space="preserve">Vierter Unterabschnitt Offenlegung. Prüfung durch die das Unternehmensregister führende Stelle</w:t>
        </w:r>
      </w:hyperlink>
    </w:p>
    <w:p>
      <w:pPr>
        <w:pStyle w:val="Übersicht"/>
        <w:ind w:left="1020"/>
      </w:pPr>
      <w:hyperlink w:anchor="b364" w:history="1">
        <w:r>
          <w:rPr>
            <w:color w:val="0A3A8C"/>
            <w:u w:val="single"/>
          </w:rPr>
          <w:t xml:space="preserve">§ 325 Offenlegung</w:t>
        </w:r>
      </w:hyperlink>
    </w:p>
    <w:p>
      <w:pPr>
        <w:pStyle w:val="Übersicht"/>
        <w:ind w:left="1020"/>
      </w:pPr>
      <w:hyperlink w:anchor="b365" w:history="1">
        <w:r>
          <w:rPr>
            <w:color w:val="0A3A8C"/>
            <w:u w:val="single"/>
          </w:rPr>
          <w:t xml:space="preserve">§ 325a Zweigniederlassungen von Kapitalgesellschaften mit Sitz im Ausland</w:t>
        </w:r>
      </w:hyperlink>
    </w:p>
    <w:p>
      <w:pPr>
        <w:pStyle w:val="Übersicht"/>
        <w:ind w:left="1020"/>
      </w:pPr>
      <w:hyperlink w:anchor="b366" w:history="1">
        <w:r>
          <w:rPr>
            <w:color w:val="0A3A8C"/>
            <w:u w:val="single"/>
          </w:rPr>
          <w:t xml:space="preserve">§ 326 Größenabhängige Erleichterungen für kleine Kapitalgesellschaften und Kleinstkapitalgesellschaften bei der Offenlegung</w:t>
        </w:r>
      </w:hyperlink>
    </w:p>
    <w:p>
      <w:pPr>
        <w:pStyle w:val="Übersicht"/>
        <w:ind w:left="1020"/>
      </w:pPr>
      <w:hyperlink w:anchor="b367" w:history="1">
        <w:r>
          <w:rPr>
            <w:color w:val="0A3A8C"/>
            <w:u w:val="single"/>
          </w:rPr>
          <w:t xml:space="preserve">§ 327 Größenabhängige Erleichterungen für mittelgroße Kapitalgesellschaften bei der Offenlegung</w:t>
        </w:r>
      </w:hyperlink>
    </w:p>
    <w:p>
      <w:pPr>
        <w:pStyle w:val="Übersicht"/>
        <w:ind w:left="1020"/>
      </w:pPr>
      <w:hyperlink w:anchor="b368" w:history="1">
        <w:r>
          <w:rPr>
            <w:color w:val="0A3A8C"/>
            <w:u w:val="single"/>
          </w:rPr>
          <w:t xml:space="preserve">§ 327a Erleichterung für bestimmte kapitalmarktorientierte Kapitalgesellschaften</w:t>
        </w:r>
      </w:hyperlink>
    </w:p>
    <w:p>
      <w:pPr>
        <w:pStyle w:val="Übersicht"/>
        <w:ind w:left="1020"/>
      </w:pPr>
      <w:hyperlink w:anchor="b369" w:history="1">
        <w:r>
          <w:rPr>
            <w:color w:val="0A3A8C"/>
            <w:u w:val="single"/>
          </w:rPr>
          <w:t xml:space="preserve">§ 328 Form, Format und Inhalt der Unterlagen bei der Offenlegung, Veröffentlichung und Vervielfältigung</w:t>
        </w:r>
      </w:hyperlink>
    </w:p>
    <w:p>
      <w:pPr>
        <w:pStyle w:val="Übersicht"/>
        <w:ind w:left="1020"/>
      </w:pPr>
      <w:hyperlink w:anchor="b370" w:history="1">
        <w:r>
          <w:rPr>
            <w:color w:val="0A3A8C"/>
            <w:u w:val="single"/>
          </w:rPr>
          <w:t xml:space="preserve">§ 329 Prüfungs- und Unterrichtungspflicht der das Unternehmensregister führenden Stelle</w:t>
        </w:r>
      </w:hyperlink>
    </w:p>
    <w:p>
      <w:pPr>
        <w:pStyle w:val="Übersicht"/>
        <w:ind w:left="680"/>
      </w:pPr>
      <w:hyperlink w:anchor="b371" w:history="1">
        <w:r>
          <w:rPr>
            <w:b/>
            <w:color w:val="0A3A8C"/>
            <w:u w:val="single"/>
          </w:rPr>
          <w:t xml:space="preserve">Fünfter Unterabschnitt Verordnungsermächtigung für Formblätter und andere Vorschriften</w:t>
        </w:r>
      </w:hyperlink>
    </w:p>
    <w:p>
      <w:pPr>
        <w:pStyle w:val="Übersicht"/>
        <w:ind w:left="1020"/>
      </w:pPr>
      <w:hyperlink w:anchor="b372" w:history="1">
        <w:r>
          <w:rPr>
            <w:color w:val="0A3A8C"/>
            <w:u w:val="single"/>
          </w:rPr>
          <w:t xml:space="preserve">§ 330</w:t>
        </w:r>
      </w:hyperlink>
    </w:p>
    <w:p>
      <w:pPr>
        <w:pStyle w:val="Übersicht"/>
        <w:ind w:left="680"/>
      </w:pPr>
      <w:hyperlink w:anchor="b373" w:history="1">
        <w:r>
          <w:rPr>
            <w:b/>
            <w:color w:val="0A3A8C"/>
            <w:u w:val="single"/>
          </w:rPr>
          <w:t xml:space="preserve">Sechster Unterabschnitt Straf- und BußgeldvorschriftenOrdnungsgelder</w:t>
        </w:r>
      </w:hyperlink>
    </w:p>
    <w:p>
      <w:pPr>
        <w:pStyle w:val="Übersicht"/>
        <w:ind w:left="1020"/>
      </w:pPr>
      <w:hyperlink w:anchor="b374" w:history="1">
        <w:r>
          <w:rPr>
            <w:b/>
            <w:color w:val="0A3A8C"/>
            <w:u w:val="single"/>
          </w:rPr>
          <w:t xml:space="preserve">Erster Titel Straf- und Bußgeldvorschriften</w:t>
        </w:r>
      </w:hyperlink>
    </w:p>
    <w:p>
      <w:pPr>
        <w:pStyle w:val="Übersicht"/>
        <w:ind w:left="1361"/>
      </w:pPr>
      <w:hyperlink w:anchor="b375" w:history="1">
        <w:r>
          <w:rPr>
            <w:color w:val="0A3A8C"/>
            <w:u w:val="single"/>
          </w:rPr>
          <w:t xml:space="preserve">§ 331 Unrichtige Darstellung</w:t>
        </w:r>
      </w:hyperlink>
    </w:p>
    <w:p>
      <w:pPr>
        <w:pStyle w:val="Übersicht"/>
        <w:ind w:left="1361"/>
      </w:pPr>
      <w:hyperlink w:anchor="b376" w:history="1">
        <w:r>
          <w:rPr>
            <w:color w:val="0A3A8C"/>
            <w:u w:val="single"/>
          </w:rPr>
          <w:t xml:space="preserve">§ 331a Unrichtige Versicherung</w:t>
        </w:r>
      </w:hyperlink>
    </w:p>
    <w:p>
      <w:pPr>
        <w:pStyle w:val="Übersicht"/>
        <w:ind w:left="1361"/>
      </w:pPr>
      <w:hyperlink w:anchor="b377" w:history="1">
        <w:r>
          <w:rPr>
            <w:color w:val="0A3A8C"/>
            <w:u w:val="single"/>
          </w:rPr>
          <w:t xml:space="preserve">§ 332 Verletzung der Berichtspflicht</w:t>
        </w:r>
      </w:hyperlink>
    </w:p>
    <w:p>
      <w:pPr>
        <w:pStyle w:val="Übersicht"/>
        <w:ind w:left="1361"/>
      </w:pPr>
      <w:hyperlink w:anchor="b378" w:history="1">
        <w:r>
          <w:rPr>
            <w:color w:val="0A3A8C"/>
            <w:u w:val="single"/>
          </w:rPr>
          <w:t xml:space="preserve">§ 333 Verletzung der Geheimhaltungspflicht</w:t>
        </w:r>
      </w:hyperlink>
    </w:p>
    <w:p>
      <w:pPr>
        <w:pStyle w:val="Übersicht"/>
        <w:ind w:left="1361"/>
      </w:pPr>
      <w:hyperlink w:anchor="b379" w:history="1">
        <w:r>
          <w:rPr>
            <w:color w:val="0A3A8C"/>
            <w:u w:val="single"/>
          </w:rPr>
          <w:t xml:space="preserve">§ 333a Verletzung der Pflichten bei Abschlussprüfungen</w:t>
        </w:r>
      </w:hyperlink>
    </w:p>
    <w:p>
      <w:pPr>
        <w:pStyle w:val="Übersicht"/>
        <w:ind w:left="1361"/>
      </w:pPr>
      <w:hyperlink w:anchor="b380" w:history="1">
        <w:r>
          <w:rPr>
            <w:color w:val="0A3A8C"/>
            <w:u w:val="single"/>
          </w:rPr>
          <w:t xml:space="preserve">§ 334 Bußgeldvorschriften</w:t>
        </w:r>
      </w:hyperlink>
    </w:p>
    <w:p>
      <w:pPr>
        <w:pStyle w:val="Übersicht"/>
        <w:ind w:left="1020"/>
      </w:pPr>
      <w:hyperlink w:anchor="b381" w:history="1">
        <w:r>
          <w:rPr>
            <w:b/>
            <w:color w:val="0A3A8C"/>
            <w:u w:val="single"/>
          </w:rPr>
          <w:t xml:space="preserve">Zweiter Titel Ordnungsgelder</w:t>
        </w:r>
      </w:hyperlink>
    </w:p>
    <w:p>
      <w:pPr>
        <w:pStyle w:val="Übersicht"/>
        <w:ind w:left="1361"/>
      </w:pPr>
      <w:hyperlink w:anchor="b382" w:history="1">
        <w:r>
          <w:rPr>
            <w:color w:val="0A3A8C"/>
            <w:u w:val="single"/>
          </w:rPr>
          <w:t xml:space="preserve">§ 335 Festsetzung von Ordnungsgeld; Verordnungsermächtigungen</w:t>
        </w:r>
      </w:hyperlink>
    </w:p>
    <w:p>
      <w:pPr>
        <w:pStyle w:val="Übersicht"/>
        <w:ind w:left="1361"/>
      </w:pPr>
      <w:hyperlink w:anchor="b383" w:history="1">
        <w:r>
          <w:rPr>
            <w:color w:val="0A3A8C"/>
            <w:u w:val="single"/>
          </w:rPr>
          <w:t xml:space="preserve">§ 335a Beschwerde gegen die Festsetzung von Ordnungsgeld; Rechtsbeschwerde; Verordnungsermächtigung</w:t>
        </w:r>
      </w:hyperlink>
    </w:p>
    <w:p>
      <w:pPr>
        <w:pStyle w:val="Übersicht"/>
        <w:ind w:left="1020"/>
      </w:pPr>
      <w:hyperlink w:anchor="b384" w:history="1">
        <w:r>
          <w:rPr>
            <w:b/>
            <w:color w:val="0A3A8C"/>
            <w:u w:val="single"/>
          </w:rPr>
          <w:t xml:space="preserve">Dritter Titel Gemeinsame Vorschriften für Straf-, Bußgeld- und Ordnungsgeldverfahren</w:t>
        </w:r>
      </w:hyperlink>
    </w:p>
    <w:p>
      <w:pPr>
        <w:pStyle w:val="Übersicht"/>
        <w:ind w:left="1361"/>
      </w:pPr>
      <w:hyperlink w:anchor="b385" w:history="1">
        <w:r>
          <w:rPr>
            <w:color w:val="0A3A8C"/>
            <w:u w:val="single"/>
          </w:rPr>
          <w:t xml:space="preserve">§ 335b Anwendung der Straf- und Bußgeld- sowie der Ordnungsgeldvorschriften auf bestimmte offene Handelsgesellschaften und Kommanditgesellschaften</w:t>
        </w:r>
      </w:hyperlink>
    </w:p>
    <w:p>
      <w:pPr>
        <w:pStyle w:val="Übersicht"/>
        <w:ind w:left="1361"/>
      </w:pPr>
      <w:hyperlink w:anchor="b386" w:history="1">
        <w:r>
          <w:rPr>
            <w:color w:val="0A3A8C"/>
            <w:u w:val="single"/>
          </w:rPr>
          <w:t xml:space="preserve">§ 335c Mitteilungen an die Abschlussprüferaufsichtsstelle</w:t>
        </w:r>
      </w:hyperlink>
    </w:p>
    <w:p>
      <w:pPr>
        <w:pStyle w:val="Übersicht"/>
        <w:ind w:left="340"/>
      </w:pPr>
      <w:hyperlink w:anchor="b387" w:history="1">
        <w:r>
          <w:rPr>
            <w:b/>
            <w:color w:val="0A3A8C"/>
            <w:u w:val="single"/>
          </w:rPr>
          <w:t xml:space="preserve">Dritter Abschnitt Ergänzende Vorschriften
für eingetragene Genossenschaften</w:t>
        </w:r>
      </w:hyperlink>
    </w:p>
    <w:p>
      <w:pPr>
        <w:pStyle w:val="Übersicht"/>
        <w:ind w:left="680"/>
      </w:pPr>
      <w:hyperlink w:anchor="b388" w:history="1">
        <w:r>
          <w:rPr>
            <w:color w:val="0A3A8C"/>
            <w:u w:val="single"/>
          </w:rPr>
          <w:t xml:space="preserve">§ 336 Pflicht zur Aufstellung von Jahresabschluß und Lagebericht</w:t>
        </w:r>
      </w:hyperlink>
    </w:p>
    <w:p>
      <w:pPr>
        <w:pStyle w:val="Übersicht"/>
        <w:ind w:left="680"/>
      </w:pPr>
      <w:hyperlink w:anchor="b389" w:history="1">
        <w:r>
          <w:rPr>
            <w:color w:val="0A3A8C"/>
            <w:u w:val="single"/>
          </w:rPr>
          <w:t xml:space="preserve">§ 337 Vorschriften zur Bilanz</w:t>
        </w:r>
      </w:hyperlink>
    </w:p>
    <w:p>
      <w:pPr>
        <w:pStyle w:val="Übersicht"/>
        <w:ind w:left="680"/>
      </w:pPr>
      <w:hyperlink w:anchor="b390" w:history="1">
        <w:r>
          <w:rPr>
            <w:color w:val="0A3A8C"/>
            <w:u w:val="single"/>
          </w:rPr>
          <w:t xml:space="preserve">§ 338 Vorschriften zum Anhang</w:t>
        </w:r>
      </w:hyperlink>
    </w:p>
    <w:p>
      <w:pPr>
        <w:pStyle w:val="Übersicht"/>
        <w:ind w:left="680"/>
      </w:pPr>
      <w:hyperlink w:anchor="b391" w:history="1">
        <w:r>
          <w:rPr>
            <w:color w:val="0A3A8C"/>
            <w:u w:val="single"/>
          </w:rPr>
          <w:t xml:space="preserve">§ 339 Offenlegung</w:t>
        </w:r>
      </w:hyperlink>
    </w:p>
    <w:p>
      <w:pPr>
        <w:pStyle w:val="Übersicht"/>
        <w:ind w:left="340"/>
      </w:pPr>
      <w:hyperlink w:anchor="b392" w:history="1">
        <w:r>
          <w:rPr>
            <w:b/>
            <w:color w:val="0A3A8C"/>
            <w:u w:val="single"/>
          </w:rPr>
          <w:t xml:space="preserve">Vierter Abschnitt Ergänzende Vorschriften für bestimmte Unternehmen</w:t>
        </w:r>
      </w:hyperlink>
    </w:p>
    <w:p>
      <w:pPr>
        <w:pStyle w:val="Übersicht"/>
        <w:ind w:left="680"/>
      </w:pPr>
      <w:hyperlink w:anchor="b393" w:history="1">
        <w:r>
          <w:rPr>
            <w:b/>
            <w:color w:val="0A3A8C"/>
            <w:u w:val="single"/>
          </w:rPr>
          <w:t xml:space="preserve">Erster Unterabschnitt Ergänzende Vorschriften für Kreditinstitute, Finanzdienstleistungsinstitute, Wertpapierinstitute, Zahlungsinstitute und E-Geld-Institute</w:t>
        </w:r>
      </w:hyperlink>
    </w:p>
    <w:p>
      <w:pPr>
        <w:pStyle w:val="Übersicht"/>
        <w:ind w:left="1020"/>
      </w:pPr>
      <w:hyperlink w:anchor="b394" w:history="1">
        <w:r>
          <w:rPr>
            <w:b/>
            <w:color w:val="0A3A8C"/>
            <w:u w:val="single"/>
          </w:rPr>
          <w:t xml:space="preserve">Erster Titel Anwendungsbereich</w:t>
        </w:r>
      </w:hyperlink>
    </w:p>
    <w:p>
      <w:pPr>
        <w:pStyle w:val="Übersicht"/>
        <w:ind w:left="1361"/>
      </w:pPr>
      <w:hyperlink w:anchor="b395" w:history="1">
        <w:r>
          <w:rPr>
            <w:color w:val="0A3A8C"/>
            <w:u w:val="single"/>
          </w:rPr>
          <w:t xml:space="preserve">§ 340</w:t>
        </w:r>
      </w:hyperlink>
    </w:p>
    <w:p>
      <w:pPr>
        <w:pStyle w:val="Übersicht"/>
        <w:ind w:left="1020"/>
      </w:pPr>
      <w:hyperlink w:anchor="b396" w:history="1">
        <w:r>
          <w:rPr>
            <w:b/>
            <w:color w:val="0A3A8C"/>
            <w:u w:val="single"/>
          </w:rPr>
          <w:t xml:space="preserve">Zweiter Titel Jahresabschluß, Lagebericht,
Zwischenabschluß</w:t>
        </w:r>
      </w:hyperlink>
    </w:p>
    <w:p>
      <w:pPr>
        <w:pStyle w:val="Übersicht"/>
        <w:ind w:left="1361"/>
      </w:pPr>
      <w:hyperlink w:anchor="b397" w:history="1">
        <w:r>
          <w:rPr>
            <w:color w:val="0A3A8C"/>
            <w:u w:val="single"/>
          </w:rPr>
          <w:t xml:space="preserve">§ 340a Anzuwendende Vorschriften</w:t>
        </w:r>
      </w:hyperlink>
    </w:p>
    <w:p>
      <w:pPr>
        <w:pStyle w:val="Übersicht"/>
        <w:ind w:left="1361"/>
      </w:pPr>
      <w:hyperlink w:anchor="b398" w:history="1">
        <w:r>
          <w:rPr>
            <w:color w:val="0A3A8C"/>
            <w:u w:val="single"/>
          </w:rPr>
          <w:t xml:space="preserve">§ 340b Pensionsgeschäfte</w:t>
        </w:r>
      </w:hyperlink>
    </w:p>
    <w:p>
      <w:pPr>
        <w:pStyle w:val="Übersicht"/>
        <w:ind w:left="1361"/>
      </w:pPr>
      <w:hyperlink w:anchor="b399" w:history="1">
        <w:r>
          <w:rPr>
            <w:color w:val="0A3A8C"/>
            <w:u w:val="single"/>
          </w:rPr>
          <w:t xml:space="preserve">§ 340c Vorschriften zur Gewinn- und Verlustrechnung und zum Anhang</w:t>
        </w:r>
      </w:hyperlink>
    </w:p>
    <w:p>
      <w:pPr>
        <w:pStyle w:val="Übersicht"/>
        <w:ind w:left="1361"/>
      </w:pPr>
      <w:hyperlink w:anchor="b400" w:history="1">
        <w:r>
          <w:rPr>
            <w:color w:val="0A3A8C"/>
            <w:u w:val="single"/>
          </w:rPr>
          <w:t xml:space="preserve">§ 340d Fristengliederung</w:t>
        </w:r>
      </w:hyperlink>
    </w:p>
    <w:p>
      <w:pPr>
        <w:pStyle w:val="Übersicht"/>
        <w:ind w:left="1020"/>
      </w:pPr>
      <w:hyperlink w:anchor="b401" w:history="1">
        <w:r>
          <w:rPr>
            <w:b/>
            <w:color w:val="0A3A8C"/>
            <w:u w:val="single"/>
          </w:rPr>
          <w:t xml:space="preserve">Dritter Titel Bewertungsvorschriften</w:t>
        </w:r>
      </w:hyperlink>
    </w:p>
    <w:p>
      <w:pPr>
        <w:pStyle w:val="Übersicht"/>
        <w:ind w:left="1361"/>
      </w:pPr>
      <w:hyperlink w:anchor="b402" w:history="1">
        <w:r>
          <w:rPr>
            <w:color w:val="0A3A8C"/>
            <w:u w:val="single"/>
          </w:rPr>
          <w:t xml:space="preserve">§ 340e Bewertung von Vermögensgegenständen</w:t>
        </w:r>
      </w:hyperlink>
    </w:p>
    <w:p>
      <w:pPr>
        <w:pStyle w:val="Übersicht"/>
        <w:ind w:left="1361"/>
      </w:pPr>
      <w:hyperlink w:anchor="b403" w:history="1">
        <w:r>
          <w:rPr>
            <w:color w:val="0A3A8C"/>
            <w:u w:val="single"/>
          </w:rPr>
          <w:t xml:space="preserve">§ 340f Vorsorge für allgemeine Bankrisiken</w:t>
        </w:r>
      </w:hyperlink>
    </w:p>
    <w:p>
      <w:pPr>
        <w:pStyle w:val="Übersicht"/>
        <w:ind w:left="1361"/>
      </w:pPr>
      <w:hyperlink w:anchor="b404" w:history="1">
        <w:r>
          <w:rPr>
            <w:color w:val="0A3A8C"/>
            <w:u w:val="single"/>
          </w:rPr>
          <w:t xml:space="preserve">§ 340g Sonderposten für allgemeine Bankrisiken</w:t>
        </w:r>
      </w:hyperlink>
    </w:p>
    <w:p>
      <w:pPr>
        <w:pStyle w:val="Übersicht"/>
        <w:ind w:left="1020"/>
      </w:pPr>
      <w:hyperlink w:anchor="b405" w:history="1">
        <w:r>
          <w:rPr>
            <w:b/>
            <w:color w:val="0A3A8C"/>
            <w:u w:val="single"/>
          </w:rPr>
          <w:t xml:space="preserve">Vierter Titel Währungsumrechnung</w:t>
        </w:r>
      </w:hyperlink>
    </w:p>
    <w:p>
      <w:pPr>
        <w:pStyle w:val="Übersicht"/>
        <w:ind w:left="1361"/>
      </w:pPr>
      <w:hyperlink w:anchor="b406" w:history="1">
        <w:r>
          <w:rPr>
            <w:color w:val="0A3A8C"/>
            <w:u w:val="single"/>
          </w:rPr>
          <w:t xml:space="preserve">§ 340h Währungsumrechnung</w:t>
        </w:r>
      </w:hyperlink>
    </w:p>
    <w:p>
      <w:pPr>
        <w:pStyle w:val="Übersicht"/>
        <w:ind w:left="1020"/>
      </w:pPr>
      <w:hyperlink w:anchor="b407" w:history="1">
        <w:r>
          <w:rPr>
            <w:b/>
            <w:color w:val="0A3A8C"/>
            <w:u w:val="single"/>
          </w:rPr>
          <w:t xml:space="preserve">Fünfter Titel Konzernabschluß, Konzernlagebericht,
Konzernzwischenabschluß</w:t>
        </w:r>
      </w:hyperlink>
    </w:p>
    <w:p>
      <w:pPr>
        <w:pStyle w:val="Übersicht"/>
        <w:ind w:left="1361"/>
      </w:pPr>
      <w:hyperlink w:anchor="b408" w:history="1">
        <w:r>
          <w:rPr>
            <w:color w:val="0A3A8C"/>
            <w:u w:val="single"/>
          </w:rPr>
          <w:t xml:space="preserve">§ 340i Pflicht zur Aufstellung</w:t>
        </w:r>
      </w:hyperlink>
    </w:p>
    <w:p>
      <w:pPr>
        <w:pStyle w:val="Übersicht"/>
        <w:ind w:left="1361"/>
      </w:pPr>
      <w:hyperlink w:anchor="b409" w:history="1">
        <w:r>
          <w:rPr>
            <w:color w:val="0A3A8C"/>
            <w:u w:val="single"/>
          </w:rPr>
          <w:t xml:space="preserve">§ 340j Einzubeziehende Unternehmen</w:t>
        </w:r>
      </w:hyperlink>
    </w:p>
    <w:p>
      <w:pPr>
        <w:pStyle w:val="Übersicht"/>
        <w:ind w:left="1020"/>
      </w:pPr>
      <w:hyperlink w:anchor="b410" w:history="1">
        <w:r>
          <w:rPr>
            <w:b/>
            <w:color w:val="0A3A8C"/>
            <w:u w:val="single"/>
          </w:rPr>
          <w:t xml:space="preserve">Sechster Titel Prüfung</w:t>
        </w:r>
      </w:hyperlink>
    </w:p>
    <w:p>
      <w:pPr>
        <w:pStyle w:val="Übersicht"/>
        <w:ind w:left="1361"/>
      </w:pPr>
      <w:hyperlink w:anchor="b411" w:history="1">
        <w:r>
          <w:rPr>
            <w:color w:val="0A3A8C"/>
            <w:u w:val="single"/>
          </w:rPr>
          <w:t xml:space="preserve">§ 340k</w:t>
        </w:r>
      </w:hyperlink>
    </w:p>
    <w:p>
      <w:pPr>
        <w:pStyle w:val="Übersicht"/>
        <w:ind w:left="1020"/>
      </w:pPr>
      <w:hyperlink w:anchor="b412" w:history="1">
        <w:r>
          <w:rPr>
            <w:b/>
            <w:color w:val="0A3A8C"/>
            <w:u w:val="single"/>
          </w:rPr>
          <w:t xml:space="preserve">Siebenter Titel Offenlegung</w:t>
        </w:r>
      </w:hyperlink>
    </w:p>
    <w:p>
      <w:pPr>
        <w:pStyle w:val="Übersicht"/>
        <w:ind w:left="1361"/>
      </w:pPr>
      <w:hyperlink w:anchor="b413" w:history="1">
        <w:r>
          <w:rPr>
            <w:color w:val="0A3A8C"/>
            <w:u w:val="single"/>
          </w:rPr>
          <w:t xml:space="preserve">§ 340l</w:t>
        </w:r>
      </w:hyperlink>
    </w:p>
    <w:p>
      <w:pPr>
        <w:pStyle w:val="Übersicht"/>
        <w:ind w:left="1020"/>
      </w:pPr>
      <w:hyperlink w:anchor="b414" w:history="1">
        <w:r>
          <w:rPr>
            <w:b/>
            <w:color w:val="0A3A8C"/>
            <w:u w:val="single"/>
          </w:rPr>
          <w:t xml:space="preserve">Achter Titel Straf- und Bußgeldvorschriften, Ordnungsgelder</w:t>
        </w:r>
      </w:hyperlink>
    </w:p>
    <w:p>
      <w:pPr>
        <w:pStyle w:val="Übersicht"/>
        <w:ind w:left="1361"/>
      </w:pPr>
      <w:hyperlink w:anchor="b415" w:history="1">
        <w:r>
          <w:rPr>
            <w:color w:val="0A3A8C"/>
            <w:u w:val="single"/>
          </w:rPr>
          <w:t xml:space="preserve">§ 340m Strafvorschriften</w:t>
        </w:r>
      </w:hyperlink>
    </w:p>
    <w:p>
      <w:pPr>
        <w:pStyle w:val="Übersicht"/>
        <w:ind w:left="1361"/>
      </w:pPr>
      <w:hyperlink w:anchor="b416" w:history="1">
        <w:r>
          <w:rPr>
            <w:color w:val="0A3A8C"/>
            <w:u w:val="single"/>
          </w:rPr>
          <w:t xml:space="preserve">§ 340n Bußgeldvorschriften</w:t>
        </w:r>
      </w:hyperlink>
    </w:p>
    <w:p>
      <w:pPr>
        <w:pStyle w:val="Übersicht"/>
        <w:ind w:left="1361"/>
      </w:pPr>
      <w:hyperlink w:anchor="b417" w:history="1">
        <w:r>
          <w:rPr>
            <w:color w:val="0A3A8C"/>
            <w:u w:val="single"/>
          </w:rPr>
          <w:t xml:space="preserve">§ 340o Festsetzung von Ordnungsgeld</w:t>
        </w:r>
      </w:hyperlink>
    </w:p>
    <w:p>
      <w:pPr>
        <w:pStyle w:val="Übersicht"/>
        <w:ind w:left="680"/>
      </w:pPr>
      <w:hyperlink w:anchor="b418" w:history="1">
        <w:r>
          <w:rPr>
            <w:b/>
            <w:color w:val="0A3A8C"/>
            <w:u w:val="single"/>
          </w:rPr>
          <w:t xml:space="preserve">Zweiter Unterabschnitt Ergänzende Vorschriften
für Versicherungsunternehmen und Pensionsfonds</w:t>
        </w:r>
      </w:hyperlink>
    </w:p>
    <w:p>
      <w:pPr>
        <w:pStyle w:val="Übersicht"/>
        <w:ind w:left="1020"/>
      </w:pPr>
      <w:hyperlink w:anchor="b419" w:history="1">
        <w:r>
          <w:rPr>
            <w:b/>
            <w:color w:val="0A3A8C"/>
            <w:u w:val="single"/>
          </w:rPr>
          <w:t xml:space="preserve">Erster Titel Anwendungsbereich</w:t>
        </w:r>
      </w:hyperlink>
    </w:p>
    <w:p>
      <w:pPr>
        <w:pStyle w:val="Übersicht"/>
        <w:ind w:left="1361"/>
      </w:pPr>
      <w:hyperlink w:anchor="b420" w:history="1">
        <w:r>
          <w:rPr>
            <w:color w:val="0A3A8C"/>
            <w:u w:val="single"/>
          </w:rPr>
          <w:t xml:space="preserve">§ 341</w:t>
        </w:r>
      </w:hyperlink>
    </w:p>
    <w:p>
      <w:pPr>
        <w:pStyle w:val="Übersicht"/>
        <w:ind w:left="1020"/>
      </w:pPr>
      <w:hyperlink w:anchor="b421" w:history="1">
        <w:r>
          <w:rPr>
            <w:b/>
            <w:color w:val="0A3A8C"/>
            <w:u w:val="single"/>
          </w:rPr>
          <w:t xml:space="preserve">Zweiter Titel Jahresabschluß, Lagebericht</w:t>
        </w:r>
      </w:hyperlink>
    </w:p>
    <w:p>
      <w:pPr>
        <w:pStyle w:val="Übersicht"/>
        <w:ind w:left="1361"/>
      </w:pPr>
      <w:hyperlink w:anchor="b422" w:history="1">
        <w:r>
          <w:rPr>
            <w:color w:val="0A3A8C"/>
            <w:u w:val="single"/>
          </w:rPr>
          <w:t xml:space="preserve">§ 341a Anzuwendende Vorschriften</w:t>
        </w:r>
      </w:hyperlink>
    </w:p>
    <w:p>
      <w:pPr>
        <w:pStyle w:val="Übersicht"/>
        <w:ind w:left="1020"/>
      </w:pPr>
      <w:hyperlink w:anchor="b423" w:history="1">
        <w:r>
          <w:rPr>
            <w:b/>
            <w:color w:val="0A3A8C"/>
            <w:u w:val="single"/>
          </w:rPr>
          <w:t xml:space="preserve">Dritter Titel Bewertungsvorschriften</w:t>
        </w:r>
      </w:hyperlink>
    </w:p>
    <w:p>
      <w:pPr>
        <w:pStyle w:val="Übersicht"/>
        <w:ind w:left="1361"/>
      </w:pPr>
      <w:hyperlink w:anchor="b424" w:history="1">
        <w:r>
          <w:rPr>
            <w:color w:val="0A3A8C"/>
            <w:u w:val="single"/>
          </w:rPr>
          <w:t xml:space="preserve">§ 341b Bewertung von Vermögensgegenständen</w:t>
        </w:r>
      </w:hyperlink>
    </w:p>
    <w:p>
      <w:pPr>
        <w:pStyle w:val="Übersicht"/>
        <w:ind w:left="1361"/>
      </w:pPr>
      <w:hyperlink w:anchor="b425" w:history="1">
        <w:r>
          <w:rPr>
            <w:color w:val="0A3A8C"/>
            <w:u w:val="single"/>
          </w:rPr>
          <w:t xml:space="preserve">§ 341c Namensschuldverschreibungen, Hypothekendarlehen und andere Forderungen</w:t>
        </w:r>
      </w:hyperlink>
    </w:p>
    <w:p>
      <w:pPr>
        <w:pStyle w:val="Übersicht"/>
        <w:ind w:left="1361"/>
      </w:pPr>
      <w:hyperlink w:anchor="b426" w:history="1">
        <w:r>
          <w:rPr>
            <w:color w:val="0A3A8C"/>
            <w:u w:val="single"/>
          </w:rPr>
          <w:t xml:space="preserve">§ 341d Anlagestock der fondsgebundenen Lebensversicherung</w:t>
        </w:r>
      </w:hyperlink>
    </w:p>
    <w:p>
      <w:pPr>
        <w:pStyle w:val="Übersicht"/>
        <w:ind w:left="1020"/>
      </w:pPr>
      <w:hyperlink w:anchor="b427" w:history="1">
        <w:r>
          <w:rPr>
            <w:b/>
            <w:color w:val="0A3A8C"/>
            <w:u w:val="single"/>
          </w:rPr>
          <w:t xml:space="preserve">Vierter Titel Versicherungstechnische
Rückstellungen</w:t>
        </w:r>
      </w:hyperlink>
    </w:p>
    <w:p>
      <w:pPr>
        <w:pStyle w:val="Übersicht"/>
        <w:ind w:left="1361"/>
      </w:pPr>
      <w:hyperlink w:anchor="b428" w:history="1">
        <w:r>
          <w:rPr>
            <w:color w:val="0A3A8C"/>
            <w:u w:val="single"/>
          </w:rPr>
          <w:t xml:space="preserve">§ 341e Allgemeine Bilanzierungsgrundsätze</w:t>
        </w:r>
      </w:hyperlink>
    </w:p>
    <w:p>
      <w:pPr>
        <w:pStyle w:val="Übersicht"/>
        <w:ind w:left="1361"/>
      </w:pPr>
      <w:hyperlink w:anchor="b429" w:history="1">
        <w:r>
          <w:rPr>
            <w:color w:val="0A3A8C"/>
            <w:u w:val="single"/>
          </w:rPr>
          <w:t xml:space="preserve">§ 341f Deckungsrückstellung</w:t>
        </w:r>
      </w:hyperlink>
    </w:p>
    <w:p>
      <w:pPr>
        <w:pStyle w:val="Übersicht"/>
        <w:ind w:left="1361"/>
      </w:pPr>
      <w:hyperlink w:anchor="b430" w:history="1">
        <w:r>
          <w:rPr>
            <w:color w:val="0A3A8C"/>
            <w:u w:val="single"/>
          </w:rPr>
          <w:t xml:space="preserve">§ 341g Rückstellung für noch nicht abgewickelte Versicherungsfälle</w:t>
        </w:r>
      </w:hyperlink>
    </w:p>
    <w:p>
      <w:pPr>
        <w:pStyle w:val="Übersicht"/>
        <w:ind w:left="1361"/>
      </w:pPr>
      <w:hyperlink w:anchor="b431" w:history="1">
        <w:r>
          <w:rPr>
            <w:color w:val="0A3A8C"/>
            <w:u w:val="single"/>
          </w:rPr>
          <w:t xml:space="preserve">§ 341h Schwankungsrückstellung und ähnliche Rückstellungen</w:t>
        </w:r>
      </w:hyperlink>
    </w:p>
    <w:p>
      <w:pPr>
        <w:pStyle w:val="Übersicht"/>
        <w:ind w:left="1020"/>
      </w:pPr>
      <w:hyperlink w:anchor="b432" w:history="1">
        <w:r>
          <w:rPr>
            <w:b/>
            <w:color w:val="0A3A8C"/>
            <w:u w:val="single"/>
          </w:rPr>
          <w:t xml:space="preserve">Fünfter Titel Konzernabschluß, Konzernlagebericht</w:t>
        </w:r>
      </w:hyperlink>
    </w:p>
    <w:p>
      <w:pPr>
        <w:pStyle w:val="Übersicht"/>
        <w:ind w:left="1361"/>
      </w:pPr>
      <w:hyperlink w:anchor="b433" w:history="1">
        <w:r>
          <w:rPr>
            <w:color w:val="0A3A8C"/>
            <w:u w:val="single"/>
          </w:rPr>
          <w:t xml:space="preserve">§ 341i Aufstellung, Fristen</w:t>
        </w:r>
      </w:hyperlink>
    </w:p>
    <w:p>
      <w:pPr>
        <w:pStyle w:val="Übersicht"/>
        <w:ind w:left="1361"/>
      </w:pPr>
      <w:hyperlink w:anchor="b434" w:history="1">
        <w:r>
          <w:rPr>
            <w:color w:val="0A3A8C"/>
            <w:u w:val="single"/>
          </w:rPr>
          <w:t xml:space="preserve">§ 341j Anzuwendende Vorschriften</w:t>
        </w:r>
      </w:hyperlink>
    </w:p>
    <w:p>
      <w:pPr>
        <w:pStyle w:val="Übersicht"/>
        <w:ind w:left="1020"/>
      </w:pPr>
      <w:hyperlink w:anchor="b435" w:history="1">
        <w:r>
          <w:rPr>
            <w:b/>
            <w:color w:val="0A3A8C"/>
            <w:u w:val="single"/>
          </w:rPr>
          <w:t xml:space="preserve">Sechster Titel Prüfung</w:t>
        </w:r>
      </w:hyperlink>
    </w:p>
    <w:p>
      <w:pPr>
        <w:pStyle w:val="Übersicht"/>
        <w:ind w:left="1361"/>
      </w:pPr>
      <w:hyperlink w:anchor="b436" w:history="1">
        <w:r>
          <w:rPr>
            <w:color w:val="0A3A8C"/>
            <w:u w:val="single"/>
          </w:rPr>
          <w:t xml:space="preserve">§ 341k</w:t>
        </w:r>
      </w:hyperlink>
    </w:p>
    <w:p>
      <w:pPr>
        <w:pStyle w:val="Übersicht"/>
        <w:ind w:left="1020"/>
      </w:pPr>
      <w:hyperlink w:anchor="b437" w:history="1">
        <w:r>
          <w:rPr>
            <w:b/>
            <w:color w:val="0A3A8C"/>
            <w:u w:val="single"/>
          </w:rPr>
          <w:t xml:space="preserve">Siebenter Titel Offenlegung</w:t>
        </w:r>
      </w:hyperlink>
    </w:p>
    <w:p>
      <w:pPr>
        <w:pStyle w:val="Übersicht"/>
        <w:ind w:left="1361"/>
      </w:pPr>
      <w:hyperlink w:anchor="b438" w:history="1">
        <w:r>
          <w:rPr>
            <w:color w:val="0A3A8C"/>
            <w:u w:val="single"/>
          </w:rPr>
          <w:t xml:space="preserve">§ 341l</w:t>
        </w:r>
      </w:hyperlink>
    </w:p>
    <w:p>
      <w:pPr>
        <w:pStyle w:val="Übersicht"/>
        <w:ind w:left="1020"/>
      </w:pPr>
      <w:hyperlink w:anchor="b439" w:history="1">
        <w:r>
          <w:rPr>
            <w:b/>
            <w:color w:val="0A3A8C"/>
            <w:u w:val="single"/>
          </w:rPr>
          <w:t xml:space="preserve">Achter Titel Straf- und Bußgeldvorschriften, Ordnungsgelder</w:t>
        </w:r>
      </w:hyperlink>
    </w:p>
    <w:p>
      <w:pPr>
        <w:pStyle w:val="Übersicht"/>
        <w:ind w:left="1361"/>
      </w:pPr>
      <w:hyperlink w:anchor="b440" w:history="1">
        <w:r>
          <w:rPr>
            <w:color w:val="0A3A8C"/>
            <w:u w:val="single"/>
          </w:rPr>
          <w:t xml:space="preserve">§ 341m Strafvorschriften</w:t>
        </w:r>
      </w:hyperlink>
    </w:p>
    <w:p>
      <w:pPr>
        <w:pStyle w:val="Übersicht"/>
        <w:ind w:left="1361"/>
      </w:pPr>
      <w:hyperlink w:anchor="b441" w:history="1">
        <w:r>
          <w:rPr>
            <w:color w:val="0A3A8C"/>
            <w:u w:val="single"/>
          </w:rPr>
          <w:t xml:space="preserve">§ 341n Bußgeldvorschriften</w:t>
        </w:r>
      </w:hyperlink>
    </w:p>
    <w:p>
      <w:pPr>
        <w:pStyle w:val="Übersicht"/>
        <w:ind w:left="1361"/>
      </w:pPr>
      <w:hyperlink w:anchor="b442" w:history="1">
        <w:r>
          <w:rPr>
            <w:color w:val="0A3A8C"/>
            <w:u w:val="single"/>
          </w:rPr>
          <w:t xml:space="preserve">§ 341o Festsetzung von Ordnungsgeld</w:t>
        </w:r>
      </w:hyperlink>
    </w:p>
    <w:p>
      <w:pPr>
        <w:pStyle w:val="Übersicht"/>
        <w:ind w:left="1361"/>
      </w:pPr>
      <w:hyperlink w:anchor="b443" w:history="1">
        <w:r>
          <w:rPr>
            <w:color w:val="0A3A8C"/>
            <w:u w:val="single"/>
          </w:rPr>
          <w:t xml:space="preserve">§ 341p Anwendung der Straf- und Bußgeld- sowie der Ordnungsgeldvorschriften auf Pensionsfonds</w:t>
        </w:r>
      </w:hyperlink>
    </w:p>
    <w:p>
      <w:pPr>
        <w:pStyle w:val="Übersicht"/>
        <w:ind w:left="680"/>
      </w:pPr>
      <w:hyperlink w:anchor="b444" w:history="1">
        <w:r>
          <w:rPr>
            <w:b/>
            <w:color w:val="0A3A8C"/>
            <w:u w:val="single"/>
          </w:rPr>
          <w:t xml:space="preserve">Dritter Unterabschnitt Ergänzende Vorschriften für bestimmte Unternehmen des Rohstoffsektors</w:t>
        </w:r>
      </w:hyperlink>
    </w:p>
    <w:p>
      <w:pPr>
        <w:pStyle w:val="Übersicht"/>
        <w:ind w:left="1020"/>
      </w:pPr>
      <w:hyperlink w:anchor="b445" w:history="1">
        <w:r>
          <w:rPr>
            <w:b/>
            <w:color w:val="0A3A8C"/>
            <w:u w:val="single"/>
          </w:rPr>
          <w:t xml:space="preserve">Erster Titel Anwendungsbereich; Begriffsbestimmungen</w:t>
        </w:r>
      </w:hyperlink>
    </w:p>
    <w:p>
      <w:pPr>
        <w:pStyle w:val="Übersicht"/>
        <w:ind w:left="1361"/>
      </w:pPr>
      <w:hyperlink w:anchor="b446" w:history="1">
        <w:r>
          <w:rPr>
            <w:color w:val="0A3A8C"/>
            <w:u w:val="single"/>
          </w:rPr>
          <w:t xml:space="preserve">§ 341q Anwendungsbereich</w:t>
        </w:r>
      </w:hyperlink>
    </w:p>
    <w:p>
      <w:pPr>
        <w:pStyle w:val="Übersicht"/>
        <w:ind w:left="1361"/>
      </w:pPr>
      <w:hyperlink w:anchor="b447" w:history="1">
        <w:r>
          <w:rPr>
            <w:color w:val="0A3A8C"/>
            <w:u w:val="single"/>
          </w:rPr>
          <w:t xml:space="preserve">§ 341r Begriffsbestimmungen</w:t>
        </w:r>
      </w:hyperlink>
    </w:p>
    <w:p>
      <w:pPr>
        <w:pStyle w:val="Übersicht"/>
        <w:ind w:left="1020"/>
      </w:pPr>
      <w:hyperlink w:anchor="b448" w:history="1">
        <w:r>
          <w:rPr>
            <w:b/>
            <w:color w:val="0A3A8C"/>
            <w:u w:val="single"/>
          </w:rPr>
          <w:t xml:space="preserve">Zweiter Titel Zahlungsbericht, Konzernzahlungsbericht und Offenlegung</w:t>
        </w:r>
      </w:hyperlink>
    </w:p>
    <w:p>
      <w:pPr>
        <w:pStyle w:val="Übersicht"/>
        <w:ind w:left="1361"/>
      </w:pPr>
      <w:hyperlink w:anchor="b449" w:history="1">
        <w:r>
          <w:rPr>
            <w:color w:val="0A3A8C"/>
            <w:u w:val="single"/>
          </w:rPr>
          <w:t xml:space="preserve">§ 341s Pflicht zur Erstellung des Zahlungsberichts; Befreiungen</w:t>
        </w:r>
      </w:hyperlink>
    </w:p>
    <w:p>
      <w:pPr>
        <w:pStyle w:val="Übersicht"/>
        <w:ind w:left="1361"/>
      </w:pPr>
      <w:hyperlink w:anchor="b450" w:history="1">
        <w:r>
          <w:rPr>
            <w:color w:val="0A3A8C"/>
            <w:u w:val="single"/>
          </w:rPr>
          <w:t xml:space="preserve">§ 341t Inhalt des Zahlungsberichts</w:t>
        </w:r>
      </w:hyperlink>
    </w:p>
    <w:p>
      <w:pPr>
        <w:pStyle w:val="Übersicht"/>
        <w:ind w:left="1361"/>
      </w:pPr>
      <w:hyperlink w:anchor="b451" w:history="1">
        <w:r>
          <w:rPr>
            <w:color w:val="0A3A8C"/>
            <w:u w:val="single"/>
          </w:rPr>
          <w:t xml:space="preserve">§ 341u Gliederung des Zahlungsberichts</w:t>
        </w:r>
      </w:hyperlink>
    </w:p>
    <w:p>
      <w:pPr>
        <w:pStyle w:val="Übersicht"/>
        <w:ind w:left="1361"/>
      </w:pPr>
      <w:hyperlink w:anchor="b452" w:history="1">
        <w:r>
          <w:rPr>
            <w:color w:val="0A3A8C"/>
            <w:u w:val="single"/>
          </w:rPr>
          <w:t xml:space="preserve">§ 341v Konzernzahlungsbericht; Befreiung</w:t>
        </w:r>
      </w:hyperlink>
    </w:p>
    <w:p>
      <w:pPr>
        <w:pStyle w:val="Übersicht"/>
        <w:ind w:left="1361"/>
      </w:pPr>
      <w:hyperlink w:anchor="b453" w:history="1">
        <w:r>
          <w:rPr>
            <w:color w:val="0A3A8C"/>
            <w:u w:val="single"/>
          </w:rPr>
          <w:t xml:space="preserve">§ 341w Offenlegung</w:t>
        </w:r>
      </w:hyperlink>
    </w:p>
    <w:p>
      <w:pPr>
        <w:pStyle w:val="Übersicht"/>
        <w:ind w:left="1020"/>
      </w:pPr>
      <w:hyperlink w:anchor="b454" w:history="1">
        <w:r>
          <w:rPr>
            <w:b/>
            <w:color w:val="0A3A8C"/>
            <w:u w:val="single"/>
          </w:rPr>
          <w:t xml:space="preserve">Dritter Titel Bußgeldvorschriften, Ordnungsgelder</w:t>
        </w:r>
      </w:hyperlink>
    </w:p>
    <w:p>
      <w:pPr>
        <w:pStyle w:val="Übersicht"/>
        <w:ind w:left="1361"/>
      </w:pPr>
      <w:hyperlink w:anchor="b455" w:history="1">
        <w:r>
          <w:rPr>
            <w:color w:val="0A3A8C"/>
            <w:u w:val="single"/>
          </w:rPr>
          <w:t xml:space="preserve">§ 341x Bußgeldvorschriften</w:t>
        </w:r>
      </w:hyperlink>
    </w:p>
    <w:p>
      <w:pPr>
        <w:pStyle w:val="Übersicht"/>
        <w:ind w:left="1361"/>
      </w:pPr>
      <w:hyperlink w:anchor="b456" w:history="1">
        <w:r>
          <w:rPr>
            <w:color w:val="0A3A8C"/>
            <w:u w:val="single"/>
          </w:rPr>
          <w:t xml:space="preserve">§ 341y Ordnungsgeldvorschriften</w:t>
        </w:r>
      </w:hyperlink>
    </w:p>
    <w:p>
      <w:pPr>
        <w:pStyle w:val="Übersicht"/>
        <w:ind w:left="680"/>
      </w:pPr>
      <w:hyperlink w:anchor="b457" w:history="1">
        <w:r>
          <w:rPr>
            <w:b/>
            <w:color w:val="0A3A8C"/>
            <w:u w:val="single"/>
          </w:rPr>
          <w:t xml:space="preserve">Vierter Unterabschnitt Ergänzende Vorschriften für bestimmte umsatzstarke multinationale Unternehmen und Konzerne</w:t>
        </w:r>
      </w:hyperlink>
    </w:p>
    <w:p>
      <w:pPr>
        <w:pStyle w:val="Übersicht"/>
        <w:ind w:left="1020"/>
      </w:pPr>
      <w:hyperlink w:anchor="b458" w:history="1">
        <w:r>
          <w:rPr>
            <w:b/>
            <w:color w:val="0A3A8C"/>
            <w:u w:val="single"/>
          </w:rPr>
          <w:t xml:space="preserve">Erster Titel Anwendungsbereich; Begriffsbestimmungen</w:t>
        </w:r>
      </w:hyperlink>
    </w:p>
    <w:p>
      <w:pPr>
        <w:pStyle w:val="Übersicht"/>
        <w:ind w:left="1361"/>
      </w:pPr>
      <w:hyperlink w:anchor="b459" w:history="1">
        <w:r>
          <w:rPr>
            <w:color w:val="0A3A8C"/>
            <w:u w:val="single"/>
          </w:rPr>
          <w:t xml:space="preserve">§ 342 Anwendungsbereich</w:t>
        </w:r>
      </w:hyperlink>
    </w:p>
    <w:p>
      <w:pPr>
        <w:pStyle w:val="Übersicht"/>
        <w:ind w:left="1361"/>
      </w:pPr>
      <w:hyperlink w:anchor="b460" w:history="1">
        <w:r>
          <w:rPr>
            <w:color w:val="0A3A8C"/>
            <w:u w:val="single"/>
          </w:rPr>
          <w:t xml:space="preserve">§ 342a Begriffsbestimmungen</w:t>
        </w:r>
      </w:hyperlink>
    </w:p>
    <w:p>
      <w:pPr>
        <w:pStyle w:val="Übersicht"/>
        <w:ind w:left="1020"/>
      </w:pPr>
      <w:hyperlink w:anchor="b461" w:history="1">
        <w:r>
          <w:rPr>
            <w:b/>
            <w:color w:val="0A3A8C"/>
            <w:u w:val="single"/>
          </w:rPr>
          <w:t xml:space="preserve">Zweiter Titel Pflicht zur Ertragsteuerinformationsberichterstattung</w:t>
        </w:r>
      </w:hyperlink>
    </w:p>
    <w:p>
      <w:pPr>
        <w:pStyle w:val="Übersicht"/>
        <w:ind w:left="1361"/>
      </w:pPr>
      <w:hyperlink w:anchor="b462" w:history="1">
        <w:r>
          <w:rPr>
            <w:color w:val="0A3A8C"/>
            <w:u w:val="single"/>
          </w:rPr>
          <w:t xml:space="preserve">§ 342b Unverbundene Unternehmen mit Sitz im Inland</w:t>
        </w:r>
      </w:hyperlink>
    </w:p>
    <w:p>
      <w:pPr>
        <w:pStyle w:val="Übersicht"/>
        <w:ind w:left="1361"/>
      </w:pPr>
      <w:hyperlink w:anchor="b463" w:history="1">
        <w:r>
          <w:rPr>
            <w:color w:val="0A3A8C"/>
            <w:u w:val="single"/>
          </w:rPr>
          <w:t xml:space="preserve">§ 342c Oberste Mutterunternehmen mit Sitz im Inland</w:t>
        </w:r>
      </w:hyperlink>
    </w:p>
    <w:p>
      <w:pPr>
        <w:pStyle w:val="Übersicht"/>
        <w:ind w:left="1361"/>
      </w:pPr>
      <w:hyperlink w:anchor="b464" w:history="1">
        <w:r>
          <w:rPr>
            <w:color w:val="0A3A8C"/>
            <w:u w:val="single"/>
          </w:rPr>
          <w:t xml:space="preserve">§ 342d Tochterunternehmen mit Sitz im Inland von obersten Mutterunternehmen mit Sitz in einem Drittstaat</w:t>
        </w:r>
      </w:hyperlink>
    </w:p>
    <w:p>
      <w:pPr>
        <w:pStyle w:val="Übersicht"/>
        <w:ind w:left="1361"/>
      </w:pPr>
      <w:hyperlink w:anchor="b465" w:history="1">
        <w:r>
          <w:rPr>
            <w:color w:val="0A3A8C"/>
            <w:u w:val="single"/>
          </w:rPr>
          <w:t xml:space="preserve">§ 342e Inländische Zweigniederlassungen unverbundener Unternehmen mit Sitz in einem Drittstaat</w:t>
        </w:r>
      </w:hyperlink>
    </w:p>
    <w:p>
      <w:pPr>
        <w:pStyle w:val="Übersicht"/>
        <w:ind w:left="1361"/>
      </w:pPr>
      <w:hyperlink w:anchor="b466" w:history="1">
        <w:r>
          <w:rPr>
            <w:color w:val="0A3A8C"/>
            <w:u w:val="single"/>
          </w:rPr>
          <w:t xml:space="preserve">§ 342f Inländische Zweigniederlassungen verbundener Unternehmen mit Sitz in einem Drittstaat</w:t>
        </w:r>
      </w:hyperlink>
    </w:p>
    <w:p>
      <w:pPr>
        <w:pStyle w:val="Übersicht"/>
        <w:ind w:left="1020"/>
      </w:pPr>
      <w:hyperlink w:anchor="b467" w:history="1">
        <w:r>
          <w:rPr>
            <w:b/>
            <w:color w:val="0A3A8C"/>
            <w:u w:val="single"/>
          </w:rPr>
          <w:t xml:space="preserve">Dritter Titel Einzubeziehende Unternehmen; Inhalt und Form des Ertragsteuerinformationsberichts</w:t>
        </w:r>
      </w:hyperlink>
    </w:p>
    <w:p>
      <w:pPr>
        <w:pStyle w:val="Übersicht"/>
        <w:ind w:left="1361"/>
      </w:pPr>
      <w:hyperlink w:anchor="b468" w:history="1">
        <w:r>
          <w:rPr>
            <w:color w:val="0A3A8C"/>
            <w:u w:val="single"/>
          </w:rPr>
          <w:t xml:space="preserve">§ 342g Einzubeziehende Unternehmen</w:t>
        </w:r>
      </w:hyperlink>
    </w:p>
    <w:p>
      <w:pPr>
        <w:pStyle w:val="Übersicht"/>
        <w:ind w:left="1361"/>
      </w:pPr>
      <w:hyperlink w:anchor="b469" w:history="1">
        <w:r>
          <w:rPr>
            <w:color w:val="0A3A8C"/>
            <w:u w:val="single"/>
          </w:rPr>
          <w:t xml:space="preserve">§ 342h Pflichtangaben</w:t>
        </w:r>
      </w:hyperlink>
    </w:p>
    <w:p>
      <w:pPr>
        <w:pStyle w:val="Übersicht"/>
        <w:ind w:left="1361"/>
      </w:pPr>
      <w:hyperlink w:anchor="b470" w:history="1">
        <w:r>
          <w:rPr>
            <w:color w:val="0A3A8C"/>
            <w:u w:val="single"/>
          </w:rPr>
          <w:t xml:space="preserve">§ 342i Länderbezogener Ausweis der Angaben</w:t>
        </w:r>
      </w:hyperlink>
    </w:p>
    <w:p>
      <w:pPr>
        <w:pStyle w:val="Übersicht"/>
        <w:ind w:left="1361"/>
      </w:pPr>
      <w:hyperlink w:anchor="b471" w:history="1">
        <w:r>
          <w:rPr>
            <w:color w:val="0A3A8C"/>
            <w:u w:val="single"/>
          </w:rPr>
          <w:t xml:space="preserve">§ 342j Währung</w:t>
        </w:r>
      </w:hyperlink>
    </w:p>
    <w:p>
      <w:pPr>
        <w:pStyle w:val="Übersicht"/>
        <w:ind w:left="1361"/>
      </w:pPr>
      <w:hyperlink w:anchor="b472" w:history="1">
        <w:r>
          <w:rPr>
            <w:color w:val="0A3A8C"/>
            <w:u w:val="single"/>
          </w:rPr>
          <w:t xml:space="preserve">§ 342k Weglassen nachteiliger Angaben</w:t>
        </w:r>
      </w:hyperlink>
    </w:p>
    <w:p>
      <w:pPr>
        <w:pStyle w:val="Übersicht"/>
        <w:ind w:left="1361"/>
      </w:pPr>
      <w:hyperlink w:anchor="b473" w:history="1">
        <w:r>
          <w:rPr>
            <w:color w:val="0A3A8C"/>
            <w:u w:val="single"/>
          </w:rPr>
          <w:t xml:space="preserve">§ 342l Formblatt; maschinenlesbares elektronisches Format</w:t>
        </w:r>
      </w:hyperlink>
    </w:p>
    <w:p>
      <w:pPr>
        <w:pStyle w:val="Übersicht"/>
        <w:ind w:left="1020"/>
      </w:pPr>
      <w:hyperlink w:anchor="b474" w:history="1">
        <w:r>
          <w:rPr>
            <w:b/>
            <w:color w:val="0A3A8C"/>
            <w:u w:val="single"/>
          </w:rPr>
          <w:t xml:space="preserve">Vierter Titel Offenlegung und Veröffentlichung</w:t>
        </w:r>
      </w:hyperlink>
    </w:p>
    <w:p>
      <w:pPr>
        <w:pStyle w:val="Übersicht"/>
        <w:ind w:left="1361"/>
      </w:pPr>
      <w:hyperlink w:anchor="b475" w:history="1">
        <w:r>
          <w:rPr>
            <w:color w:val="0A3A8C"/>
            <w:u w:val="single"/>
          </w:rPr>
          <w:t xml:space="preserve">§ 342m Offenlegung im Unternehmensregister</w:t>
        </w:r>
      </w:hyperlink>
    </w:p>
    <w:p>
      <w:pPr>
        <w:pStyle w:val="Übersicht"/>
        <w:ind w:left="1361"/>
      </w:pPr>
      <w:hyperlink w:anchor="b476" w:history="1">
        <w:r>
          <w:rPr>
            <w:color w:val="0A3A8C"/>
            <w:u w:val="single"/>
          </w:rPr>
          <w:t xml:space="preserve">§ 342n Veröffentlichung auf der Internetseite der Gesellschaft</w:t>
        </w:r>
      </w:hyperlink>
    </w:p>
    <w:p>
      <w:pPr>
        <w:pStyle w:val="Übersicht"/>
        <w:ind w:left="1020"/>
      </w:pPr>
      <w:hyperlink w:anchor="b477" w:history="1">
        <w:r>
          <w:rPr>
            <w:b/>
            <w:color w:val="0A3A8C"/>
            <w:u w:val="single"/>
          </w:rPr>
          <w:t xml:space="preserve">Fünfter Titel Bußgeldvorschriften; Ordnungsgelder</w:t>
        </w:r>
      </w:hyperlink>
    </w:p>
    <w:p>
      <w:pPr>
        <w:pStyle w:val="Übersicht"/>
        <w:ind w:left="1361"/>
      </w:pPr>
      <w:hyperlink w:anchor="b478" w:history="1">
        <w:r>
          <w:rPr>
            <w:color w:val="0A3A8C"/>
            <w:u w:val="single"/>
          </w:rPr>
          <w:t xml:space="preserve">§ 342o Bußgeldvorschriften</w:t>
        </w:r>
      </w:hyperlink>
    </w:p>
    <w:p>
      <w:pPr>
        <w:pStyle w:val="Übersicht"/>
        <w:ind w:left="1361"/>
      </w:pPr>
      <w:hyperlink w:anchor="b479" w:history="1">
        <w:r>
          <w:rPr>
            <w:color w:val="0A3A8C"/>
            <w:u w:val="single"/>
          </w:rPr>
          <w:t xml:space="preserve">§ 342p Ordnungsgelder</w:t>
        </w:r>
      </w:hyperlink>
    </w:p>
    <w:p>
      <w:pPr>
        <w:pStyle w:val="Übersicht"/>
        <w:ind w:left="340"/>
      </w:pPr>
      <w:hyperlink w:anchor="b480" w:history="1">
        <w:r>
          <w:rPr>
            <w:b/>
            <w:color w:val="0A3A8C"/>
            <w:u w:val="single"/>
          </w:rPr>
          <w:t xml:space="preserve">Fünfter Abschnitt Privates Rechnungslegungsgremium; Rechnungslegungsbeirat</w:t>
        </w:r>
      </w:hyperlink>
    </w:p>
    <w:p>
      <w:pPr>
        <w:pStyle w:val="Übersicht"/>
        <w:ind w:left="680"/>
      </w:pPr>
      <w:hyperlink w:anchor="b481" w:history="1">
        <w:r>
          <w:rPr>
            <w:color w:val="0A3A8C"/>
            <w:u w:val="single"/>
          </w:rPr>
          <w:t xml:space="preserve">§ 342q Privates Rechnungslegungsgremium</w:t>
        </w:r>
      </w:hyperlink>
    </w:p>
    <w:p>
      <w:pPr>
        <w:pStyle w:val="Übersicht"/>
        <w:ind w:left="680"/>
      </w:pPr>
      <w:hyperlink w:anchor="b482" w:history="1">
        <w:r>
          <w:rPr>
            <w:color w:val="0A3A8C"/>
            <w:u w:val="single"/>
          </w:rPr>
          <w:t xml:space="preserve">§ 342r Rechnungslegungsbeirat</w:t>
        </w:r>
      </w:hyperlink>
    </w:p>
    <w:p>
      <w:pPr>
        <w:pStyle w:val="Übersicht"/>
        <w:ind w:left="0"/>
      </w:pPr>
      <w:hyperlink w:anchor="b483" w:history="1">
        <w:r>
          <w:rPr>
            <w:b/>
            <w:color w:val="0A3A8C"/>
            <w:u w:val="single"/>
          </w:rPr>
          <w:t xml:space="preserve">Viertes Buch Handelsgeschäfte</w:t>
        </w:r>
      </w:hyperlink>
    </w:p>
    <w:p>
      <w:pPr>
        <w:pStyle w:val="Übersicht"/>
        <w:ind w:left="340"/>
      </w:pPr>
      <w:hyperlink w:anchor="b484" w:history="1">
        <w:r>
          <w:rPr>
            <w:b/>
            <w:color w:val="0A3A8C"/>
            <w:u w:val="single"/>
          </w:rPr>
          <w:t xml:space="preserve">Erster Abschnitt Allgemeine Vorschriften</w:t>
        </w:r>
      </w:hyperlink>
    </w:p>
    <w:p>
      <w:pPr>
        <w:pStyle w:val="Übersicht"/>
        <w:ind w:left="680"/>
      </w:pPr>
      <w:hyperlink w:anchor="b485" w:history="1">
        <w:r>
          <w:rPr>
            <w:color w:val="0A3A8C"/>
            <w:u w:val="single"/>
          </w:rPr>
          <w:t xml:space="preserve">§§ 343 bis 350</w:t>
        </w:r>
      </w:hyperlink>
    </w:p>
    <w:p>
      <w:pPr>
        <w:pStyle w:val="Übersicht"/>
        <w:ind w:left="680"/>
      </w:pPr>
      <w:hyperlink w:anchor="b493" w:history="1">
        <w:r>
          <w:rPr>
            <w:color w:val="0A3A8C"/>
            <w:u w:val="single"/>
          </w:rPr>
          <w:t xml:space="preserve">§ 351 (weggefallen)</w:t>
        </w:r>
      </w:hyperlink>
    </w:p>
    <w:p>
      <w:pPr>
        <w:pStyle w:val="Übersicht"/>
        <w:ind w:left="680"/>
      </w:pPr>
      <w:hyperlink w:anchor="b494" w:history="1">
        <w:r>
          <w:rPr>
            <w:color w:val="0A3A8C"/>
            <w:u w:val="single"/>
          </w:rPr>
          <w:t xml:space="preserve">§§ 352 bis 369</w:t>
        </w:r>
      </w:hyperlink>
    </w:p>
    <w:p>
      <w:pPr>
        <w:pStyle w:val="Übersicht"/>
        <w:ind w:left="680"/>
      </w:pPr>
      <w:hyperlink w:anchor="b514" w:history="1">
        <w:r>
          <w:rPr>
            <w:color w:val="0A3A8C"/>
            <w:u w:val="single"/>
          </w:rPr>
          <w:t xml:space="preserve">§ 370 (weggefallen)</w:t>
        </w:r>
      </w:hyperlink>
    </w:p>
    <w:p>
      <w:pPr>
        <w:pStyle w:val="Übersicht"/>
        <w:ind w:left="680"/>
      </w:pPr>
      <w:hyperlink w:anchor="b515" w:history="1">
        <w:r>
          <w:rPr>
            <w:color w:val="0A3A8C"/>
            <w:u w:val="single"/>
          </w:rPr>
          <w:t xml:space="preserve">§§ 371 bis 372</w:t>
        </w:r>
      </w:hyperlink>
    </w:p>
    <w:p>
      <w:pPr>
        <w:pStyle w:val="Übersicht"/>
        <w:ind w:left="340"/>
      </w:pPr>
      <w:hyperlink w:anchor="b517" w:history="1">
        <w:r>
          <w:rPr>
            <w:b/>
            <w:color w:val="0A3A8C"/>
            <w:u w:val="single"/>
          </w:rPr>
          <w:t xml:space="preserve">Zweiter Abschnitt Handelskauf</w:t>
        </w:r>
      </w:hyperlink>
    </w:p>
    <w:p>
      <w:pPr>
        <w:pStyle w:val="Übersicht"/>
        <w:ind w:left="680"/>
      </w:pPr>
      <w:hyperlink w:anchor="b518" w:history="1">
        <w:r>
          <w:rPr>
            <w:color w:val="0A3A8C"/>
            <w:u w:val="single"/>
          </w:rPr>
          <w:t xml:space="preserve">§§ 373 bis 377</w:t>
        </w:r>
      </w:hyperlink>
    </w:p>
    <w:p>
      <w:pPr>
        <w:pStyle w:val="Übersicht"/>
        <w:ind w:left="680"/>
      </w:pPr>
      <w:hyperlink w:anchor="b523" w:history="1">
        <w:r>
          <w:rPr>
            <w:color w:val="0A3A8C"/>
            <w:u w:val="single"/>
          </w:rPr>
          <w:t xml:space="preserve">§ 378 (weggefallen)</w:t>
        </w:r>
      </w:hyperlink>
    </w:p>
    <w:p>
      <w:pPr>
        <w:pStyle w:val="Übersicht"/>
        <w:ind w:left="680"/>
      </w:pPr>
      <w:hyperlink w:anchor="b524" w:history="1">
        <w:r>
          <w:rPr>
            <w:color w:val="0A3A8C"/>
            <w:u w:val="single"/>
          </w:rPr>
          <w:t xml:space="preserve">§§ 379 bis 381</w:t>
        </w:r>
      </w:hyperlink>
    </w:p>
    <w:p>
      <w:pPr>
        <w:pStyle w:val="Übersicht"/>
        <w:ind w:left="680"/>
      </w:pPr>
      <w:hyperlink w:anchor="b527" w:history="1">
        <w:r>
          <w:rPr>
            <w:color w:val="0A3A8C"/>
            <w:u w:val="single"/>
          </w:rPr>
          <w:t xml:space="preserve">§ 382 (weggefallen)</w:t>
        </w:r>
      </w:hyperlink>
    </w:p>
    <w:p>
      <w:pPr>
        <w:pStyle w:val="Übersicht"/>
        <w:ind w:left="340"/>
      </w:pPr>
      <w:hyperlink w:anchor="b528" w:history="1">
        <w:r>
          <w:rPr>
            <w:b/>
            <w:color w:val="0A3A8C"/>
            <w:u w:val="single"/>
          </w:rPr>
          <w:t xml:space="preserve">Dritter Abschnitt Kommissionsgeschäft</w:t>
        </w:r>
      </w:hyperlink>
    </w:p>
    <w:p>
      <w:pPr>
        <w:pStyle w:val="Übersicht"/>
        <w:ind w:left="680"/>
      </w:pPr>
      <w:hyperlink w:anchor="b529" w:history="1">
        <w:r>
          <w:rPr>
            <w:color w:val="0A3A8C"/>
            <w:u w:val="single"/>
          </w:rPr>
          <w:t xml:space="preserve">§§ 383 bis 396</w:t>
        </w:r>
      </w:hyperlink>
    </w:p>
    <w:p>
      <w:pPr>
        <w:pStyle w:val="Übersicht"/>
        <w:ind w:left="680"/>
      </w:pPr>
      <w:hyperlink w:anchor="b543" w:history="1">
        <w:r>
          <w:rPr>
            <w:color w:val="0A3A8C"/>
            <w:u w:val="single"/>
          </w:rPr>
          <w:t xml:space="preserve">§ 397 Pfandrecht des Kommissionärs</w:t>
        </w:r>
      </w:hyperlink>
    </w:p>
    <w:p>
      <w:pPr>
        <w:pStyle w:val="Übersicht"/>
        <w:ind w:left="680"/>
      </w:pPr>
      <w:hyperlink w:anchor="b544" w:history="1">
        <w:r>
          <w:rPr>
            <w:color w:val="0A3A8C"/>
            <w:u w:val="single"/>
          </w:rPr>
          <w:t xml:space="preserve">§§ 398 bis 406</w:t>
        </w:r>
      </w:hyperlink>
    </w:p>
    <w:p>
      <w:pPr>
        <w:pStyle w:val="Übersicht"/>
        <w:ind w:left="340"/>
      </w:pPr>
      <w:hyperlink w:anchor="b553" w:history="1">
        <w:r>
          <w:rPr>
            <w:b/>
            <w:color w:val="0A3A8C"/>
            <w:u w:val="single"/>
          </w:rPr>
          <w:t xml:space="preserve">Vierter Abschnitt Frachtgeschäft</w:t>
        </w:r>
      </w:hyperlink>
    </w:p>
    <w:p>
      <w:pPr>
        <w:pStyle w:val="Übersicht"/>
        <w:ind w:left="680"/>
      </w:pPr>
      <w:hyperlink w:anchor="b554" w:history="1">
        <w:r>
          <w:rPr>
            <w:b/>
            <w:color w:val="0A3A8C"/>
            <w:u w:val="single"/>
          </w:rPr>
          <w:t xml:space="preserve">Erster Unterabschnitt Allgemeine Vorschriften</w:t>
        </w:r>
      </w:hyperlink>
    </w:p>
    <w:p>
      <w:pPr>
        <w:pStyle w:val="Übersicht"/>
        <w:ind w:left="1020"/>
      </w:pPr>
      <w:hyperlink w:anchor="b555" w:history="1">
        <w:r>
          <w:rPr>
            <w:color w:val="0A3A8C"/>
            <w:u w:val="single"/>
          </w:rPr>
          <w:t xml:space="preserve">§ 407 Frachtvertrag</w:t>
        </w:r>
      </w:hyperlink>
    </w:p>
    <w:p>
      <w:pPr>
        <w:pStyle w:val="Übersicht"/>
        <w:ind w:left="1020"/>
      </w:pPr>
      <w:hyperlink w:anchor="b556" w:history="1">
        <w:r>
          <w:rPr>
            <w:color w:val="0A3A8C"/>
            <w:u w:val="single"/>
          </w:rPr>
          <w:t xml:space="preserve">§ 408 Frachtbrief. Verordnungsermächtigung</w:t>
        </w:r>
      </w:hyperlink>
    </w:p>
    <w:p>
      <w:pPr>
        <w:pStyle w:val="Übersicht"/>
        <w:ind w:left="1020"/>
      </w:pPr>
      <w:hyperlink w:anchor="b557" w:history="1">
        <w:r>
          <w:rPr>
            <w:color w:val="0A3A8C"/>
            <w:u w:val="single"/>
          </w:rPr>
          <w:t xml:space="preserve">§ 409 Beweiskraft des Frachtbriefs</w:t>
        </w:r>
      </w:hyperlink>
    </w:p>
    <w:p>
      <w:pPr>
        <w:pStyle w:val="Übersicht"/>
        <w:ind w:left="1020"/>
      </w:pPr>
      <w:hyperlink w:anchor="b558" w:history="1">
        <w:r>
          <w:rPr>
            <w:color w:val="0A3A8C"/>
            <w:u w:val="single"/>
          </w:rPr>
          <w:t xml:space="preserve">§ 410 Gefährliches Gut</w:t>
        </w:r>
      </w:hyperlink>
    </w:p>
    <w:p>
      <w:pPr>
        <w:pStyle w:val="Übersicht"/>
        <w:ind w:left="1020"/>
      </w:pPr>
      <w:hyperlink w:anchor="b559" w:history="1">
        <w:r>
          <w:rPr>
            <w:color w:val="0A3A8C"/>
            <w:u w:val="single"/>
          </w:rPr>
          <w:t xml:space="preserve">§ 411 Verpackung. Kennzeichnung</w:t>
        </w:r>
      </w:hyperlink>
    </w:p>
    <w:p>
      <w:pPr>
        <w:pStyle w:val="Übersicht"/>
        <w:ind w:left="1020"/>
      </w:pPr>
      <w:hyperlink w:anchor="b560" w:history="1">
        <w:r>
          <w:rPr>
            <w:color w:val="0A3A8C"/>
            <w:u w:val="single"/>
          </w:rPr>
          <w:t xml:space="preserve">§ 412 Verladen und Entladen. Verordnungsermächtigung</w:t>
        </w:r>
      </w:hyperlink>
    </w:p>
    <w:p>
      <w:pPr>
        <w:pStyle w:val="Übersicht"/>
        <w:ind w:left="1020"/>
      </w:pPr>
      <w:hyperlink w:anchor="b561" w:history="1">
        <w:r>
          <w:rPr>
            <w:color w:val="0A3A8C"/>
            <w:u w:val="single"/>
          </w:rPr>
          <w:t xml:space="preserve">§ 413 Begleitpapiere</w:t>
        </w:r>
      </w:hyperlink>
    </w:p>
    <w:p>
      <w:pPr>
        <w:pStyle w:val="Übersicht"/>
        <w:ind w:left="1020"/>
      </w:pPr>
      <w:hyperlink w:anchor="b562" w:history="1">
        <w:r>
          <w:rPr>
            <w:color w:val="0A3A8C"/>
            <w:u w:val="single"/>
          </w:rPr>
          <w:t xml:space="preserve">§ 414 Verschuldensunabhängige Haftung des Absenders in besonderen Fällen</w:t>
        </w:r>
      </w:hyperlink>
    </w:p>
    <w:p>
      <w:pPr>
        <w:pStyle w:val="Übersicht"/>
        <w:ind w:left="1020"/>
      </w:pPr>
      <w:hyperlink w:anchor="b563" w:history="1">
        <w:r>
          <w:rPr>
            <w:color w:val="0A3A8C"/>
            <w:u w:val="single"/>
          </w:rPr>
          <w:t xml:space="preserve">§ 415 Kündigung durch den Absender</w:t>
        </w:r>
      </w:hyperlink>
    </w:p>
    <w:p>
      <w:pPr>
        <w:pStyle w:val="Übersicht"/>
        <w:ind w:left="1020"/>
      </w:pPr>
      <w:hyperlink w:anchor="b564" w:history="1">
        <w:r>
          <w:rPr>
            <w:color w:val="0A3A8C"/>
            <w:u w:val="single"/>
          </w:rPr>
          <w:t xml:space="preserve">§ 416 Anspruch auf Teilbeförderung</w:t>
        </w:r>
      </w:hyperlink>
    </w:p>
    <w:p>
      <w:pPr>
        <w:pStyle w:val="Übersicht"/>
        <w:ind w:left="1020"/>
      </w:pPr>
      <w:hyperlink w:anchor="b565" w:history="1">
        <w:r>
          <w:rPr>
            <w:color w:val="0A3A8C"/>
            <w:u w:val="single"/>
          </w:rPr>
          <w:t xml:space="preserve">§ 417 Rechte des Frachtführers bei Nichteinhaltung der Ladezeit</w:t>
        </w:r>
      </w:hyperlink>
    </w:p>
    <w:p>
      <w:pPr>
        <w:pStyle w:val="Übersicht"/>
        <w:ind w:left="1020"/>
      </w:pPr>
      <w:hyperlink w:anchor="b566" w:history="1">
        <w:r>
          <w:rPr>
            <w:color w:val="0A3A8C"/>
            <w:u w:val="single"/>
          </w:rPr>
          <w:t xml:space="preserve">§ 418 Nachträgliche Weisungen</w:t>
        </w:r>
      </w:hyperlink>
    </w:p>
    <w:p>
      <w:pPr>
        <w:pStyle w:val="Übersicht"/>
        <w:ind w:left="1020"/>
      </w:pPr>
      <w:hyperlink w:anchor="b567" w:history="1">
        <w:r>
          <w:rPr>
            <w:color w:val="0A3A8C"/>
            <w:u w:val="single"/>
          </w:rPr>
          <w:t xml:space="preserve">§ 419 Beförderungs- und Ablieferungshindernisse</w:t>
        </w:r>
      </w:hyperlink>
    </w:p>
    <w:p>
      <w:pPr>
        <w:pStyle w:val="Übersicht"/>
        <w:ind w:left="1020"/>
      </w:pPr>
      <w:hyperlink w:anchor="b568" w:history="1">
        <w:r>
          <w:rPr>
            <w:color w:val="0A3A8C"/>
            <w:u w:val="single"/>
          </w:rPr>
          <w:t xml:space="preserve">§ 420 Zahlung. Frachtberechnung</w:t>
        </w:r>
      </w:hyperlink>
    </w:p>
    <w:p>
      <w:pPr>
        <w:pStyle w:val="Übersicht"/>
        <w:ind w:left="1020"/>
      </w:pPr>
      <w:hyperlink w:anchor="b569" w:history="1">
        <w:r>
          <w:rPr>
            <w:color w:val="0A3A8C"/>
            <w:u w:val="single"/>
          </w:rPr>
          <w:t xml:space="preserve">§ 421 Rechte des Empfängers. Zahlungspflicht</w:t>
        </w:r>
      </w:hyperlink>
    </w:p>
    <w:p>
      <w:pPr>
        <w:pStyle w:val="Übersicht"/>
        <w:ind w:left="1020"/>
      </w:pPr>
      <w:hyperlink w:anchor="b570" w:history="1">
        <w:r>
          <w:rPr>
            <w:color w:val="0A3A8C"/>
            <w:u w:val="single"/>
          </w:rPr>
          <w:t xml:space="preserve">§ 422 Nachnahme</w:t>
        </w:r>
      </w:hyperlink>
    </w:p>
    <w:p>
      <w:pPr>
        <w:pStyle w:val="Übersicht"/>
        <w:ind w:left="1020"/>
      </w:pPr>
      <w:hyperlink w:anchor="b571" w:history="1">
        <w:r>
          <w:rPr>
            <w:color w:val="0A3A8C"/>
            <w:u w:val="single"/>
          </w:rPr>
          <w:t xml:space="preserve">§ 423 Lieferfrist</w:t>
        </w:r>
      </w:hyperlink>
    </w:p>
    <w:p>
      <w:pPr>
        <w:pStyle w:val="Übersicht"/>
        <w:ind w:left="1020"/>
      </w:pPr>
      <w:hyperlink w:anchor="b572" w:history="1">
        <w:r>
          <w:rPr>
            <w:color w:val="0A3A8C"/>
            <w:u w:val="single"/>
          </w:rPr>
          <w:t xml:space="preserve">§ 424 Verlustvermutung</w:t>
        </w:r>
      </w:hyperlink>
    </w:p>
    <w:p>
      <w:pPr>
        <w:pStyle w:val="Übersicht"/>
        <w:ind w:left="1020"/>
      </w:pPr>
      <w:hyperlink w:anchor="b573" w:history="1">
        <w:r>
          <w:rPr>
            <w:color w:val="0A3A8C"/>
            <w:u w:val="single"/>
          </w:rPr>
          <w:t xml:space="preserve">§ 425 Haftung für Güter- und Verspätungsschäden. Schadensteilung</w:t>
        </w:r>
      </w:hyperlink>
    </w:p>
    <w:p>
      <w:pPr>
        <w:pStyle w:val="Übersicht"/>
        <w:ind w:left="1020"/>
      </w:pPr>
      <w:hyperlink w:anchor="b574" w:history="1">
        <w:r>
          <w:rPr>
            <w:color w:val="0A3A8C"/>
            <w:u w:val="single"/>
          </w:rPr>
          <w:t xml:space="preserve">§ 426 Haftungsausschluß</w:t>
        </w:r>
      </w:hyperlink>
    </w:p>
    <w:p>
      <w:pPr>
        <w:pStyle w:val="Übersicht"/>
        <w:ind w:left="1020"/>
      </w:pPr>
      <w:hyperlink w:anchor="b575" w:history="1">
        <w:r>
          <w:rPr>
            <w:color w:val="0A3A8C"/>
            <w:u w:val="single"/>
          </w:rPr>
          <w:t xml:space="preserve">§ 427 Besondere Haftungsausschlußgründe</w:t>
        </w:r>
      </w:hyperlink>
    </w:p>
    <w:p>
      <w:pPr>
        <w:pStyle w:val="Übersicht"/>
        <w:ind w:left="1020"/>
      </w:pPr>
      <w:hyperlink w:anchor="b576" w:history="1">
        <w:r>
          <w:rPr>
            <w:color w:val="0A3A8C"/>
            <w:u w:val="single"/>
          </w:rPr>
          <w:t xml:space="preserve">§ 428 Haftung für andere</w:t>
        </w:r>
      </w:hyperlink>
    </w:p>
    <w:p>
      <w:pPr>
        <w:pStyle w:val="Übersicht"/>
        <w:ind w:left="1020"/>
      </w:pPr>
      <w:hyperlink w:anchor="b577" w:history="1">
        <w:r>
          <w:rPr>
            <w:color w:val="0A3A8C"/>
            <w:u w:val="single"/>
          </w:rPr>
          <w:t xml:space="preserve">§ 429 Wertersatz</w:t>
        </w:r>
      </w:hyperlink>
    </w:p>
    <w:p>
      <w:pPr>
        <w:pStyle w:val="Übersicht"/>
        <w:ind w:left="1020"/>
      </w:pPr>
      <w:hyperlink w:anchor="b578" w:history="1">
        <w:r>
          <w:rPr>
            <w:color w:val="0A3A8C"/>
            <w:u w:val="single"/>
          </w:rPr>
          <w:t xml:space="preserve">§ 430 Schadensfeststellungskosten</w:t>
        </w:r>
      </w:hyperlink>
    </w:p>
    <w:p>
      <w:pPr>
        <w:pStyle w:val="Übersicht"/>
        <w:ind w:left="1020"/>
      </w:pPr>
      <w:hyperlink w:anchor="b579" w:history="1">
        <w:r>
          <w:rPr>
            <w:color w:val="0A3A8C"/>
            <w:u w:val="single"/>
          </w:rPr>
          <w:t xml:space="preserve">§ 431 Haftungshöchstbetrag</w:t>
        </w:r>
      </w:hyperlink>
    </w:p>
    <w:p>
      <w:pPr>
        <w:pStyle w:val="Übersicht"/>
        <w:ind w:left="1020"/>
      </w:pPr>
      <w:hyperlink w:anchor="b580" w:history="1">
        <w:r>
          <w:rPr>
            <w:color w:val="0A3A8C"/>
            <w:u w:val="single"/>
          </w:rPr>
          <w:t xml:space="preserve">§ 432 Ersatz sonstiger Kosten</w:t>
        </w:r>
      </w:hyperlink>
    </w:p>
    <w:p>
      <w:pPr>
        <w:pStyle w:val="Übersicht"/>
        <w:ind w:left="1020"/>
      </w:pPr>
      <w:hyperlink w:anchor="b581" w:history="1">
        <w:r>
          <w:rPr>
            <w:color w:val="0A3A8C"/>
            <w:u w:val="single"/>
          </w:rPr>
          <w:t xml:space="preserve">§ 433 Haftungshöchstbetrag bei sonstigen Vermögensschäden</w:t>
        </w:r>
      </w:hyperlink>
    </w:p>
    <w:p>
      <w:pPr>
        <w:pStyle w:val="Übersicht"/>
        <w:ind w:left="1020"/>
      </w:pPr>
      <w:hyperlink w:anchor="b582" w:history="1">
        <w:r>
          <w:rPr>
            <w:color w:val="0A3A8C"/>
            <w:u w:val="single"/>
          </w:rPr>
          <w:t xml:space="preserve">§ 434 Außervertragliche Ansprüche</w:t>
        </w:r>
      </w:hyperlink>
    </w:p>
    <w:p>
      <w:pPr>
        <w:pStyle w:val="Übersicht"/>
        <w:ind w:left="1020"/>
      </w:pPr>
      <w:hyperlink w:anchor="b583" w:history="1">
        <w:r>
          <w:rPr>
            <w:color w:val="0A3A8C"/>
            <w:u w:val="single"/>
          </w:rPr>
          <w:t xml:space="preserve">§ 435 Wegfall der Haftungsbefreiungen und -begrenzungen</w:t>
        </w:r>
      </w:hyperlink>
    </w:p>
    <w:p>
      <w:pPr>
        <w:pStyle w:val="Übersicht"/>
        <w:ind w:left="1020"/>
      </w:pPr>
      <w:hyperlink w:anchor="b584" w:history="1">
        <w:r>
          <w:rPr>
            <w:color w:val="0A3A8C"/>
            <w:u w:val="single"/>
          </w:rPr>
          <w:t xml:space="preserve">§ 436 Haftung der Leute</w:t>
        </w:r>
      </w:hyperlink>
    </w:p>
    <w:p>
      <w:pPr>
        <w:pStyle w:val="Übersicht"/>
        <w:ind w:left="1020"/>
      </w:pPr>
      <w:hyperlink w:anchor="b585" w:history="1">
        <w:r>
          <w:rPr>
            <w:color w:val="0A3A8C"/>
            <w:u w:val="single"/>
          </w:rPr>
          <w:t xml:space="preserve">§ 437 Ausführender Frachtführer</w:t>
        </w:r>
      </w:hyperlink>
    </w:p>
    <w:p>
      <w:pPr>
        <w:pStyle w:val="Übersicht"/>
        <w:ind w:left="1020"/>
      </w:pPr>
      <w:hyperlink w:anchor="b586" w:history="1">
        <w:r>
          <w:rPr>
            <w:color w:val="0A3A8C"/>
            <w:u w:val="single"/>
          </w:rPr>
          <w:t xml:space="preserve">§ 438 Schadensanzeige</w:t>
        </w:r>
      </w:hyperlink>
    </w:p>
    <w:p>
      <w:pPr>
        <w:pStyle w:val="Übersicht"/>
        <w:ind w:left="1020"/>
      </w:pPr>
      <w:hyperlink w:anchor="b587" w:history="1">
        <w:r>
          <w:rPr>
            <w:color w:val="0A3A8C"/>
            <w:u w:val="single"/>
          </w:rPr>
          <w:t xml:space="preserve">§ 439 Verjährung</w:t>
        </w:r>
      </w:hyperlink>
    </w:p>
    <w:p>
      <w:pPr>
        <w:pStyle w:val="Übersicht"/>
        <w:ind w:left="1020"/>
      </w:pPr>
      <w:hyperlink w:anchor="b588" w:history="1">
        <w:r>
          <w:rPr>
            <w:color w:val="0A3A8C"/>
            <w:u w:val="single"/>
          </w:rPr>
          <w:t xml:space="preserve">§ 440 Pfandrecht des Frachtführers</w:t>
        </w:r>
      </w:hyperlink>
    </w:p>
    <w:p>
      <w:pPr>
        <w:pStyle w:val="Übersicht"/>
        <w:ind w:left="1020"/>
      </w:pPr>
      <w:hyperlink w:anchor="b589" w:history="1">
        <w:r>
          <w:rPr>
            <w:color w:val="0A3A8C"/>
            <w:u w:val="single"/>
          </w:rPr>
          <w:t xml:space="preserve">§ 441 Nachfolgender Frachtführer</w:t>
        </w:r>
      </w:hyperlink>
    </w:p>
    <w:p>
      <w:pPr>
        <w:pStyle w:val="Übersicht"/>
        <w:ind w:left="1020"/>
      </w:pPr>
      <w:hyperlink w:anchor="b590" w:history="1">
        <w:r>
          <w:rPr>
            <w:color w:val="0A3A8C"/>
            <w:u w:val="single"/>
          </w:rPr>
          <w:t xml:space="preserve">§ 442 Rang mehrerer Pfandrechte</w:t>
        </w:r>
      </w:hyperlink>
    </w:p>
    <w:p>
      <w:pPr>
        <w:pStyle w:val="Übersicht"/>
        <w:ind w:left="1020"/>
      </w:pPr>
      <w:hyperlink w:anchor="b591" w:history="1">
        <w:r>
          <w:rPr>
            <w:color w:val="0A3A8C"/>
            <w:u w:val="single"/>
          </w:rPr>
          <w:t xml:space="preserve">§ 443 Ladeschein. Verordnungsermächtigung</w:t>
        </w:r>
      </w:hyperlink>
    </w:p>
    <w:p>
      <w:pPr>
        <w:pStyle w:val="Übersicht"/>
        <w:ind w:left="1020"/>
      </w:pPr>
      <w:hyperlink w:anchor="b592" w:history="1">
        <w:r>
          <w:rPr>
            <w:color w:val="0A3A8C"/>
            <w:u w:val="single"/>
          </w:rPr>
          <w:t xml:space="preserve">§ 444 Wirkung des Ladescheins. Legitimation</w:t>
        </w:r>
      </w:hyperlink>
    </w:p>
    <w:p>
      <w:pPr>
        <w:pStyle w:val="Übersicht"/>
        <w:ind w:left="1020"/>
      </w:pPr>
      <w:hyperlink w:anchor="b593" w:history="1">
        <w:r>
          <w:rPr>
            <w:color w:val="0A3A8C"/>
            <w:u w:val="single"/>
          </w:rPr>
          <w:t xml:space="preserve">§ 445 Ablieferung gegen Rückgabe des Ladescheins</w:t>
        </w:r>
      </w:hyperlink>
    </w:p>
    <w:p>
      <w:pPr>
        <w:pStyle w:val="Übersicht"/>
        <w:ind w:left="1020"/>
      </w:pPr>
      <w:hyperlink w:anchor="b594" w:history="1">
        <w:r>
          <w:rPr>
            <w:color w:val="0A3A8C"/>
            <w:u w:val="single"/>
          </w:rPr>
          <w:t xml:space="preserve">§ 446 Befolgung von Weisungen</w:t>
        </w:r>
      </w:hyperlink>
    </w:p>
    <w:p>
      <w:pPr>
        <w:pStyle w:val="Übersicht"/>
        <w:ind w:left="1020"/>
      </w:pPr>
      <w:hyperlink w:anchor="b595" w:history="1">
        <w:r>
          <w:rPr>
            <w:color w:val="0A3A8C"/>
            <w:u w:val="single"/>
          </w:rPr>
          <w:t xml:space="preserve">§ 447 Einwendungen</w:t>
        </w:r>
      </w:hyperlink>
    </w:p>
    <w:p>
      <w:pPr>
        <w:pStyle w:val="Übersicht"/>
        <w:ind w:left="1020"/>
      </w:pPr>
      <w:hyperlink w:anchor="b596" w:history="1">
        <w:r>
          <w:rPr>
            <w:color w:val="0A3A8C"/>
            <w:u w:val="single"/>
          </w:rPr>
          <w:t xml:space="preserve">§ 448 Traditionswirkung des Ladescheins</w:t>
        </w:r>
      </w:hyperlink>
    </w:p>
    <w:p>
      <w:pPr>
        <w:pStyle w:val="Übersicht"/>
        <w:ind w:left="1020"/>
      </w:pPr>
      <w:hyperlink w:anchor="b597" w:history="1">
        <w:r>
          <w:rPr>
            <w:color w:val="0A3A8C"/>
            <w:u w:val="single"/>
          </w:rPr>
          <w:t xml:space="preserve">§ 449 Abweichende Vereinbarungen über die Haftung</w:t>
        </w:r>
      </w:hyperlink>
    </w:p>
    <w:p>
      <w:pPr>
        <w:pStyle w:val="Übersicht"/>
        <w:ind w:left="1020"/>
      </w:pPr>
      <w:hyperlink w:anchor="b598" w:history="1">
        <w:r>
          <w:rPr>
            <w:color w:val="0A3A8C"/>
            <w:u w:val="single"/>
          </w:rPr>
          <w:t xml:space="preserve">§ 450 Anwendung von Seefrachtrecht</w:t>
        </w:r>
      </w:hyperlink>
    </w:p>
    <w:p>
      <w:pPr>
        <w:pStyle w:val="Übersicht"/>
        <w:ind w:left="680"/>
      </w:pPr>
      <w:hyperlink w:anchor="b599" w:history="1">
        <w:r>
          <w:rPr>
            <w:b/>
            <w:color w:val="0A3A8C"/>
            <w:u w:val="single"/>
          </w:rPr>
          <w:t xml:space="preserve">Zweiter Unterabschnitt Beförderung von Umzugsgut</w:t>
        </w:r>
      </w:hyperlink>
    </w:p>
    <w:p>
      <w:pPr>
        <w:pStyle w:val="Übersicht"/>
        <w:ind w:left="1020"/>
      </w:pPr>
      <w:hyperlink w:anchor="b600" w:history="1">
        <w:r>
          <w:rPr>
            <w:color w:val="0A3A8C"/>
            <w:u w:val="single"/>
          </w:rPr>
          <w:t xml:space="preserve">§ 451 Umzugsvertrag</w:t>
        </w:r>
      </w:hyperlink>
    </w:p>
    <w:p>
      <w:pPr>
        <w:pStyle w:val="Übersicht"/>
        <w:ind w:left="1020"/>
      </w:pPr>
      <w:hyperlink w:anchor="b601" w:history="1">
        <w:r>
          <w:rPr>
            <w:color w:val="0A3A8C"/>
            <w:u w:val="single"/>
          </w:rPr>
          <w:t xml:space="preserve">§ 451a Pflichten des Frachtführers</w:t>
        </w:r>
      </w:hyperlink>
    </w:p>
    <w:p>
      <w:pPr>
        <w:pStyle w:val="Übersicht"/>
        <w:ind w:left="1020"/>
      </w:pPr>
      <w:hyperlink w:anchor="b602" w:history="1">
        <w:r>
          <w:rPr>
            <w:color w:val="0A3A8C"/>
            <w:u w:val="single"/>
          </w:rPr>
          <w:t xml:space="preserve">§ 451b Frachtbrief. Gefährliches Gut. Begleitpapiere.
Mitteilungs- und Auskunftspflichten</w:t>
        </w:r>
      </w:hyperlink>
    </w:p>
    <w:p>
      <w:pPr>
        <w:pStyle w:val="Übersicht"/>
        <w:ind w:left="1020"/>
      </w:pPr>
      <w:hyperlink w:anchor="b603" w:history="1">
        <w:r>
          <w:rPr>
            <w:color w:val="0A3A8C"/>
            <w:u w:val="single"/>
          </w:rPr>
          <w:t xml:space="preserve">§ 451c (weggefallen)</w:t>
        </w:r>
      </w:hyperlink>
    </w:p>
    <w:p>
      <w:pPr>
        <w:pStyle w:val="Übersicht"/>
        <w:ind w:left="1020"/>
      </w:pPr>
      <w:hyperlink w:anchor="b604" w:history="1">
        <w:r>
          <w:rPr>
            <w:color w:val="0A3A8C"/>
            <w:u w:val="single"/>
          </w:rPr>
          <w:t xml:space="preserve">§ 451d Besondere Haftungsausschlußgründe</w:t>
        </w:r>
      </w:hyperlink>
    </w:p>
    <w:p>
      <w:pPr>
        <w:pStyle w:val="Übersicht"/>
        <w:ind w:left="1020"/>
      </w:pPr>
      <w:hyperlink w:anchor="b605" w:history="1">
        <w:r>
          <w:rPr>
            <w:color w:val="0A3A8C"/>
            <w:u w:val="single"/>
          </w:rPr>
          <w:t xml:space="preserve">§ 451e Haftungshöchstbetrag</w:t>
        </w:r>
      </w:hyperlink>
    </w:p>
    <w:p>
      <w:pPr>
        <w:pStyle w:val="Übersicht"/>
        <w:ind w:left="1020"/>
      </w:pPr>
      <w:hyperlink w:anchor="b606" w:history="1">
        <w:r>
          <w:rPr>
            <w:color w:val="0A3A8C"/>
            <w:u w:val="single"/>
          </w:rPr>
          <w:t xml:space="preserve">§ 451f Schadensanzeige</w:t>
        </w:r>
      </w:hyperlink>
    </w:p>
    <w:p>
      <w:pPr>
        <w:pStyle w:val="Übersicht"/>
        <w:ind w:left="1020"/>
      </w:pPr>
      <w:hyperlink w:anchor="b607" w:history="1">
        <w:r>
          <w:rPr>
            <w:color w:val="0A3A8C"/>
            <w:u w:val="single"/>
          </w:rPr>
          <w:t xml:space="preserve">§ 451g Wegfall der Haftungsbefreiungen und -begrenzungen</w:t>
        </w:r>
      </w:hyperlink>
    </w:p>
    <w:p>
      <w:pPr>
        <w:pStyle w:val="Übersicht"/>
        <w:ind w:left="1020"/>
      </w:pPr>
      <w:hyperlink w:anchor="b608" w:history="1">
        <w:r>
          <w:rPr>
            <w:color w:val="0A3A8C"/>
            <w:u w:val="single"/>
          </w:rPr>
          <w:t xml:space="preserve">§ 451h Abweichende Vereinbarungen</w:t>
        </w:r>
      </w:hyperlink>
    </w:p>
    <w:p>
      <w:pPr>
        <w:pStyle w:val="Übersicht"/>
        <w:ind w:left="680"/>
      </w:pPr>
      <w:hyperlink w:anchor="b609" w:history="1">
        <w:r>
          <w:rPr>
            <w:b/>
            <w:color w:val="0A3A8C"/>
            <w:u w:val="single"/>
          </w:rPr>
          <w:t xml:space="preserve">Dritter Unterabschnitt Beförderung mit
verschiedenartigen Beförderungsmitteln</w:t>
        </w:r>
      </w:hyperlink>
    </w:p>
    <w:p>
      <w:pPr>
        <w:pStyle w:val="Übersicht"/>
        <w:ind w:left="1020"/>
      </w:pPr>
      <w:hyperlink w:anchor="b610" w:history="1">
        <w:r>
          <w:rPr>
            <w:color w:val="0A3A8C"/>
            <w:u w:val="single"/>
          </w:rPr>
          <w:t xml:space="preserve">§ 452 Frachtvertrag über eine Beförderung mit verschiedenartigen Beförderungsmitteln</w:t>
        </w:r>
      </w:hyperlink>
    </w:p>
    <w:p>
      <w:pPr>
        <w:pStyle w:val="Übersicht"/>
        <w:ind w:left="1020"/>
      </w:pPr>
      <w:hyperlink w:anchor="b611" w:history="1">
        <w:r>
          <w:rPr>
            <w:color w:val="0A3A8C"/>
            <w:u w:val="single"/>
          </w:rPr>
          <w:t xml:space="preserve">§ 452a Bekannter Schadensort</w:t>
        </w:r>
      </w:hyperlink>
    </w:p>
    <w:p>
      <w:pPr>
        <w:pStyle w:val="Übersicht"/>
        <w:ind w:left="1020"/>
      </w:pPr>
      <w:hyperlink w:anchor="b612" w:history="1">
        <w:r>
          <w:rPr>
            <w:color w:val="0A3A8C"/>
            <w:u w:val="single"/>
          </w:rPr>
          <w:t xml:space="preserve">§ 452b Schadensanzeige. Verjährung</w:t>
        </w:r>
      </w:hyperlink>
    </w:p>
    <w:p>
      <w:pPr>
        <w:pStyle w:val="Übersicht"/>
        <w:ind w:left="1020"/>
      </w:pPr>
      <w:hyperlink w:anchor="b613" w:history="1">
        <w:r>
          <w:rPr>
            <w:color w:val="0A3A8C"/>
            <w:u w:val="single"/>
          </w:rPr>
          <w:t xml:space="preserve">§ 452c Umzugsvertrag über eine Beförderung mit verschiedenartigen
Beförderungsmitteln</w:t>
        </w:r>
      </w:hyperlink>
    </w:p>
    <w:p>
      <w:pPr>
        <w:pStyle w:val="Übersicht"/>
        <w:ind w:left="1020"/>
      </w:pPr>
      <w:hyperlink w:anchor="b614" w:history="1">
        <w:r>
          <w:rPr>
            <w:color w:val="0A3A8C"/>
            <w:u w:val="single"/>
          </w:rPr>
          <w:t xml:space="preserve">§ 452d Abweichende Vereinbarungen</w:t>
        </w:r>
      </w:hyperlink>
    </w:p>
    <w:p>
      <w:pPr>
        <w:pStyle w:val="Übersicht"/>
        <w:ind w:left="340"/>
      </w:pPr>
      <w:hyperlink w:anchor="b615" w:history="1">
        <w:r>
          <w:rPr>
            <w:b/>
            <w:color w:val="0A3A8C"/>
            <w:u w:val="single"/>
          </w:rPr>
          <w:t xml:space="preserve">Fünfter Abschnitt Speditionsgeschäft</w:t>
        </w:r>
      </w:hyperlink>
    </w:p>
    <w:p>
      <w:pPr>
        <w:pStyle w:val="Übersicht"/>
        <w:ind w:left="680"/>
      </w:pPr>
      <w:hyperlink w:anchor="b616" w:history="1">
        <w:r>
          <w:rPr>
            <w:color w:val="0A3A8C"/>
            <w:u w:val="single"/>
          </w:rPr>
          <w:t xml:space="preserve">§ 453 Speditionsvertrag</w:t>
        </w:r>
      </w:hyperlink>
    </w:p>
    <w:p>
      <w:pPr>
        <w:pStyle w:val="Übersicht"/>
        <w:ind w:left="680"/>
      </w:pPr>
      <w:hyperlink w:anchor="b617" w:history="1">
        <w:r>
          <w:rPr>
            <w:color w:val="0A3A8C"/>
            <w:u w:val="single"/>
          </w:rPr>
          <w:t xml:space="preserve">§ 454 Besorgung der Versendung</w:t>
        </w:r>
      </w:hyperlink>
    </w:p>
    <w:p>
      <w:pPr>
        <w:pStyle w:val="Übersicht"/>
        <w:ind w:left="680"/>
      </w:pPr>
      <w:hyperlink w:anchor="b618" w:history="1">
        <w:r>
          <w:rPr>
            <w:color w:val="0A3A8C"/>
            <w:u w:val="single"/>
          </w:rPr>
          <w:t xml:space="preserve">§ 455 Behandlung des Gutes. Begleitpapiere. Mitteilungs- und Auskunftspflichten</w:t>
        </w:r>
      </w:hyperlink>
    </w:p>
    <w:p>
      <w:pPr>
        <w:pStyle w:val="Übersicht"/>
        <w:ind w:left="680"/>
      </w:pPr>
      <w:hyperlink w:anchor="b619" w:history="1">
        <w:r>
          <w:rPr>
            <w:color w:val="0A3A8C"/>
            <w:u w:val="single"/>
          </w:rPr>
          <w:t xml:space="preserve">§ 456 Fälligkeit der Vergütung</w:t>
        </w:r>
      </w:hyperlink>
    </w:p>
    <w:p>
      <w:pPr>
        <w:pStyle w:val="Übersicht"/>
        <w:ind w:left="680"/>
      </w:pPr>
      <w:hyperlink w:anchor="b620" w:history="1">
        <w:r>
          <w:rPr>
            <w:color w:val="0A3A8C"/>
            <w:u w:val="single"/>
          </w:rPr>
          <w:t xml:space="preserve">§ 457 Forderungen des Versenders</w:t>
        </w:r>
      </w:hyperlink>
    </w:p>
    <w:p>
      <w:pPr>
        <w:pStyle w:val="Übersicht"/>
        <w:ind w:left="680"/>
      </w:pPr>
      <w:hyperlink w:anchor="b621" w:history="1">
        <w:r>
          <w:rPr>
            <w:color w:val="0A3A8C"/>
            <w:u w:val="single"/>
          </w:rPr>
          <w:t xml:space="preserve">§ 458 Selbsteintritt</w:t>
        </w:r>
      </w:hyperlink>
    </w:p>
    <w:p>
      <w:pPr>
        <w:pStyle w:val="Übersicht"/>
        <w:ind w:left="680"/>
      </w:pPr>
      <w:hyperlink w:anchor="b622" w:history="1">
        <w:r>
          <w:rPr>
            <w:color w:val="0A3A8C"/>
            <w:u w:val="single"/>
          </w:rPr>
          <w:t xml:space="preserve">§ 459 Spedition zu festen Kosten</w:t>
        </w:r>
      </w:hyperlink>
    </w:p>
    <w:p>
      <w:pPr>
        <w:pStyle w:val="Übersicht"/>
        <w:ind w:left="680"/>
      </w:pPr>
      <w:hyperlink w:anchor="b623" w:history="1">
        <w:r>
          <w:rPr>
            <w:color w:val="0A3A8C"/>
            <w:u w:val="single"/>
          </w:rPr>
          <w:t xml:space="preserve">§ 460 Sammelladung</w:t>
        </w:r>
      </w:hyperlink>
    </w:p>
    <w:p>
      <w:pPr>
        <w:pStyle w:val="Übersicht"/>
        <w:ind w:left="680"/>
      </w:pPr>
      <w:hyperlink w:anchor="b624" w:history="1">
        <w:r>
          <w:rPr>
            <w:color w:val="0A3A8C"/>
            <w:u w:val="single"/>
          </w:rPr>
          <w:t xml:space="preserve">§ 461 Haftung des Spediteurs</w:t>
        </w:r>
      </w:hyperlink>
    </w:p>
    <w:p>
      <w:pPr>
        <w:pStyle w:val="Übersicht"/>
        <w:ind w:left="680"/>
      </w:pPr>
      <w:hyperlink w:anchor="b625" w:history="1">
        <w:r>
          <w:rPr>
            <w:color w:val="0A3A8C"/>
            <w:u w:val="single"/>
          </w:rPr>
          <w:t xml:space="preserve">§ 462 Haftung für andere</w:t>
        </w:r>
      </w:hyperlink>
    </w:p>
    <w:p>
      <w:pPr>
        <w:pStyle w:val="Übersicht"/>
        <w:ind w:left="680"/>
      </w:pPr>
      <w:hyperlink w:anchor="b626" w:history="1">
        <w:r>
          <w:rPr>
            <w:color w:val="0A3A8C"/>
            <w:u w:val="single"/>
          </w:rPr>
          <w:t xml:space="preserve">§ 463 Verjährung</w:t>
        </w:r>
      </w:hyperlink>
    </w:p>
    <w:p>
      <w:pPr>
        <w:pStyle w:val="Übersicht"/>
        <w:ind w:left="680"/>
      </w:pPr>
      <w:hyperlink w:anchor="b627" w:history="1">
        <w:r>
          <w:rPr>
            <w:color w:val="0A3A8C"/>
            <w:u w:val="single"/>
          </w:rPr>
          <w:t xml:space="preserve">§ 464 Pfandrecht des Spediteurs</w:t>
        </w:r>
      </w:hyperlink>
    </w:p>
    <w:p>
      <w:pPr>
        <w:pStyle w:val="Übersicht"/>
        <w:ind w:left="680"/>
      </w:pPr>
      <w:hyperlink w:anchor="b628" w:history="1">
        <w:r>
          <w:rPr>
            <w:color w:val="0A3A8C"/>
            <w:u w:val="single"/>
          </w:rPr>
          <w:t xml:space="preserve">§ 465 Nachfolgender Spediteur</w:t>
        </w:r>
      </w:hyperlink>
    </w:p>
    <w:p>
      <w:pPr>
        <w:pStyle w:val="Übersicht"/>
        <w:ind w:left="680"/>
      </w:pPr>
      <w:hyperlink w:anchor="b629" w:history="1">
        <w:r>
          <w:rPr>
            <w:color w:val="0A3A8C"/>
            <w:u w:val="single"/>
          </w:rPr>
          <w:t xml:space="preserve">§ 466 Abweichende Vereinbarungen über die Haftung</w:t>
        </w:r>
      </w:hyperlink>
    </w:p>
    <w:p>
      <w:pPr>
        <w:pStyle w:val="Übersicht"/>
        <w:ind w:left="340"/>
      </w:pPr>
      <w:hyperlink w:anchor="b630" w:history="1">
        <w:r>
          <w:rPr>
            <w:b/>
            <w:color w:val="0A3A8C"/>
            <w:u w:val="single"/>
          </w:rPr>
          <w:t xml:space="preserve">Sechster Abschnitt Lagergeschäft</w:t>
        </w:r>
      </w:hyperlink>
    </w:p>
    <w:p>
      <w:pPr>
        <w:pStyle w:val="Übersicht"/>
        <w:ind w:left="680"/>
      </w:pPr>
      <w:hyperlink w:anchor="b631" w:history="1">
        <w:r>
          <w:rPr>
            <w:color w:val="0A3A8C"/>
            <w:u w:val="single"/>
          </w:rPr>
          <w:t xml:space="preserve">§ 467 Lagervertrag</w:t>
        </w:r>
      </w:hyperlink>
    </w:p>
    <w:p>
      <w:pPr>
        <w:pStyle w:val="Übersicht"/>
        <w:ind w:left="680"/>
      </w:pPr>
      <w:hyperlink w:anchor="b632" w:history="1">
        <w:r>
          <w:rPr>
            <w:color w:val="0A3A8C"/>
            <w:u w:val="single"/>
          </w:rPr>
          <w:t xml:space="preserve">§ 468 Behandlung des Gutes. Begleitpapiere. Mitteilungs- und Auskunftspflichten</w:t>
        </w:r>
      </w:hyperlink>
    </w:p>
    <w:p>
      <w:pPr>
        <w:pStyle w:val="Übersicht"/>
        <w:ind w:left="680"/>
      </w:pPr>
      <w:hyperlink w:anchor="b633" w:history="1">
        <w:r>
          <w:rPr>
            <w:color w:val="0A3A8C"/>
            <w:u w:val="single"/>
          </w:rPr>
          <w:t xml:space="preserve">§ 469 Sammellagerung</w:t>
        </w:r>
      </w:hyperlink>
    </w:p>
    <w:p>
      <w:pPr>
        <w:pStyle w:val="Übersicht"/>
        <w:ind w:left="680"/>
      </w:pPr>
      <w:hyperlink w:anchor="b634" w:history="1">
        <w:r>
          <w:rPr>
            <w:color w:val="0A3A8C"/>
            <w:u w:val="single"/>
          </w:rPr>
          <w:t xml:space="preserve">§ 470 Empfang des Gutes</w:t>
        </w:r>
      </w:hyperlink>
    </w:p>
    <w:p>
      <w:pPr>
        <w:pStyle w:val="Übersicht"/>
        <w:ind w:left="680"/>
      </w:pPr>
      <w:hyperlink w:anchor="b635" w:history="1">
        <w:r>
          <w:rPr>
            <w:color w:val="0A3A8C"/>
            <w:u w:val="single"/>
          </w:rPr>
          <w:t xml:space="preserve">§ 471 Erhaltung des Gutes</w:t>
        </w:r>
      </w:hyperlink>
    </w:p>
    <w:p>
      <w:pPr>
        <w:pStyle w:val="Übersicht"/>
        <w:ind w:left="680"/>
      </w:pPr>
      <w:hyperlink w:anchor="b636" w:history="1">
        <w:r>
          <w:rPr>
            <w:color w:val="0A3A8C"/>
            <w:u w:val="single"/>
          </w:rPr>
          <w:t xml:space="preserve">§ 472 Versicherung. Einlagerung bei einem Dritten</w:t>
        </w:r>
      </w:hyperlink>
    </w:p>
    <w:p>
      <w:pPr>
        <w:pStyle w:val="Übersicht"/>
        <w:ind w:left="680"/>
      </w:pPr>
      <w:hyperlink w:anchor="b637" w:history="1">
        <w:r>
          <w:rPr>
            <w:color w:val="0A3A8C"/>
            <w:u w:val="single"/>
          </w:rPr>
          <w:t xml:space="preserve">§ 473 Dauer der Lagerung</w:t>
        </w:r>
      </w:hyperlink>
    </w:p>
    <w:p>
      <w:pPr>
        <w:pStyle w:val="Übersicht"/>
        <w:ind w:left="680"/>
      </w:pPr>
      <w:hyperlink w:anchor="b638" w:history="1">
        <w:r>
          <w:rPr>
            <w:color w:val="0A3A8C"/>
            <w:u w:val="single"/>
          </w:rPr>
          <w:t xml:space="preserve">§ 474 Aufwendungsersatz</w:t>
        </w:r>
      </w:hyperlink>
    </w:p>
    <w:p>
      <w:pPr>
        <w:pStyle w:val="Übersicht"/>
        <w:ind w:left="680"/>
      </w:pPr>
      <w:hyperlink w:anchor="b639" w:history="1">
        <w:r>
          <w:rPr>
            <w:color w:val="0A3A8C"/>
            <w:u w:val="single"/>
          </w:rPr>
          <w:t xml:space="preserve">§ 475 Haftung für Verlust oder Beschädigung</w:t>
        </w:r>
      </w:hyperlink>
    </w:p>
    <w:p>
      <w:pPr>
        <w:pStyle w:val="Übersicht"/>
        <w:ind w:left="680"/>
      </w:pPr>
      <w:hyperlink w:anchor="b640" w:history="1">
        <w:r>
          <w:rPr>
            <w:color w:val="0A3A8C"/>
            <w:u w:val="single"/>
          </w:rPr>
          <w:t xml:space="preserve">§ 475a Verjährung</w:t>
        </w:r>
      </w:hyperlink>
    </w:p>
    <w:p>
      <w:pPr>
        <w:pStyle w:val="Übersicht"/>
        <w:ind w:left="680"/>
      </w:pPr>
      <w:hyperlink w:anchor="b641" w:history="1">
        <w:r>
          <w:rPr>
            <w:color w:val="0A3A8C"/>
            <w:u w:val="single"/>
          </w:rPr>
          <w:t xml:space="preserve">§ 475b Pfandrecht des Lagerhalters</w:t>
        </w:r>
      </w:hyperlink>
    </w:p>
    <w:p>
      <w:pPr>
        <w:pStyle w:val="Übersicht"/>
        <w:ind w:left="680"/>
      </w:pPr>
      <w:hyperlink w:anchor="b642" w:history="1">
        <w:r>
          <w:rPr>
            <w:color w:val="0A3A8C"/>
            <w:u w:val="single"/>
          </w:rPr>
          <w:t xml:space="preserve">§ 475c Lagerschein. Verordnungsermächtigung</w:t>
        </w:r>
      </w:hyperlink>
    </w:p>
    <w:p>
      <w:pPr>
        <w:pStyle w:val="Übersicht"/>
        <w:ind w:left="680"/>
      </w:pPr>
      <w:hyperlink w:anchor="b643" w:history="1">
        <w:r>
          <w:rPr>
            <w:color w:val="0A3A8C"/>
            <w:u w:val="single"/>
          </w:rPr>
          <w:t xml:space="preserve">§ 475d Wirkung des Lagerscheins. Legitimation</w:t>
        </w:r>
      </w:hyperlink>
    </w:p>
    <w:p>
      <w:pPr>
        <w:pStyle w:val="Übersicht"/>
        <w:ind w:left="680"/>
      </w:pPr>
      <w:hyperlink w:anchor="b644" w:history="1">
        <w:r>
          <w:rPr>
            <w:color w:val="0A3A8C"/>
            <w:u w:val="single"/>
          </w:rPr>
          <w:t xml:space="preserve">§ 475e Auslieferung gegen Rückgabe des Lagerscheins</w:t>
        </w:r>
      </w:hyperlink>
    </w:p>
    <w:p>
      <w:pPr>
        <w:pStyle w:val="Übersicht"/>
        <w:ind w:left="680"/>
      </w:pPr>
      <w:hyperlink w:anchor="b645" w:history="1">
        <w:r>
          <w:rPr>
            <w:color w:val="0A3A8C"/>
            <w:u w:val="single"/>
          </w:rPr>
          <w:t xml:space="preserve">§ 475f Einwendungen</w:t>
        </w:r>
      </w:hyperlink>
    </w:p>
    <w:p>
      <w:pPr>
        <w:pStyle w:val="Übersicht"/>
        <w:ind w:left="680"/>
      </w:pPr>
      <w:hyperlink w:anchor="b646" w:history="1">
        <w:r>
          <w:rPr>
            <w:color w:val="0A3A8C"/>
            <w:u w:val="single"/>
          </w:rPr>
          <w:t xml:space="preserve">§ 475g Traditionswirkung des Lagerscheins</w:t>
        </w:r>
      </w:hyperlink>
    </w:p>
    <w:p>
      <w:pPr>
        <w:pStyle w:val="Übersicht"/>
        <w:ind w:left="680"/>
      </w:pPr>
      <w:hyperlink w:anchor="b647" w:history="1">
        <w:r>
          <w:rPr>
            <w:color w:val="0A3A8C"/>
            <w:u w:val="single"/>
          </w:rPr>
          <w:t xml:space="preserve">§ 475h Abweichende Vereinbarungen</w:t>
        </w:r>
      </w:hyperlink>
    </w:p>
    <w:p>
      <w:pPr>
        <w:pStyle w:val="Übersicht"/>
        <w:ind w:left="0"/>
      </w:pPr>
      <w:hyperlink w:anchor="b648" w:history="1">
        <w:r>
          <w:rPr>
            <w:b/>
            <w:color w:val="0A3A8C"/>
            <w:u w:val="single"/>
          </w:rPr>
          <w:t xml:space="preserve">Fünftes Buch Seehandel</w:t>
        </w:r>
      </w:hyperlink>
    </w:p>
    <w:p>
      <w:pPr>
        <w:pStyle w:val="Übersicht"/>
        <w:ind w:left="340"/>
      </w:pPr>
      <w:hyperlink w:anchor="b649" w:history="1">
        <w:r>
          <w:rPr>
            <w:b/>
            <w:color w:val="0A3A8C"/>
            <w:u w:val="single"/>
          </w:rPr>
          <w:t xml:space="preserve">Erster Abschnitt Personen der Schifffahrt</w:t>
        </w:r>
      </w:hyperlink>
    </w:p>
    <w:p>
      <w:pPr>
        <w:pStyle w:val="Übersicht"/>
        <w:ind w:left="680"/>
      </w:pPr>
      <w:hyperlink w:anchor="b650" w:history="1">
        <w:r>
          <w:rPr>
            <w:color w:val="0A3A8C"/>
            <w:u w:val="single"/>
          </w:rPr>
          <w:t xml:space="preserve">§ 476 Reeder</w:t>
        </w:r>
      </w:hyperlink>
    </w:p>
    <w:p>
      <w:pPr>
        <w:pStyle w:val="Übersicht"/>
        <w:ind w:left="680"/>
      </w:pPr>
      <w:hyperlink w:anchor="b651" w:history="1">
        <w:r>
          <w:rPr>
            <w:color w:val="0A3A8C"/>
            <w:u w:val="single"/>
          </w:rPr>
          <w:t xml:space="preserve">§ 477 Ausrüster</w:t>
        </w:r>
      </w:hyperlink>
    </w:p>
    <w:p>
      <w:pPr>
        <w:pStyle w:val="Übersicht"/>
        <w:ind w:left="680"/>
      </w:pPr>
      <w:hyperlink w:anchor="b652" w:history="1">
        <w:r>
          <w:rPr>
            <w:color w:val="0A3A8C"/>
            <w:u w:val="single"/>
          </w:rPr>
          <w:t xml:space="preserve">§ 478 Schiffsbesatzung</w:t>
        </w:r>
      </w:hyperlink>
    </w:p>
    <w:p>
      <w:pPr>
        <w:pStyle w:val="Übersicht"/>
        <w:ind w:left="680"/>
      </w:pPr>
      <w:hyperlink w:anchor="b653" w:history="1">
        <w:r>
          <w:rPr>
            <w:color w:val="0A3A8C"/>
            <w:u w:val="single"/>
          </w:rPr>
          <w:t xml:space="preserve">§ 479 Rechte des Kapitäns. Tagebuch</w:t>
        </w:r>
      </w:hyperlink>
    </w:p>
    <w:p>
      <w:pPr>
        <w:pStyle w:val="Übersicht"/>
        <w:ind w:left="680"/>
      </w:pPr>
      <w:hyperlink w:anchor="b654" w:history="1">
        <w:r>
          <w:rPr>
            <w:color w:val="0A3A8C"/>
            <w:u w:val="single"/>
          </w:rPr>
          <w:t xml:space="preserve">§ 480 Verantwortlichkeit des Reeders für Schiffsbesatzung und Lotsen</w:t>
        </w:r>
      </w:hyperlink>
    </w:p>
    <w:p>
      <w:pPr>
        <w:pStyle w:val="Übersicht"/>
        <w:ind w:left="340"/>
      </w:pPr>
      <w:hyperlink w:anchor="b655" w:history="1">
        <w:r>
          <w:rPr>
            <w:b/>
            <w:color w:val="0A3A8C"/>
            <w:u w:val="single"/>
          </w:rPr>
          <w:t xml:space="preserve">Zweiter Abschnitt Beförderungsverträge</w:t>
        </w:r>
      </w:hyperlink>
    </w:p>
    <w:p>
      <w:pPr>
        <w:pStyle w:val="Übersicht"/>
        <w:ind w:left="680"/>
      </w:pPr>
      <w:hyperlink w:anchor="b656" w:history="1">
        <w:r>
          <w:rPr>
            <w:b/>
            <w:color w:val="0A3A8C"/>
            <w:u w:val="single"/>
          </w:rPr>
          <w:t xml:space="preserve">Erster Unterabschnitt Seefrachtverträge</w:t>
        </w:r>
      </w:hyperlink>
    </w:p>
    <w:p>
      <w:pPr>
        <w:pStyle w:val="Übersicht"/>
        <w:ind w:left="1020"/>
      </w:pPr>
      <w:hyperlink w:anchor="b657" w:history="1">
        <w:r>
          <w:rPr>
            <w:b/>
            <w:color w:val="0A3A8C"/>
            <w:u w:val="single"/>
          </w:rPr>
          <w:t xml:space="preserve">Erster Titel Stückgutfrachtvertrag</w:t>
        </w:r>
      </w:hyperlink>
    </w:p>
    <w:p>
      <w:pPr>
        <w:pStyle w:val="Übersicht"/>
        <w:ind w:left="1361"/>
      </w:pPr>
      <w:hyperlink w:anchor="b658" w:history="1">
        <w:r>
          <w:rPr>
            <w:b/>
            <w:color w:val="0A3A8C"/>
            <w:u w:val="single"/>
          </w:rPr>
          <w:t xml:space="preserve">Erster Untertitel Allgemeine Vorschriften</w:t>
        </w:r>
      </w:hyperlink>
    </w:p>
    <w:p>
      <w:pPr>
        <w:pStyle w:val="Übersicht"/>
        <w:ind w:left="1701"/>
      </w:pPr>
      <w:hyperlink w:anchor="b659" w:history="1">
        <w:r>
          <w:rPr>
            <w:color w:val="0A3A8C"/>
            <w:u w:val="single"/>
          </w:rPr>
          <w:t xml:space="preserve">§ 481 Hauptpflichten. Anwendungsbereich</w:t>
        </w:r>
      </w:hyperlink>
    </w:p>
    <w:p>
      <w:pPr>
        <w:pStyle w:val="Übersicht"/>
        <w:ind w:left="1701"/>
      </w:pPr>
      <w:hyperlink w:anchor="b660" w:history="1">
        <w:r>
          <w:rPr>
            <w:color w:val="0A3A8C"/>
            <w:u w:val="single"/>
          </w:rPr>
          <w:t xml:space="preserve">§ 482 Allgemeine Angaben zum Gut</w:t>
        </w:r>
      </w:hyperlink>
    </w:p>
    <w:p>
      <w:pPr>
        <w:pStyle w:val="Übersicht"/>
        <w:ind w:left="1701"/>
      </w:pPr>
      <w:hyperlink w:anchor="b661" w:history="1">
        <w:r>
          <w:rPr>
            <w:color w:val="0A3A8C"/>
            <w:u w:val="single"/>
          </w:rPr>
          <w:t xml:space="preserve">§ 483 Gefährliches Gut</w:t>
        </w:r>
      </w:hyperlink>
    </w:p>
    <w:p>
      <w:pPr>
        <w:pStyle w:val="Übersicht"/>
        <w:ind w:left="1701"/>
      </w:pPr>
      <w:hyperlink w:anchor="b662" w:history="1">
        <w:r>
          <w:rPr>
            <w:color w:val="0A3A8C"/>
            <w:u w:val="single"/>
          </w:rPr>
          <w:t xml:space="preserve">§ 484 Verpackung. Kennzeichnung</w:t>
        </w:r>
      </w:hyperlink>
    </w:p>
    <w:p>
      <w:pPr>
        <w:pStyle w:val="Übersicht"/>
        <w:ind w:left="1701"/>
      </w:pPr>
      <w:hyperlink w:anchor="b663" w:history="1">
        <w:r>
          <w:rPr>
            <w:color w:val="0A3A8C"/>
            <w:u w:val="single"/>
          </w:rPr>
          <w:t xml:space="preserve">§ 485 See- und Ladungstüchtigkeit</w:t>
        </w:r>
      </w:hyperlink>
    </w:p>
    <w:p>
      <w:pPr>
        <w:pStyle w:val="Übersicht"/>
        <w:ind w:left="1701"/>
      </w:pPr>
      <w:hyperlink w:anchor="b664" w:history="1">
        <w:r>
          <w:rPr>
            <w:color w:val="0A3A8C"/>
            <w:u w:val="single"/>
          </w:rPr>
          <w:t xml:space="preserve">§ 486 Abladen. Verladen. Umladen. Löschen</w:t>
        </w:r>
      </w:hyperlink>
    </w:p>
    <w:p>
      <w:pPr>
        <w:pStyle w:val="Übersicht"/>
        <w:ind w:left="1701"/>
      </w:pPr>
      <w:hyperlink w:anchor="b665" w:history="1">
        <w:r>
          <w:rPr>
            <w:color w:val="0A3A8C"/>
            <w:u w:val="single"/>
          </w:rPr>
          <w:t xml:space="preserve">§ 487 Begleitpapiere</w:t>
        </w:r>
      </w:hyperlink>
    </w:p>
    <w:p>
      <w:pPr>
        <w:pStyle w:val="Übersicht"/>
        <w:ind w:left="1701"/>
      </w:pPr>
      <w:hyperlink w:anchor="b666" w:history="1">
        <w:r>
          <w:rPr>
            <w:color w:val="0A3A8C"/>
            <w:u w:val="single"/>
          </w:rPr>
          <w:t xml:space="preserve">§ 488 Haftung des Befrachters und Dritter</w:t>
        </w:r>
      </w:hyperlink>
    </w:p>
    <w:p>
      <w:pPr>
        <w:pStyle w:val="Übersicht"/>
        <w:ind w:left="1701"/>
      </w:pPr>
      <w:hyperlink w:anchor="b667" w:history="1">
        <w:r>
          <w:rPr>
            <w:color w:val="0A3A8C"/>
            <w:u w:val="single"/>
          </w:rPr>
          <w:t xml:space="preserve">§ 489 Kündigung durch den Befrachter</w:t>
        </w:r>
      </w:hyperlink>
    </w:p>
    <w:p>
      <w:pPr>
        <w:pStyle w:val="Übersicht"/>
        <w:ind w:left="1701"/>
      </w:pPr>
      <w:hyperlink w:anchor="b668" w:history="1">
        <w:r>
          <w:rPr>
            <w:color w:val="0A3A8C"/>
            <w:u w:val="single"/>
          </w:rPr>
          <w:t xml:space="preserve">§ 490 Rechte des Verfrachters bei säumiger Abladung</w:t>
        </w:r>
      </w:hyperlink>
    </w:p>
    <w:p>
      <w:pPr>
        <w:pStyle w:val="Übersicht"/>
        <w:ind w:left="1701"/>
      </w:pPr>
      <w:hyperlink w:anchor="b669" w:history="1">
        <w:r>
          <w:rPr>
            <w:color w:val="0A3A8C"/>
            <w:u w:val="single"/>
          </w:rPr>
          <w:t xml:space="preserve">§ 491 Nachträgliche Weisungen</w:t>
        </w:r>
      </w:hyperlink>
    </w:p>
    <w:p>
      <w:pPr>
        <w:pStyle w:val="Übersicht"/>
        <w:ind w:left="1701"/>
      </w:pPr>
      <w:hyperlink w:anchor="b670" w:history="1">
        <w:r>
          <w:rPr>
            <w:color w:val="0A3A8C"/>
            <w:u w:val="single"/>
          </w:rPr>
          <w:t xml:space="preserve">§ 492 Beförderungs- und Ablieferungshindernisse</w:t>
        </w:r>
      </w:hyperlink>
    </w:p>
    <w:p>
      <w:pPr>
        <w:pStyle w:val="Übersicht"/>
        <w:ind w:left="1701"/>
      </w:pPr>
      <w:hyperlink w:anchor="b671" w:history="1">
        <w:r>
          <w:rPr>
            <w:color w:val="0A3A8C"/>
            <w:u w:val="single"/>
          </w:rPr>
          <w:t xml:space="preserve">§ 493 Zahlung. Frachtberechnung</w:t>
        </w:r>
      </w:hyperlink>
    </w:p>
    <w:p>
      <w:pPr>
        <w:pStyle w:val="Übersicht"/>
        <w:ind w:left="1701"/>
      </w:pPr>
      <w:hyperlink w:anchor="b672" w:history="1">
        <w:r>
          <w:rPr>
            <w:color w:val="0A3A8C"/>
            <w:u w:val="single"/>
          </w:rPr>
          <w:t xml:space="preserve">§ 494 Rechte des Empfängers. Zahlungspflicht</w:t>
        </w:r>
      </w:hyperlink>
    </w:p>
    <w:p>
      <w:pPr>
        <w:pStyle w:val="Übersicht"/>
        <w:ind w:left="1701"/>
      </w:pPr>
      <w:hyperlink w:anchor="b673" w:history="1">
        <w:r>
          <w:rPr>
            <w:color w:val="0A3A8C"/>
            <w:u w:val="single"/>
          </w:rPr>
          <w:t xml:space="preserve">§ 495 Pfandrecht des Verfrachters</w:t>
        </w:r>
      </w:hyperlink>
    </w:p>
    <w:p>
      <w:pPr>
        <w:pStyle w:val="Übersicht"/>
        <w:ind w:left="1701"/>
      </w:pPr>
      <w:hyperlink w:anchor="b674" w:history="1">
        <w:r>
          <w:rPr>
            <w:color w:val="0A3A8C"/>
            <w:u w:val="single"/>
          </w:rPr>
          <w:t xml:space="preserve">§ 496 Nachfolgender Verfrachter</w:t>
        </w:r>
      </w:hyperlink>
    </w:p>
    <w:p>
      <w:pPr>
        <w:pStyle w:val="Übersicht"/>
        <w:ind w:left="1701"/>
      </w:pPr>
      <w:hyperlink w:anchor="b675" w:history="1">
        <w:r>
          <w:rPr>
            <w:color w:val="0A3A8C"/>
            <w:u w:val="single"/>
          </w:rPr>
          <w:t xml:space="preserve">§ 497 Rang mehrerer Pfandrechte</w:t>
        </w:r>
      </w:hyperlink>
    </w:p>
    <w:p>
      <w:pPr>
        <w:pStyle w:val="Übersicht"/>
        <w:ind w:left="1361"/>
      </w:pPr>
      <w:hyperlink w:anchor="b676" w:history="1">
        <w:r>
          <w:rPr>
            <w:b/>
            <w:color w:val="0A3A8C"/>
            <w:u w:val="single"/>
          </w:rPr>
          <w:t xml:space="preserve">Zweiter Untertitel Haftung wegen Verlust oder Beschädigung des Gutes</w:t>
        </w:r>
      </w:hyperlink>
    </w:p>
    <w:p>
      <w:pPr>
        <w:pStyle w:val="Übersicht"/>
        <w:ind w:left="1701"/>
      </w:pPr>
      <w:hyperlink w:anchor="b677" w:history="1">
        <w:r>
          <w:rPr>
            <w:color w:val="0A3A8C"/>
            <w:u w:val="single"/>
          </w:rPr>
          <w:t xml:space="preserve">§ 498 Haftungsgrund</w:t>
        </w:r>
      </w:hyperlink>
    </w:p>
    <w:p>
      <w:pPr>
        <w:pStyle w:val="Übersicht"/>
        <w:ind w:left="1701"/>
      </w:pPr>
      <w:hyperlink w:anchor="b678" w:history="1">
        <w:r>
          <w:rPr>
            <w:color w:val="0A3A8C"/>
            <w:u w:val="single"/>
          </w:rPr>
          <w:t xml:space="preserve">§ 499 Besondere Schadensursachen</w:t>
        </w:r>
      </w:hyperlink>
    </w:p>
    <w:p>
      <w:pPr>
        <w:pStyle w:val="Übersicht"/>
        <w:ind w:left="1701"/>
      </w:pPr>
      <w:hyperlink w:anchor="b679" w:history="1">
        <w:r>
          <w:rPr>
            <w:color w:val="0A3A8C"/>
            <w:u w:val="single"/>
          </w:rPr>
          <w:t xml:space="preserve">§ 500 Unerlaubte Verladung auf Deck</w:t>
        </w:r>
      </w:hyperlink>
    </w:p>
    <w:p>
      <w:pPr>
        <w:pStyle w:val="Übersicht"/>
        <w:ind w:left="1701"/>
      </w:pPr>
      <w:hyperlink w:anchor="b680" w:history="1">
        <w:r>
          <w:rPr>
            <w:color w:val="0A3A8C"/>
            <w:u w:val="single"/>
          </w:rPr>
          <w:t xml:space="preserve">§ 501 Haftung für andere</w:t>
        </w:r>
      </w:hyperlink>
    </w:p>
    <w:p>
      <w:pPr>
        <w:pStyle w:val="Übersicht"/>
        <w:ind w:left="1701"/>
      </w:pPr>
      <w:hyperlink w:anchor="b681" w:history="1">
        <w:r>
          <w:rPr>
            <w:color w:val="0A3A8C"/>
            <w:u w:val="single"/>
          </w:rPr>
          <w:t xml:space="preserve">§ 502 Wertersatz</w:t>
        </w:r>
      </w:hyperlink>
    </w:p>
    <w:p>
      <w:pPr>
        <w:pStyle w:val="Übersicht"/>
        <w:ind w:left="1701"/>
      </w:pPr>
      <w:hyperlink w:anchor="b682" w:history="1">
        <w:r>
          <w:rPr>
            <w:color w:val="0A3A8C"/>
            <w:u w:val="single"/>
          </w:rPr>
          <w:t xml:space="preserve">§ 503 Schadensfeststellungskosten</w:t>
        </w:r>
      </w:hyperlink>
    </w:p>
    <w:p>
      <w:pPr>
        <w:pStyle w:val="Übersicht"/>
        <w:ind w:left="1701"/>
      </w:pPr>
      <w:hyperlink w:anchor="b683" w:history="1">
        <w:r>
          <w:rPr>
            <w:color w:val="0A3A8C"/>
            <w:u w:val="single"/>
          </w:rPr>
          <w:t xml:space="preserve">§ 504 Haftungshöchstbetrag bei Güterschäden</w:t>
        </w:r>
      </w:hyperlink>
    </w:p>
    <w:p>
      <w:pPr>
        <w:pStyle w:val="Übersicht"/>
        <w:ind w:left="1701"/>
      </w:pPr>
      <w:hyperlink w:anchor="b684" w:history="1">
        <w:r>
          <w:rPr>
            <w:color w:val="0A3A8C"/>
            <w:u w:val="single"/>
          </w:rPr>
          <w:t xml:space="preserve">§ 505 Rechnungseinheit</w:t>
        </w:r>
      </w:hyperlink>
    </w:p>
    <w:p>
      <w:pPr>
        <w:pStyle w:val="Übersicht"/>
        <w:ind w:left="1701"/>
      </w:pPr>
      <w:hyperlink w:anchor="b685" w:history="1">
        <w:r>
          <w:rPr>
            <w:color w:val="0A3A8C"/>
            <w:u w:val="single"/>
          </w:rPr>
          <w:t xml:space="preserve">§ 506 Außervertragliche Ansprüche</w:t>
        </w:r>
      </w:hyperlink>
    </w:p>
    <w:p>
      <w:pPr>
        <w:pStyle w:val="Übersicht"/>
        <w:ind w:left="1701"/>
      </w:pPr>
      <w:hyperlink w:anchor="b686" w:history="1">
        <w:r>
          <w:rPr>
            <w:color w:val="0A3A8C"/>
            <w:u w:val="single"/>
          </w:rPr>
          <w:t xml:space="preserve">§ 507 Wegfall der Haftungsbefreiungen und -begrenzungen</w:t>
        </w:r>
      </w:hyperlink>
    </w:p>
    <w:p>
      <w:pPr>
        <w:pStyle w:val="Übersicht"/>
        <w:ind w:left="1701"/>
      </w:pPr>
      <w:hyperlink w:anchor="b687" w:history="1">
        <w:r>
          <w:rPr>
            <w:color w:val="0A3A8C"/>
            <w:u w:val="single"/>
          </w:rPr>
          <w:t xml:space="preserve">§ 508 Haftung der Leute und der Schiffsbesatzung</w:t>
        </w:r>
      </w:hyperlink>
    </w:p>
    <w:p>
      <w:pPr>
        <w:pStyle w:val="Übersicht"/>
        <w:ind w:left="1701"/>
      </w:pPr>
      <w:hyperlink w:anchor="b688" w:history="1">
        <w:r>
          <w:rPr>
            <w:color w:val="0A3A8C"/>
            <w:u w:val="single"/>
          </w:rPr>
          <w:t xml:space="preserve">§ 509 Ausführender Verfrachter</w:t>
        </w:r>
      </w:hyperlink>
    </w:p>
    <w:p>
      <w:pPr>
        <w:pStyle w:val="Übersicht"/>
        <w:ind w:left="1701"/>
      </w:pPr>
      <w:hyperlink w:anchor="b689" w:history="1">
        <w:r>
          <w:rPr>
            <w:color w:val="0A3A8C"/>
            <w:u w:val="single"/>
          </w:rPr>
          <w:t xml:space="preserve">§ 510 Schadensanzeige</w:t>
        </w:r>
      </w:hyperlink>
    </w:p>
    <w:p>
      <w:pPr>
        <w:pStyle w:val="Übersicht"/>
        <w:ind w:left="1701"/>
      </w:pPr>
      <w:hyperlink w:anchor="b690" w:history="1">
        <w:r>
          <w:rPr>
            <w:color w:val="0A3A8C"/>
            <w:u w:val="single"/>
          </w:rPr>
          <w:t xml:space="preserve">§ 511 Verlustvermutung</w:t>
        </w:r>
      </w:hyperlink>
    </w:p>
    <w:p>
      <w:pPr>
        <w:pStyle w:val="Übersicht"/>
        <w:ind w:left="1701"/>
      </w:pPr>
      <w:hyperlink w:anchor="b691" w:history="1">
        <w:r>
          <w:rPr>
            <w:color w:val="0A3A8C"/>
            <w:u w:val="single"/>
          </w:rPr>
          <w:t xml:space="preserve">§ 512 Abweichende Vereinbarungen</w:t>
        </w:r>
      </w:hyperlink>
    </w:p>
    <w:p>
      <w:pPr>
        <w:pStyle w:val="Übersicht"/>
        <w:ind w:left="1361"/>
      </w:pPr>
      <w:hyperlink w:anchor="b692" w:history="1">
        <w:r>
          <w:rPr>
            <w:b/>
            <w:color w:val="0A3A8C"/>
            <w:u w:val="single"/>
          </w:rPr>
          <w:t xml:space="preserve">Dritter Untertitel Beförderungsdokumente</w:t>
        </w:r>
      </w:hyperlink>
    </w:p>
    <w:p>
      <w:pPr>
        <w:pStyle w:val="Übersicht"/>
        <w:ind w:left="1701"/>
      </w:pPr>
      <w:hyperlink w:anchor="b693" w:history="1">
        <w:r>
          <w:rPr>
            <w:color w:val="0A3A8C"/>
            <w:u w:val="single"/>
          </w:rPr>
          <w:t xml:space="preserve">§ 513 Anspruch auf Ausstellung eines Konnossements</w:t>
        </w:r>
      </w:hyperlink>
    </w:p>
    <w:p>
      <w:pPr>
        <w:pStyle w:val="Übersicht"/>
        <w:ind w:left="1701"/>
      </w:pPr>
      <w:hyperlink w:anchor="b694" w:history="1">
        <w:r>
          <w:rPr>
            <w:color w:val="0A3A8C"/>
            <w:u w:val="single"/>
          </w:rPr>
          <w:t xml:space="preserve">§ 514 Bord- und Übernahmekonnossement</w:t>
        </w:r>
      </w:hyperlink>
    </w:p>
    <w:p>
      <w:pPr>
        <w:pStyle w:val="Übersicht"/>
        <w:ind w:left="1701"/>
      </w:pPr>
      <w:hyperlink w:anchor="b695" w:history="1">
        <w:r>
          <w:rPr>
            <w:color w:val="0A3A8C"/>
            <w:u w:val="single"/>
          </w:rPr>
          <w:t xml:space="preserve">§ 515 Inhalt des Konnossements</w:t>
        </w:r>
      </w:hyperlink>
    </w:p>
    <w:p>
      <w:pPr>
        <w:pStyle w:val="Übersicht"/>
        <w:ind w:left="1701"/>
      </w:pPr>
      <w:hyperlink w:anchor="b696" w:history="1">
        <w:r>
          <w:rPr>
            <w:color w:val="0A3A8C"/>
            <w:u w:val="single"/>
          </w:rPr>
          <w:t xml:space="preserve">§ 516 Form des Konnossements. Verordnungsermächtigung</w:t>
        </w:r>
      </w:hyperlink>
    </w:p>
    <w:p>
      <w:pPr>
        <w:pStyle w:val="Übersicht"/>
        <w:ind w:left="1701"/>
      </w:pPr>
      <w:hyperlink w:anchor="b697" w:history="1">
        <w:r>
          <w:rPr>
            <w:color w:val="0A3A8C"/>
            <w:u w:val="single"/>
          </w:rPr>
          <w:t xml:space="preserve">§ 517 Beweiskraft des Konnossements</w:t>
        </w:r>
      </w:hyperlink>
    </w:p>
    <w:p>
      <w:pPr>
        <w:pStyle w:val="Übersicht"/>
        <w:ind w:left="1701"/>
      </w:pPr>
      <w:hyperlink w:anchor="b698" w:history="1">
        <w:r>
          <w:rPr>
            <w:color w:val="0A3A8C"/>
            <w:u w:val="single"/>
          </w:rPr>
          <w:t xml:space="preserve">§ 518 Stellung des Reeders bei mangelhafter Verfrachterangabe</w:t>
        </w:r>
      </w:hyperlink>
    </w:p>
    <w:p>
      <w:pPr>
        <w:pStyle w:val="Übersicht"/>
        <w:ind w:left="1701"/>
      </w:pPr>
      <w:hyperlink w:anchor="b699" w:history="1">
        <w:r>
          <w:rPr>
            <w:color w:val="0A3A8C"/>
            <w:u w:val="single"/>
          </w:rPr>
          <w:t xml:space="preserve">§ 519 Berechtigung aus dem Konnossement. Legitimation</w:t>
        </w:r>
      </w:hyperlink>
    </w:p>
    <w:p>
      <w:pPr>
        <w:pStyle w:val="Übersicht"/>
        <w:ind w:left="1701"/>
      </w:pPr>
      <w:hyperlink w:anchor="b700" w:history="1">
        <w:r>
          <w:rPr>
            <w:color w:val="0A3A8C"/>
            <w:u w:val="single"/>
          </w:rPr>
          <w:t xml:space="preserve">§ 520 Befolgung von Weisungen</w:t>
        </w:r>
      </w:hyperlink>
    </w:p>
    <w:p>
      <w:pPr>
        <w:pStyle w:val="Übersicht"/>
        <w:ind w:left="1701"/>
      </w:pPr>
      <w:hyperlink w:anchor="b701" w:history="1">
        <w:r>
          <w:rPr>
            <w:color w:val="0A3A8C"/>
            <w:u w:val="single"/>
          </w:rPr>
          <w:t xml:space="preserve">§ 521 Ablieferung gegen Rückgabe des Konnossements</w:t>
        </w:r>
      </w:hyperlink>
    </w:p>
    <w:p>
      <w:pPr>
        <w:pStyle w:val="Übersicht"/>
        <w:ind w:left="1701"/>
      </w:pPr>
      <w:hyperlink w:anchor="b702" w:history="1">
        <w:r>
          <w:rPr>
            <w:color w:val="0A3A8C"/>
            <w:u w:val="single"/>
          </w:rPr>
          <w:t xml:space="preserve">§ 522 Einwendungen</w:t>
        </w:r>
      </w:hyperlink>
    </w:p>
    <w:p>
      <w:pPr>
        <w:pStyle w:val="Übersicht"/>
        <w:ind w:left="1701"/>
      </w:pPr>
      <w:hyperlink w:anchor="b703" w:history="1">
        <w:r>
          <w:rPr>
            <w:color w:val="0A3A8C"/>
            <w:u w:val="single"/>
          </w:rPr>
          <w:t xml:space="preserve">§ 523 Haftung für unrichtige Konnossementsangaben</w:t>
        </w:r>
      </w:hyperlink>
    </w:p>
    <w:p>
      <w:pPr>
        <w:pStyle w:val="Übersicht"/>
        <w:ind w:left="1701"/>
      </w:pPr>
      <w:hyperlink w:anchor="b704" w:history="1">
        <w:r>
          <w:rPr>
            <w:color w:val="0A3A8C"/>
            <w:u w:val="single"/>
          </w:rPr>
          <w:t xml:space="preserve">§ 524 Traditionswirkung des Konnossements</w:t>
        </w:r>
      </w:hyperlink>
    </w:p>
    <w:p>
      <w:pPr>
        <w:pStyle w:val="Übersicht"/>
        <w:ind w:left="1701"/>
      </w:pPr>
      <w:hyperlink w:anchor="b705" w:history="1">
        <w:r>
          <w:rPr>
            <w:color w:val="0A3A8C"/>
            <w:u w:val="single"/>
          </w:rPr>
          <w:t xml:space="preserve">§ 525 Abweichende Bestimmung im Konnossement</w:t>
        </w:r>
      </w:hyperlink>
    </w:p>
    <w:p>
      <w:pPr>
        <w:pStyle w:val="Übersicht"/>
        <w:ind w:left="1701"/>
      </w:pPr>
      <w:hyperlink w:anchor="b706" w:history="1">
        <w:r>
          <w:rPr>
            <w:color w:val="0A3A8C"/>
            <w:u w:val="single"/>
          </w:rPr>
          <w:t xml:space="preserve">§ 526 Seefrachtbrief. Verordnungsermächtigung</w:t>
        </w:r>
      </w:hyperlink>
    </w:p>
    <w:p>
      <w:pPr>
        <w:pStyle w:val="Übersicht"/>
        <w:ind w:left="1020"/>
      </w:pPr>
      <w:hyperlink w:anchor="b707" w:history="1">
        <w:r>
          <w:rPr>
            <w:b/>
            <w:color w:val="0A3A8C"/>
            <w:u w:val="single"/>
          </w:rPr>
          <w:t xml:space="preserve">Zweiter Titel Reisefrachtvertrag</w:t>
        </w:r>
      </w:hyperlink>
    </w:p>
    <w:p>
      <w:pPr>
        <w:pStyle w:val="Übersicht"/>
        <w:ind w:left="1361"/>
      </w:pPr>
      <w:hyperlink w:anchor="b708" w:history="1">
        <w:r>
          <w:rPr>
            <w:color w:val="0A3A8C"/>
            <w:u w:val="single"/>
          </w:rPr>
          <w:t xml:space="preserve">§ 527 Reisefrachtvertrag</w:t>
        </w:r>
      </w:hyperlink>
    </w:p>
    <w:p>
      <w:pPr>
        <w:pStyle w:val="Übersicht"/>
        <w:ind w:left="1361"/>
      </w:pPr>
      <w:hyperlink w:anchor="b709" w:history="1">
        <w:r>
          <w:rPr>
            <w:color w:val="0A3A8C"/>
            <w:u w:val="single"/>
          </w:rPr>
          <w:t xml:space="preserve">§ 528 Ladehafen. Ladeplatz</w:t>
        </w:r>
      </w:hyperlink>
    </w:p>
    <w:p>
      <w:pPr>
        <w:pStyle w:val="Übersicht"/>
        <w:ind w:left="1361"/>
      </w:pPr>
      <w:hyperlink w:anchor="b710" w:history="1">
        <w:r>
          <w:rPr>
            <w:color w:val="0A3A8C"/>
            <w:u w:val="single"/>
          </w:rPr>
          <w:t xml:space="preserve">§ 529 Anzeige der Ladebereitschaft</w:t>
        </w:r>
      </w:hyperlink>
    </w:p>
    <w:p>
      <w:pPr>
        <w:pStyle w:val="Übersicht"/>
        <w:ind w:left="1361"/>
      </w:pPr>
      <w:hyperlink w:anchor="b711" w:history="1">
        <w:r>
          <w:rPr>
            <w:color w:val="0A3A8C"/>
            <w:u w:val="single"/>
          </w:rPr>
          <w:t xml:space="preserve">§ 530 Ladezeit. Überliegezeit</w:t>
        </w:r>
      </w:hyperlink>
    </w:p>
    <w:p>
      <w:pPr>
        <w:pStyle w:val="Übersicht"/>
        <w:ind w:left="1361"/>
      </w:pPr>
      <w:hyperlink w:anchor="b712" w:history="1">
        <w:r>
          <w:rPr>
            <w:color w:val="0A3A8C"/>
            <w:u w:val="single"/>
          </w:rPr>
          <w:t xml:space="preserve">§ 531 Verladen</w:t>
        </w:r>
      </w:hyperlink>
    </w:p>
    <w:p>
      <w:pPr>
        <w:pStyle w:val="Übersicht"/>
        <w:ind w:left="1361"/>
      </w:pPr>
      <w:hyperlink w:anchor="b713" w:history="1">
        <w:r>
          <w:rPr>
            <w:color w:val="0A3A8C"/>
            <w:u w:val="single"/>
          </w:rPr>
          <w:t xml:space="preserve">§ 532 Kündigung durch den Befrachter</w:t>
        </w:r>
      </w:hyperlink>
    </w:p>
    <w:p>
      <w:pPr>
        <w:pStyle w:val="Übersicht"/>
        <w:ind w:left="1361"/>
      </w:pPr>
      <w:hyperlink w:anchor="b714" w:history="1">
        <w:r>
          <w:rPr>
            <w:color w:val="0A3A8C"/>
            <w:u w:val="single"/>
          </w:rPr>
          <w:t xml:space="preserve">§ 533 Teilbeförderung</w:t>
        </w:r>
      </w:hyperlink>
    </w:p>
    <w:p>
      <w:pPr>
        <w:pStyle w:val="Übersicht"/>
        <w:ind w:left="1361"/>
      </w:pPr>
      <w:hyperlink w:anchor="b715" w:history="1">
        <w:r>
          <w:rPr>
            <w:color w:val="0A3A8C"/>
            <w:u w:val="single"/>
          </w:rPr>
          <w:t xml:space="preserve">§ 534 Kündigung durch den Verfrachter</w:t>
        </w:r>
      </w:hyperlink>
    </w:p>
    <w:p>
      <w:pPr>
        <w:pStyle w:val="Übersicht"/>
        <w:ind w:left="1361"/>
      </w:pPr>
      <w:hyperlink w:anchor="b716" w:history="1">
        <w:r>
          <w:rPr>
            <w:color w:val="0A3A8C"/>
            <w:u w:val="single"/>
          </w:rPr>
          <w:t xml:space="preserve">§ 535 Löschen</w:t>
        </w:r>
      </w:hyperlink>
    </w:p>
    <w:p>
      <w:pPr>
        <w:pStyle w:val="Übersicht"/>
        <w:ind w:left="680"/>
      </w:pPr>
      <w:hyperlink w:anchor="b717" w:history="1">
        <w:r>
          <w:rPr>
            <w:b/>
            <w:color w:val="0A3A8C"/>
            <w:u w:val="single"/>
          </w:rPr>
          <w:t xml:space="preserve">Zweiter Unterabschnitt Personenbeförderungsverträge</w:t>
        </w:r>
      </w:hyperlink>
    </w:p>
    <w:p>
      <w:pPr>
        <w:pStyle w:val="Übersicht"/>
        <w:ind w:left="1020"/>
      </w:pPr>
      <w:hyperlink w:anchor="b718" w:history="1">
        <w:r>
          <w:rPr>
            <w:color w:val="0A3A8C"/>
            <w:u w:val="single"/>
          </w:rPr>
          <w:t xml:space="preserve">§ 536 Anwendungsbereich</w:t>
        </w:r>
      </w:hyperlink>
    </w:p>
    <w:p>
      <w:pPr>
        <w:pStyle w:val="Übersicht"/>
        <w:ind w:left="1020"/>
      </w:pPr>
      <w:hyperlink w:anchor="b719" w:history="1">
        <w:r>
          <w:rPr>
            <w:color w:val="0A3A8C"/>
            <w:u w:val="single"/>
          </w:rPr>
          <w:t xml:space="preserve">§ 537 Begriffsbestimmungen</w:t>
        </w:r>
      </w:hyperlink>
    </w:p>
    <w:p>
      <w:pPr>
        <w:pStyle w:val="Übersicht"/>
        <w:ind w:left="1020"/>
      </w:pPr>
      <w:hyperlink w:anchor="b720" w:history="1">
        <w:r>
          <w:rPr>
            <w:color w:val="0A3A8C"/>
            <w:u w:val="single"/>
          </w:rPr>
          <w:t xml:space="preserve">§ 538 Haftung des Beförderers für Personenschäden</w:t>
        </w:r>
      </w:hyperlink>
    </w:p>
    <w:p>
      <w:pPr>
        <w:pStyle w:val="Übersicht"/>
        <w:ind w:left="1020"/>
      </w:pPr>
      <w:hyperlink w:anchor="b721" w:history="1">
        <w:r>
          <w:rPr>
            <w:color w:val="0A3A8C"/>
            <w:u w:val="single"/>
          </w:rPr>
          <w:t xml:space="preserve">§ 539 Haftung des Beförderers für Gepäck- und Verspätungsschäden</w:t>
        </w:r>
      </w:hyperlink>
    </w:p>
    <w:p>
      <w:pPr>
        <w:pStyle w:val="Übersicht"/>
        <w:ind w:left="1020"/>
      </w:pPr>
      <w:hyperlink w:anchor="b722" w:history="1">
        <w:r>
          <w:rPr>
            <w:color w:val="0A3A8C"/>
            <w:u w:val="single"/>
          </w:rPr>
          <w:t xml:space="preserve">§ 540 Haftung für andere</w:t>
        </w:r>
      </w:hyperlink>
    </w:p>
    <w:p>
      <w:pPr>
        <w:pStyle w:val="Übersicht"/>
        <w:ind w:left="1020"/>
      </w:pPr>
      <w:hyperlink w:anchor="b723" w:history="1">
        <w:r>
          <w:rPr>
            <w:color w:val="0A3A8C"/>
            <w:u w:val="single"/>
          </w:rPr>
          <w:t xml:space="preserve">§ 541 Haftungshöchstbetrag bei Personenschäden</w:t>
        </w:r>
      </w:hyperlink>
    </w:p>
    <w:p>
      <w:pPr>
        <w:pStyle w:val="Übersicht"/>
        <w:ind w:left="1020"/>
      </w:pPr>
      <w:hyperlink w:anchor="b724" w:history="1">
        <w:r>
          <w:rPr>
            <w:color w:val="0A3A8C"/>
            <w:u w:val="single"/>
          </w:rPr>
          <w:t xml:space="preserve">§ 542 Haftungshöchstbetrag bei Gepäck- und Verspätungsschäden</w:t>
        </w:r>
      </w:hyperlink>
    </w:p>
    <w:p>
      <w:pPr>
        <w:pStyle w:val="Übersicht"/>
        <w:ind w:left="1020"/>
      </w:pPr>
      <w:hyperlink w:anchor="b725" w:history="1">
        <w:r>
          <w:rPr>
            <w:color w:val="0A3A8C"/>
            <w:u w:val="single"/>
          </w:rPr>
          <w:t xml:space="preserve">§ 543 Zinsen und Verfahrenskosten</w:t>
        </w:r>
      </w:hyperlink>
    </w:p>
    <w:p>
      <w:pPr>
        <w:pStyle w:val="Übersicht"/>
        <w:ind w:left="1020"/>
      </w:pPr>
      <w:hyperlink w:anchor="b726" w:history="1">
        <w:r>
          <w:rPr>
            <w:color w:val="0A3A8C"/>
            <w:u w:val="single"/>
          </w:rPr>
          <w:t xml:space="preserve">§ 544 Rechnungseinheit</w:t>
        </w:r>
      </w:hyperlink>
    </w:p>
    <w:p>
      <w:pPr>
        <w:pStyle w:val="Übersicht"/>
        <w:ind w:left="1020"/>
      </w:pPr>
      <w:hyperlink w:anchor="b727" w:history="1">
        <w:r>
          <w:rPr>
            <w:color w:val="0A3A8C"/>
            <w:u w:val="single"/>
          </w:rPr>
          <w:t xml:space="preserve">§ 545 Wegfall der Haftungsbeschränkung</w:t>
        </w:r>
      </w:hyperlink>
    </w:p>
    <w:p>
      <w:pPr>
        <w:pStyle w:val="Übersicht"/>
        <w:ind w:left="1020"/>
      </w:pPr>
      <w:hyperlink w:anchor="b728" w:history="1">
        <w:r>
          <w:rPr>
            <w:color w:val="0A3A8C"/>
            <w:u w:val="single"/>
          </w:rPr>
          <w:t xml:space="preserve">§ 546 Ausführender Beförderer</w:t>
        </w:r>
      </w:hyperlink>
    </w:p>
    <w:p>
      <w:pPr>
        <w:pStyle w:val="Übersicht"/>
        <w:ind w:left="1020"/>
      </w:pPr>
      <w:hyperlink w:anchor="b729" w:history="1">
        <w:r>
          <w:rPr>
            <w:color w:val="0A3A8C"/>
            <w:u w:val="single"/>
          </w:rPr>
          <w:t xml:space="preserve">§ 547 Haftung der Leute und der Schiffsbesatzung</w:t>
        </w:r>
      </w:hyperlink>
    </w:p>
    <w:p>
      <w:pPr>
        <w:pStyle w:val="Übersicht"/>
        <w:ind w:left="1020"/>
      </w:pPr>
      <w:hyperlink w:anchor="b730" w:history="1">
        <w:r>
          <w:rPr>
            <w:color w:val="0A3A8C"/>
            <w:u w:val="single"/>
          </w:rPr>
          <w:t xml:space="preserve">§ 548 Konkurrierende Ansprüche</w:t>
        </w:r>
      </w:hyperlink>
    </w:p>
    <w:p>
      <w:pPr>
        <w:pStyle w:val="Übersicht"/>
        <w:ind w:left="1020"/>
      </w:pPr>
      <w:hyperlink w:anchor="b731" w:history="1">
        <w:r>
          <w:rPr>
            <w:color w:val="0A3A8C"/>
            <w:u w:val="single"/>
          </w:rPr>
          <w:t xml:space="preserve">§ 549 Schadensanzeige</w:t>
        </w:r>
      </w:hyperlink>
    </w:p>
    <w:p>
      <w:pPr>
        <w:pStyle w:val="Übersicht"/>
        <w:ind w:left="1020"/>
      </w:pPr>
      <w:hyperlink w:anchor="b732" w:history="1">
        <w:r>
          <w:rPr>
            <w:color w:val="0A3A8C"/>
            <w:u w:val="single"/>
          </w:rPr>
          <w:t xml:space="preserve">§ 550 Erlöschen von Schadensersatzansprüchen</w:t>
        </w:r>
      </w:hyperlink>
    </w:p>
    <w:p>
      <w:pPr>
        <w:pStyle w:val="Übersicht"/>
        <w:ind w:left="1020"/>
      </w:pPr>
      <w:hyperlink w:anchor="b733" w:history="1">
        <w:r>
          <w:rPr>
            <w:color w:val="0A3A8C"/>
            <w:u w:val="single"/>
          </w:rPr>
          <w:t xml:space="preserve">§ 551 Abweichende Vereinbarungen</w:t>
        </w:r>
      </w:hyperlink>
    </w:p>
    <w:p>
      <w:pPr>
        <w:pStyle w:val="Übersicht"/>
        <w:ind w:left="1020"/>
      </w:pPr>
      <w:hyperlink w:anchor="b734" w:history="1">
        <w:r>
          <w:rPr>
            <w:color w:val="0A3A8C"/>
            <w:u w:val="single"/>
          </w:rPr>
          <w:t xml:space="preserve">§ 552 Pfandrecht des Beförderers</w:t>
        </w:r>
      </w:hyperlink>
    </w:p>
    <w:p>
      <w:pPr>
        <w:pStyle w:val="Übersicht"/>
        <w:ind w:left="340"/>
      </w:pPr>
      <w:hyperlink w:anchor="b735" w:history="1">
        <w:r>
          <w:rPr>
            <w:b/>
            <w:color w:val="0A3A8C"/>
            <w:u w:val="single"/>
          </w:rPr>
          <w:t xml:space="preserve">Dritter Abschnitt Schiffsüberlassungsverträge</w:t>
        </w:r>
      </w:hyperlink>
    </w:p>
    <w:p>
      <w:pPr>
        <w:pStyle w:val="Übersicht"/>
        <w:ind w:left="680"/>
      </w:pPr>
      <w:hyperlink w:anchor="b736" w:history="1">
        <w:r>
          <w:rPr>
            <w:b/>
            <w:color w:val="0A3A8C"/>
            <w:u w:val="single"/>
          </w:rPr>
          <w:t xml:space="preserve">Erster Unterabschnitt Schiffsmiete</w:t>
        </w:r>
      </w:hyperlink>
    </w:p>
    <w:p>
      <w:pPr>
        <w:pStyle w:val="Übersicht"/>
        <w:ind w:left="1020"/>
      </w:pPr>
      <w:hyperlink w:anchor="b737" w:history="1">
        <w:r>
          <w:rPr>
            <w:color w:val="0A3A8C"/>
            <w:u w:val="single"/>
          </w:rPr>
          <w:t xml:space="preserve">§ 553 Schiffsmietvertrag</w:t>
        </w:r>
      </w:hyperlink>
    </w:p>
    <w:p>
      <w:pPr>
        <w:pStyle w:val="Übersicht"/>
        <w:ind w:left="1020"/>
      </w:pPr>
      <w:hyperlink w:anchor="b738" w:history="1">
        <w:r>
          <w:rPr>
            <w:color w:val="0A3A8C"/>
            <w:u w:val="single"/>
          </w:rPr>
          <w:t xml:space="preserve">§ 554 Übergabe und Rückgabe des Schiffes. Instandhaltung</w:t>
        </w:r>
      </w:hyperlink>
    </w:p>
    <w:p>
      <w:pPr>
        <w:pStyle w:val="Übersicht"/>
        <w:ind w:left="1020"/>
      </w:pPr>
      <w:hyperlink w:anchor="b739" w:history="1">
        <w:r>
          <w:rPr>
            <w:color w:val="0A3A8C"/>
            <w:u w:val="single"/>
          </w:rPr>
          <w:t xml:space="preserve">§ 555 Sicherung der Rechte des Vermieters</w:t>
        </w:r>
      </w:hyperlink>
    </w:p>
    <w:p>
      <w:pPr>
        <w:pStyle w:val="Übersicht"/>
        <w:ind w:left="1020"/>
      </w:pPr>
      <w:hyperlink w:anchor="b740" w:history="1">
        <w:r>
          <w:rPr>
            <w:color w:val="0A3A8C"/>
            <w:u w:val="single"/>
          </w:rPr>
          <w:t xml:space="preserve">§ 556 Kündigung</w:t>
        </w:r>
      </w:hyperlink>
    </w:p>
    <w:p>
      <w:pPr>
        <w:pStyle w:val="Übersicht"/>
        <w:ind w:left="680"/>
      </w:pPr>
      <w:hyperlink w:anchor="b741" w:history="1">
        <w:r>
          <w:rPr>
            <w:b/>
            <w:color w:val="0A3A8C"/>
            <w:u w:val="single"/>
          </w:rPr>
          <w:t xml:space="preserve">Zweiter Unterabschnitt Zeitcharter</w:t>
        </w:r>
      </w:hyperlink>
    </w:p>
    <w:p>
      <w:pPr>
        <w:pStyle w:val="Übersicht"/>
        <w:ind w:left="1020"/>
      </w:pPr>
      <w:hyperlink w:anchor="b742" w:history="1">
        <w:r>
          <w:rPr>
            <w:color w:val="0A3A8C"/>
            <w:u w:val="single"/>
          </w:rPr>
          <w:t xml:space="preserve">§ 557 Zeitchartervertrag</w:t>
        </w:r>
      </w:hyperlink>
    </w:p>
    <w:p>
      <w:pPr>
        <w:pStyle w:val="Übersicht"/>
        <w:ind w:left="1020"/>
      </w:pPr>
      <w:hyperlink w:anchor="b743" w:history="1">
        <w:r>
          <w:rPr>
            <w:color w:val="0A3A8C"/>
            <w:u w:val="single"/>
          </w:rPr>
          <w:t xml:space="preserve">§ 558 Beurkundung</w:t>
        </w:r>
      </w:hyperlink>
    </w:p>
    <w:p>
      <w:pPr>
        <w:pStyle w:val="Übersicht"/>
        <w:ind w:left="1020"/>
      </w:pPr>
      <w:hyperlink w:anchor="b744" w:history="1">
        <w:r>
          <w:rPr>
            <w:color w:val="0A3A8C"/>
            <w:u w:val="single"/>
          </w:rPr>
          <w:t xml:space="preserve">§ 559 Bereitstellung des Schiffes</w:t>
        </w:r>
      </w:hyperlink>
    </w:p>
    <w:p>
      <w:pPr>
        <w:pStyle w:val="Übersicht"/>
        <w:ind w:left="1020"/>
      </w:pPr>
      <w:hyperlink w:anchor="b745" w:history="1">
        <w:r>
          <w:rPr>
            <w:color w:val="0A3A8C"/>
            <w:u w:val="single"/>
          </w:rPr>
          <w:t xml:space="preserve">§ 560 Erhaltung des vertragsgemäßen Zustands des Schiffes</w:t>
        </w:r>
      </w:hyperlink>
    </w:p>
    <w:p>
      <w:pPr>
        <w:pStyle w:val="Übersicht"/>
        <w:ind w:left="1020"/>
      </w:pPr>
      <w:hyperlink w:anchor="b746" w:history="1">
        <w:r>
          <w:rPr>
            <w:color w:val="0A3A8C"/>
            <w:u w:val="single"/>
          </w:rPr>
          <w:t xml:space="preserve">§ 561 Verwendung des Schiffes</w:t>
        </w:r>
      </w:hyperlink>
    </w:p>
    <w:p>
      <w:pPr>
        <w:pStyle w:val="Übersicht"/>
        <w:ind w:left="1020"/>
      </w:pPr>
      <w:hyperlink w:anchor="b747" w:history="1">
        <w:r>
          <w:rPr>
            <w:color w:val="0A3A8C"/>
            <w:u w:val="single"/>
          </w:rPr>
          <w:t xml:space="preserve">§ 562 Unterrichtungspflichten</w:t>
        </w:r>
      </w:hyperlink>
    </w:p>
    <w:p>
      <w:pPr>
        <w:pStyle w:val="Übersicht"/>
        <w:ind w:left="1020"/>
      </w:pPr>
      <w:hyperlink w:anchor="b748" w:history="1">
        <w:r>
          <w:rPr>
            <w:color w:val="0A3A8C"/>
            <w:u w:val="single"/>
          </w:rPr>
          <w:t xml:space="preserve">§ 563 Verladen und Löschen</w:t>
        </w:r>
      </w:hyperlink>
    </w:p>
    <w:p>
      <w:pPr>
        <w:pStyle w:val="Übersicht"/>
        <w:ind w:left="1020"/>
      </w:pPr>
      <w:hyperlink w:anchor="b749" w:history="1">
        <w:r>
          <w:rPr>
            <w:color w:val="0A3A8C"/>
            <w:u w:val="single"/>
          </w:rPr>
          <w:t xml:space="preserve">§ 564 Kosten für den Betrieb des Schiffes</w:t>
        </w:r>
      </w:hyperlink>
    </w:p>
    <w:p>
      <w:pPr>
        <w:pStyle w:val="Übersicht"/>
        <w:ind w:left="1020"/>
      </w:pPr>
      <w:hyperlink w:anchor="b750" w:history="1">
        <w:r>
          <w:rPr>
            <w:color w:val="0A3A8C"/>
            <w:u w:val="single"/>
          </w:rPr>
          <w:t xml:space="preserve">§ 565 Zeitfracht</w:t>
        </w:r>
      </w:hyperlink>
    </w:p>
    <w:p>
      <w:pPr>
        <w:pStyle w:val="Übersicht"/>
        <w:ind w:left="1020"/>
      </w:pPr>
      <w:hyperlink w:anchor="b751" w:history="1">
        <w:r>
          <w:rPr>
            <w:color w:val="0A3A8C"/>
            <w:u w:val="single"/>
          </w:rPr>
          <w:t xml:space="preserve">§ 566 Pfandrecht des Zeitvercharterers</w:t>
        </w:r>
      </w:hyperlink>
    </w:p>
    <w:p>
      <w:pPr>
        <w:pStyle w:val="Übersicht"/>
        <w:ind w:left="1020"/>
      </w:pPr>
      <w:hyperlink w:anchor="b752" w:history="1">
        <w:r>
          <w:rPr>
            <w:color w:val="0A3A8C"/>
            <w:u w:val="single"/>
          </w:rPr>
          <w:t xml:space="preserve">§ 567 Pflichtverletzung</w:t>
        </w:r>
      </w:hyperlink>
    </w:p>
    <w:p>
      <w:pPr>
        <w:pStyle w:val="Übersicht"/>
        <w:ind w:left="1020"/>
      </w:pPr>
      <w:hyperlink w:anchor="b753" w:history="1">
        <w:r>
          <w:rPr>
            <w:color w:val="0A3A8C"/>
            <w:u w:val="single"/>
          </w:rPr>
          <w:t xml:space="preserve">§ 568 Zurückbehaltungsrecht</w:t>
        </w:r>
      </w:hyperlink>
    </w:p>
    <w:p>
      <w:pPr>
        <w:pStyle w:val="Übersicht"/>
        <w:ind w:left="1020"/>
      </w:pPr>
      <w:hyperlink w:anchor="b754" w:history="1">
        <w:r>
          <w:rPr>
            <w:color w:val="0A3A8C"/>
            <w:u w:val="single"/>
          </w:rPr>
          <w:t xml:space="preserve">§ 569 Rückgabe des Schiffes</w:t>
        </w:r>
      </w:hyperlink>
    </w:p>
    <w:p>
      <w:pPr>
        <w:pStyle w:val="Übersicht"/>
        <w:ind w:left="340"/>
      </w:pPr>
      <w:hyperlink w:anchor="b755" w:history="1">
        <w:r>
          <w:rPr>
            <w:b/>
            <w:color w:val="0A3A8C"/>
            <w:u w:val="single"/>
          </w:rPr>
          <w:t xml:space="preserve">Vierter Abschnitt Schiffsnotlagen</w:t>
        </w:r>
      </w:hyperlink>
    </w:p>
    <w:p>
      <w:pPr>
        <w:pStyle w:val="Übersicht"/>
        <w:ind w:left="680"/>
      </w:pPr>
      <w:hyperlink w:anchor="b756" w:history="1">
        <w:r>
          <w:rPr>
            <w:b/>
            <w:color w:val="0A3A8C"/>
            <w:u w:val="single"/>
          </w:rPr>
          <w:t xml:space="preserve">Erster Unterabschnitt Schiffszusammenstoß</w:t>
        </w:r>
      </w:hyperlink>
    </w:p>
    <w:p>
      <w:pPr>
        <w:pStyle w:val="Übersicht"/>
        <w:ind w:left="1020"/>
      </w:pPr>
      <w:hyperlink w:anchor="b757" w:history="1">
        <w:r>
          <w:rPr>
            <w:color w:val="0A3A8C"/>
            <w:u w:val="single"/>
          </w:rPr>
          <w:t xml:space="preserve">§ 570 Schadensersatzpflicht</w:t>
        </w:r>
      </w:hyperlink>
    </w:p>
    <w:p>
      <w:pPr>
        <w:pStyle w:val="Übersicht"/>
        <w:ind w:left="1020"/>
      </w:pPr>
      <w:hyperlink w:anchor="b758" w:history="1">
        <w:r>
          <w:rPr>
            <w:color w:val="0A3A8C"/>
            <w:u w:val="single"/>
          </w:rPr>
          <w:t xml:space="preserve">§ 571 Mitverschulden</w:t>
        </w:r>
      </w:hyperlink>
    </w:p>
    <w:p>
      <w:pPr>
        <w:pStyle w:val="Übersicht"/>
        <w:ind w:left="1020"/>
      </w:pPr>
      <w:hyperlink w:anchor="b759" w:history="1">
        <w:r>
          <w:rPr>
            <w:color w:val="0A3A8C"/>
            <w:u w:val="single"/>
          </w:rPr>
          <w:t xml:space="preserve">§ 572 Fernschädigung</w:t>
        </w:r>
      </w:hyperlink>
    </w:p>
    <w:p>
      <w:pPr>
        <w:pStyle w:val="Übersicht"/>
        <w:ind w:left="1020"/>
      </w:pPr>
      <w:hyperlink w:anchor="b760" w:history="1">
        <w:r>
          <w:rPr>
            <w:color w:val="0A3A8C"/>
            <w:u w:val="single"/>
          </w:rPr>
          <w:t xml:space="preserve">§ 573 Beteiligung eines Binnenschiffs</w:t>
        </w:r>
      </w:hyperlink>
    </w:p>
    <w:p>
      <w:pPr>
        <w:pStyle w:val="Übersicht"/>
        <w:ind w:left="680"/>
      </w:pPr>
      <w:hyperlink w:anchor="b761" w:history="1">
        <w:r>
          <w:rPr>
            <w:b/>
            <w:color w:val="0A3A8C"/>
            <w:u w:val="single"/>
          </w:rPr>
          <w:t xml:space="preserve">Zweiter Unterabschnitt Bergung</w:t>
        </w:r>
      </w:hyperlink>
    </w:p>
    <w:p>
      <w:pPr>
        <w:pStyle w:val="Übersicht"/>
        <w:ind w:left="1020"/>
      </w:pPr>
      <w:hyperlink w:anchor="b762" w:history="1">
        <w:r>
          <w:rPr>
            <w:color w:val="0A3A8C"/>
            <w:u w:val="single"/>
          </w:rPr>
          <w:t xml:space="preserve">§ 574 Pflichten des Bergers und sonstiger Personen</w:t>
        </w:r>
      </w:hyperlink>
    </w:p>
    <w:p>
      <w:pPr>
        <w:pStyle w:val="Übersicht"/>
        <w:ind w:left="1020"/>
      </w:pPr>
      <w:hyperlink w:anchor="b763" w:history="1">
        <w:r>
          <w:rPr>
            <w:color w:val="0A3A8C"/>
            <w:u w:val="single"/>
          </w:rPr>
          <w:t xml:space="preserve">§ 575 Verhütung oder Begrenzung von Umweltschäden</w:t>
        </w:r>
      </w:hyperlink>
    </w:p>
    <w:p>
      <w:pPr>
        <w:pStyle w:val="Übersicht"/>
        <w:ind w:left="1020"/>
      </w:pPr>
      <w:hyperlink w:anchor="b764" w:history="1">
        <w:r>
          <w:rPr>
            <w:color w:val="0A3A8C"/>
            <w:u w:val="single"/>
          </w:rPr>
          <w:t xml:space="preserve">§ 576 Bergelohnanspruch</w:t>
        </w:r>
      </w:hyperlink>
    </w:p>
    <w:p>
      <w:pPr>
        <w:pStyle w:val="Übersicht"/>
        <w:ind w:left="1020"/>
      </w:pPr>
      <w:hyperlink w:anchor="b765" w:history="1">
        <w:r>
          <w:rPr>
            <w:color w:val="0A3A8C"/>
            <w:u w:val="single"/>
          </w:rPr>
          <w:t xml:space="preserve">§ 577 Höhe des Bergelohns</w:t>
        </w:r>
      </w:hyperlink>
    </w:p>
    <w:p>
      <w:pPr>
        <w:pStyle w:val="Übersicht"/>
        <w:ind w:left="1020"/>
      </w:pPr>
      <w:hyperlink w:anchor="b766" w:history="1">
        <w:r>
          <w:rPr>
            <w:color w:val="0A3A8C"/>
            <w:u w:val="single"/>
          </w:rPr>
          <w:t xml:space="preserve">§ 578 Sondervergütung</w:t>
        </w:r>
      </w:hyperlink>
    </w:p>
    <w:p>
      <w:pPr>
        <w:pStyle w:val="Übersicht"/>
        <w:ind w:left="1020"/>
      </w:pPr>
      <w:hyperlink w:anchor="b767" w:history="1">
        <w:r>
          <w:rPr>
            <w:color w:val="0A3A8C"/>
            <w:u w:val="single"/>
          </w:rPr>
          <w:t xml:space="preserve">§ 579 Ausschluss des Vergütungsanspruchs</w:t>
        </w:r>
      </w:hyperlink>
    </w:p>
    <w:p>
      <w:pPr>
        <w:pStyle w:val="Übersicht"/>
        <w:ind w:left="1020"/>
      </w:pPr>
      <w:hyperlink w:anchor="b768" w:history="1">
        <w:r>
          <w:rPr>
            <w:color w:val="0A3A8C"/>
            <w:u w:val="single"/>
          </w:rPr>
          <w:t xml:space="preserve">§ 580 Fehlverhalten des Bergers</w:t>
        </w:r>
      </w:hyperlink>
    </w:p>
    <w:p>
      <w:pPr>
        <w:pStyle w:val="Übersicht"/>
        <w:ind w:left="1020"/>
      </w:pPr>
      <w:hyperlink w:anchor="b769" w:history="1">
        <w:r>
          <w:rPr>
            <w:color w:val="0A3A8C"/>
            <w:u w:val="single"/>
          </w:rPr>
          <w:t xml:space="preserve">§ 581 Ausgleichsanspruch</w:t>
        </w:r>
      </w:hyperlink>
    </w:p>
    <w:p>
      <w:pPr>
        <w:pStyle w:val="Übersicht"/>
        <w:ind w:left="1020"/>
      </w:pPr>
      <w:hyperlink w:anchor="b770" w:history="1">
        <w:r>
          <w:rPr>
            <w:color w:val="0A3A8C"/>
            <w:u w:val="single"/>
          </w:rPr>
          <w:t xml:space="preserve">§ 582 Mehrheit von Bergern</w:t>
        </w:r>
      </w:hyperlink>
    </w:p>
    <w:p>
      <w:pPr>
        <w:pStyle w:val="Übersicht"/>
        <w:ind w:left="1020"/>
      </w:pPr>
      <w:hyperlink w:anchor="b771" w:history="1">
        <w:r>
          <w:rPr>
            <w:color w:val="0A3A8C"/>
            <w:u w:val="single"/>
          </w:rPr>
          <w:t xml:space="preserve">§ 583 Rettung von Menschen</w:t>
        </w:r>
      </w:hyperlink>
    </w:p>
    <w:p>
      <w:pPr>
        <w:pStyle w:val="Übersicht"/>
        <w:ind w:left="1020"/>
      </w:pPr>
      <w:hyperlink w:anchor="b772" w:history="1">
        <w:r>
          <w:rPr>
            <w:color w:val="0A3A8C"/>
            <w:u w:val="single"/>
          </w:rPr>
          <w:t xml:space="preserve">§ 584 Abschluss und Inhaltskontrolle eines Bergungsvertrags</w:t>
        </w:r>
      </w:hyperlink>
    </w:p>
    <w:p>
      <w:pPr>
        <w:pStyle w:val="Übersicht"/>
        <w:ind w:left="1020"/>
      </w:pPr>
      <w:hyperlink w:anchor="b773" w:history="1">
        <w:r>
          <w:rPr>
            <w:color w:val="0A3A8C"/>
            <w:u w:val="single"/>
          </w:rPr>
          <w:t xml:space="preserve">§ 585 Pfandrecht. Zurückbehaltungsrecht</w:t>
        </w:r>
      </w:hyperlink>
    </w:p>
    <w:p>
      <w:pPr>
        <w:pStyle w:val="Übersicht"/>
        <w:ind w:left="1020"/>
      </w:pPr>
      <w:hyperlink w:anchor="b774" w:history="1">
        <w:r>
          <w:rPr>
            <w:color w:val="0A3A8C"/>
            <w:u w:val="single"/>
          </w:rPr>
          <w:t xml:space="preserve">§ 586 Rangfolge der Pfandrechte</w:t>
        </w:r>
      </w:hyperlink>
    </w:p>
    <w:p>
      <w:pPr>
        <w:pStyle w:val="Übersicht"/>
        <w:ind w:left="1020"/>
      </w:pPr>
      <w:hyperlink w:anchor="b775" w:history="1">
        <w:r>
          <w:rPr>
            <w:color w:val="0A3A8C"/>
            <w:u w:val="single"/>
          </w:rPr>
          <w:t xml:space="preserve">§ 587 Sicherheitsleistung</w:t>
        </w:r>
      </w:hyperlink>
    </w:p>
    <w:p>
      <w:pPr>
        <w:pStyle w:val="Übersicht"/>
        <w:ind w:left="680"/>
      </w:pPr>
      <w:hyperlink w:anchor="b776" w:history="1">
        <w:r>
          <w:rPr>
            <w:b/>
            <w:color w:val="0A3A8C"/>
            <w:u w:val="single"/>
          </w:rPr>
          <w:t xml:space="preserve">Dritter Unterabschnitt Große Haverei</w:t>
        </w:r>
      </w:hyperlink>
    </w:p>
    <w:p>
      <w:pPr>
        <w:pStyle w:val="Übersicht"/>
        <w:ind w:left="1020"/>
      </w:pPr>
      <w:hyperlink w:anchor="b777" w:history="1">
        <w:r>
          <w:rPr>
            <w:color w:val="0A3A8C"/>
            <w:u w:val="single"/>
          </w:rPr>
          <w:t xml:space="preserve">§ 588 Errettung aus gemeinsamer Gefahr</w:t>
        </w:r>
      </w:hyperlink>
    </w:p>
    <w:p>
      <w:pPr>
        <w:pStyle w:val="Übersicht"/>
        <w:ind w:left="1020"/>
      </w:pPr>
      <w:hyperlink w:anchor="b778" w:history="1">
        <w:r>
          <w:rPr>
            <w:color w:val="0A3A8C"/>
            <w:u w:val="single"/>
          </w:rPr>
          <w:t xml:space="preserve">§ 589 Verschulden eines Beteiligten oder eines Dritten</w:t>
        </w:r>
      </w:hyperlink>
    </w:p>
    <w:p>
      <w:pPr>
        <w:pStyle w:val="Übersicht"/>
        <w:ind w:left="1020"/>
      </w:pPr>
      <w:hyperlink w:anchor="b779" w:history="1">
        <w:r>
          <w:rPr>
            <w:color w:val="0A3A8C"/>
            <w:u w:val="single"/>
          </w:rPr>
          <w:t xml:space="preserve">§ 590 Bemessung der Vergütung</w:t>
        </w:r>
      </w:hyperlink>
    </w:p>
    <w:p>
      <w:pPr>
        <w:pStyle w:val="Übersicht"/>
        <w:ind w:left="1020"/>
      </w:pPr>
      <w:hyperlink w:anchor="b780" w:history="1">
        <w:r>
          <w:rPr>
            <w:color w:val="0A3A8C"/>
            <w:u w:val="single"/>
          </w:rPr>
          <w:t xml:space="preserve">§ 591 Beitrag</w:t>
        </w:r>
      </w:hyperlink>
    </w:p>
    <w:p>
      <w:pPr>
        <w:pStyle w:val="Übersicht"/>
        <w:ind w:left="1020"/>
      </w:pPr>
      <w:hyperlink w:anchor="b781" w:history="1">
        <w:r>
          <w:rPr>
            <w:color w:val="0A3A8C"/>
            <w:u w:val="single"/>
          </w:rPr>
          <w:t xml:space="preserve">§ 592 Verteilung</w:t>
        </w:r>
      </w:hyperlink>
    </w:p>
    <w:p>
      <w:pPr>
        <w:pStyle w:val="Übersicht"/>
        <w:ind w:left="1020"/>
      </w:pPr>
      <w:hyperlink w:anchor="b782" w:history="1">
        <w:r>
          <w:rPr>
            <w:color w:val="0A3A8C"/>
            <w:u w:val="single"/>
          </w:rPr>
          <w:t xml:space="preserve">§ 593 Schiffsgläubigerrecht</w:t>
        </w:r>
      </w:hyperlink>
    </w:p>
    <w:p>
      <w:pPr>
        <w:pStyle w:val="Übersicht"/>
        <w:ind w:left="1020"/>
      </w:pPr>
      <w:hyperlink w:anchor="b783" w:history="1">
        <w:r>
          <w:rPr>
            <w:color w:val="0A3A8C"/>
            <w:u w:val="single"/>
          </w:rPr>
          <w:t xml:space="preserve">§ 594 Pfandrecht der Vergütungsberechtigten. Nichtauslieferung</w:t>
        </w:r>
      </w:hyperlink>
    </w:p>
    <w:p>
      <w:pPr>
        <w:pStyle w:val="Übersicht"/>
        <w:ind w:left="1020"/>
      </w:pPr>
      <w:hyperlink w:anchor="b784" w:history="1">
        <w:r>
          <w:rPr>
            <w:color w:val="0A3A8C"/>
            <w:u w:val="single"/>
          </w:rPr>
          <w:t xml:space="preserve">§ 595 Aufmachung der Dispache</w:t>
        </w:r>
      </w:hyperlink>
    </w:p>
    <w:p>
      <w:pPr>
        <w:pStyle w:val="Übersicht"/>
        <w:ind w:left="340"/>
      </w:pPr>
      <w:hyperlink w:anchor="b785" w:history="1">
        <w:r>
          <w:rPr>
            <w:b/>
            <w:color w:val="0A3A8C"/>
            <w:u w:val="single"/>
          </w:rPr>
          <w:t xml:space="preserve">Fünfter Abschnitt Schiffsgläubiger</w:t>
        </w:r>
      </w:hyperlink>
    </w:p>
    <w:p>
      <w:pPr>
        <w:pStyle w:val="Übersicht"/>
        <w:ind w:left="680"/>
      </w:pPr>
      <w:hyperlink w:anchor="b786" w:history="1">
        <w:r>
          <w:rPr>
            <w:color w:val="0A3A8C"/>
            <w:u w:val="single"/>
          </w:rPr>
          <w:t xml:space="preserve">§ 596 Gesicherte Forderungen</w:t>
        </w:r>
      </w:hyperlink>
    </w:p>
    <w:p>
      <w:pPr>
        <w:pStyle w:val="Übersicht"/>
        <w:ind w:left="680"/>
      </w:pPr>
      <w:hyperlink w:anchor="b787" w:history="1">
        <w:r>
          <w:rPr>
            <w:color w:val="0A3A8C"/>
            <w:u w:val="single"/>
          </w:rPr>
          <w:t xml:space="preserve">§ 597 Pfandrecht der Schiffsgläubiger</w:t>
        </w:r>
      </w:hyperlink>
    </w:p>
    <w:p>
      <w:pPr>
        <w:pStyle w:val="Übersicht"/>
        <w:ind w:left="680"/>
      </w:pPr>
      <w:hyperlink w:anchor="b788" w:history="1">
        <w:r>
          <w:rPr>
            <w:color w:val="0A3A8C"/>
            <w:u w:val="single"/>
          </w:rPr>
          <w:t xml:space="preserve">§ 598 Gegenstand des Pfandrechts der Schiffsgläubiger</w:t>
        </w:r>
      </w:hyperlink>
    </w:p>
    <w:p>
      <w:pPr>
        <w:pStyle w:val="Übersicht"/>
        <w:ind w:left="680"/>
      </w:pPr>
      <w:hyperlink w:anchor="b789" w:history="1">
        <w:r>
          <w:rPr>
            <w:color w:val="0A3A8C"/>
            <w:u w:val="single"/>
          </w:rPr>
          <w:t xml:space="preserve">§ 599 Erlöschen der Forderung</w:t>
        </w:r>
      </w:hyperlink>
    </w:p>
    <w:p>
      <w:pPr>
        <w:pStyle w:val="Übersicht"/>
        <w:ind w:left="680"/>
      </w:pPr>
      <w:hyperlink w:anchor="b790" w:history="1">
        <w:r>
          <w:rPr>
            <w:color w:val="0A3A8C"/>
            <w:u w:val="single"/>
          </w:rPr>
          <w:t xml:space="preserve">§ 600 Zeitablauf</w:t>
        </w:r>
      </w:hyperlink>
    </w:p>
    <w:p>
      <w:pPr>
        <w:pStyle w:val="Übersicht"/>
        <w:ind w:left="680"/>
      </w:pPr>
      <w:hyperlink w:anchor="b791" w:history="1">
        <w:r>
          <w:rPr>
            <w:color w:val="0A3A8C"/>
            <w:u w:val="single"/>
          </w:rPr>
          <w:t xml:space="preserve">§ 601 Befriedigung des Schiffsgläubigers</w:t>
        </w:r>
      </w:hyperlink>
    </w:p>
    <w:p>
      <w:pPr>
        <w:pStyle w:val="Übersicht"/>
        <w:ind w:left="680"/>
      </w:pPr>
      <w:hyperlink w:anchor="b792" w:history="1">
        <w:r>
          <w:rPr>
            <w:color w:val="0A3A8C"/>
            <w:u w:val="single"/>
          </w:rPr>
          <w:t xml:space="preserve">§ 602 Vorrang der Pfandrechte der Schiffsgläubiger</w:t>
        </w:r>
      </w:hyperlink>
    </w:p>
    <w:p>
      <w:pPr>
        <w:pStyle w:val="Übersicht"/>
        <w:ind w:left="680"/>
      </w:pPr>
      <w:hyperlink w:anchor="b793" w:history="1">
        <w:r>
          <w:rPr>
            <w:color w:val="0A3A8C"/>
            <w:u w:val="single"/>
          </w:rPr>
          <w:t xml:space="preserve">§ 603 Allgemeine Rangordnung der Pfandrechte der Schiffsgläubiger</w:t>
        </w:r>
      </w:hyperlink>
    </w:p>
    <w:p>
      <w:pPr>
        <w:pStyle w:val="Übersicht"/>
        <w:ind w:left="680"/>
      </w:pPr>
      <w:hyperlink w:anchor="b794" w:history="1">
        <w:r>
          <w:rPr>
            <w:color w:val="0A3A8C"/>
            <w:u w:val="single"/>
          </w:rPr>
          <w:t xml:space="preserve">§ 604 Rangordnung der Pfandrechte unter derselben Nummer</w:t>
        </w:r>
      </w:hyperlink>
    </w:p>
    <w:p>
      <w:pPr>
        <w:pStyle w:val="Übersicht"/>
        <w:ind w:left="340"/>
      </w:pPr>
      <w:hyperlink w:anchor="b795" w:history="1">
        <w:r>
          <w:rPr>
            <w:b/>
            <w:color w:val="0A3A8C"/>
            <w:u w:val="single"/>
          </w:rPr>
          <w:t xml:space="preserve">Sechster Abschnitt Verjährung</w:t>
        </w:r>
      </w:hyperlink>
    </w:p>
    <w:p>
      <w:pPr>
        <w:pStyle w:val="Übersicht"/>
        <w:ind w:left="680"/>
      </w:pPr>
      <w:hyperlink w:anchor="b796" w:history="1">
        <w:r>
          <w:rPr>
            <w:color w:val="0A3A8C"/>
            <w:u w:val="single"/>
          </w:rPr>
          <w:t xml:space="preserve">§ 605 Einjährige Verjährungsfrist</w:t>
        </w:r>
      </w:hyperlink>
    </w:p>
    <w:p>
      <w:pPr>
        <w:pStyle w:val="Übersicht"/>
        <w:ind w:left="680"/>
      </w:pPr>
      <w:hyperlink w:anchor="b797" w:history="1">
        <w:r>
          <w:rPr>
            <w:color w:val="0A3A8C"/>
            <w:u w:val="single"/>
          </w:rPr>
          <w:t xml:space="preserve">§ 606 Zweijährige Verjährungsfrist</w:t>
        </w:r>
      </w:hyperlink>
    </w:p>
    <w:p>
      <w:pPr>
        <w:pStyle w:val="Übersicht"/>
        <w:ind w:left="680"/>
      </w:pPr>
      <w:hyperlink w:anchor="b798" w:history="1">
        <w:r>
          <w:rPr>
            <w:color w:val="0A3A8C"/>
            <w:u w:val="single"/>
          </w:rPr>
          <w:t xml:space="preserve">§ 607 Beginn der Verjährungsfristen</w:t>
        </w:r>
      </w:hyperlink>
    </w:p>
    <w:p>
      <w:pPr>
        <w:pStyle w:val="Übersicht"/>
        <w:ind w:left="680"/>
      </w:pPr>
      <w:hyperlink w:anchor="b799" w:history="1">
        <w:r>
          <w:rPr>
            <w:color w:val="0A3A8C"/>
            <w:u w:val="single"/>
          </w:rPr>
          <w:t xml:space="preserve">§ 608 Hemmung der Verjährung</w:t>
        </w:r>
      </w:hyperlink>
    </w:p>
    <w:p>
      <w:pPr>
        <w:pStyle w:val="Übersicht"/>
        <w:ind w:left="680"/>
      </w:pPr>
      <w:hyperlink w:anchor="b800" w:history="1">
        <w:r>
          <w:rPr>
            <w:color w:val="0A3A8C"/>
            <w:u w:val="single"/>
          </w:rPr>
          <w:t xml:space="preserve">§ 609 Vereinbarungen über die Verjährung</w:t>
        </w:r>
      </w:hyperlink>
    </w:p>
    <w:p>
      <w:pPr>
        <w:pStyle w:val="Übersicht"/>
        <w:ind w:left="680"/>
      </w:pPr>
      <w:hyperlink w:anchor="b801" w:history="1">
        <w:r>
          <w:rPr>
            <w:color w:val="0A3A8C"/>
            <w:u w:val="single"/>
          </w:rPr>
          <w:t xml:space="preserve">§ 610 Konkurrierende Ansprüche</w:t>
        </w:r>
      </w:hyperlink>
    </w:p>
    <w:p>
      <w:pPr>
        <w:pStyle w:val="Übersicht"/>
        <w:ind w:left="340"/>
      </w:pPr>
      <w:hyperlink w:anchor="b802" w:history="1">
        <w:r>
          <w:rPr>
            <w:b/>
            <w:color w:val="0A3A8C"/>
            <w:u w:val="single"/>
          </w:rPr>
          <w:t xml:space="preserve">Siebter Abschnitt Allgemeine Haftungsbeschränkung</w:t>
        </w:r>
      </w:hyperlink>
    </w:p>
    <w:p>
      <w:pPr>
        <w:pStyle w:val="Übersicht"/>
        <w:ind w:left="680"/>
      </w:pPr>
      <w:hyperlink w:anchor="b803" w:history="1">
        <w:r>
          <w:rPr>
            <w:color w:val="0A3A8C"/>
            <w:u w:val="single"/>
          </w:rPr>
          <w:t xml:space="preserve">§ 611 Übereinkommen über die Haftungsbeschränkung</w:t>
        </w:r>
      </w:hyperlink>
    </w:p>
    <w:p>
      <w:pPr>
        <w:pStyle w:val="Übersicht"/>
        <w:ind w:left="680"/>
      </w:pPr>
      <w:hyperlink w:anchor="b804" w:history="1">
        <w:r>
          <w:rPr>
            <w:color w:val="0A3A8C"/>
            <w:u w:val="single"/>
          </w:rPr>
          <w:t xml:space="preserve">§ 612 Haftungsbeschränkung für Ansprüche aus Wrackbeseitigung</w:t>
        </w:r>
      </w:hyperlink>
    </w:p>
    <w:p>
      <w:pPr>
        <w:pStyle w:val="Übersicht"/>
        <w:ind w:left="680"/>
      </w:pPr>
      <w:hyperlink w:anchor="b805" w:history="1">
        <w:r>
          <w:rPr>
            <w:color w:val="0A3A8C"/>
            <w:u w:val="single"/>
          </w:rPr>
          <w:t xml:space="preserve">§ 613 Haftungsbeschränkung für kleine Schiffe</w:t>
        </w:r>
      </w:hyperlink>
    </w:p>
    <w:p>
      <w:pPr>
        <w:pStyle w:val="Übersicht"/>
        <w:ind w:left="680"/>
      </w:pPr>
      <w:hyperlink w:anchor="b806" w:history="1">
        <w:r>
          <w:rPr>
            <w:color w:val="0A3A8C"/>
            <w:u w:val="single"/>
          </w:rPr>
          <w:t xml:space="preserve">§ 614 Haftungsbeschränkung für Schäden an Häfen und Wasserstraßen</w:t>
        </w:r>
      </w:hyperlink>
    </w:p>
    <w:p>
      <w:pPr>
        <w:pStyle w:val="Übersicht"/>
        <w:ind w:left="680"/>
      </w:pPr>
      <w:hyperlink w:anchor="b807" w:history="1">
        <w:r>
          <w:rPr>
            <w:color w:val="0A3A8C"/>
            <w:u w:val="single"/>
          </w:rPr>
          <w:t xml:space="preserve">§ 615 Beschränkung der Haftung des Lotsen</w:t>
        </w:r>
      </w:hyperlink>
    </w:p>
    <w:p>
      <w:pPr>
        <w:pStyle w:val="Übersicht"/>
        <w:ind w:left="680"/>
      </w:pPr>
      <w:hyperlink w:anchor="b808" w:history="1">
        <w:r>
          <w:rPr>
            <w:color w:val="0A3A8C"/>
            <w:u w:val="single"/>
          </w:rPr>
          <w:t xml:space="preserve">§ 616 Wegfall der Haftungsbeschränkung</w:t>
        </w:r>
      </w:hyperlink>
    </w:p>
    <w:p>
      <w:pPr>
        <w:pStyle w:val="Übersicht"/>
        <w:ind w:left="680"/>
      </w:pPr>
      <w:hyperlink w:anchor="b809" w:history="1">
        <w:r>
          <w:rPr>
            <w:color w:val="0A3A8C"/>
            <w:u w:val="single"/>
          </w:rPr>
          <w:t xml:space="preserve">§ 617 Verfahren der Haftungsbeschränkung</w:t>
        </w:r>
      </w:hyperlink>
    </w:p>
    <w:p>
      <w:pPr>
        <w:pStyle w:val="Übersicht"/>
        <w:ind w:left="340"/>
      </w:pPr>
      <w:hyperlink w:anchor="b810" w:history="1">
        <w:r>
          <w:rPr>
            <w:b/>
            <w:color w:val="0A3A8C"/>
            <w:u w:val="single"/>
          </w:rPr>
          <w:t xml:space="preserve">Achter Abschnitt Verfahrensvorschriften</w:t>
        </w:r>
      </w:hyperlink>
    </w:p>
    <w:p>
      <w:pPr>
        <w:pStyle w:val="Übersicht"/>
        <w:ind w:left="680"/>
      </w:pPr>
      <w:hyperlink w:anchor="b811" w:history="1">
        <w:r>
          <w:rPr>
            <w:color w:val="0A3A8C"/>
            <w:u w:val="single"/>
          </w:rPr>
          <w:t xml:space="preserve">§ 618 Einstweilige Verfügung eines Bergers</w:t>
        </w:r>
      </w:hyperlink>
    </w:p>
    <w:p>
      <w:pPr>
        <w:pStyle w:val="Übersicht"/>
        <w:ind w:left="680"/>
      </w:pPr>
      <w:hyperlink w:anchor="b812" w:history="1">
        <w:r>
          <w:rPr>
            <w:color w:val="0A3A8C"/>
            <w:u w:val="single"/>
          </w:rPr>
          <w:t xml:space="preserve">§ 619 Zustellungen an den Kapitän oder Schiffer</w:t>
        </w:r>
      </w:hyperlink>
    </w:p>
    <w:p>
      <w:pPr>
        <w:pStyle w:val="Heading1"/>
      </w:pPr>
      <w:bookmarkStart w:id="1" w:name="b0"/>
      <w:r>
        <w:t>Erstes Buch Handelsstand</w:t>
      </w:r>
      <w:bookmarkEnd w:id="1"/>
    </w:p>
    <w:p>
      <w:pPr>
        <w:pStyle w:val="Heading2"/>
      </w:pPr>
      <w:bookmarkStart w:id="2" w:name="b1"/>
      <w:r>
        <w:t>Erster Abschnitt Kaufleute</w:t>
      </w:r>
      <w:bookmarkEnd w:id="2"/>
    </w:p>
    <w:p>
      <w:pPr>
        <w:pStyle w:val="Heading3"/>
      </w:pPr>
      <w:bookmarkStart w:id="3" w:name="b2"/>
      <w:r>
        <w:t>§ 1</w:t>
      </w:r>
      <w:r>
        <w:t xml:space="preserve"> </w:t>
      </w:r>
      <w:r>
        <w:rPr>
          <w:rStyle w:val="Suchmarke"/>
        </w:rPr>
        <w:t>#1#</w:t>
      </w:r>
      <w:bookmarkEnd w:id="3"/>
    </w:p>
    <w:p>
      <w:r>
        <w:t>(1) Kaufmann im Sinne dieses Gesetzbuchs ist, wer ein Handelsgewerbe betreibt.</w:t>
      </w:r>
    </w:p>
    <w:p>
      <w:r>
        <w:t>(2) Handelsgewerbe ist jeder Gewerbebetrieb, es sei denn, daß das Unternehmen nach Art oder Umfang einen in kaufmännischer Weise eingerichteten Geschäftsbetrieb nicht erfordert.</w:t>
      </w:r>
    </w:p>
    <w:p>
      <w:pPr>
        <w:pStyle w:val="Heading3"/>
      </w:pPr>
      <w:bookmarkStart w:id="4" w:name="b3"/>
      <w:r>
        <w:t>§ 2</w:t>
      </w:r>
      <w:r>
        <w:t xml:space="preserve"> </w:t>
      </w:r>
      <w:r>
        <w:rPr>
          <w:rStyle w:val="Suchmarke"/>
        </w:rPr>
        <w:t>#2#</w:t>
      </w:r>
      <w:bookmarkEnd w:id="4"/>
    </w:p>
    <w:p>
      <w:r>
        <w:rPr>
          <w:rStyle w:val="Satznummer"/>
        </w:rPr>
        <w:t>1</w:t>
      </w:r>
      <w:r>
        <w:t xml:space="preserve">Ein gewerbliches Unternehmen, dessen Gewerbebetrieb nicht schon nach § 1 Abs. 2 Handelsgewerbe ist, gilt als Handelsgewerbe im Sinne dieses Gesetzbuchs, wenn die Firma des Unternehmens in das Handelsregister eingetragen ist. </w:t>
      </w:r>
      <w:r>
        <w:rPr>
          <w:rStyle w:val="Satznummer"/>
        </w:rPr>
        <w:t>2</w:t>
      </w:r>
      <w:r>
        <w:t xml:space="preserve">Der Unternehmer ist berechtigt, aber nicht verpflichtet, die Eintragung nach den für die Eintragung kaufmännischer Firmen geltenden Vorschriften herbeizuführen. </w:t>
      </w:r>
      <w:r>
        <w:rPr>
          <w:rStyle w:val="Satznummer"/>
        </w:rPr>
        <w:t>3</w:t>
      </w:r>
      <w:r>
        <w:t xml:space="preserve">Ist die Eintragung erfolgt, so findet eine Löschung der Firma auch auf Antrag des Unternehmers statt, sofern nicht die Voraussetzung des </w:t>
      </w:r>
      <w:hyperlink w:anchor="b2" w:history="1">
        <w:r>
          <w:rPr>
            <w:color w:val="0A3A8C"/>
            <w:u w:val="single"/>
          </w:rPr>
          <w:t xml:space="preserve">§ 1</w:t>
        </w:r>
      </w:hyperlink>
      <w:r>
        <w:t xml:space="preserve"> Abs. 2 eingetreten ist.</w:t>
      </w:r>
    </w:p>
    <w:p>
      <w:pPr>
        <w:pStyle w:val="Heading3"/>
      </w:pPr>
      <w:bookmarkStart w:id="5" w:name="b4"/>
      <w:r>
        <w:t>§ 3</w:t>
      </w:r>
      <w:r>
        <w:t xml:space="preserve"> </w:t>
      </w:r>
      <w:r>
        <w:rPr>
          <w:rStyle w:val="Suchmarke"/>
        </w:rPr>
        <w:t>#3#</w:t>
      </w:r>
      <w:bookmarkEnd w:id="5"/>
    </w:p>
    <w:p>
      <w:r>
        <w:t xml:space="preserve">(1) Auf den Betrieb der Land- und Forstwirtschaft finden die Vorschriften des </w:t>
      </w:r>
      <w:hyperlink w:anchor="b2" w:history="1">
        <w:r>
          <w:rPr>
            <w:color w:val="0A3A8C"/>
            <w:u w:val="single"/>
          </w:rPr>
          <w:t xml:space="preserve">§ 1</w:t>
        </w:r>
      </w:hyperlink>
      <w:r>
        <w:t xml:space="preserve"> keine Anwendung.</w:t>
      </w:r>
    </w:p>
    <w:p>
      <w:r>
        <w:t xml:space="preserve">(2) Für ein land- oder forstwirtschaftliches Unternehmen, das nach Art und Umfang einen in kaufmännischer Weise eingerichteten Geschäftsbetrieb erfordert, gilt </w:t>
      </w:r>
      <w:hyperlink w:anchor="b3" w:history="1">
        <w:r>
          <w:rPr>
            <w:color w:val="0A3A8C"/>
            <w:u w:val="single"/>
          </w:rPr>
          <w:t xml:space="preserve">§ 2</w:t>
        </w:r>
      </w:hyperlink>
      <w:r>
        <w:t xml:space="preserve"> mit der Maßgabe, daß nach Eintragung in das Handelsregister eine Löschung der Firma nur nach den allgemeinen Vorschriften stattfindet, welche für die Löschung kaufmännischer Firmen gelten.</w:t>
      </w:r>
    </w:p>
    <w:p>
      <w:r>
        <w:t>(3) Ist mit dem Betrieb der Land- oder Forstwirtschaft ein Unternehmen verbunden, das nur ein Nebengewerbe des land- oder forstwirtschaftlichen Unternehmens darstellt, so finden auf das im Nebengewerbe betriebene Unternehmen die Vorschriften der Absätze 1 und 2 entsprechende Anwendung.</w:t>
      </w:r>
    </w:p>
    <w:p>
      <w:pPr>
        <w:pStyle w:val="Heading3"/>
      </w:pPr>
      <w:bookmarkStart w:id="6" w:name="b5"/>
      <w:r>
        <w:t>§ 4 (weggefallen)</w:t>
      </w:r>
      <w:r>
        <w:t xml:space="preserve"> </w:t>
      </w:r>
      <w:r>
        <w:rPr>
          <w:rStyle w:val="Suchmarke"/>
        </w:rPr>
        <w:t>#4#</w:t>
      </w:r>
      <w:bookmarkEnd w:id="6"/>
    </w:p>
    <w:p>
      <w:pPr>
        <w:pStyle w:val="Heading3"/>
      </w:pPr>
      <w:bookmarkStart w:id="7" w:name="b6"/>
      <w:r>
        <w:t>§ 5</w:t>
      </w:r>
      <w:r>
        <w:t xml:space="preserve"> </w:t>
      </w:r>
      <w:r>
        <w:rPr>
          <w:rStyle w:val="Suchmarke"/>
        </w:rPr>
        <w:t>#5#</w:t>
      </w:r>
      <w:bookmarkEnd w:id="7"/>
    </w:p>
    <w:p>
      <w:r>
        <w:t>Ist eine Firma im Handelsregister eingetragen, so kann gegenüber demjenigen, welcher sich auf die Eintragung beruft, nicht geltend gemacht werden, daß das unter der Firma betriebene Gewerbe kein Handelsgewerbe sei.</w:t>
      </w:r>
    </w:p>
    <w:p>
      <w:pPr>
        <w:pStyle w:val="Heading3"/>
      </w:pPr>
      <w:bookmarkStart w:id="8" w:name="b7"/>
      <w:r>
        <w:t>§ 6</w:t>
      </w:r>
      <w:r>
        <w:t xml:space="preserve"> </w:t>
      </w:r>
      <w:r>
        <w:rPr>
          <w:rStyle w:val="Suchmarke"/>
        </w:rPr>
        <w:t>#6#</w:t>
      </w:r>
      <w:bookmarkEnd w:id="8"/>
    </w:p>
    <w:p>
      <w:r>
        <w:t>(1) Die in betreff der Kaufleute gegebenen Vorschriften finden auch auf die Handelsgesellschaften Anwendung.</w:t>
      </w:r>
    </w:p>
    <w:p>
      <w:r>
        <w:t xml:space="preserve">(2) Die Rechte und Pflichten eines Vereins, dem das Gesetz ohne Rücksicht auf den Gegenstand des Unternehmens die Eigenschaft eines Kaufmanns beilegt, bleiben unberührt, auch wenn die Voraussetzungen des </w:t>
      </w:r>
      <w:hyperlink w:anchor="b2" w:history="1">
        <w:r>
          <w:rPr>
            <w:color w:val="0A3A8C"/>
            <w:u w:val="single"/>
          </w:rPr>
          <w:t xml:space="preserve">§ 1</w:t>
        </w:r>
      </w:hyperlink>
      <w:r>
        <w:t xml:space="preserve"> Abs. 2 nicht vorliegen.</w:t>
      </w:r>
    </w:p>
    <w:p>
      <w:pPr>
        <w:pStyle w:val="Heading3"/>
      </w:pPr>
      <w:bookmarkStart w:id="9" w:name="b8"/>
      <w:r>
        <w:t>§ 7</w:t>
      </w:r>
      <w:r>
        <w:t xml:space="preserve"> </w:t>
      </w:r>
      <w:r>
        <w:rPr>
          <w:rStyle w:val="Suchmarke"/>
        </w:rPr>
        <w:t>#7#</w:t>
      </w:r>
      <w:bookmarkEnd w:id="9"/>
    </w:p>
    <w:p>
      <w:r>
        <w:t>Durch die Vorschriften des öffentlichen Rechtes, nach welchen die Befugnis zum Gewerbebetrieb ausgeschlossen oder von gewissen Voraussetzungen abhängig gemacht ist, wird die Anwendung der die Kaufleute betreffenden Vorschriften dieses Gesetzbuchs nicht berührt.</w:t>
      </w:r>
    </w:p>
    <w:p>
      <w:pPr>
        <w:pStyle w:val="Heading2"/>
      </w:pPr>
      <w:bookmarkStart w:id="10" w:name="b9"/>
      <w:r>
        <w:t>Zweiter Abschnitt Handelsregister; Unternehmensregister</w:t>
      </w:r>
      <w:bookmarkEnd w:id="10"/>
    </w:p>
    <w:p>
      <w:pPr>
        <w:pStyle w:val="Heading3"/>
      </w:pPr>
      <w:bookmarkStart w:id="11" w:name="b10"/>
      <w:r>
        <w:t>§ 8 Handelsregister</w:t>
      </w:r>
      <w:r>
        <w:t xml:space="preserve"> </w:t>
      </w:r>
      <w:r>
        <w:rPr>
          <w:rStyle w:val="Suchmarke"/>
        </w:rPr>
        <w:t>#8#</w:t>
      </w:r>
      <w:bookmarkEnd w:id="11"/>
    </w:p>
    <w:p>
      <w:r>
        <w:t>(1) Das Handelsregister wird von den Gerichten elektronisch geführt.</w:t>
      </w:r>
    </w:p>
    <w:p>
      <w:r>
        <w:t>(2) Andere Datensammlungen dürfen nicht unter Verwendung oder Beifügung der Bezeichnung "Handelsregister" in den Verkehr gebracht werden.</w:t>
      </w:r>
    </w:p>
    <w:p>
      <w:pPr>
        <w:pStyle w:val="Heading3"/>
      </w:pPr>
      <w:bookmarkStart w:id="12" w:name="b11"/>
      <w:r>
        <w:t>§ 8a Eintragungen in das Handelsregister; Verordnungsermächtigung</w:t>
      </w:r>
      <w:r>
        <w:t xml:space="preserve"> </w:t>
      </w:r>
      <w:r>
        <w:rPr>
          <w:rStyle w:val="Suchmarke"/>
        </w:rPr>
        <w:t>#8a#</w:t>
      </w:r>
      <w:bookmarkEnd w:id="12"/>
    </w:p>
    <w:p>
      <w:r>
        <w:t>(1) Eine Eintragung in das Handelsregister wird wirksam, sobald sie in den für die Handelsregistereintragungen bestimmten Datenspeicher aufgenommen ist und auf Dauer inhaltlich unverändert in lesbarer Form wiedergegeben werden kann.</w:t>
      </w:r>
    </w:p>
    <w:p>
      <w:r>
        <w:t xml:space="preserve">(2) </w:t>
      </w:r>
      <w:r>
        <w:rPr>
          <w:rStyle w:val="Satznummer"/>
        </w:rPr>
        <w:t>1</w:t>
      </w:r>
      <w:r>
        <w:t xml:space="preserve">Die Landesregierungen werden ermächtigt, durch Rechtsverordnung nähere Bestimmungen über die elektronische Führung des Handelsregisters, die elektronische Anmeldung, die elektronische Einreichung von Dokumenten sowie deren Aufbewahrung zu treffen, soweit nicht durch das Bundesministerium der Justiz nach § 387 Abs. 2 des Gesetzes über das Verfahren in Familiensachen und in den Angelegenheiten der freiwilligen Gerichtsbarkeit entsprechende Vorschriften erlassen werden. </w:t>
      </w:r>
      <w:r>
        <w:rPr>
          <w:rStyle w:val="Satznummer"/>
        </w:rPr>
        <w:t>2</w:t>
      </w:r>
      <w:r>
        <w:t xml:space="preserve">Dabei können sie auch Einzelheiten der Datenübermittlung regeln sowie die Form zu übermittelnder elektronischer Dokumente festlegen, um die Eignung für die Bearbeitung durch das Gericht sicherzustellen. </w:t>
      </w:r>
      <w:r>
        <w:rPr>
          <w:rStyle w:val="Satznummer"/>
        </w:rPr>
        <w:t>3</w:t>
      </w:r>
      <w:r>
        <w:t>Die Landesregierungen können die Ermächtigung durch Rechtsverordnung auf die Landesjustizverwaltungen übertragen.</w:t>
      </w:r>
    </w:p>
    <w:p>
      <w:pPr>
        <w:pStyle w:val="Heading3"/>
      </w:pPr>
      <w:bookmarkStart w:id="13" w:name="b12"/>
      <w:r>
        <w:t>§ 8b Unternehmensregister</w:t>
      </w:r>
      <w:r>
        <w:t xml:space="preserve"> </w:t>
      </w:r>
      <w:r>
        <w:rPr>
          <w:rStyle w:val="Suchmarke"/>
        </w:rPr>
        <w:t>#8b#</w:t>
      </w:r>
      <w:bookmarkEnd w:id="13"/>
    </w:p>
    <w:p>
      <w:r>
        <w:t>(1) Das Unternehmensregister wird vorbehaltlich einer Regelung nach § 9a Abs. 1 vom Bundesministerium der Justiz elektronisch geführt.</w:t>
      </w:r>
    </w:p>
    <w:p>
      <w:r>
        <w:t>(2) Über die Internetseite des Unternehmensregisters sind zugänglich:</w:t>
      </w:r>
    </w:p>
    <w:p>
      <w:pPr>
        <w:tabs>
          <w:tab w:pos="567" w:val="left"/>
        </w:tabs>
        <w:ind w:left="567" w:hanging="567"/>
      </w:pPr>
      <w:r>
        <w:t>1.</w:t>
      </w:r>
      <w:r>
        <w:tab/>
      </w:r>
      <w:r>
        <w:t>Eintragungen im Handelsregister und zum Handelsregister eingereichte Dokumente;</w:t>
      </w:r>
    </w:p>
    <w:p>
      <w:pPr>
        <w:tabs>
          <w:tab w:pos="567" w:val="left"/>
        </w:tabs>
        <w:ind w:left="567" w:hanging="567"/>
      </w:pPr>
      <w:r>
        <w:t>2.</w:t>
      </w:r>
      <w:r>
        <w:tab/>
      </w:r>
      <w:r>
        <w:t>Eintragungen im Genossenschaftsregister und zum Genossenschaftsregister eingereichte Dokumente;</w:t>
      </w:r>
    </w:p>
    <w:p>
      <w:pPr>
        <w:tabs>
          <w:tab w:pos="567" w:val="left"/>
        </w:tabs>
        <w:ind w:left="567" w:hanging="567"/>
      </w:pPr>
      <w:r>
        <w:t>2a.</w:t>
      </w:r>
      <w:r>
        <w:tab/>
      </w:r>
      <w:r>
        <w:t>Eintragungen im Gesellschaftsregister und zum Gesellschaftsregister eingereichte Dokumente;</w:t>
      </w:r>
    </w:p>
    <w:p>
      <w:pPr>
        <w:tabs>
          <w:tab w:pos="567" w:val="left"/>
        </w:tabs>
        <w:ind w:left="567" w:hanging="567"/>
      </w:pPr>
      <w:r>
        <w:t>3.</w:t>
      </w:r>
      <w:r>
        <w:tab/>
      </w:r>
      <w:r>
        <w:t>Eintragungen im Partnerschaftsregister und zum Partnerschaftsregister eingereichte Dokumente;</w:t>
      </w:r>
    </w:p>
    <w:p>
      <w:pPr>
        <w:tabs>
          <w:tab w:pos="567" w:val="left"/>
        </w:tabs>
        <w:ind w:left="567" w:hanging="567"/>
      </w:pPr>
      <w:r>
        <w:t>4.</w:t>
      </w:r>
      <w:r>
        <w:tab/>
      </w:r>
      <w:r>
        <w:t>Unterlagen der Rechnungslegung und Unternehmensberichte, die nach diesem Gesetz, dem Publizitätsgesetz, dem Eisenbahnregulierungsgesetz, dem Energiewirtschaftsgesetz, dem Entgelttransparenzgesetz, dem Kapitalanlagegesetzbuch, dem Telekommunikationsgesetz, dem Vermögensanlagengesetz oder dem Wertpapierhandelsgesetz offengelegt wurden, mit Ausnahme der zur dauerhaften Hinterlegung eingestellten Unterlagen;</w:t>
      </w:r>
    </w:p>
    <w:p>
      <w:pPr>
        <w:tabs>
          <w:tab w:pos="567" w:val="left"/>
        </w:tabs>
        <w:ind w:left="567" w:hanging="567"/>
      </w:pPr>
      <w:r>
        <w:t>5.</w:t>
      </w:r>
      <w:r>
        <w:tab/>
      </w:r>
      <w:r>
        <w:t>gesellschaftsrechtliche Bekanntmachungen im Bundesanzeiger;</w:t>
      </w:r>
    </w:p>
    <w:p>
      <w:pPr>
        <w:tabs>
          <w:tab w:pos="567" w:val="left"/>
        </w:tabs>
        <w:ind w:left="567" w:hanging="567"/>
      </w:pPr>
      <w:r>
        <w:t>6.</w:t>
      </w:r>
      <w:r>
        <w:tab/>
      </w:r>
      <w:r>
        <w:t>im Aktionärsforum veröffentlichte Eintragungen nach § 127a des Aktiengesetzes;</w:t>
      </w:r>
    </w:p>
    <w:p>
      <w:pPr>
        <w:tabs>
          <w:tab w:pos="567" w:val="left"/>
        </w:tabs>
        <w:ind w:left="567" w:hanging="567"/>
      </w:pPr>
      <w:r>
        <w:t>7.</w:t>
      </w:r>
      <w:r>
        <w:tab/>
      </w:r>
      <w:r>
        <w:t>Veröffentlichungen von Unternehmen nach dem Wertpapierhandelsgesetz oder dem Vermögensanlagengesetz im Bundesanzeiger, von Bietern, Gesellschaften, Vorständen und Aufsichtsräten nach dem Wertpapiererwerbs- und Übernahmegesetz im Bundesanzeiger sowie Veröffentlichungen nach der Börsenzulassungs-Verordnung im Bundesanzeiger;</w:t>
      </w:r>
    </w:p>
    <w:p>
      <w:pPr>
        <w:tabs>
          <w:tab w:pos="567" w:val="left"/>
        </w:tabs>
        <w:ind w:left="567" w:hanging="567"/>
      </w:pPr>
      <w:r>
        <w:t>8.</w:t>
      </w:r>
      <w:r>
        <w:tab/>
      </w:r>
      <w:r>
        <w:t>Bekanntmachungen und Veröffentlichungen von Kapitalverwaltungsgesellschaften und extern verwalteten Investmentgesellschaften nach dem Kapitalanlagegesetzbuch, dem Investmentgesetz und dem Investmentsteuergesetz im Bundesanzeiger;</w:t>
      </w:r>
    </w:p>
    <w:p>
      <w:pPr>
        <w:tabs>
          <w:tab w:pos="567" w:val="left"/>
        </w:tabs>
        <w:ind w:left="567" w:hanging="567"/>
      </w:pPr>
      <w:r>
        <w:t>9.</w:t>
      </w:r>
      <w:r>
        <w:tab/>
      </w:r>
      <w:r>
        <w:t xml:space="preserve">Veröffentlichungen und sonstige der Öffentlichkeit zur Verfügung gestellte Informationen nach den </w:t>
      </w:r>
      <w:hyperlink w:anchor="b6" w:history="1">
        <w:r>
          <w:rPr>
            <w:color w:val="0A3A8C"/>
            <w:u w:val="single"/>
          </w:rPr>
          <w:t xml:space="preserve">§§ 5</w:t>
        </w:r>
      </w:hyperlink>
      <w:r>
        <w:t xml:space="preserve">, </w:t>
      </w:r>
      <w:hyperlink w:anchor="b44" w:history="1">
        <w:r>
          <w:rPr>
            <w:color w:val="0A3A8C"/>
            <w:u w:val="single"/>
          </w:rPr>
          <w:t xml:space="preserve">26</w:t>
        </w:r>
      </w:hyperlink>
      <w:r>
        <w:t xml:space="preserve"> Absatz 1 und 2, § 40 Absatz 1, den §§ 41, 46 Absatz 2, den §§ 50, 51 Absatz 2 und § 127 des Wertpapierhandelsgesetzes, sofern die Veröffentlichung nicht bereits über Nummer 7 in das Unternehmensregister eingestellt wird;</w:t>
      </w:r>
    </w:p>
    <w:p>
      <w:pPr>
        <w:tabs>
          <w:tab w:pos="567" w:val="left"/>
        </w:tabs>
        <w:ind w:left="567" w:hanging="567"/>
      </w:pPr>
      <w:r>
        <w:t>10.</w:t>
      </w:r>
      <w:r>
        <w:tab/>
      </w:r>
      <w:r>
        <w:t>Mitteilungen über kapitalmarktrechtliche Veröffentlichungen an die Bundesanstalt für Finanzdienstleistungsaufsicht, sofern die Veröffentlichung selbst nicht bereits über Nummer 7 oder Nummer 9 in das Unternehmensregister eingestellt wird;</w:t>
      </w:r>
    </w:p>
    <w:p>
      <w:pPr>
        <w:tabs>
          <w:tab w:pos="567" w:val="left"/>
        </w:tabs>
        <w:ind w:left="567" w:hanging="567"/>
      </w:pPr>
      <w:r>
        <w:t>11.</w:t>
      </w:r>
      <w:r>
        <w:tab/>
      </w:r>
      <w:r>
        <w:t>Bekanntmachungen der Insolvenzgerichte nach § 9 der Insolvenzordnung, ausgenommen Verfahren nach dem Zehnten Teil der Insolvenzordnung;</w:t>
      </w:r>
    </w:p>
    <w:p>
      <w:pPr>
        <w:tabs>
          <w:tab w:pos="567" w:val="left"/>
        </w:tabs>
        <w:ind w:left="567" w:hanging="567"/>
      </w:pPr>
      <w:r>
        <w:t>12.</w:t>
      </w:r>
      <w:r>
        <w:tab/>
      </w:r>
      <w:r>
        <w:t>Registerbekanntmachungen aus dem Handels-, Genossenschafts-, Gesellschafts- und Partnerschaftsregister;</w:t>
      </w:r>
    </w:p>
    <w:p>
      <w:pPr>
        <w:tabs>
          <w:tab w:pos="567" w:val="left"/>
        </w:tabs>
        <w:ind w:left="567" w:hanging="567"/>
      </w:pPr>
      <w:r>
        <w:t>13.</w:t>
      </w:r>
      <w:r>
        <w:tab/>
      </w:r>
      <w:r>
        <w:t>Bekanntmachungen der Bundesanstalt für Finanzdienstleistungsaufsicht nach § 107 Absatz 1 Satz 6, § 109 Absatz 2 Satz 1 und 5, Absatz 3 Satz 2 des Wertpapierhandelsgesetzes und nach § 31 Absatz 4 des Vermögensanlagengesetzes.</w:t>
      </w:r>
    </w:p>
    <w:p>
      <w:r>
        <w:t xml:space="preserve">(3) </w:t>
      </w:r>
      <w:r>
        <w:rPr>
          <w:rStyle w:val="Satznummer"/>
        </w:rPr>
        <w:t>1</w:t>
      </w:r>
      <w:r>
        <w:t>Zur Einstellung in das Unternehmensregister sind dem Unternehmensregister zu übermitteln:</w:t>
      </w:r>
    </w:p>
    <w:p>
      <w:pPr>
        <w:tabs>
          <w:tab w:pos="567" w:val="left"/>
        </w:tabs>
        <w:ind w:left="567" w:hanging="567"/>
      </w:pPr>
      <w:r>
        <w:t>1.</w:t>
      </w:r>
      <w:r>
        <w:tab/>
      </w:r>
      <w:r>
        <w:t>die Daten nach Absatz 2 Nummer 5 bis 8 durch den Betreiber des Bundesanzeigers,</w:t>
      </w:r>
    </w:p>
    <w:p>
      <w:pPr>
        <w:tabs>
          <w:tab w:pos="567" w:val="left"/>
        </w:tabs>
        <w:ind w:left="567" w:hanging="567"/>
      </w:pPr>
      <w:r>
        <w:t>2.</w:t>
      </w:r>
      <w:r>
        <w:tab/>
      </w:r>
      <w:r>
        <w:t>die Daten nach Absatz 2 Nummer 4, 9 und 10 sowie diejenigen Unterlagen, die dauerhaft hinterlegt werden sollen, durch den jeweils Offenlegungs- oder Veröffentlichungspflichtigen oder den von ihm mit der Veranlassung der Offenlegung oder Veröffentlichung beauftragten Dritten,</w:t>
      </w:r>
    </w:p>
    <w:p>
      <w:pPr>
        <w:tabs>
          <w:tab w:pos="567" w:val="left"/>
        </w:tabs>
        <w:ind w:left="567" w:hanging="567"/>
      </w:pPr>
      <w:r>
        <w:t>3.</w:t>
      </w:r>
      <w:r>
        <w:tab/>
      </w:r>
      <w:r>
        <w:t>die Daten nach Absatz 2 Nummer 13 durch die Bundesanstalt für Finanzdienstleistungsaufsicht.</w:t>
      </w:r>
    </w:p>
    <w:p>
      <w:r>
        <w:rPr>
          <w:rStyle w:val="Satznummer"/>
        </w:rPr>
        <w:t>2</w:t>
      </w:r>
      <w:r>
        <w:t xml:space="preserve">Die Landesjustizverwaltungen übermitteln die Daten nach Absatz 2 Nummer 1 bis 3, 11 und 12 zum Unternehmensregister, soweit die Übermittlung für die Eröffnung eines Zugangs zu den Originaldaten über die Internetseite des Unternehmensregisters erforderlich ist. </w:t>
      </w:r>
      <w:r>
        <w:rPr>
          <w:rStyle w:val="Satznummer"/>
        </w:rPr>
        <w:t>3</w:t>
      </w:r>
      <w:r>
        <w:t xml:space="preserve">Die das Unternehmensregister führende Stelle stellt dem Betreiber des Bundesanzeigers die nach Satz 2 von den Landesjustizverwaltungen übermittelten Daten zur Verfügung, soweit dies für die Erfüllung der Aufgabe der Zuordnung von Einreichungen beim Betreiber des Bundesanzeigers nach Absatz 2 Nummer 5 bis 8 erforderlich ist. </w:t>
      </w:r>
      <w:r>
        <w:rPr>
          <w:rStyle w:val="Satznummer"/>
        </w:rPr>
        <w:t>4</w:t>
      </w:r>
      <w:r>
        <w:t xml:space="preserve">Die Daten dürfen vom Betreiber des Bundesanzeigers nur für diese Zwecke verwendet werden. </w:t>
      </w:r>
      <w:r>
        <w:rPr>
          <w:rStyle w:val="Satznummer"/>
        </w:rPr>
        <w:t>5</w:t>
      </w:r>
      <w:r>
        <w:t xml:space="preserve">Die Bundesanstalt für Finanzdienstleistungsaufsicht überwacht die Übermittlung der Veröffentlichungen und der sonstigen der Öffentlichkeit zur Verfügung gestellten Informationen nach den </w:t>
      </w:r>
      <w:hyperlink w:anchor="b6" w:history="1">
        <w:r>
          <w:rPr>
            <w:color w:val="0A3A8C"/>
            <w:u w:val="single"/>
          </w:rPr>
          <w:t xml:space="preserve">§§ 5</w:t>
        </w:r>
      </w:hyperlink>
      <w:r>
        <w:t xml:space="preserve">, </w:t>
      </w:r>
      <w:hyperlink w:anchor="b44" w:history="1">
        <w:r>
          <w:rPr>
            <w:color w:val="0A3A8C"/>
            <w:u w:val="single"/>
          </w:rPr>
          <w:t xml:space="preserve">26</w:t>
        </w:r>
      </w:hyperlink>
      <w:r>
        <w:t xml:space="preserve"> Absatz 1 und 2, § 40 Absatz 1, den §§ 41, 46 Absatz 2, den </w:t>
      </w:r>
      <w:hyperlink w:anchor="b62" w:history="1">
        <w:r>
          <w:rPr>
            <w:color w:val="0A3A8C"/>
            <w:u w:val="single"/>
          </w:rPr>
          <w:t xml:space="preserve">§§ 50</w:t>
        </w:r>
      </w:hyperlink>
      <w:r>
        <w:t xml:space="preserve">, </w:t>
      </w:r>
      <w:hyperlink w:anchor="b63" w:history="1">
        <w:r>
          <w:rPr>
            <w:color w:val="0A3A8C"/>
            <w:u w:val="single"/>
          </w:rPr>
          <w:t xml:space="preserve">51</w:t>
        </w:r>
      </w:hyperlink>
      <w:r>
        <w:t xml:space="preserve"> Absatz 2, </w:t>
      </w:r>
      <w:hyperlink w:anchor="b149" w:history="1">
        <w:r>
          <w:rPr>
            <w:color w:val="0A3A8C"/>
            <w:u w:val="single"/>
          </w:rPr>
          <w:t xml:space="preserve">§ 114</w:t>
        </w:r>
      </w:hyperlink>
      <w:r>
        <w:t xml:space="preserve"> Absatz 1 bis </w:t>
      </w:r>
      <w:hyperlink w:anchor="b151" w:history="1">
        <w:r>
          <w:rPr>
            <w:color w:val="0A3A8C"/>
            <w:u w:val="single"/>
          </w:rPr>
          <w:t xml:space="preserve">§ 116</w:t>
        </w:r>
      </w:hyperlink>
      <w:r>
        <w:t xml:space="preserve"> Absatz 2, den §§ 117, 118 Absatz 4 und § 127 des Wertpapierhandelsgesetzes an das Unternehmensregister zur Einstellung und kann Anordnungen treffen, die zu ihrer Durchsetzung geeignet und erforderlich sind. </w:t>
      </w:r>
      <w:r>
        <w:rPr>
          <w:rStyle w:val="Satznummer"/>
        </w:rPr>
        <w:t>6</w:t>
      </w:r>
      <w:r>
        <w:t xml:space="preserve">Die Bundesanstalt kann die gebotene Übermittlung der in Satz 5 genannten Veröffentlichungen, der Öffentlichkeit zur Verfügung gestellten Informationen und Mitteilung auf Kosten des Pflichtigen vornehmen, wenn die Übermittlungspflicht nicht, nicht richtig, nicht vollständig oder nicht in der vorgeschriebenen Weise erfüllt wird. </w:t>
      </w:r>
      <w:r>
        <w:rPr>
          <w:rStyle w:val="Satznummer"/>
        </w:rPr>
        <w:t>7</w:t>
      </w:r>
      <w:r>
        <w:t xml:space="preserve">Für die Überwachungstätigkeit der Bundesanstalt gelten </w:t>
      </w:r>
      <w:hyperlink w:anchor="b7" w:history="1">
        <w:r>
          <w:rPr>
            <w:color w:val="0A3A8C"/>
            <w:u w:val="single"/>
          </w:rPr>
          <w:t xml:space="preserve">§ 6</w:t>
        </w:r>
      </w:hyperlink>
      <w:r>
        <w:t xml:space="preserve"> Absatz 3 Satz 1 und 3, Absatz 15 und 16, die §§ 13, 18 und 21 des Wertpapierhandelsgesetzes entsprechend.</w:t>
      </w:r>
    </w:p>
    <w:p>
      <w:r>
        <w:t xml:space="preserve">(4) Die Führung des Unternehmensregisters schließt die Erteilung von Ausdrucken sowie die Beglaubigung entsprechend </w:t>
      </w:r>
      <w:hyperlink w:anchor="b13" w:history="1">
        <w:r>
          <w:rPr>
            <w:color w:val="0A3A8C"/>
            <w:u w:val="single"/>
          </w:rPr>
          <w:t xml:space="preserve">§ 9</w:t>
        </w:r>
      </w:hyperlink>
      <w:r>
        <w:t xml:space="preserve"> Abs. 3 und 4 hinsichtlich der im Unternehmensregister eingestellten Unterlagen der Rechnungslegung und Unternehmensberichte im Sinn des Absatzes 2 Nr. 4 ein.</w:t>
      </w:r>
    </w:p>
    <w:p>
      <w:r>
        <w:t xml:space="preserve">(5) Die Führung des Unternehmensregisters schließt auch den Informationsaustausch nach </w:t>
      </w:r>
      <w:hyperlink w:anchor="b16" w:history="1">
        <w:r>
          <w:rPr>
            <w:color w:val="0A3A8C"/>
            <w:u w:val="single"/>
          </w:rPr>
          <w:t xml:space="preserve">§ 9c</w:t>
        </w:r>
      </w:hyperlink>
      <w:r>
        <w:t xml:space="preserve"> ein.</w:t>
      </w:r>
    </w:p>
    <w:p>
      <w:pPr>
        <w:pStyle w:val="Heading3"/>
      </w:pPr>
      <w:bookmarkStart w:id="14" w:name="b13"/>
      <w:r>
        <w:t>§ 9 Einsichtnahme in das Handelsregister und das Unternehmensregister</w:t>
      </w:r>
      <w:r>
        <w:t xml:space="preserve"> </w:t>
      </w:r>
      <w:r>
        <w:rPr>
          <w:rStyle w:val="Suchmarke"/>
        </w:rPr>
        <w:t>#9#</w:t>
      </w:r>
      <w:bookmarkEnd w:id="14"/>
    </w:p>
    <w:p>
      <w:r>
        <w:t xml:space="preserve">(1) </w:t>
      </w:r>
      <w:r>
        <w:rPr>
          <w:rStyle w:val="Satznummer"/>
        </w:rPr>
        <w:t>1</w:t>
      </w:r>
      <w:r>
        <w:t xml:space="preserve">Die Einsichtnahme in das Handelsregister sowie in die zum Handelsregister eingereichten Dokumente ist jedem zu Informationszwecken durch einzelne Abrufe gestattet. </w:t>
      </w:r>
      <w:r>
        <w:rPr>
          <w:rStyle w:val="Satznummer"/>
        </w:rPr>
        <w:t>2</w:t>
      </w:r>
      <w:r>
        <w:t xml:space="preserve">Die Landesjustizverwaltungen bestimmen das elektronische Informations- und Kommunikationssystem, über das die Daten aus den Handelsregistern abrufbar sind, und sind für die Abwicklung des elektronischen Abrufverfahrens zuständig. </w:t>
      </w:r>
      <w:r>
        <w:rPr>
          <w:rStyle w:val="Satznummer"/>
        </w:rPr>
        <w:t>3</w:t>
      </w:r>
      <w:r>
        <w:t xml:space="preserve">Die Landesregierung kann die Zuständigkeit durch Rechtsverordnung abweichend regeln; sie kann diese Ermächtigung durch Rechtsverordnung auf die Landesjustizverwaltung übertragen. </w:t>
      </w:r>
      <w:r>
        <w:rPr>
          <w:rStyle w:val="Satznummer"/>
        </w:rPr>
        <w:t>4</w:t>
      </w:r>
      <w:r>
        <w:t xml:space="preserve">Die Länder können ein länderübergreifendes, zentrales elektronisches Informations- und Kommunikationssystem bestimmen. </w:t>
      </w:r>
      <w:r>
        <w:rPr>
          <w:rStyle w:val="Satznummer"/>
        </w:rPr>
        <w:t>5</w:t>
      </w:r>
      <w:r>
        <w:t>Sie können auch eine Übertragung der Abwicklungsaufgaben auf die zuständige Stelle eines anderen Landes sowie mit dem Betreiber des Unternehmensregisters eine Übertragung der Abwicklungsaufgaben auf das Unternehmensregister vereinbaren.</w:t>
      </w:r>
    </w:p>
    <w:p>
      <w:r>
        <w:t>(2) Sind Dokumente nur in Papierform vorhanden, kann die elektronische Übermittlung nur für solche Schriftstücke verlangt werden, die weniger als zehn Jahre vor dem Zeitpunkt der Antragstellung zum Handelsregister eingereicht wurden.</w:t>
      </w:r>
    </w:p>
    <w:p>
      <w:r>
        <w:t xml:space="preserve">(3) </w:t>
      </w:r>
      <w:r>
        <w:rPr>
          <w:rStyle w:val="Satznummer"/>
        </w:rPr>
        <w:t>1</w:t>
      </w:r>
      <w:r>
        <w:t xml:space="preserve">Die Übereinstimmung der übermittelten Daten mit dem Inhalt des Handelsregisters und den zum Handelsregister eingereichten Dokumenten wird auf Antrag durch das Gericht beglaubigt. </w:t>
      </w:r>
      <w:r>
        <w:rPr>
          <w:rStyle w:val="Satznummer"/>
        </w:rPr>
        <w:t>2</w:t>
      </w:r>
      <w:r>
        <w:t>Dafür hat eine Authentifizierung durch einen Vertrauensdienst nach der Verordnung (EU) Nr. 910/2014 des Europäischen Parlaments und des Rates vom 23. Juli 2014 über elektronische Identifizierung und Vertrauensdienste für elektronische Transaktionen im Binnenmarkt und zur Aufhebung der Richtlinie 1999/93/EG (ABl. L 257 vom 28.8.2014, S. 73; L 23 vom 29.1.2015, S. 19; L 155 vom 14.6.2016, S. 44) zu erfolgen.</w:t>
      </w:r>
    </w:p>
    <w:p>
      <w:r>
        <w:t xml:space="preserve">(4) </w:t>
      </w:r>
      <w:r>
        <w:rPr>
          <w:rStyle w:val="Satznummer"/>
        </w:rPr>
        <w:t>1</w:t>
      </w:r>
      <w:r>
        <w:t xml:space="preserve">Von den Eintragungen und den eingereichten Dokumenten kann ein Ausdruck verlangt werden. </w:t>
      </w:r>
      <w:r>
        <w:rPr>
          <w:rStyle w:val="Satznummer"/>
        </w:rPr>
        <w:t>2</w:t>
      </w:r>
      <w:r>
        <w:t xml:space="preserve">Von den zum Handelsregister eingereichten Schriftstücken, die nur in Papierform vorliegen, kann eine Abschrift gefordert werden. </w:t>
      </w:r>
      <w:r>
        <w:rPr>
          <w:rStyle w:val="Satznummer"/>
        </w:rPr>
        <w:t>3</w:t>
      </w:r>
      <w:r>
        <w:t>Die Abschrift ist von der Geschäftsstelle zu beglaubigen und der Ausdruck als amtlicher Ausdruck zu fertigen, wenn nicht auf die Beglaubigung verzichtet wird.</w:t>
      </w:r>
    </w:p>
    <w:p>
      <w:r>
        <w:t>(5) Das Gericht hat auf Verlangen eine Bescheinigung darüber zu erteilen, dass bezüglich des Gegenstandes einer Eintragung weitere Eintragungen nicht vorhanden sind oder dass eine bestimmte Eintragung nicht erfolgt ist.</w:t>
      </w:r>
    </w:p>
    <w:p>
      <w:r>
        <w:t xml:space="preserve">(6) </w:t>
      </w:r>
      <w:r>
        <w:rPr>
          <w:rStyle w:val="Satznummer"/>
        </w:rPr>
        <w:t>1</w:t>
      </w:r>
      <w:r>
        <w:t xml:space="preserve">Für die Einsichtnahme in das Unternehmensregister gilt Absatz 1 Satz 1 entsprechend. </w:t>
      </w:r>
      <w:r>
        <w:rPr>
          <w:rStyle w:val="Satznummer"/>
        </w:rPr>
        <w:t>2</w:t>
      </w:r>
      <w:r>
        <w:t xml:space="preserve">Anträge nach den Absätzen 2 bis 5 können auch über das Unternehmensregister an das Gericht vermittelt werden. </w:t>
      </w:r>
      <w:r>
        <w:rPr>
          <w:rStyle w:val="Satznummer"/>
        </w:rPr>
        <w:t>3</w:t>
      </w:r>
      <w:r>
        <w:t>Die Einsichtnahme in die beim Unternehmensregister zur dauerhaften Hinterlegung eingestellten Daten erfolgt nur auf Antrag durch Übermittlung einer Kopie.</w:t>
      </w:r>
    </w:p>
    <w:p>
      <w:pPr>
        <w:pStyle w:val="Heading3"/>
      </w:pPr>
      <w:bookmarkStart w:id="15" w:name="b14"/>
      <w:r>
        <w:t>§ 9a Übertragung der Führung des Unternehmensregisters; Verordnungsermächtigung</w:t>
      </w:r>
      <w:r>
        <w:t xml:space="preserve"> </w:t>
      </w:r>
      <w:r>
        <w:rPr>
          <w:rStyle w:val="Suchmarke"/>
        </w:rPr>
        <w:t>#9a#</w:t>
      </w:r>
      <w:bookmarkEnd w:id="15"/>
    </w:p>
    <w:p>
      <w:r>
        <w:t xml:space="preserve">(1) </w:t>
      </w:r>
      <w:r>
        <w:rPr>
          <w:rStyle w:val="Satznummer"/>
        </w:rPr>
        <w:t>1</w:t>
      </w:r>
      <w:r>
        <w:t xml:space="preserve">Das Bundesministerium der Justiz wird ermächtigt, durch Rechtsverordnung mit Zustimmung des Bundesrates einer juristischen Person des Privatrechts die Aufgaben nach </w:t>
      </w:r>
      <w:hyperlink w:anchor="b12" w:history="1">
        <w:r>
          <w:rPr>
            <w:color w:val="0A3A8C"/>
            <w:u w:val="single"/>
          </w:rPr>
          <w:t xml:space="preserve">§ 8b</w:t>
        </w:r>
      </w:hyperlink>
      <w:r>
        <w:t xml:space="preserve"> Abs. 1 zu übertragen. </w:t>
      </w:r>
      <w:r>
        <w:rPr>
          <w:rStyle w:val="Satznummer"/>
        </w:rPr>
        <w:t>2</w:t>
      </w:r>
      <w:r>
        <w:t xml:space="preserve">Der Beliehene erlangt die Stellung einer Justizbehörde des Bundes. </w:t>
      </w:r>
      <w:r>
        <w:rPr>
          <w:rStyle w:val="Satznummer"/>
        </w:rPr>
        <w:t>3</w:t>
      </w:r>
      <w:r>
        <w:t xml:space="preserve">Zur Erstellung von Beglaubigungen führt der Beliehene ein Dienstsiegel; nähere Einzelheiten hierzu können in der Rechtsverordnung nach Satz 1 geregelt werden. </w:t>
      </w:r>
      <w:r>
        <w:rPr>
          <w:rStyle w:val="Satznummer"/>
        </w:rPr>
        <w:t>4</w:t>
      </w:r>
      <w:r>
        <w:t xml:space="preserve">Die Dauer der Beleihung ist zu befristen; sie soll fünf Jahre nicht unterschreiten; Kündigungsrechte aus wichtigem Grund sind vorzusehen. </w:t>
      </w:r>
      <w:r>
        <w:rPr>
          <w:rStyle w:val="Satznummer"/>
        </w:rPr>
        <w:t>5</w:t>
      </w:r>
      <w:r>
        <w:t>Eine juristische Person des Privatrechts darf nur beliehen werden, wenn sie grundlegende Erfahrungen mit der Veröffentlichung von kapitalmarktrechtlichen Informationen und gerichtlichen Mitteilungen, insbesondere Handelsregisterdaten, hat und ihr eine ausreichende technische und finanzielle Ausstattung zur Verfügung steht, die die Gewähr für den langfristigen und sicheren Betrieb des Unternehmensregisters bietet.</w:t>
      </w:r>
    </w:p>
    <w:p>
      <w:r>
        <w:t xml:space="preserve">(2) </w:t>
      </w:r>
      <w:r>
        <w:rPr>
          <w:rStyle w:val="Satznummer"/>
        </w:rPr>
        <w:t>1</w:t>
      </w:r>
      <w:r>
        <w:t xml:space="preserve">Das Bundesministerium der Justiz wird ermächtigt, durch Rechtsverordnung mit Zustimmung des Bundesrates Einzelheiten der Datenübermittlung zwischen den Behörden der Länder und dem Unternehmensregister einschließlich Vorgaben über Datenformate zu regeln. </w:t>
      </w:r>
      <w:r>
        <w:rPr>
          <w:rStyle w:val="Satznummer"/>
        </w:rPr>
        <w:t>2</w:t>
      </w:r>
      <w:r>
        <w:t>Abweichungen von den Verfahrensregelungen durch Landesrecht sind ausgeschlossen.</w:t>
      </w:r>
    </w:p>
    <w:p>
      <w:r>
        <w:t xml:space="preserve">(3) </w:t>
      </w:r>
      <w:r>
        <w:rPr>
          <w:rStyle w:val="Satznummer"/>
        </w:rPr>
        <w:t>1</w:t>
      </w:r>
      <w:r>
        <w:t xml:space="preserve">Das Bundesministerium der Justiz wird ermächtigt, durch Rechtsverordnung ohne Zustimmung des Bundesrates die technischen Einzelheiten zu Aufbau und Führung des Unternehmensregisters, die technischen Einzelheiten zur Anmeldung und Identifikation von Nutzern des Unternehmensregisters, Einzelheiten der Datenübermittlung einschließlich Vorgaben über Datenformate, die nicht unter Absatz 2 fallen, Einzelheiten der Prüfung der übermittelten Daten, Löschungsfristen für die im Unternehmensregister gespeicherten Daten, Überwachungsrechte der Bundesanstalt für Finanzdienstleistungsaufsicht gegenüber dem Unternehmensregister hinsichtlich der Übermittlung, Einstellung, Verwaltung, Verarbeitung und des Abrufs kapitalmarktrechtlicher Daten einschließlich der Zusammenarbeit mit amtlich bestellten Speicherungssystemen anderer Mitgliedstaaten der Europäischen Union oder anderer Vertragsstaaten des Abkommens über den Europäischen Wirtschaftsraum im Rahmen des Aufbaus eines europaweiten Netzwerks zwischen den Speicherungssystemen, die Zulässigkeit sowie Art und Umfang von Auskunftsdienstleistungen mit den im Unternehmensregister gespeicherten Daten, die über die mit der Führung des Unternehmensregisters verbundenen Aufgaben nach diesem Gesetz hinausgehen, zu regeln. </w:t>
      </w:r>
      <w:r>
        <w:rPr>
          <w:rStyle w:val="Satznummer"/>
        </w:rPr>
        <w:t>2</w:t>
      </w:r>
      <w:r>
        <w:t xml:space="preserve">Soweit Regelungen getroffen werden, die kapitalmarktrechtliche Daten berühren, ist die Rechtsverordnung nach Satz 1 im Einvernehmen mit dem Bundesministerium der Finanzen zu erlassen. </w:t>
      </w:r>
      <w:r>
        <w:rPr>
          <w:rStyle w:val="Satznummer"/>
        </w:rPr>
        <w:t>3</w:t>
      </w:r>
      <w:r>
        <w:t>Die Rechtsverordnung nach Satz 1 hat dem schutzwürdigen Interesse der Unternehmen am Ausschluss einer zweckändernden Verwendung der im Register gespeicherten Daten angemessen Rechnung zu tragen.</w:t>
      </w:r>
    </w:p>
    <w:p>
      <w:pPr>
        <w:pStyle w:val="Heading3"/>
      </w:pPr>
      <w:bookmarkStart w:id="16" w:name="b15"/>
      <w:r>
        <w:t>§ 9b Europäisches System der Registervernetzung</w:t>
      </w:r>
      <w:r>
        <w:t xml:space="preserve"> </w:t>
      </w:r>
      <w:r>
        <w:rPr>
          <w:rStyle w:val="Suchmarke"/>
        </w:rPr>
        <w:t>#9b#</w:t>
      </w:r>
      <w:bookmarkEnd w:id="16"/>
    </w:p>
    <w:p>
      <w:r>
        <w:t xml:space="preserve">(1) </w:t>
      </w:r>
      <w:r>
        <w:rPr>
          <w:rStyle w:val="Satznummer"/>
        </w:rPr>
        <w:t>1</w:t>
      </w:r>
      <w:r>
        <w:t>Folgende Informationen und Unterlagen, soweit sie Kapitalgesellschaften betreffen oder Zweigniederlassungen von Kapitalgesellschaften, die dem Recht eines anderen Mitgliedstaates der Europäischen Union oder eines anderen Vertragsstaates des Abkommens über den Europäischen Wirtschaftsraum unterliegen, sind auch über das Europäische Justizportal zugänglich:</w:t>
      </w:r>
    </w:p>
    <w:p>
      <w:pPr>
        <w:tabs>
          <w:tab w:pos="567" w:val="left"/>
        </w:tabs>
        <w:ind w:left="567" w:hanging="567"/>
      </w:pPr>
      <w:r>
        <w:t>1.</w:t>
      </w:r>
      <w:r>
        <w:tab/>
      </w:r>
      <w:r>
        <w:t>Eintragungen im Handelsregister,</w:t>
      </w:r>
    </w:p>
    <w:p>
      <w:pPr>
        <w:tabs>
          <w:tab w:pos="567" w:val="left"/>
        </w:tabs>
        <w:ind w:left="567" w:hanging="567"/>
      </w:pPr>
      <w:r>
        <w:t>2.</w:t>
      </w:r>
      <w:r>
        <w:tab/>
      </w:r>
      <w:r>
        <w:t>Registerbekanntmachungen,</w:t>
      </w:r>
    </w:p>
    <w:p>
      <w:pPr>
        <w:tabs>
          <w:tab w:pos="567" w:val="left"/>
        </w:tabs>
        <w:ind w:left="567" w:hanging="567"/>
      </w:pPr>
      <w:r>
        <w:t>3.</w:t>
      </w:r>
      <w:r>
        <w:tab/>
      </w:r>
      <w:r>
        <w:t>zum Handelsregister eingereichte Dokumente,</w:t>
      </w:r>
    </w:p>
    <w:p>
      <w:pPr>
        <w:tabs>
          <w:tab w:pos="567" w:val="left"/>
        </w:tabs>
        <w:ind w:left="567" w:hanging="567"/>
      </w:pPr>
      <w:r>
        <w:t>4.</w:t>
      </w:r>
      <w:r>
        <w:tab/>
      </w:r>
      <w:r>
        <w:t xml:space="preserve">Unterlagen der Rechnungslegung nach </w:t>
      </w:r>
      <w:hyperlink w:anchor="b364" w:history="1">
        <w:r>
          <w:rPr>
            <w:color w:val="0A3A8C"/>
            <w:u w:val="single"/>
          </w:rPr>
          <w:t xml:space="preserve">§ 325</w:t>
        </w:r>
      </w:hyperlink>
      <w:r>
        <w:t xml:space="preserve"> sowie</w:t>
      </w:r>
    </w:p>
    <w:p>
      <w:pPr>
        <w:tabs>
          <w:tab w:pos="567" w:val="left"/>
        </w:tabs>
        <w:ind w:left="567" w:hanging="567"/>
      </w:pPr>
      <w:r>
        <w:t>5.</w:t>
      </w:r>
      <w:r>
        <w:tab/>
      </w:r>
      <w:r>
        <w:t>eine Verschmelzungs-, Spaltungs- oder Formwechselbescheinigung nach § 316 Absatz 1 Satz 4, § 329 Satz 3 oder § 343 Absatz 1 Satz 4 des Umwandlungsgesetzes.</w:t>
      </w:r>
    </w:p>
    <w:p>
      <w:r>
        <w:rPr>
          <w:rStyle w:val="Satznummer"/>
        </w:rPr>
        <w:t>2</w:t>
      </w:r>
      <w:r>
        <w:t xml:space="preserve">Hierzu übermitteln die Landesjustizverwaltungen die Daten des Handelsregisters und die das Unternehmensregister führende Stelle übermittelt die Daten der Rechnungslegungsunterlagen jeweils an die zentrale Europäische Plattform nach Artikel 22 Absatz 1 der Richtlinie (EU) 2017/1132 des Europäischen Parlaments und des Rates vom 14. Juni 2017 über bestimmte Aspekte des Gesellschaftsrechts (ABl. L 169 vom 30.6.2017, S. 46), die zuletzt durch die Richtlinie (EU) 2019/2121 (ABl. L 321 vom 12.12.2019, S. 1; L 20 vom 24.1.2020, S. 24) geändert worden ist, soweit die Übermittlung für die Eröffnung eines Zugangs zu den Originaldaten über den Suchdienst auf der Internetseite des Europäischen Justizportals erforderlich ist. </w:t>
      </w:r>
      <w:r>
        <w:rPr>
          <w:rStyle w:val="Satznummer"/>
        </w:rPr>
        <w:t>3</w:t>
      </w:r>
      <w:r>
        <w:t>Die Zugänglichmachung der Informationen und Unterlagen über das Europäische Justizportal erfolgt nach Maßgabe der Bestimmungen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(ABl. L 225 vom 25.6.2021, S. 7).</w:t>
      </w:r>
    </w:p>
    <w:p>
      <w:r>
        <w:t xml:space="preserve">(2) </w:t>
      </w:r>
      <w:r>
        <w:rPr>
          <w:rStyle w:val="Satznummer"/>
        </w:rPr>
        <w:t>1</w:t>
      </w:r>
      <w:r>
        <w:t xml:space="preserve">Das Registergericht, bei dem das Registerblatt einer Kapitalgesellschaft oder Zweigniederlassung einer Kapitalgesellschaft im Sinne des Absatzes 1 Satz 1 geführt wird, nimmt am Informationsaustausch zwischen den Registern über die zentrale Europäische Plattform teil. </w:t>
      </w:r>
      <w:r>
        <w:rPr>
          <w:rStyle w:val="Satznummer"/>
        </w:rPr>
        <w:t>2</w:t>
      </w:r>
      <w:r>
        <w:t xml:space="preserve">Den Kapitalgesellschaften und Zweigniederlassungen von Kapitalgesellschaften im Sinne des Absatzes 1 Satz 1 ist zu diesem Zweck eine einheitliche europäische Kennung zuzuordnen. </w:t>
      </w:r>
      <w:r>
        <w:rPr>
          <w:rStyle w:val="Satznummer"/>
        </w:rPr>
        <w:t>3</w:t>
      </w:r>
      <w:r>
        <w:t>Das Registergericht übermittelt nach Maßgabe der folgenden Absätze an die zentrale Europäische Plattform die Informationen und Unterlagen über</w:t>
      </w:r>
    </w:p>
    <w:p>
      <w:pPr>
        <w:tabs>
          <w:tab w:pos="567" w:val="left"/>
        </w:tabs>
        <w:ind w:left="567" w:hanging="567"/>
      </w:pPr>
      <w:r>
        <w:t>1.</w:t>
      </w:r>
      <w:r>
        <w:tab/>
      </w:r>
      <w:r>
        <w:t>die Eintragung der Eröffnung, Einstellung oder Aufhebung eines Insolvenzverfahrens über das Vermögen der Gesellschaft,</w:t>
      </w:r>
    </w:p>
    <w:p>
      <w:pPr>
        <w:tabs>
          <w:tab w:pos="567" w:val="left"/>
        </w:tabs>
        <w:ind w:left="567" w:hanging="567"/>
      </w:pPr>
      <w:r>
        <w:t>2.</w:t>
      </w:r>
      <w:r>
        <w:tab/>
      </w:r>
      <w:r>
        <w:t>die Eintragung der Auflösung der Gesellschaft und die Eintragung über den Schluss der Liquidation oder Abwicklung oder über die Fortsetzung der Gesellschaft,</w:t>
      </w:r>
    </w:p>
    <w:p>
      <w:pPr>
        <w:tabs>
          <w:tab w:pos="567" w:val="left"/>
        </w:tabs>
        <w:ind w:left="567" w:hanging="567"/>
      </w:pPr>
      <w:r>
        <w:t>3.</w:t>
      </w:r>
      <w:r>
        <w:tab/>
      </w:r>
      <w:r>
        <w:t>die Löschung der Gesellschaft,</w:t>
      </w:r>
    </w:p>
    <w:p>
      <w:pPr>
        <w:tabs>
          <w:tab w:pos="567" w:val="left"/>
        </w:tabs>
        <w:ind w:left="567" w:hanging="567"/>
      </w:pPr>
      <w:r>
        <w:t>4.</w:t>
      </w:r>
      <w:r>
        <w:tab/>
      </w:r>
      <w:r>
        <w:t>die Verschmelzungs-, Spaltungs- oder Formwechselbescheinigung nach § 316 Absatz 1 Satz 4, § 329 Satz 3 oder § 343 Absatz 1 Satz 4 des Umwandlungsgesetzes, das Wirksamwerden einer grenzüberschreitenden Umwandlung sowie die Eintragung der aus einer grenzüberschreitenden Spaltung hervorgehenden, neuen Gesellschaft oder die Eintragung der grenzüberschreitenden Spaltung zur Aufnahme im Register der übernehmenden Gesellschaft,</w:t>
      </w:r>
    </w:p>
    <w:p>
      <w:pPr>
        <w:tabs>
          <w:tab w:pos="567" w:val="left"/>
        </w:tabs>
        <w:ind w:left="567" w:hanging="567"/>
      </w:pPr>
      <w:r>
        <w:t>5.</w:t>
      </w:r>
      <w:r>
        <w:tab/>
      </w:r>
      <w:r>
        <w:t>die Eintragung der Errichtung der Zweigniederlassung und die Eintragung der Aufhebung der Zweigniederlassung sowie</w:t>
      </w:r>
    </w:p>
    <w:p>
      <w:pPr>
        <w:tabs>
          <w:tab w:pos="567" w:val="left"/>
        </w:tabs>
        <w:ind w:left="567" w:hanging="567"/>
      </w:pPr>
      <w:r>
        <w:t>6.</w:t>
      </w:r>
      <w:r>
        <w:tab/>
      </w:r>
      <w:r>
        <w:t>die Änderung folgender Daten der Gesellschaft oder der Zweigniederlassung:</w:t>
      </w:r>
    </w:p>
    <w:p>
      <w:pPr>
        <w:tabs>
          <w:tab w:pos="1134" w:val="left"/>
        </w:tabs>
        <w:ind w:left="1134" w:hanging="567"/>
      </w:pPr>
      <w:r>
        <w:t>a)</w:t>
      </w:r>
      <w:r>
        <w:tab/>
      </w:r>
      <w:r>
        <w:t>der Firma der Gesellschaft oder der Zweigniederlassung,</w:t>
      </w:r>
    </w:p>
    <w:p>
      <w:pPr>
        <w:tabs>
          <w:tab w:pos="1134" w:val="left"/>
        </w:tabs>
        <w:ind w:left="1134" w:hanging="567"/>
      </w:pPr>
      <w:r>
        <w:t>b)</w:t>
      </w:r>
      <w:r>
        <w:tab/>
      </w:r>
      <w:r>
        <w:t>des Sitzes der Gesellschaft oder der Geschäftsanschrift der Zweigniederlassung,</w:t>
      </w:r>
    </w:p>
    <w:p>
      <w:pPr>
        <w:tabs>
          <w:tab w:pos="1134" w:val="left"/>
        </w:tabs>
        <w:ind w:left="1134" w:hanging="567"/>
      </w:pPr>
      <w:r>
        <w:t>c)</w:t>
      </w:r>
      <w:r>
        <w:tab/>
      </w:r>
      <w:r>
        <w:t>der Rechtsform der Gesellschaft,</w:t>
      </w:r>
    </w:p>
    <w:p>
      <w:pPr>
        <w:tabs>
          <w:tab w:pos="1134" w:val="left"/>
        </w:tabs>
        <w:ind w:left="1134" w:hanging="567"/>
      </w:pPr>
      <w:r>
        <w:t>d)</w:t>
      </w:r>
      <w:r>
        <w:tab/>
      </w:r>
      <w:r>
        <w:t>der Eintragungsnummer der Gesellschaft oder der Zweigniederlassung,</w:t>
      </w:r>
    </w:p>
    <w:p>
      <w:pPr>
        <w:tabs>
          <w:tab w:pos="1134" w:val="left"/>
        </w:tabs>
        <w:ind w:left="1134" w:hanging="567"/>
      </w:pPr>
      <w:r>
        <w:t>e)</w:t>
      </w:r>
      <w:r>
        <w:tab/>
      </w:r>
      <w:r>
        <w:t>der Personen, die als gesetzlich vorgesehenes Gesellschaftsorgan oder als Mitglieder eines solchen Organs befugt sind, die Gesellschaft gerichtlich und außergerichtlich zu vertreten, oder die an der Verwaltung, Beaufsichtigung oder Kontrolle der Gesellschaft teilnehmen.</w:t>
      </w:r>
    </w:p>
    <w:p>
      <w:r>
        <w:rPr>
          <w:rStyle w:val="Satznummer"/>
        </w:rPr>
        <w:t>4</w:t>
      </w:r>
      <w:r>
        <w:t>Die Übermittlung der Informationen und Unterlagen erfolgt nach Maßgabe der Bestimmungen der Durchführungsverordnung (EU) 2021/1042.</w:t>
      </w:r>
    </w:p>
    <w:p>
      <w:r>
        <w:t xml:space="preserve">(3) </w:t>
      </w:r>
      <w:r>
        <w:rPr>
          <w:rStyle w:val="Satznummer"/>
        </w:rPr>
        <w:t>1</w:t>
      </w:r>
      <w:r>
        <w:t xml:space="preserve">Die Landesjustizverwaltungen bestimmen das elektronische Informations- und Kommunikationssystem, über das die Daten aus dem Handelsregister zugänglich gemacht (Absatz 1) und im Rahmen des Informationsaustauschs zwischen den Registern übermittelt und empfangen werden (Absatz 2), und sie sind, vorbehaltlich der Zuständigkeit der das Unternehmensregister führenden Stelle nach Absatz 1 Satz 2, für die Abwicklung des Datenverkehrs nach den Absätzen 1 und 2 zuständig. </w:t>
      </w:r>
      <w:r>
        <w:rPr>
          <w:rStyle w:val="Satznummer"/>
        </w:rPr>
        <w:t>2</w:t>
      </w:r>
      <w:hyperlink w:anchor="b13" w:history="1">
        <w:r>
          <w:rPr>
            <w:color w:val="0A3A8C"/>
            <w:u w:val="single"/>
          </w:rPr>
          <w:t xml:space="preserve">§ 9</w:t>
        </w:r>
      </w:hyperlink>
      <w:r>
        <w:t xml:space="preserve"> Absatz 1 Satz 3 bis 5 gilt entsprechend.</w:t>
      </w:r>
    </w:p>
    <w:p>
      <w:r>
        <w:t xml:space="preserve">(4) </w:t>
      </w:r>
      <w:r>
        <w:rPr>
          <w:rStyle w:val="Satznummer"/>
        </w:rPr>
        <w:t>1</w:t>
      </w:r>
      <w:r>
        <w:t>Die das Unternehmensregister führende Stelle übermittelt nach den Vorgaben der Durchführungsverordnung (EU) 2021/1042 eine Änderung der Unterlagen der Rechnungslegung, die eine Kapitalgesellschaft mit Sitz im Inland offengelegt hat (</w:t>
      </w:r>
      <w:hyperlink w:anchor="b364" w:history="1">
        <w:r>
          <w:rPr>
            <w:color w:val="0A3A8C"/>
            <w:u w:val="single"/>
          </w:rPr>
          <w:t xml:space="preserve">§ 325</w:t>
        </w:r>
      </w:hyperlink>
      <w:r>
        <w:t xml:space="preserve"> Absatz 1b Satz 1), unverzüglich an die zentrale Europäische Plattform, wenn die Kapitalgesellschaft eine Zweigniederlassung errichtet hat, die dem Recht eines anderen Mitgliedstaates der Europäischen Union oder eines anderen Vertragsstaates des Abkommens über den Europäischen Wirtschaftsraum unterliegt. </w:t>
      </w:r>
      <w:r>
        <w:rPr>
          <w:rStyle w:val="Satznummer"/>
        </w:rPr>
        <w:t>2</w:t>
      </w:r>
      <w:r>
        <w:t>Empfängt die das Unternehmensregister führende Stelle über das Europäische System der Registervernetzung Daten zu einer Änderung der Unterlagen der Rechnungslegung einer Kapitalgesellschaft, die dem Recht eines anderen Mitgliedstaates der Europäischen Union oder eines anderen Vertragsstaates des Abkommens über den Europäischen Wirtschaftsraum unterliegt und die eine inländische Zweigniederlassung errichtet hat, so bestätigt die registerführende Stelle den Eingang der Daten über das Europäische System der Registervernetzung.</w:t>
      </w:r>
    </w:p>
    <w:p>
      <w:pPr>
        <w:pStyle w:val="Heading3"/>
      </w:pPr>
      <w:bookmarkStart w:id="17" w:name="b16"/>
      <w:r>
        <w:t>§ 9c Informationsaustausch über disqualifizierte Personen über das Europäische System der Registervernetzung</w:t>
      </w:r>
      <w:r>
        <w:t xml:space="preserve"> </w:t>
      </w:r>
      <w:r>
        <w:rPr>
          <w:rStyle w:val="Suchmarke"/>
        </w:rPr>
        <w:t>#9c#</w:t>
      </w:r>
      <w:bookmarkEnd w:id="17"/>
    </w:p>
    <w:p>
      <w:r>
        <w:t xml:space="preserve">(1) </w:t>
      </w:r>
      <w:r>
        <w:rPr>
          <w:rStyle w:val="Satznummer"/>
        </w:rPr>
        <w:t>1</w:t>
      </w:r>
      <w:r>
        <w:t xml:space="preserve">Die das Unternehmensregister führende Stelle ist die zuständige Stelle für die Beantwortung eines über die zentrale Europäische Plattform gemäß </w:t>
      </w:r>
      <w:hyperlink w:anchor="b15" w:history="1">
        <w:r>
          <w:rPr>
            <w:color w:val="0A3A8C"/>
            <w:u w:val="single"/>
          </w:rPr>
          <w:t xml:space="preserve">§ 9b</w:t>
        </w:r>
      </w:hyperlink>
      <w:r>
        <w:t xml:space="preserve"> Absatz 1 Satz 2 eingehenden Ersuchens eines anderen Mitgliedstaates der Europäischen Union oder eines anderen Vertragsstaates des Abkommens über den Europäischen Wirtschaftsraum nach Artikel 13i der Richtlinie (EU) 2017/1132 um Informationen, die relevant sind für die Disqualifikation einer Person</w:t>
      </w:r>
    </w:p>
    <w:p>
      <w:pPr>
        <w:tabs>
          <w:tab w:pos="567" w:val="left"/>
        </w:tabs>
        <w:ind w:left="567" w:hanging="567"/>
      </w:pPr>
      <w:r>
        <w:t>1.</w:t>
      </w:r>
      <w:r>
        <w:tab/>
      </w:r>
      <w:r>
        <w:t>als Geschäftsführer einer Gesellschaft mit beschränkter Haftung gemäß § 6 Absatz 2 Satz 2 Nummer 2 und 3 des Gesetzes über die Gesellschaften mit beschränkter Haftung oder</w:t>
      </w:r>
    </w:p>
    <w:p>
      <w:pPr>
        <w:tabs>
          <w:tab w:pos="567" w:val="left"/>
        </w:tabs>
        <w:ind w:left="567" w:hanging="567"/>
      </w:pPr>
      <w:r>
        <w:t>2.</w:t>
      </w:r>
      <w:r>
        <w:tab/>
      </w:r>
      <w:r>
        <w:t>als Mitglied des Vorstands einer Aktiengesellschaft gemäß § 76 Absatz 3 Satz 2 Nummer 2 und 3 des Aktiengesetzes.</w:t>
      </w:r>
    </w:p>
    <w:p>
      <w:r>
        <w:rPr>
          <w:rStyle w:val="Satznummer"/>
        </w:rPr>
        <w:t>2</w:t>
      </w:r>
      <w:r>
        <w:t>Auf Anfrage eines Registergerichts führt die zuständige Stelle ein Ersuchen nach Artikel 13i der Richtlinie (EU) 2017/1132 gegenüber anderen Mitgliedstaaten der Europäischen Union oder anderen Vertragsstaaten des Abkommens über den Europäischen Wirtschaftsraum durch und leitet die erhaltenen Antworten an das anfragende Registergericht weiter.</w:t>
      </w:r>
    </w:p>
    <w:p>
      <w:r>
        <w:t>(2) Die zuständige Stelle erhält zum Zweck der Beantwortung eines Ersuchens die für die Beantwortung erforderliche Auskunft aus dem Bundeszentralregister nach § 57a Absatz 4 des Bundeszentralregistergesetzes und aus dem Gewerbezentralregister nach § 150c Absatz 3 der Gewerbeordnung.</w:t>
      </w:r>
    </w:p>
    <w:p>
      <w:r>
        <w:t>(3) Die Beantwortung und die Durchführung eines Ersuchens erfolgen gemäß den Bestimmungen der Durchführungsverordnung (EU) 2020/2244 sowie einer nach Absatz 6 erlassenen Verordnung.</w:t>
      </w:r>
    </w:p>
    <w:p>
      <w:r>
        <w:t xml:space="preserve">(4) </w:t>
      </w:r>
      <w:r>
        <w:rPr>
          <w:rStyle w:val="Satznummer"/>
        </w:rPr>
        <w:t>1</w:t>
      </w:r>
      <w:r>
        <w:t>Die Beantwortung eines Ersuchens ist beschränkt auf die Angabe gemäß Artikel 13i Absatz 4 Satz 1 der Richtlinie (EU) 2017/1132,</w:t>
      </w:r>
    </w:p>
    <w:p>
      <w:pPr>
        <w:tabs>
          <w:tab w:pos="567" w:val="left"/>
        </w:tabs>
        <w:ind w:left="567" w:hanging="567"/>
      </w:pPr>
      <w:r>
        <w:t>1.</w:t>
      </w:r>
      <w:r>
        <w:tab/>
      </w:r>
      <w:r>
        <w:t>ob die betroffene Person disqualifiziert ist</w:t>
      </w:r>
    </w:p>
    <w:p>
      <w:pPr>
        <w:tabs>
          <w:tab w:pos="1134" w:val="left"/>
        </w:tabs>
        <w:ind w:left="1134" w:hanging="567"/>
      </w:pPr>
      <w:r>
        <w:t>a)</w:t>
      </w:r>
      <w:r>
        <w:tab/>
      </w:r>
      <w:r>
        <w:t>gemäß § 6 Absatz 2 Satz 2 Nummer 2 und 3 des Gesetzes über die Gesellschaften mit beschränkter Haftung als Geschäftsführer einer Gesellschaft mit beschränkter Haftung oder</w:t>
      </w:r>
    </w:p>
    <w:p>
      <w:pPr>
        <w:tabs>
          <w:tab w:pos="1134" w:val="left"/>
        </w:tabs>
        <w:ind w:left="1134" w:hanging="567"/>
      </w:pPr>
      <w:r>
        <w:t>b)</w:t>
      </w:r>
      <w:r>
        <w:tab/>
      </w:r>
      <w:r>
        <w:t>gemäß § 76 Absatz 3 Satz 2 Nummer 2 und 3 des Aktiengesetzes als Mitglied des Vorstands einer Aktiengesellschaft oder</w:t>
      </w:r>
    </w:p>
    <w:p>
      <w:pPr>
        <w:tabs>
          <w:tab w:pos="567" w:val="left"/>
        </w:tabs>
        <w:ind w:left="567" w:hanging="567"/>
      </w:pPr>
      <w:r>
        <w:t>2.</w:t>
      </w:r>
      <w:r>
        <w:tab/>
      </w:r>
      <w:r>
        <w:t>ob entsprechende Informationen im Bundeszentralregister oder Gewerbezentralregister enthalten sind.</w:t>
      </w:r>
    </w:p>
    <w:p>
      <w:r>
        <w:rPr>
          <w:rStyle w:val="Satznummer"/>
        </w:rPr>
        <w:t>2</w:t>
      </w:r>
      <w:r>
        <w:t>Weitergehende Informationen über eine Disqualifikation der betroffenen Person werden durch die das Unternehmensregister führende Stelle über die zentrale Europäische Plattform nicht übermittelt.</w:t>
      </w:r>
    </w:p>
    <w:p>
      <w:r>
        <w:t xml:space="preserve">(5) </w:t>
      </w:r>
      <w:r>
        <w:rPr>
          <w:rStyle w:val="Satznummer"/>
        </w:rPr>
        <w:t>1</w:t>
      </w:r>
      <w:r>
        <w:t xml:space="preserve">Die zuständige Stelle darf die von einem ersuchenden Mitgliedstaat, von einem Registergericht oder nach Absatz 2 übermittelten personenbezogenen Daten der betroffenen Personen für die Zwecke der Beantwortung und der Durchführung eines Ersuchens verarbeiten. </w:t>
      </w:r>
      <w:r>
        <w:rPr>
          <w:rStyle w:val="Satznummer"/>
        </w:rPr>
        <w:t>2</w:t>
      </w:r>
      <w:r>
        <w:t>Die personenbezogenen Daten der betroffenen Personen sind von der zuständigen Stelle unverzüglich zu löschen, sobald und soweit diese nicht mehr für die Beantwortung oder die Durchführung des Ersuchens erforderlich sind.</w:t>
      </w:r>
    </w:p>
    <w:p>
      <w:r>
        <w:t xml:space="preserve">(6) Durch Rechtsverordnung nach </w:t>
      </w:r>
      <w:hyperlink w:anchor="b14" w:history="1">
        <w:r>
          <w:rPr>
            <w:color w:val="0A3A8C"/>
            <w:u w:val="single"/>
          </w:rPr>
          <w:t xml:space="preserve">§ 9a</w:t>
        </w:r>
      </w:hyperlink>
      <w:r>
        <w:t xml:space="preserve"> Absatz 3 können auch die erforderlichen Bestimmungen in Bezug auf die Beantwortung und die Durchführung der Ersuchen durch die zuständige Stelle getroffen werden, einschließlich der Bestimmungen über</w:t>
      </w:r>
    </w:p>
    <w:p>
      <w:pPr>
        <w:tabs>
          <w:tab w:pos="567" w:val="left"/>
        </w:tabs>
        <w:ind w:left="567" w:hanging="567"/>
      </w:pPr>
      <w:r>
        <w:t>1.</w:t>
      </w:r>
      <w:r>
        <w:tab/>
      </w:r>
      <w:r>
        <w:t>Inhalt, Frist, Form und Umfang der Beantwortung der Ersuchen,</w:t>
      </w:r>
    </w:p>
    <w:p>
      <w:pPr>
        <w:tabs>
          <w:tab w:pos="567" w:val="left"/>
        </w:tabs>
        <w:ind w:left="567" w:hanging="567"/>
      </w:pPr>
      <w:r>
        <w:t>2.</w:t>
      </w:r>
      <w:r>
        <w:tab/>
      </w:r>
      <w:r>
        <w:t>die technischen Einzelheiten zum Empfang, zur Verarbeitung und zur Weitergabe der erforderlichen Daten für die Beantwortung und die Durchführung der Ersuchen,</w:t>
      </w:r>
    </w:p>
    <w:p>
      <w:pPr>
        <w:tabs>
          <w:tab w:pos="567" w:val="left"/>
        </w:tabs>
        <w:ind w:left="567" w:hanging="567"/>
      </w:pPr>
      <w:r>
        <w:t>3.</w:t>
      </w:r>
      <w:r>
        <w:tab/>
      </w:r>
      <w:r>
        <w:t>die technischen Vorgaben zur Speicherung, Löschung, Berichtigung und Verarbeitung von Daten über die betroffenen Personen durch die zuständige Stelle,</w:t>
      </w:r>
    </w:p>
    <w:p>
      <w:pPr>
        <w:tabs>
          <w:tab w:pos="567" w:val="left"/>
        </w:tabs>
        <w:ind w:left="567" w:hanging="567"/>
      </w:pPr>
      <w:r>
        <w:t>4.</w:t>
      </w:r>
      <w:r>
        <w:tab/>
      </w:r>
      <w:r>
        <w:t>die Prüfung der vom Bundeszentralregister oder vom Gewerbezentralregister erhaltenen Daten im Hinblick auf die Erfüllung der Voraussetzungen einer Disqualifikation gemäß § 6 Absatz 2 Satz 2 Nummer 2 und 3 des Gesetzes über die Gesellschaften mit beschränkter Haftung oder gemäß § 76 Absatz 3 Satz 2 Nummer 2 und 3 des Aktiengesetzes,</w:t>
      </w:r>
    </w:p>
    <w:p>
      <w:pPr>
        <w:tabs>
          <w:tab w:pos="567" w:val="left"/>
        </w:tabs>
        <w:ind w:left="567" w:hanging="567"/>
      </w:pPr>
      <w:r>
        <w:t>5.</w:t>
      </w:r>
      <w:r>
        <w:tab/>
      </w:r>
      <w:r>
        <w:t>die Voraussetzungen, Formalien, Fristen und Inhalte der Durchführung der Ersuchen.</w:t>
      </w:r>
    </w:p>
    <w:p>
      <w:pPr>
        <w:pStyle w:val="Heading3"/>
      </w:pPr>
      <w:bookmarkStart w:id="18" w:name="b17"/>
      <w:r>
        <w:t>§ 9d Sammelstelle für das zentrale europäische Zugangsportal; Verordnungsermächtigung</w:t>
      </w:r>
      <w:r>
        <w:t xml:space="preserve"> </w:t>
      </w:r>
      <w:r>
        <w:rPr>
          <w:rStyle w:val="Suchmarke"/>
        </w:rPr>
        <w:t>#9d#</w:t>
      </w:r>
      <w:bookmarkEnd w:id="18"/>
    </w:p>
    <w:p>
      <w:r>
        <w:t>(1) Die das Unternehmensregister führende Stelle ist Sammelstelle im Sinne des Artikels 2 Nummer 2 der Verordnung (EU) 2023/2859 des Europäischen Parlaments und des Rates vom 13. Dezember 2023 zur Einrichtung eines zentralen europäischen Zugangsportals für den zentralisierten Zugriff auf öffentlich verfügbare, für Finanzdienstleistungen, Kapitalmärkte und Nachhaltigkeit relevante Informationen (ABl. L,2023/2859, 20.12.2023; L, 2024/90097, 12.2.2024), die durch die Richtlinie (EU) 2024/1760 (L, 2024/1760, 5.7.2024) geändert worden ist, für Informationen nach</w:t>
      </w:r>
    </w:p>
    <w:p>
      <w:pPr>
        <w:tabs>
          <w:tab w:pos="567" w:val="left"/>
        </w:tabs>
        <w:ind w:left="567" w:hanging="567"/>
      </w:pPr>
      <w:r>
        <w:t>1.</w:t>
      </w:r>
      <w:r>
        <w:tab/>
      </w:r>
      <w:hyperlink w:anchor="b364" w:history="1">
        <w:r>
          <w:rPr>
            <w:color w:val="0A3A8C"/>
            <w:u w:val="single"/>
          </w:rPr>
          <w:t xml:space="preserve">§ 325</w:t>
        </w:r>
      </w:hyperlink>
      <w:r>
        <w:t xml:space="preserve"> Absatz 1, soweit sie nach </w:t>
      </w:r>
      <w:hyperlink w:anchor="b364" w:history="1">
        <w:r>
          <w:rPr>
            <w:color w:val="0A3A8C"/>
            <w:u w:val="single"/>
          </w:rPr>
          <w:t xml:space="preserve">§ 325</w:t>
        </w:r>
      </w:hyperlink>
      <w:r>
        <w:t xml:space="preserve"> Absatz 1 Satz 3 an das zentrale europäische Zugangsportal zu übermitteln sind,</w:t>
      </w:r>
    </w:p>
    <w:p>
      <w:pPr>
        <w:tabs>
          <w:tab w:pos="567" w:val="left"/>
        </w:tabs>
        <w:ind w:left="567" w:hanging="567"/>
      </w:pPr>
      <w:r>
        <w:t>2.</w:t>
      </w:r>
      <w:r>
        <w:tab/>
      </w:r>
      <w:r>
        <w:t>§ 5 Absatz 1, § 40 Absatz 1, § 41 Absatz 1, § 46 Absatz 2, § 50 Absatz 1, § 51 Absatz 2, § 114 Absatz 1, § 115 Absatz 1 und § 116 Absatz 1 des Wertpapierhandelsgesetzes und</w:t>
      </w:r>
    </w:p>
    <w:p>
      <w:pPr>
        <w:tabs>
          <w:tab w:pos="567" w:val="left"/>
        </w:tabs>
        <w:ind w:left="567" w:hanging="567"/>
      </w:pPr>
      <w:r>
        <w:t>3.</w:t>
      </w:r>
      <w:r>
        <w:tab/>
      </w:r>
      <w:r>
        <w:t>Artikel 17 Absatz 1 sowie Artikel 19 Absatz 1 der Verordnung (EU) Nr. 596/2014, sofern die Information durch einen Inlandsemittenten (§ 2 Absatz 14 des Wertpapierhandelsgesetzes) veröffentlicht wird.</w:t>
      </w:r>
    </w:p>
    <w:p>
      <w:r>
        <w:t xml:space="preserve">(2) </w:t>
      </w:r>
      <w:r>
        <w:rPr>
          <w:rStyle w:val="Satznummer"/>
        </w:rPr>
        <w:t>1</w:t>
      </w:r>
      <w:r>
        <w:t xml:space="preserve">In Bezug auf Informationen, die an die das Unternehmensregister führende Stelle als Sammelstelle zu übermitteln sind, kann das Bundesministerium der Justiz im Einvernehmen mit dem Bundesministerium der Finanzen durch Rechtsverordnung, die nicht der Zustimmung des Bundesrates bedarf, nähere Bestimmungen zu Art, Zeitpunkt und Form der Übermittlung festlegen. </w:t>
      </w:r>
      <w:r>
        <w:rPr>
          <w:rStyle w:val="Satznummer"/>
        </w:rPr>
        <w:t>2</w:t>
      </w:r>
      <w:r>
        <w:t>Dies umfasst insbesondere die zu verwendenden Dateiformate, anzugebende Metadaten sowie Vorgaben zur Identifizierung und Authentifizierung.</w:t>
      </w:r>
    </w:p>
    <w:p>
      <w:pPr>
        <w:pStyle w:val="Heading3"/>
      </w:pPr>
      <w:bookmarkStart w:id="19" w:name="b18"/>
      <w:r>
        <w:t>§ 10 Bekanntmachung der Eintragungen; Registerbekanntmachungen</w:t>
      </w:r>
      <w:r>
        <w:t xml:space="preserve"> </w:t>
      </w:r>
      <w:r>
        <w:rPr>
          <w:rStyle w:val="Suchmarke"/>
        </w:rPr>
        <w:t>#10#</w:t>
      </w:r>
      <w:bookmarkEnd w:id="19"/>
    </w:p>
    <w:p>
      <w:r>
        <w:t xml:space="preserve">(1) </w:t>
      </w:r>
      <w:r>
        <w:rPr>
          <w:rStyle w:val="Satznummer"/>
        </w:rPr>
        <w:t>1</w:t>
      </w:r>
      <w:r>
        <w:t xml:space="preserve">Die Eintragungen in das Handelsregister sowie Registerbekanntmachungen nach Absatz 3 werden durch ihre erstmalige Abrufbarkeit über das nach </w:t>
      </w:r>
      <w:hyperlink w:anchor="b13" w:history="1">
        <w:r>
          <w:rPr>
            <w:color w:val="0A3A8C"/>
            <w:u w:val="single"/>
          </w:rPr>
          <w:t xml:space="preserve">§ 9</w:t>
        </w:r>
      </w:hyperlink>
      <w:r>
        <w:t xml:space="preserve"> Absatz 1 bestimmte elektronische Informations- und Kommunikationssystem bekannt gemacht. </w:t>
      </w:r>
      <w:r>
        <w:rPr>
          <w:rStyle w:val="Satznummer"/>
        </w:rPr>
        <w:t>2</w:t>
      </w:r>
      <w:hyperlink w:anchor="b13" w:history="1">
        <w:r>
          <w:rPr>
            <w:color w:val="0A3A8C"/>
            <w:u w:val="single"/>
          </w:rPr>
          <w:t xml:space="preserve">§ 9</w:t>
        </w:r>
      </w:hyperlink>
      <w:r>
        <w:t xml:space="preserve"> Absatz 1 Satz 4 und 5 gilt entsprechend.</w:t>
      </w:r>
    </w:p>
    <w:p>
      <w:r>
        <w:t xml:space="preserve">(2) Die Eintragungen in das Handelsregister und die eingereichten Dokumente, die gemäß § 9 der unbeschränkten Einsichtnahme unterliegen, sind unverzüglich nach der Eintragung in das Handelsregister zum Abruf über das nach </w:t>
      </w:r>
      <w:hyperlink w:anchor="b13" w:history="1">
        <w:r>
          <w:rPr>
            <w:color w:val="0A3A8C"/>
            <w:u w:val="single"/>
          </w:rPr>
          <w:t xml:space="preserve">§ 9</w:t>
        </w:r>
      </w:hyperlink>
      <w:r>
        <w:t xml:space="preserve"> Absatz 1 bestimmte elektronische Informations- und Kommunikationssystem bereitzustellen.</w:t>
      </w:r>
    </w:p>
    <w:p>
      <w:r>
        <w:t xml:space="preserve">(3) Das Registergericht kann in den gesetzlich bestimmten Fällen in dem nach </w:t>
      </w:r>
      <w:hyperlink w:anchor="b13" w:history="1">
        <w:r>
          <w:rPr>
            <w:color w:val="0A3A8C"/>
            <w:u w:val="single"/>
          </w:rPr>
          <w:t xml:space="preserve">§ 9</w:t>
        </w:r>
      </w:hyperlink>
      <w:r>
        <w:t xml:space="preserve"> Absatz 1 bestimmten elektronischen Informations- und Kommunikationssystem sonstige oder zusätzliche Tatsachen bekannt machen (Registerbekanntmachungen).</w:t>
      </w:r>
    </w:p>
    <w:p>
      <w:r>
        <w:t xml:space="preserve">(4) </w:t>
      </w:r>
      <w:r>
        <w:rPr>
          <w:rStyle w:val="Satznummer"/>
        </w:rPr>
        <w:t>1</w:t>
      </w:r>
      <w:r>
        <w:t xml:space="preserve">Eine Eintragung gilt mit dem Ablauf des Tages der Eintragung und eine Registerbekanntmachung gilt mit dem Ablauf des Tages der Registerbekanntmachung als bekannt gemacht. </w:t>
      </w:r>
      <w:r>
        <w:rPr>
          <w:rStyle w:val="Satznummer"/>
        </w:rPr>
        <w:t>2</w:t>
      </w:r>
      <w:r>
        <w:t>Dies gilt nicht, wenn der Nachweis erbracht wird, dass der Abruf der Eintragung oder der Registerbekanntmachung</w:t>
      </w:r>
    </w:p>
    <w:p>
      <w:pPr>
        <w:tabs>
          <w:tab w:pos="567" w:val="left"/>
        </w:tabs>
        <w:ind w:left="567" w:hanging="567"/>
      </w:pPr>
      <w:r>
        <w:t>1.</w:t>
      </w:r>
      <w:r>
        <w:tab/>
      </w:r>
      <w:r>
        <w:t>bereits zu einem früheren Zeitpunkt möglich war oder</w:t>
      </w:r>
    </w:p>
    <w:p>
      <w:pPr>
        <w:tabs>
          <w:tab w:pos="567" w:val="left"/>
        </w:tabs>
        <w:ind w:left="567" w:hanging="567"/>
      </w:pPr>
      <w:r>
        <w:t>2.</w:t>
      </w:r>
      <w:r>
        <w:tab/>
      </w:r>
      <w:r>
        <w:t>erstmalig erst zu einem späteren Zeitpunkt möglich war.</w:t>
      </w:r>
    </w:p>
    <w:p>
      <w:pPr>
        <w:pStyle w:val="Heading3"/>
      </w:pPr>
      <w:bookmarkStart w:id="20" w:name="b19"/>
      <w:r>
        <w:t>§ 10a Anwendung der Verordnung (EU) 2016/679</w:t>
      </w:r>
      <w:r>
        <w:t xml:space="preserve"> </w:t>
      </w:r>
      <w:r>
        <w:rPr>
          <w:rStyle w:val="Suchmarke"/>
        </w:rPr>
        <w:t>#10a#</w:t>
      </w:r>
      <w:bookmarkEnd w:id="20"/>
    </w:p>
    <w:p>
      <w:r>
        <w:t xml:space="preserve">(1) </w:t>
      </w:r>
      <w:r>
        <w:rPr>
          <w:rStyle w:val="Satznummer"/>
        </w:rPr>
        <w:t>1</w:t>
      </w:r>
      <w:r>
        <w:t xml:space="preserve">Das Auskunftsrecht nach Artikel 15 Absatz 1 und das Recht auf Erhalt einer Kopie nach Artikel 15 Absatz 3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wird dadurch erfüllt, dass die betroffene Person Einsicht in das Handelsregister und in die zum Handelsregister eingereichten Dokumente nehmen kann. </w:t>
      </w:r>
      <w:r>
        <w:rPr>
          <w:rStyle w:val="Satznummer"/>
        </w:rPr>
        <w:t>2</w:t>
      </w:r>
      <w:r>
        <w:t>Eine Information der betroffenen Person über konkrete Empfänger, gegenüber denen die im Register, in Registerbekanntmachungen oder in zum Register einzureichenden Dokumenten enthaltenen personenbezogenen Daten offengelegt werden, erfolgt nicht.</w:t>
      </w:r>
    </w:p>
    <w:p>
      <w:r>
        <w:t>(2) Hinsichtlich der im Handelsregister, in Registerbekanntmachungen oder in zum Handelsregister einzureichenden Dokumenten enthaltenen personenbezogenen Daten kann das Recht auf Berichtigung nach Artikel 16 der Verordnung (EU) 2016/679 nur unter den Voraussetzungen ausgeübt werden, die in den §§ 393 bis 395 und §§ 397 bis 399 des Gesetzes über das Verfahren in Familiensachen und in den Angelegenheiten der Freiwilligen Gerichtsbarkeit sowie der Rechtsverordnung nach § 387 Absatz 2 des Gesetzes über das Verfahren in Familiensachen und in den Angelegenheiten der Freiwilligen Gerichtsbarkeit für eine Löschung oder Berichtigung vorgesehen sind.</w:t>
      </w:r>
    </w:p>
    <w:p>
      <w:r>
        <w:t>(3) Das Widerspruchsrecht gemäß Artikel 21 der Verordnung (EU) 2016/679 findet in Bezug auf die im Handelsregister, in Registerbekanntmachungen oder in zum Handelsregister einzureichenden Dokumenten enthaltenen personenbezogenen Daten keine Anwendung.</w:t>
      </w:r>
    </w:p>
    <w:p>
      <w:pPr>
        <w:pStyle w:val="Heading3"/>
      </w:pPr>
      <w:bookmarkStart w:id="21" w:name="b20"/>
      <w:r>
        <w:t>§ 11 Offenlegung in der Amtssprache eines Mitgliedstaats der Europäischen Union</w:t>
      </w:r>
      <w:r>
        <w:t xml:space="preserve"> </w:t>
      </w:r>
      <w:r>
        <w:rPr>
          <w:rStyle w:val="Suchmarke"/>
        </w:rPr>
        <w:t>#11#</w:t>
      </w:r>
      <w:bookmarkEnd w:id="21"/>
    </w:p>
    <w:p>
      <w:r>
        <w:t xml:space="preserve">(1) </w:t>
      </w:r>
      <w:r>
        <w:rPr>
          <w:rStyle w:val="Satznummer"/>
        </w:rPr>
        <w:t>1</w:t>
      </w:r>
      <w:r>
        <w:t xml:space="preserve">Die zum Handelsregister einzureichenden Dokumente sowie der Inhalt einer Eintragung können zusätzlich in jeder Amtssprache eines Mitgliedstaats der Europäischen Union übermittelt werden. </w:t>
      </w:r>
      <w:r>
        <w:rPr>
          <w:rStyle w:val="Satznummer"/>
        </w:rPr>
        <w:t>2</w:t>
      </w:r>
      <w:r>
        <w:t xml:space="preserve">Auf die Übersetzungen ist in geeigneter Weise hinzuweisen. </w:t>
      </w:r>
      <w:r>
        <w:rPr>
          <w:rStyle w:val="Satznummer"/>
        </w:rPr>
        <w:t>3</w:t>
      </w:r>
      <w:hyperlink w:anchor="b13" w:history="1">
        <w:r>
          <w:rPr>
            <w:color w:val="0A3A8C"/>
            <w:u w:val="single"/>
          </w:rPr>
          <w:t xml:space="preserve">§ 9</w:t>
        </w:r>
      </w:hyperlink>
      <w:r>
        <w:t xml:space="preserve"> ist entsprechend anwendbar.</w:t>
      </w:r>
    </w:p>
    <w:p>
      <w:r>
        <w:t>(2) Im Fall der Abweichung der Originalfassung von einer eingereichten Übersetzung kann letztere einem Dritten nicht entgegengehalten werden; dieser kann sich jedoch auf die eingereichte Übersetzung berufen, es sei denn, der Eingetragene weist nach, dass dem Dritten die Originalfassung bekannt war.</w:t>
      </w:r>
    </w:p>
    <w:p>
      <w:pPr>
        <w:pStyle w:val="Heading3"/>
      </w:pPr>
      <w:bookmarkStart w:id="22" w:name="b21"/>
      <w:r>
        <w:t>§ 12 Anmeldungen zur Eintragung und Einreichungen</w:t>
      </w:r>
      <w:r>
        <w:t xml:space="preserve"> </w:t>
      </w:r>
      <w:r>
        <w:rPr>
          <w:rStyle w:val="Suchmarke"/>
        </w:rPr>
        <w:t>#12#</w:t>
      </w:r>
      <w:bookmarkEnd w:id="22"/>
    </w:p>
    <w:p>
      <w:r>
        <w:t xml:space="preserve">(1) </w:t>
      </w:r>
      <w:r>
        <w:rPr>
          <w:rStyle w:val="Satznummer"/>
        </w:rPr>
        <w:t>1</w:t>
      </w:r>
      <w:r>
        <w:t xml:space="preserve">Anmeldungen zur Eintragung in das Handelsregister sind elektronisch in öffentlich beglaubigter Form einzureichen. </w:t>
      </w:r>
      <w:r>
        <w:rPr>
          <w:rStyle w:val="Satznummer"/>
        </w:rPr>
        <w:t>2</w:t>
      </w:r>
      <w:r>
        <w:t xml:space="preserve">Die öffentliche Beglaubigung mittels Videokommunikation gemäß § 40a des Beurkundungsgesetzes ist zulässig. </w:t>
      </w:r>
      <w:r>
        <w:rPr>
          <w:rStyle w:val="Satznummer"/>
        </w:rPr>
        <w:t>3</w:t>
      </w:r>
      <w:r>
        <w:t xml:space="preserve">Die gleiche Form ist für eine Vollmacht zur Anmeldung erforderlich. </w:t>
      </w:r>
      <w:r>
        <w:rPr>
          <w:rStyle w:val="Satznummer"/>
        </w:rPr>
        <w:t>4</w:t>
      </w:r>
      <w:r>
        <w:t xml:space="preserve">Anstelle der Vollmacht kann die Bescheinigung eines Notars nach § 21 Absatz 3 der Bundesnotarordnung eingereicht werden. </w:t>
      </w:r>
      <w:r>
        <w:rPr>
          <w:rStyle w:val="Satznummer"/>
        </w:rPr>
        <w:t>5</w:t>
      </w:r>
      <w:r>
        <w:t>Rechtsnachfolger eines Beteiligten haben die Rechtsnachfolge soweit tunlich durch öffentliche Urkunden nachzuweisen.</w:t>
      </w:r>
    </w:p>
    <w:p>
      <w:r>
        <w:t xml:space="preserve">(2) </w:t>
      </w:r>
      <w:r>
        <w:rPr>
          <w:rStyle w:val="Satznummer"/>
        </w:rPr>
        <w:t>1</w:t>
      </w:r>
      <w:r>
        <w:t xml:space="preserve">Dokumente sind elektronisch in einem maschinenlesbaren und durchsuchbaren Datenformat einzureichen. </w:t>
      </w:r>
      <w:r>
        <w:rPr>
          <w:rStyle w:val="Satznummer"/>
        </w:rPr>
        <w:t>2</w:t>
      </w:r>
      <w:r>
        <w:t>Ist eine Urschrift oder eine einfache Abschrift einzureichen oder ist für das Dokument die Schriftform bestimmt, genügt die Übermittlung einer elektronischen Aufzeichnung; ist ein notariell beurkundetes Dokument oder eine öffentlich beglaubigte Abschrift einzureichen, so ist ein mit einem einfachen elektronischen Zeugnis (§ 39a des Beurkundungsgesetzes) versehenes Dokument zu übermitteln.</w:t>
      </w:r>
    </w:p>
    <w:p>
      <w:pPr>
        <w:pStyle w:val="Heading3"/>
      </w:pPr>
      <w:bookmarkStart w:id="23" w:name="b22"/>
      <w:r>
        <w:t>§ 13 Zweigniederlassungen von Unternehmen mit Sitz im Inland</w:t>
      </w:r>
      <w:r>
        <w:t xml:space="preserve"> </w:t>
      </w:r>
      <w:r>
        <w:rPr>
          <w:rStyle w:val="Suchmarke"/>
        </w:rPr>
        <w:t>#13#</w:t>
      </w:r>
      <w:bookmarkEnd w:id="23"/>
    </w:p>
    <w:p>
      <w:r>
        <w:t xml:space="preserve">(1) </w:t>
      </w:r>
      <w:r>
        <w:rPr>
          <w:rStyle w:val="Satznummer"/>
        </w:rPr>
        <w:t>1</w:t>
      </w:r>
      <w:r>
        <w:t xml:space="preserve">Die Errichtung einer Zweigniederlassung ist von einem Einzelkaufmann oder einer juristischen Person beim Gericht der Hauptniederlassung, von einer Handelsgesellschaft beim Gericht des Sitzes der Gesellschaft, unter Angabe des Ortes und der inländischen Geschäftsanschrift der Zweigniederlassung und des Zusatzes, falls der Firma der Zweigniederlassung ein solcher beigefügt wird, zur Eintragung anzumelden. </w:t>
      </w:r>
      <w:r>
        <w:rPr>
          <w:rStyle w:val="Satznummer"/>
        </w:rPr>
        <w:t>2</w:t>
      </w:r>
      <w:r>
        <w:t>In gleicher Weise sind spätere Änderungen der die Zweigniederlassung betreffenden einzutragenden Tatsachen anzumelden.</w:t>
      </w:r>
    </w:p>
    <w:p>
      <w:r>
        <w:t>(2) Das zuständige Gericht trägt die Zweigniederlassung auf dem Registerblatt der Hauptniederlassung oder des Sitzes unter Angabe des Ortes sowie der inländischen Geschäftsanschrift der Zweigniederlassung und des Zusatzes, falls der Firma der Zweigniederlassung ein solcher beigefügt ist, ein, es sei denn, die Zweigniederlassung ist offensichtlich nicht errichtet worden.</w:t>
      </w:r>
    </w:p>
    <w:p>
      <w:r>
        <w:t>(3) Die Absätze 1 und 2 gelten entsprechend für die Aufhebung der Zweigniederlassung.</w:t>
      </w:r>
    </w:p>
    <w:p>
      <w:pPr>
        <w:pStyle w:val="Heading3"/>
      </w:pPr>
      <w:bookmarkStart w:id="24" w:name="b23"/>
      <w:r>
        <w:t>§ 13a Europäische Zweigniederlassungen von Kapitalgesellschaften mit Sitz im Inland</w:t>
      </w:r>
      <w:r>
        <w:t xml:space="preserve"> </w:t>
      </w:r>
      <w:r>
        <w:rPr>
          <w:rStyle w:val="Suchmarke"/>
        </w:rPr>
        <w:t>#13a#</w:t>
      </w:r>
      <w:bookmarkEnd w:id="24"/>
    </w:p>
    <w:p>
      <w:r>
        <w:t>(1) In Bezug auf Zweigniederlassungen, die dem Recht eines anderen Mitgliedstaates der Europäischen Union oder eines anderen Vertragsstaates des Abkommens über den Europäischen Wirtschaftsraum unterliegen und die von einer Kapitalgesellschaft mit Sitz im Inland errichtet wurden, gelten die folgenden Vorschriften.</w:t>
      </w:r>
    </w:p>
    <w:p>
      <w:r>
        <w:t xml:space="preserve">(2) Die Landesjustizverwaltungen stellen sicher, dass die Daten der Zweigniederlassungen, die im Rahmen des Europäischen Systems der Registervernetzung gemäß </w:t>
      </w:r>
      <w:hyperlink w:anchor="b15" w:history="1">
        <w:r>
          <w:rPr>
            <w:color w:val="0A3A8C"/>
            <w:u w:val="single"/>
          </w:rPr>
          <w:t xml:space="preserve">§ 9b</w:t>
        </w:r>
      </w:hyperlink>
      <w:r>
        <w:t xml:space="preserve"> empfangen werden, an dasjenige Registergericht weitergeleitet werden, das für die Gesellschaft zuständig ist.</w:t>
      </w:r>
    </w:p>
    <w:p>
      <w:r>
        <w:t xml:space="preserve">(3) Das zuständige Registergericht bestätigt den Eingang der Daten über das Europäische System der Registervernetzung gemäß </w:t>
      </w:r>
      <w:hyperlink w:anchor="b15" w:history="1">
        <w:r>
          <w:rPr>
            <w:color w:val="0A3A8C"/>
            <w:u w:val="single"/>
          </w:rPr>
          <w:t xml:space="preserve">§ 9b</w:t>
        </w:r>
      </w:hyperlink>
      <w:r>
        <w:t xml:space="preserve"> und trägt unverzüglich von Amts wegen die folgenden gemäß Absatz 2 erhaltenen Daten zu der Zweigniederlassung oder deren Änderung in das Registerblatt der Gesellschaft ein:</w:t>
      </w:r>
    </w:p>
    <w:p>
      <w:pPr>
        <w:tabs>
          <w:tab w:pos="567" w:val="left"/>
        </w:tabs>
        <w:ind w:left="567" w:hanging="567"/>
      </w:pPr>
      <w:r>
        <w:t>1.</w:t>
      </w:r>
      <w:r>
        <w:tab/>
      </w:r>
      <w:r>
        <w:t>Errichtung, Aufhebung oder Löschung der Zweigniederlassung,</w:t>
      </w:r>
    </w:p>
    <w:p>
      <w:pPr>
        <w:tabs>
          <w:tab w:pos="567" w:val="left"/>
        </w:tabs>
        <w:ind w:left="567" w:hanging="567"/>
      </w:pPr>
      <w:r>
        <w:t>2.</w:t>
      </w:r>
      <w:r>
        <w:tab/>
      </w:r>
      <w:r>
        <w:t>Firma der Zweigniederlassung,</w:t>
      </w:r>
    </w:p>
    <w:p>
      <w:pPr>
        <w:tabs>
          <w:tab w:pos="567" w:val="left"/>
        </w:tabs>
        <w:ind w:left="567" w:hanging="567"/>
      </w:pPr>
      <w:r>
        <w:t>3.</w:t>
      </w:r>
      <w:r>
        <w:tab/>
      </w:r>
      <w:r>
        <w:t>Geschäftsanschrift der Zweigniederlassung einschließlich des Staates,</w:t>
      </w:r>
    </w:p>
    <w:p>
      <w:pPr>
        <w:tabs>
          <w:tab w:pos="567" w:val="left"/>
        </w:tabs>
        <w:ind w:left="567" w:hanging="567"/>
      </w:pPr>
      <w:r>
        <w:t>4.</w:t>
      </w:r>
      <w:r>
        <w:tab/>
      </w:r>
      <w:r>
        <w:t>Eintragungsnummer und einheitliche europäische Kennung der Zweigniederlassung.</w:t>
      </w:r>
    </w:p>
    <w:p>
      <w:pPr>
        <w:pStyle w:val="Heading3"/>
      </w:pPr>
      <w:bookmarkStart w:id="25" w:name="b24"/>
      <w:r>
        <w:t>§§ 13b u. 13c (weggefallen)</w:t>
      </w:r>
      <w:bookmarkEnd w:id="25"/>
    </w:p>
    <w:p>
      <w:pPr>
        <w:pStyle w:val="Heading3"/>
      </w:pPr>
      <w:bookmarkStart w:id="26" w:name="b25"/>
      <w:r>
        <w:t>§ 13d Sitz oder Hauptniederlassung im Ausland</w:t>
      </w:r>
      <w:r>
        <w:t xml:space="preserve"> </w:t>
      </w:r>
      <w:r>
        <w:rPr>
          <w:rStyle w:val="Suchmarke"/>
        </w:rPr>
        <w:t>#13d#</w:t>
      </w:r>
      <w:bookmarkEnd w:id="26"/>
    </w:p>
    <w:p>
      <w:r>
        <w:t>(1) Befindet sich die Hauptniederlassung eines Einzelkaufmanns oder einer juristischen Person oder der Sitz einer Handelsgesellschaft im Ausland, so haben alle eine inländische Zweigniederlassung betreffenden Anmeldungen, Einreichungen und Eintragungen bei dem Gericht zu erfolgen, in dessen Bezirk die Zweigniederlassung besteht.</w:t>
      </w:r>
    </w:p>
    <w:p>
      <w:r>
        <w:t>(2) Die Eintragung der Errichtung der Zweigniederlassung hat auch den Ort und die inländische Geschäftsanschrift der Zweigniederlassung zu enthalten; ist der Firma der Zweigniederlassung ein Zusatz beigefügt, so ist auch dieser einzutragen.</w:t>
      </w:r>
    </w:p>
    <w:p>
      <w:r>
        <w:t>(3) Im übrigen gelten für die Anmeldungen, Einreichungen, Eintragungen, Bekanntmachungen und Änderungen einzutragender Tatsachen, die die Zweigniederlassung eines Einzelkaufmanns, einer Handelsgesellschaft oder einer juristischen Person mit Ausnahme von Aktiengesellschaften, Kommanditgesellschaften auf Aktien und Gesellschaften mit beschränkter Haftung betreffen, die Vorschriften für Hauptniederlassungen oder Niederlassungen am Sitz der Gesellschaft sinngemäß, soweit nicht das ausländische Recht Abweichungen nötig macht.</w:t>
      </w:r>
    </w:p>
    <w:p>
      <w:pPr>
        <w:pStyle w:val="Heading3"/>
      </w:pPr>
      <w:bookmarkStart w:id="27" w:name="b26"/>
      <w:r>
        <w:t>§ 13e Zweigniederlassungen von Kapitalgesellschaften mit Sitz im Ausland</w:t>
      </w:r>
      <w:r>
        <w:t xml:space="preserve"> </w:t>
      </w:r>
      <w:r>
        <w:rPr>
          <w:rStyle w:val="Suchmarke"/>
        </w:rPr>
        <w:t>#13e#</w:t>
      </w:r>
      <w:bookmarkEnd w:id="27"/>
    </w:p>
    <w:p>
      <w:r>
        <w:t xml:space="preserve">(1) Für Zweigniederlassungen von Aktiengesellschaften und Gesellschaften mit beschränkter Haftung mit Sitz im Ausland gelten ergänzend zu </w:t>
      </w:r>
      <w:hyperlink w:anchor="b25" w:history="1">
        <w:r>
          <w:rPr>
            <w:color w:val="0A3A8C"/>
            <w:u w:val="single"/>
          </w:rPr>
          <w:t xml:space="preserve">§ 13d</w:t>
        </w:r>
      </w:hyperlink>
      <w:r>
        <w:t xml:space="preserve"> die folgenden Vorschriften.</w:t>
      </w:r>
    </w:p>
    <w:p>
      <w:r>
        <w:t xml:space="preserve">(2) </w:t>
      </w:r>
      <w:r>
        <w:rPr>
          <w:rStyle w:val="Satznummer"/>
        </w:rPr>
        <w:t>1</w:t>
      </w:r>
      <w:r>
        <w:t xml:space="preserve">Die Errichtung einer Zweigniederlassung einer Aktiengesellschaft ist durch den Vorstand, die Errichtung einer Zweigniederlassung einer Gesellschaft mit beschränkter Haftung ist durch die Geschäftsführer zur Eintragung in das Handelsregister anzumelden. </w:t>
      </w:r>
      <w:r>
        <w:rPr>
          <w:rStyle w:val="Satznummer"/>
        </w:rPr>
        <w:t>2</w:t>
      </w:r>
      <w:r>
        <w:t xml:space="preserve">Bei der Anmeldung ist das Bestehen der Gesellschaft als solcher nachzuweisen. </w:t>
      </w:r>
      <w:r>
        <w:rPr>
          <w:rStyle w:val="Satznummer"/>
        </w:rPr>
        <w:t>3</w:t>
      </w:r>
      <w:r>
        <w:t xml:space="preserve">Die Anmeldung hat auch eine inländische Geschäftsanschrift und den Gegenstand der Zweigniederlassung zu enthalten. </w:t>
      </w:r>
      <w:r>
        <w:rPr>
          <w:rStyle w:val="Satznummer"/>
        </w:rPr>
        <w:t>4</w:t>
      </w:r>
      <w:r>
        <w:t xml:space="preserve">Daneben kann eine Person, die für Willenserklärungen und Zustellungen an die Gesellschaft empfangsberechtigt ist, mit einer inländischen Anschrift zur Eintragung in das Handelsregister angemeldet werden; Dritten gegenüber gilt die Empfangsberechtigung als fortbestehend, bis sie im Handelsregister gelöscht und die Löschung bekannt gemacht worden ist, es sei denn, dass die fehlende Empfangsberechtigung dem Dritten bekannt war. </w:t>
      </w:r>
      <w:r>
        <w:rPr>
          <w:rStyle w:val="Satznummer"/>
        </w:rPr>
        <w:t>5</w:t>
      </w:r>
      <w:r>
        <w:t>In der Anmeldung sind ferner anzugeben</w:t>
      </w:r>
    </w:p>
    <w:p>
      <w:pPr>
        <w:tabs>
          <w:tab w:pos="567" w:val="left"/>
        </w:tabs>
        <w:ind w:left="567" w:hanging="567"/>
      </w:pPr>
      <w:r>
        <w:t>1.</w:t>
      </w:r>
      <w:r>
        <w:tab/>
      </w:r>
      <w:r>
        <w:t>das Register, bei dem die Gesellschaft geführt wird, und die Nummer des Registereintrags, sofern das Recht des Staates, in dem die Gesellschaft ihren Sitz hat, eine Registereintragung vorsieht;</w:t>
      </w:r>
    </w:p>
    <w:p>
      <w:pPr>
        <w:tabs>
          <w:tab w:pos="567" w:val="left"/>
        </w:tabs>
        <w:ind w:left="567" w:hanging="567"/>
      </w:pPr>
      <w:r>
        <w:t>2.</w:t>
      </w:r>
      <w:r>
        <w:tab/>
      </w:r>
      <w:r>
        <w:t>die Rechtsform der Gesellschaft;</w:t>
      </w:r>
    </w:p>
    <w:p>
      <w:pPr>
        <w:tabs>
          <w:tab w:pos="567" w:val="left"/>
        </w:tabs>
        <w:ind w:left="567" w:hanging="567"/>
      </w:pPr>
      <w:r>
        <w:t>3.</w:t>
      </w:r>
      <w:r>
        <w:tab/>
      </w:r>
      <w:r>
        <w:t>die Personen, die befugt sind, als ständige Vertreter für die Tätigkeit der Zweigniederlassung die Gesellschaft gerichtlich und außergerichtlich zu vertreten, unter Angabe ihrer Befugnisse;</w:t>
      </w:r>
    </w:p>
    <w:p>
      <w:pPr>
        <w:tabs>
          <w:tab w:pos="567" w:val="left"/>
        </w:tabs>
        <w:ind w:left="567" w:hanging="567"/>
      </w:pPr>
      <w:r>
        <w:t>4.</w:t>
      </w:r>
      <w:r>
        <w:tab/>
      </w:r>
      <w:r>
        <w:t>wenn die Gesellschaft nicht dem Recht eines Mitgliedstaates der Europäischen Union oder eines anderen Vertragsstaates des Abkommens über den Europäischen Wirtschaftsraum unterliegt, das Recht des Staates, dem die Gesellschaft unterliegt.</w:t>
      </w:r>
    </w:p>
    <w:p>
      <w:r>
        <w:t xml:space="preserve">(3) </w:t>
      </w:r>
      <w:r>
        <w:rPr>
          <w:rStyle w:val="Satznummer"/>
        </w:rPr>
        <w:t>1</w:t>
      </w:r>
      <w:r>
        <w:t xml:space="preserve">Die in Absatz 2 Satz 5 Nr. 3 genannten Personen haben jede Änderung dieser Personen oder der Vertretungsbefugnis einer dieser Personen zur Eintragung in das Handelsregister anzumelden. </w:t>
      </w:r>
      <w:r>
        <w:rPr>
          <w:rStyle w:val="Satznummer"/>
        </w:rPr>
        <w:t>2</w:t>
      </w:r>
      <w:r>
        <w:t>Wenn die Gesellschaft nicht dem Recht eines Mitgliedstaates der Europäischen Union oder eines anderen Vertragsstaates des Abkommens über den Europäischen Wirtschaftsraum unterliegt, gelten für die gesetzlichen Vertreter der Gesellschaft in Bezug auf die Zweigniederlassung § 76 Absatz 3 Satz 2 bis 4 des Aktiengesetzes sowie § 6 Absatz 2 Satz 2 bis 4 des Gesetzes betreffend die Gesellschaften mit beschränkter Haftung entsprechend.</w:t>
      </w:r>
    </w:p>
    <w:p>
      <w:r>
        <w:t xml:space="preserve">(3a) </w:t>
      </w:r>
      <w:r>
        <w:rPr>
          <w:rStyle w:val="Satznummer"/>
        </w:rPr>
        <w:t>1</w:t>
      </w:r>
      <w:r>
        <w:t xml:space="preserve">An die in Absatz 2 Satz 5 Nr. 3 genannten Personen als Vertreter der Gesellschaft können unter der im Handelsregister eingetragenen inländischen Geschäftsanschrift der Zweigniederlassung Willenserklärungen abgegeben und Schriftstücke zugestellt werden. </w:t>
      </w:r>
      <w:r>
        <w:rPr>
          <w:rStyle w:val="Satznummer"/>
        </w:rPr>
        <w:t>2</w:t>
      </w:r>
      <w:r>
        <w:t>Unabhängig hiervon können die Abgabe und die Zustellung auch unter der eingetragenen Anschrift der empfangsberechtigten Person nach Absatz 2 Satz 4 erfolgen.</w:t>
      </w:r>
    </w:p>
    <w:p>
      <w:r>
        <w:t>(4) Die in Absatz 2 Satz 5 Nr. 3 genannten Personen oder, wenn solche nicht angemeldet sind, die gesetzlichen Vertreter der Gesellschaft haben die Eröffnung oder die Ablehnung der Eröffnung eines Insolvenzverfahrens oder ähnlichen Verfahrens über das Vermögen der Gesellschaft zur Eintragung in das Handelsregister anzumelden.</w:t>
      </w:r>
    </w:p>
    <w:p>
      <w:r>
        <w:t xml:space="preserve">(5) </w:t>
      </w:r>
      <w:r>
        <w:rPr>
          <w:rStyle w:val="Satznummer"/>
        </w:rPr>
        <w:t>1</w:t>
      </w:r>
      <w:r>
        <w:t xml:space="preserve">Errichtet eine Gesellschaft mehrere Zweigniederlassungen im Inland, so brauchen die Satzung oder der Gesellschaftsvertrag sowie deren Änderungen nach Wahl der Gesellschaft nur zum Handelsregister einer dieser Zweigniederlassungen eingereicht zu werden. </w:t>
      </w:r>
      <w:r>
        <w:rPr>
          <w:rStyle w:val="Satznummer"/>
        </w:rPr>
        <w:t>2</w:t>
      </w:r>
      <w:r>
        <w:t>In diesem Fall haben die nach Absatz 2 Satz 1 Anmeldepflichtigen zur Eintragung in den Handelsregistern der übrigen Zweigniederlassungen anzumelden, welches Register die Gesellschaft gewählt hat und unter welcher Nummer die Zweigniederlassung eingetragen ist.</w:t>
      </w:r>
    </w:p>
    <w:p>
      <w:r>
        <w:t>(6) Die Landesjustizverwaltungen stellen sicher, dass die Daten einer Kapitalgesellschaft mit Sitz im Ausland, die im Rahmen des Europäischen Systems der Registervernetzung (</w:t>
      </w:r>
      <w:hyperlink w:anchor="b15" w:history="1">
        <w:r>
          <w:rPr>
            <w:color w:val="0A3A8C"/>
            <w:u w:val="single"/>
          </w:rPr>
          <w:t xml:space="preserve">§ 9b</w:t>
        </w:r>
      </w:hyperlink>
      <w:r>
        <w:t>) empfangen werden, an das Registergericht weitergeleitet werden, das für eine inländische Zweigniederlassung dieser Gesellschaft zuständig ist.</w:t>
      </w:r>
    </w:p>
    <w:p>
      <w:r>
        <w:t xml:space="preserve">(7) </w:t>
      </w:r>
      <w:r>
        <w:rPr>
          <w:rStyle w:val="Satznummer"/>
        </w:rPr>
        <w:t>1</w:t>
      </w:r>
      <w:r>
        <w:t xml:space="preserve">Das zuständige Registergericht bestätigt den Eingang der Daten über das Europäische System der Registervernetzung. </w:t>
      </w:r>
      <w:r>
        <w:rPr>
          <w:rStyle w:val="Satznummer"/>
        </w:rPr>
        <w:t>2</w:t>
      </w:r>
      <w:r>
        <w:t>Sofern zum Zeitpunkt des Dateneingangs bei dem Registergericht keine Anmeldung in Bezug auf die mitgeteilten Tatsachen vorliegt, fordert es die Gesellschaft zur unverzüglichen Anmeldung der geänderten Tatsachen auf.</w:t>
      </w:r>
    </w:p>
    <w:p>
      <w:pPr>
        <w:pStyle w:val="Heading3"/>
      </w:pPr>
      <w:bookmarkStart w:id="28" w:name="b27"/>
      <w:r>
        <w:t>§ 13f Zweigniederlassungen von Aktiengesellschaften mit Sitz im Ausland</w:t>
      </w:r>
      <w:r>
        <w:t xml:space="preserve"> </w:t>
      </w:r>
      <w:r>
        <w:rPr>
          <w:rStyle w:val="Suchmarke"/>
        </w:rPr>
        <w:t>#13f#</w:t>
      </w:r>
      <w:bookmarkEnd w:id="28"/>
    </w:p>
    <w:p>
      <w:r>
        <w:t>(1) Für Zweigniederlassungen von Aktiengesellschaften mit Sitz im Ausland gelten ergänzend die folgenden Vorschriften.</w:t>
      </w:r>
    </w:p>
    <w:p>
      <w:r>
        <w:t xml:space="preserve">(2) </w:t>
      </w:r>
      <w:r>
        <w:rPr>
          <w:rStyle w:val="Satznummer"/>
        </w:rPr>
        <w:t>1</w:t>
      </w:r>
      <w:r>
        <w:t xml:space="preserve">Der Anmeldung ist die Satzung in öffentlich beglaubigter Abschrift und, sofern die Satzung nicht in deutscher Sprache erstellt ist, eine beglaubigte Übersetzung in deutscher Sprache beizufügen. </w:t>
      </w:r>
      <w:r>
        <w:rPr>
          <w:rStyle w:val="Satznummer"/>
        </w:rPr>
        <w:t>2</w:t>
      </w:r>
      <w:r>
        <w:t xml:space="preserve">Die Vorschriften des § 37 Abs. 2 und 3 des Aktiengesetzes finden Anwendung. </w:t>
      </w:r>
      <w:r>
        <w:rPr>
          <w:rStyle w:val="Satznummer"/>
        </w:rPr>
        <w:t>3</w:t>
      </w:r>
      <w:r>
        <w:t xml:space="preserve">§ 37 Absatz 2 des Aktiengesetzes ist nicht anzuwenden auf Aktiengesellschaften, die dem Recht eines Mitgliedstaates der Europäischen Union oder eines anderen Vertragsstaates des Abkommens über den Europäischen Wirtschaftsraum unterliegen. </w:t>
      </w:r>
      <w:r>
        <w:rPr>
          <w:rStyle w:val="Satznummer"/>
        </w:rPr>
        <w:t>4</w:t>
      </w:r>
      <w:r>
        <w:t xml:space="preserve">Soweit nicht das ausländische Recht eine Abweichung nötig macht, sind in die Anmeldung die in § 23 Abs. 3 und 4 des Aktiengesetzes vorgesehenen Bestimmungen und Bestimmungen der Satzung über die Zusammensetzung des Vorstandes aufzunehmen; erfolgt die Anmeldung in den ersten zwei Jahren nach der Eintragung der Gesellschaft in das Handelsregister ihres Sitzes, sind auch die Angaben über Festsetzungen nach den §§ 26 und 27 des Aktiengesetzes und der Ausgabebetrag der Aktien sowie Name und Wohnort der Gründer aufzunehmen. </w:t>
      </w:r>
      <w:r>
        <w:rPr>
          <w:rStyle w:val="Satznummer"/>
        </w:rPr>
        <w:t>5</w:t>
      </w:r>
      <w:r>
        <w:t>Der Anmeldung ist die für den Sitz der Gesellschaft ergangene gerichtliche Bekanntmachung beizufügen.</w:t>
      </w:r>
    </w:p>
    <w:p>
      <w:r>
        <w:t xml:space="preserve">(3) Die Eintragung der Errichtung der Zweigniederlassung hat auch die Angaben nach § 39 des Aktiengesetzes sowie die Angaben nach </w:t>
      </w:r>
      <w:hyperlink w:anchor="b26" w:history="1">
        <w:r>
          <w:rPr>
            <w:color w:val="0A3A8C"/>
            <w:u w:val="single"/>
          </w:rPr>
          <w:t xml:space="preserve">§ 13e</w:t>
        </w:r>
      </w:hyperlink>
      <w:r>
        <w:t xml:space="preserve"> Abs. 2 Satz 3 bis 5 zu enthalten.</w:t>
      </w:r>
    </w:p>
    <w:p>
      <w:r>
        <w:t xml:space="preserve">(4) </w:t>
      </w:r>
      <w:r>
        <w:rPr>
          <w:rStyle w:val="Satznummer"/>
        </w:rPr>
        <w:t>1</w:t>
      </w:r>
      <w:r>
        <w:t xml:space="preserve">Änderungen der Satzung der ausländischen Gesellschaft sind durch den Vorstand zur Eintragung in das Handelsregister anzumelden. </w:t>
      </w:r>
      <w:r>
        <w:rPr>
          <w:rStyle w:val="Satznummer"/>
        </w:rPr>
        <w:t>2</w:t>
      </w:r>
      <w:r>
        <w:t>Für die Anmeldung gelten die Vorschriften des § 181 Abs. 1 und 2 des Aktiengesetzes sinngemäß, soweit nicht das ausländische Recht Abweichungen nötig macht.</w:t>
      </w:r>
    </w:p>
    <w:p>
      <w:r>
        <w:t xml:space="preserve">(5) </w:t>
      </w:r>
      <w:r>
        <w:rPr>
          <w:rStyle w:val="Satznummer"/>
        </w:rPr>
        <w:t>1</w:t>
      </w:r>
      <w:r>
        <w:t xml:space="preserve">Im übrigen gelten die Vorschriften der §§ 81, 263 Satz 1, § 266 Abs. 1 und 2, § 273 Abs. 1 Satz 1 des Aktiengesetzes sinngemäß, soweit nicht das ausländische Recht Abweichungen nötig macht. </w:t>
      </w:r>
      <w:r>
        <w:rPr>
          <w:rStyle w:val="Satznummer"/>
        </w:rPr>
        <w:t>2</w:t>
      </w:r>
      <w:r>
        <w:t>§ 81 Absatz 3 des Aktiengesetzes ist nicht anzuwenden auf Aktiengesellschaften, die dem Recht eines Mitgliedstaates der Europäischen Union oder eines anderen Vertragsstaates des Abkommens über den Europäischen Wirtschaftsraum unterliegen.</w:t>
      </w:r>
    </w:p>
    <w:p>
      <w:r>
        <w:t>(6) Für die Aufhebung einer Zweigniederlassung gelten die Vorschriften über ihre Errichtung sinngemäß.</w:t>
      </w:r>
    </w:p>
    <w:p>
      <w:r>
        <w:t>(7) Die Vorschriften über Zweigniederlassungen von Aktiengesellschaften mit Sitz im Ausland gelten sinngemäß für Zweigniederlassungen von Kommanditgesellschaften auf Aktien mit Sitz im Ausland, soweit sich aus den Vorschriften der §§ 278 bis 290 des Aktiengesetzes oder aus dem Fehlen eines Vorstands nichts anderes ergibt.</w:t>
      </w:r>
    </w:p>
    <w:p>
      <w:pPr>
        <w:pStyle w:val="Heading3"/>
      </w:pPr>
      <w:bookmarkStart w:id="29" w:name="b28"/>
      <w:r>
        <w:t>§ 13g Zweigniederlassungen von Gesellschaften mit beschränkter Haftung mit Sitz im Ausland</w:t>
      </w:r>
      <w:r>
        <w:t xml:space="preserve"> </w:t>
      </w:r>
      <w:r>
        <w:rPr>
          <w:rStyle w:val="Suchmarke"/>
        </w:rPr>
        <w:t>#13g#</w:t>
      </w:r>
      <w:bookmarkEnd w:id="29"/>
    </w:p>
    <w:p>
      <w:r>
        <w:t>(1) Für Zweigniederlassungen von Gesellschaften mit beschränkter Haftung mit Sitz im Ausland gelten ergänzend die folgenden Vorschriften.</w:t>
      </w:r>
    </w:p>
    <w:p>
      <w:r>
        <w:t xml:space="preserve">(2) </w:t>
      </w:r>
      <w:r>
        <w:rPr>
          <w:rStyle w:val="Satznummer"/>
        </w:rPr>
        <w:t>1</w:t>
      </w:r>
      <w:r>
        <w:t xml:space="preserve">Der Anmeldung ist der Gesellschaftsvertrag in öffentlich beglaubigter Abschrift und, sofern der Gesellschaftsvertrag nicht in deutscher Sprache erstellt ist, eine beglaubigte Übersetzung in deutscher Sprache beizufügen. </w:t>
      </w:r>
      <w:r>
        <w:rPr>
          <w:rStyle w:val="Satznummer"/>
        </w:rPr>
        <w:t>2</w:t>
      </w:r>
      <w:r>
        <w:t xml:space="preserve">Die Vorschriften des § 8 Abs. 1 Nr. 2 und Abs. 3 und 4 des Gesetzes betreffend die Gesellschaften mit beschränkter Haftung sind anzuwenden. </w:t>
      </w:r>
      <w:r>
        <w:rPr>
          <w:rStyle w:val="Satznummer"/>
        </w:rPr>
        <w:t>3</w:t>
      </w:r>
      <w:r>
        <w:t xml:space="preserve">§ 8 Absatz 3 des Gesetzes betreffend die Gesellschaften mit beschränkter Haftung ist nicht anzuwenden auf Gesellschaften, die dem Recht eines Mitgliedstaates der Europäischen Union oder eines anderen Vertragsstaates des Abkommens über den Europäischen Wirtschaftsraum unterliegen. </w:t>
      </w:r>
      <w:r>
        <w:rPr>
          <w:rStyle w:val="Satznummer"/>
        </w:rPr>
        <w:t>4</w:t>
      </w:r>
      <w:r>
        <w:t>Wird die Errichtung der Zweigniederlassung in den ersten zwei Jahren nach der Eintragung der Gesellschaft in das Handelsregister ihres Sitzes angemeldet, so sind in die Anmeldung auch die nach § 5 Abs. 4 des Gesetzes betreffend die Gesellschaften mit beschränkter Haftung getroffenen Festsetzungen aufzunehmen, soweit nicht das ausländische Recht Abweichungen nötig macht.</w:t>
      </w:r>
    </w:p>
    <w:p>
      <w:r>
        <w:t xml:space="preserve">(3) Die Eintragung der Errichtung der Zweigniederlassung hat auch die Angaben nach § 10 des Gesetzes betreffend die Gesellschaften mit beschränkter Haftung sowie die Angaben nach </w:t>
      </w:r>
      <w:hyperlink w:anchor="b26" w:history="1">
        <w:r>
          <w:rPr>
            <w:color w:val="0A3A8C"/>
            <w:u w:val="single"/>
          </w:rPr>
          <w:t xml:space="preserve">§ 13e</w:t>
        </w:r>
      </w:hyperlink>
      <w:r>
        <w:t xml:space="preserve"> Abs. 2 Satz 3 bis 5 zu enthalten.</w:t>
      </w:r>
    </w:p>
    <w:p>
      <w:r>
        <w:t xml:space="preserve">(4) </w:t>
      </w:r>
      <w:r>
        <w:rPr>
          <w:rStyle w:val="Satznummer"/>
        </w:rPr>
        <w:t>1</w:t>
      </w:r>
      <w:r>
        <w:t xml:space="preserve">Änderungen des Gesellschaftsvertrages der ausländischen Gesellschaft sind durch die Geschäftsführer zur Eintragung in das Handelsregister anzumelden. </w:t>
      </w:r>
      <w:r>
        <w:rPr>
          <w:rStyle w:val="Satznummer"/>
        </w:rPr>
        <w:t>2</w:t>
      </w:r>
      <w:r>
        <w:t>Für die Anmeldung gelten die Vorschriften des § 54 Abs. 1 und 2 des Gesetzes betreffend die Gesellschaften mit beschränkter Haftung sinngemäß, soweit nicht das ausländische Recht Abweichungen nötig macht.</w:t>
      </w:r>
    </w:p>
    <w:p>
      <w:r>
        <w:t xml:space="preserve">(5) </w:t>
      </w:r>
      <w:r>
        <w:rPr>
          <w:rStyle w:val="Satznummer"/>
        </w:rPr>
        <w:t>1</w:t>
      </w:r>
      <w:r>
        <w:t xml:space="preserve">Im übrigen gelten die Vorschriften der §§ 39, 65 Abs. 1 Satz 1, § 67 Abs. 1 und 2, § 74 Abs. 1 Satz 1 des Gesetzes betreffend die Gesellschaften mit beschränkter Haftung sinngemäß, soweit nicht das ausländische Recht Abweichungen nötig macht. </w:t>
      </w:r>
      <w:r>
        <w:rPr>
          <w:rStyle w:val="Satznummer"/>
        </w:rPr>
        <w:t>2</w:t>
      </w:r>
      <w:r>
        <w:t>§ 39 Absatz 3 des Gesetzes betreffend die Gesellschaften mit beschränkter Haftung ist nicht anzuwenden auf Gesellschaften, die dem Recht eines Mitgliedstaates der Europäischen Union oder eines anderen Vertragsstaates des Abkommens über den Europäischen Wirtschaftsraum unterliegen.</w:t>
      </w:r>
    </w:p>
    <w:p>
      <w:r>
        <w:t>(6) Für die Aufhebung einer Zweigniederlassung gelten die Vorschriften über ihre Errichtung sinngemäß.</w:t>
      </w:r>
    </w:p>
    <w:p>
      <w:pPr>
        <w:pStyle w:val="Heading3"/>
      </w:pPr>
      <w:bookmarkStart w:id="30" w:name="b29"/>
      <w:r>
        <w:t>§ 13h Verlegung des Sitzes einer Hauptniederlassung im Inland</w:t>
      </w:r>
      <w:r>
        <w:t xml:space="preserve"> </w:t>
      </w:r>
      <w:r>
        <w:rPr>
          <w:rStyle w:val="Suchmarke"/>
        </w:rPr>
        <w:t>#13h#</w:t>
      </w:r>
      <w:bookmarkEnd w:id="30"/>
    </w:p>
    <w:p>
      <w:r>
        <w:t>(1) Wird die Hauptniederlassung eines Einzelkaufmanns oder einer juristischen Person oder der Sitz einer Handelsgesellschaft im Inland verlegt, so ist die Verlegung beim Gericht der bisherigen Hauptniederlassung oder des bisherigen Sitzes anzumelden.</w:t>
      </w:r>
    </w:p>
    <w:p>
      <w:r>
        <w:t xml:space="preserve">(2) </w:t>
      </w:r>
      <w:r>
        <w:rPr>
          <w:rStyle w:val="Satznummer"/>
        </w:rPr>
        <w:t>1</w:t>
      </w:r>
      <w:r>
        <w:t xml:space="preserve">Wird die Hauptniederlassung oder der Sitz aus dem Bezirk des Gerichts der bisherigen Hauptniederlassung oder des bisherigen Sitzes verlegt, so hat dieses unverzüglich von Amts wegen die Verlegung dem Gericht der neuen Hauptniederlassung oder des neuen Sitzes mitzuteilen. </w:t>
      </w:r>
      <w:r>
        <w:rPr>
          <w:rStyle w:val="Satznummer"/>
        </w:rPr>
        <w:t>2</w:t>
      </w:r>
      <w:r>
        <w:t xml:space="preserve">Der Mitteilung sind die Eintragungen für die bisherige Hauptniederlassung oder den bisherigen Sitz sowie die bei dem bisher zuständigen Gericht aufbewahrten Urkunden beizufügen. </w:t>
      </w:r>
      <w:r>
        <w:rPr>
          <w:rStyle w:val="Satznummer"/>
        </w:rPr>
        <w:t>3</w:t>
      </w:r>
      <w:r>
        <w:t xml:space="preserve">Das Gericht der neuen Hauptniederlassung oder des neuen Sitzes hat zu prüfen, ob die Hauptniederlassung oder der Sitz ordnungsgemäß verlegt und </w:t>
      </w:r>
      <w:hyperlink w:anchor="b48" w:history="1">
        <w:r>
          <w:rPr>
            <w:color w:val="0A3A8C"/>
            <w:u w:val="single"/>
          </w:rPr>
          <w:t xml:space="preserve">§ 30</w:t>
        </w:r>
      </w:hyperlink>
      <w:r>
        <w:t xml:space="preserve"> beachtet ist. </w:t>
      </w:r>
      <w:r>
        <w:rPr>
          <w:rStyle w:val="Satznummer"/>
        </w:rPr>
        <w:t>4</w:t>
      </w:r>
      <w:r>
        <w:t xml:space="preserve">Ist dies der Fall, so hat es die Verlegung einzutragen und dabei die ihm mitgeteilten Eintragungen ohne weitere Nachprüfung in sein Handelsregister zu übernehmen. </w:t>
      </w:r>
      <w:r>
        <w:rPr>
          <w:rStyle w:val="Satznummer"/>
        </w:rPr>
        <w:t>5</w:t>
      </w:r>
      <w:r>
        <w:t xml:space="preserve">Die Eintragung ist dem Gericht der bisherigen Hauptniederlassung oder des bisherigen Sitzes mitzuteilen. </w:t>
      </w:r>
      <w:r>
        <w:rPr>
          <w:rStyle w:val="Satznummer"/>
        </w:rPr>
        <w:t>6</w:t>
      </w:r>
      <w:r>
        <w:t>Dieses hat die erforderlichen Eintragungen von Amts wegen vorzunehmen.</w:t>
      </w:r>
    </w:p>
    <w:p>
      <w:r>
        <w:t xml:space="preserve">(3) </w:t>
      </w:r>
      <w:r>
        <w:rPr>
          <w:rStyle w:val="Satznummer"/>
        </w:rPr>
        <w:t>1</w:t>
      </w:r>
      <w:r>
        <w:t xml:space="preserve">Wird die Hauptniederlassung oder der Sitz an einen anderen Ort innerhalb des Bezirks des Gerichts der bisherigen Hauptniederlassung oder des bisherigen Sitzes verlegt, so hat das Gericht zu prüfen, ob die Hauptniederlassung oder der Sitz ordnungsgemäß verlegt und </w:t>
      </w:r>
      <w:hyperlink w:anchor="b48" w:history="1">
        <w:r>
          <w:rPr>
            <w:color w:val="0A3A8C"/>
            <w:u w:val="single"/>
          </w:rPr>
          <w:t xml:space="preserve">§ 30</w:t>
        </w:r>
      </w:hyperlink>
      <w:r>
        <w:t xml:space="preserve"> beachtet ist. </w:t>
      </w:r>
      <w:r>
        <w:rPr>
          <w:rStyle w:val="Satznummer"/>
        </w:rPr>
        <w:t>2</w:t>
      </w:r>
      <w:r>
        <w:t>Ist dies der Fall, so hat es die Verlegung einzutragen.</w:t>
      </w:r>
    </w:p>
    <w:p>
      <w:pPr>
        <w:pStyle w:val="Heading3"/>
      </w:pPr>
      <w:bookmarkStart w:id="31" w:name="b30"/>
      <w:r>
        <w:t>§ 14</w:t>
      </w:r>
      <w:r>
        <w:t xml:space="preserve"> </w:t>
      </w:r>
      <w:r>
        <w:rPr>
          <w:rStyle w:val="Suchmarke"/>
        </w:rPr>
        <w:t>#14#</w:t>
      </w:r>
      <w:bookmarkEnd w:id="31"/>
    </w:p>
    <w:p>
      <w:r>
        <w:rPr>
          <w:rStyle w:val="Satznummer"/>
        </w:rPr>
        <w:t>1</w:t>
      </w:r>
      <w:r>
        <w:t xml:space="preserve">Wer seiner Pflicht zur Anmeldung oder zur Einreichung von Dokumenten zum Handelsregister nicht nachkommt, ist hierzu von dem Registergericht durch Festsetzung von Zwangsgeld anzuhalten. </w:t>
      </w:r>
      <w:r>
        <w:rPr>
          <w:rStyle w:val="Satznummer"/>
        </w:rPr>
        <w:t>2</w:t>
      </w:r>
      <w:r>
        <w:t>Das einzelne Zwangsgeld darf den Betrag von fünftausend Euro nicht übersteigen.</w:t>
      </w:r>
    </w:p>
    <w:p>
      <w:pPr>
        <w:pStyle w:val="Heading3"/>
      </w:pPr>
      <w:bookmarkStart w:id="32" w:name="b31"/>
      <w:r>
        <w:t>§ 15</w:t>
      </w:r>
      <w:r>
        <w:t xml:space="preserve"> </w:t>
      </w:r>
      <w:r>
        <w:rPr>
          <w:rStyle w:val="Suchmarke"/>
        </w:rPr>
        <w:t>#15#</w:t>
      </w:r>
      <w:bookmarkEnd w:id="32"/>
    </w:p>
    <w:p>
      <w:r>
        <w:t>(1) Solange eine in das Handelsregister einzutragende Tatsache nicht eingetragen und bekanntgemacht ist, kann sie von demjenigen, in dessen Angelegenheiten sie einzutragen war, einem Dritten nicht entgegengesetzt werden, es sei denn, daß sie diesem bekannt war.</w:t>
      </w:r>
    </w:p>
    <w:p>
      <w:r>
        <w:t xml:space="preserve">(2) </w:t>
      </w:r>
      <w:r>
        <w:rPr>
          <w:rStyle w:val="Satznummer"/>
        </w:rPr>
        <w:t>1</w:t>
      </w:r>
      <w:r>
        <w:t xml:space="preserve">Ist die Tatsache eingetragen und bekanntgemacht worden, so muß ein Dritter sie gegen sich gelten lassen. </w:t>
      </w:r>
      <w:r>
        <w:rPr>
          <w:rStyle w:val="Satznummer"/>
        </w:rPr>
        <w:t>2</w:t>
      </w:r>
      <w:r>
        <w:t>Dies gilt nicht bei Rechtshandlungen, die innerhalb von fünfzehn Tagen nach der Bekanntmachung vorgenommen werden, sofern der Dritte beweist, daß er die Tatsache weder kannte noch kennen mußte.</w:t>
      </w:r>
    </w:p>
    <w:p>
      <w:r>
        <w:t>(3) Ist eine einzutragende und bekannt gemachte Tatsache unrichtig eingetragen, so kann sich ein Dritter demjenigen gegenüber, in dessen Angelegenheit die Tatsache einzutragen war, auf die eingetragene Tatsache berufen, es sei denn, dass er die Unrichtigkeit kannte.</w:t>
      </w:r>
    </w:p>
    <w:p>
      <w:r>
        <w:t>(4) Für den Geschäftsverkehr mit einer in das Handelsregister eingetragenen Zweigniederlassung eines Unternehmens mit Sitz oder Hauptniederlassung im Ausland ist im Sinne dieser Vorschriften die Eintragung und Bekanntmachung durch das Gericht der Zweigniederlassung entscheidend.</w:t>
      </w:r>
    </w:p>
    <w:p>
      <w:r>
        <w:t>(5) Die Absätze 1 bis 3 sind nicht anzuwenden im Hinblick auf die im Registerblatt einer Kapitalgesellschaft eingetragenen Informationen über eine Zweigniederlassung der Gesellschaft im Ausland.</w:t>
      </w:r>
    </w:p>
    <w:p>
      <w:pPr>
        <w:pStyle w:val="Heading3"/>
      </w:pPr>
      <w:bookmarkStart w:id="33" w:name="b32"/>
      <w:r>
        <w:t>§ 15a Öffentliche Zustellung</w:t>
      </w:r>
      <w:r>
        <w:t xml:space="preserve"> </w:t>
      </w:r>
      <w:r>
        <w:rPr>
          <w:rStyle w:val="Suchmarke"/>
        </w:rPr>
        <w:t>#15a#</w:t>
      </w:r>
      <w:bookmarkEnd w:id="33"/>
    </w:p>
    <w:p>
      <w:r>
        <w:rPr>
          <w:rStyle w:val="Satznummer"/>
        </w:rPr>
        <w:t>1</w:t>
      </w:r>
      <w:r>
        <w:t xml:space="preserve">Ist bei einer juristischen Person, die zur Anmeldung einer inländischen Geschäftsanschrift zum Handelsregister verpflichtet ist, der Zugang einer Willenserklärung nicht unter der eingetragenen Anschrift oder einer im Handelsregister eingetragenen Anschrift einer für Zustellungen empfangsberechtigten Person oder einer ohne Ermittlungen bekannten anderen inländischen Anschrift möglich, kann die Zustellung nach den für die öffentliche Zustellung geltenden Vorschriften der Zivilprozessordnung erfolgen. </w:t>
      </w:r>
      <w:r>
        <w:rPr>
          <w:rStyle w:val="Satznummer"/>
        </w:rPr>
        <w:t>2</w:t>
      </w:r>
      <w:r>
        <w:t xml:space="preserve">Zuständig ist das Amtsgericht, in dessen Bezirk sich die eingetragene inländische Geschäftsanschrift der Gesellschaft befindet. </w:t>
      </w:r>
      <w:r>
        <w:rPr>
          <w:rStyle w:val="Satznummer"/>
        </w:rPr>
        <w:t>3</w:t>
      </w:r>
      <w:r>
        <w:t>§ 132 des Bürgerlichen Gesetzbuchs bleibt unberührt.</w:t>
      </w:r>
    </w:p>
    <w:p>
      <w:pPr>
        <w:pStyle w:val="Heading3"/>
      </w:pPr>
      <w:bookmarkStart w:id="34" w:name="b33"/>
      <w:r>
        <w:t>§ 16</w:t>
      </w:r>
      <w:r>
        <w:t xml:space="preserve"> </w:t>
      </w:r>
      <w:r>
        <w:rPr>
          <w:rStyle w:val="Suchmarke"/>
        </w:rPr>
        <w:t>#16#</w:t>
      </w:r>
      <w:bookmarkEnd w:id="34"/>
    </w:p>
    <w:p>
      <w:r>
        <w:t xml:space="preserve">(1) </w:t>
      </w:r>
      <w:r>
        <w:rPr>
          <w:rStyle w:val="Satznummer"/>
        </w:rPr>
        <w:t>1</w:t>
      </w:r>
      <w:r>
        <w:t xml:space="preserve">Ist durch eine rechtskräftige oder vollstreckbare Entscheidung des Prozeßgerichts die Verpflichtung zur Mitwirkung bei einer Anmeldung zum Handelsregister oder ein Rechtsverhältnis, bezüglich dessen eine Eintragung zu erfolgen hat, gegen einen von mehreren bei der Vornahme der Anmeldung Beteiligten festgestellt, so genügt zur Eintragung die Anmeldung der übrigen Beteiligten. </w:t>
      </w:r>
      <w:r>
        <w:rPr>
          <w:rStyle w:val="Satznummer"/>
        </w:rPr>
        <w:t>2</w:t>
      </w:r>
      <w:r>
        <w:t>Wird die Entscheidung, auf Grund deren die Eintragung erfolgt ist, aufgehoben, so ist dies auf Antrag eines der Beteiligten in das Handelsregister einzutragen.</w:t>
      </w:r>
    </w:p>
    <w:p>
      <w:r>
        <w:t>(2) Ist durch eine rechtskräftige oder vollstreckbare Entscheidung des Prozeßgerichts die Vornahme einer Eintragung für unzulässig erklärt, so darf die Eintragung nicht gegen den Widerspruch desjenigen erfolgen, welcher die Entscheidung erwirkt hat.</w:t>
      </w:r>
    </w:p>
    <w:p>
      <w:pPr>
        <w:pStyle w:val="Heading2"/>
      </w:pPr>
      <w:bookmarkStart w:id="35" w:name="b34"/>
      <w:r>
        <w:t>Dritter Abschnitt Handelsfirma</w:t>
      </w:r>
      <w:bookmarkEnd w:id="35"/>
    </w:p>
    <w:p>
      <w:pPr>
        <w:pStyle w:val="Heading3"/>
      </w:pPr>
      <w:bookmarkStart w:id="36" w:name="b35"/>
      <w:r>
        <w:t>§ 17</w:t>
      </w:r>
      <w:r>
        <w:t xml:space="preserve"> </w:t>
      </w:r>
      <w:r>
        <w:rPr>
          <w:rStyle w:val="Suchmarke"/>
        </w:rPr>
        <w:t>#17#</w:t>
      </w:r>
      <w:bookmarkEnd w:id="36"/>
    </w:p>
    <w:p>
      <w:r>
        <w:t>(1) Die Firma eines Kaufmanns ist der Name, unter dem er seine Geschäfte betreibt und die Unterschrift abgibt.</w:t>
      </w:r>
    </w:p>
    <w:p>
      <w:r>
        <w:t>(2) Ein Kaufmann kann unter seiner Firma klagen und verklagt werden.</w:t>
      </w:r>
    </w:p>
    <w:p>
      <w:pPr>
        <w:pStyle w:val="Heading3"/>
      </w:pPr>
      <w:bookmarkStart w:id="37" w:name="b36"/>
      <w:r>
        <w:t>§ 18</w:t>
      </w:r>
      <w:r>
        <w:t xml:space="preserve"> </w:t>
      </w:r>
      <w:r>
        <w:rPr>
          <w:rStyle w:val="Suchmarke"/>
        </w:rPr>
        <w:t>#18#</w:t>
      </w:r>
      <w:bookmarkEnd w:id="37"/>
    </w:p>
    <w:p>
      <w:r>
        <w:t>(1) Die Firma muß zur Kennzeichnung des Kaufmanns geeignet sein und Unterscheidungskraft besitzen.</w:t>
      </w:r>
    </w:p>
    <w:p>
      <w:r>
        <w:t xml:space="preserve">(2) </w:t>
      </w:r>
      <w:r>
        <w:rPr>
          <w:rStyle w:val="Satznummer"/>
        </w:rPr>
        <w:t>1</w:t>
      </w:r>
      <w:r>
        <w:t xml:space="preserve">Die Firma darf keine Angaben enthalten, die geeignet sind, über geschäftliche Verhältnisse, die für die angesprochenen Verkehrskreise wesentlich sind, irrezuführen. </w:t>
      </w:r>
      <w:r>
        <w:rPr>
          <w:rStyle w:val="Satznummer"/>
        </w:rPr>
        <w:t>2</w:t>
      </w:r>
      <w:r>
        <w:t>Im Verfahren vor dem Registergericht wird die Eignung zur Irreführung nur berücksichtigt, wenn sie ersichtlich ist.</w:t>
      </w:r>
    </w:p>
    <w:p>
      <w:pPr>
        <w:pStyle w:val="Heading3"/>
      </w:pPr>
      <w:bookmarkStart w:id="38" w:name="b37"/>
      <w:r>
        <w:t>§ 19</w:t>
      </w:r>
      <w:r>
        <w:t xml:space="preserve"> </w:t>
      </w:r>
      <w:r>
        <w:rPr>
          <w:rStyle w:val="Suchmarke"/>
        </w:rPr>
        <w:t>#19#</w:t>
      </w:r>
      <w:bookmarkEnd w:id="38"/>
    </w:p>
    <w:p>
      <w:r>
        <w:t xml:space="preserve">(1) Die Firma muß, auch wenn sie nach den </w:t>
      </w:r>
      <w:hyperlink w:anchor="b39" w:history="1">
        <w:r>
          <w:rPr>
            <w:color w:val="0A3A8C"/>
            <w:u w:val="single"/>
          </w:rPr>
          <w:t xml:space="preserve">§§ 21</w:t>
        </w:r>
      </w:hyperlink>
      <w:r>
        <w:t xml:space="preserve">, </w:t>
      </w:r>
      <w:hyperlink w:anchor="b40" w:history="1">
        <w:r>
          <w:rPr>
            <w:color w:val="0A3A8C"/>
            <w:u w:val="single"/>
          </w:rPr>
          <w:t xml:space="preserve">22</w:t>
        </w:r>
      </w:hyperlink>
      <w:r>
        <w:t xml:space="preserve">, </w:t>
      </w:r>
      <w:hyperlink w:anchor="b42" w:history="1">
        <w:r>
          <w:rPr>
            <w:color w:val="0A3A8C"/>
            <w:u w:val="single"/>
          </w:rPr>
          <w:t xml:space="preserve">24</w:t>
        </w:r>
      </w:hyperlink>
      <w:r>
        <w:t xml:space="preserve"> oder nach anderen gesetzlichen Vorschriften fortgeführt wird, enthalten:</w:t>
      </w:r>
    </w:p>
    <w:p>
      <w:pPr>
        <w:tabs>
          <w:tab w:pos="567" w:val="left"/>
        </w:tabs>
        <w:ind w:left="567" w:hanging="567"/>
      </w:pPr>
      <w:r>
        <w:t>1.</w:t>
      </w:r>
      <w:r>
        <w:tab/>
      </w:r>
      <w:r>
        <w:t>bei Einzelkaufleuten die Bezeichnung "eingetragener Kaufmann", "eingetragene Kauffrau" oder eine allgemein verständliche Abkürzung dieser Bezeichnung, insbesondere "e.K.", "e.Kfm." oder "e.Kfr.";</w:t>
      </w:r>
    </w:p>
    <w:p>
      <w:pPr>
        <w:tabs>
          <w:tab w:pos="567" w:val="left"/>
        </w:tabs>
        <w:ind w:left="567" w:hanging="567"/>
      </w:pPr>
      <w:r>
        <w:t>2.</w:t>
      </w:r>
      <w:r>
        <w:tab/>
      </w:r>
      <w:r>
        <w:t>bei einer offenen Handelsgesellschaft die Bezeichnung "offene Handelsgesellschaft" oder eine allgemein verständliche Abkürzung dieser Bezeichnung;</w:t>
      </w:r>
    </w:p>
    <w:p>
      <w:pPr>
        <w:tabs>
          <w:tab w:pos="567" w:val="left"/>
        </w:tabs>
        <w:ind w:left="567" w:hanging="567"/>
      </w:pPr>
      <w:r>
        <w:t>3.</w:t>
      </w:r>
      <w:r>
        <w:tab/>
      </w:r>
      <w:r>
        <w:t>bei einer Kommanditgesellschaft die Bezeichnung "Kommanditgesellschaft" oder eine allgemein verständliche Abkürzung dieser Bezeichnung.</w:t>
      </w:r>
    </w:p>
    <w:p>
      <w:r>
        <w:t xml:space="preserve">(2) Wenn in einer offenen Handelsgesellschaft oder Kommanditgesellschaft keine natürliche Person persönlich haftet, muß die Firma, auch wenn sie nach den </w:t>
      </w:r>
      <w:hyperlink w:anchor="b39" w:history="1">
        <w:r>
          <w:rPr>
            <w:color w:val="0A3A8C"/>
            <w:u w:val="single"/>
          </w:rPr>
          <w:t xml:space="preserve">§§ 21</w:t>
        </w:r>
      </w:hyperlink>
      <w:r>
        <w:t xml:space="preserve">, </w:t>
      </w:r>
      <w:hyperlink w:anchor="b40" w:history="1">
        <w:r>
          <w:rPr>
            <w:color w:val="0A3A8C"/>
            <w:u w:val="single"/>
          </w:rPr>
          <w:t xml:space="preserve">22</w:t>
        </w:r>
      </w:hyperlink>
      <w:r>
        <w:t xml:space="preserve">, </w:t>
      </w:r>
      <w:hyperlink w:anchor="b42" w:history="1">
        <w:r>
          <w:rPr>
            <w:color w:val="0A3A8C"/>
            <w:u w:val="single"/>
          </w:rPr>
          <w:t xml:space="preserve">24</w:t>
        </w:r>
      </w:hyperlink>
      <w:r>
        <w:t xml:space="preserve"> oder nach anderen gesetzlichen Vorschriften fortgeführt wird, eine Bezeichnung enthalten, welche die Haftungsbeschränkung kennzeichnet.</w:t>
      </w:r>
    </w:p>
    <w:p>
      <w:pPr>
        <w:pStyle w:val="Heading3"/>
      </w:pPr>
      <w:bookmarkStart w:id="39" w:name="b38"/>
      <w:r>
        <w:t>§ 20 (weggefallen)</w:t>
      </w:r>
      <w:r>
        <w:t xml:space="preserve"> </w:t>
      </w:r>
      <w:r>
        <w:rPr>
          <w:rStyle w:val="Suchmarke"/>
        </w:rPr>
        <w:t>#20#</w:t>
      </w:r>
      <w:bookmarkEnd w:id="39"/>
    </w:p>
    <w:p>
      <w:pPr>
        <w:pStyle w:val="Heading3"/>
      </w:pPr>
      <w:bookmarkStart w:id="40" w:name="b39"/>
      <w:r>
        <w:t>§ 21</w:t>
      </w:r>
      <w:r>
        <w:t xml:space="preserve"> </w:t>
      </w:r>
      <w:r>
        <w:rPr>
          <w:rStyle w:val="Suchmarke"/>
        </w:rPr>
        <w:t>#21#</w:t>
      </w:r>
      <w:bookmarkEnd w:id="40"/>
    </w:p>
    <w:p>
      <w:r>
        <w:t>Wird ohne eine Änderung der Person der in der Firma enthaltene Name des Geschäftsinhabers oder eines Gesellschafters geändert, so kann die bisherige Firma fortgeführt werden.</w:t>
      </w:r>
    </w:p>
    <w:p>
      <w:pPr>
        <w:pStyle w:val="Heading3"/>
      </w:pPr>
      <w:bookmarkStart w:id="41" w:name="b40"/>
      <w:r>
        <w:t>§ 22</w:t>
      </w:r>
      <w:r>
        <w:t xml:space="preserve"> </w:t>
      </w:r>
      <w:r>
        <w:rPr>
          <w:rStyle w:val="Suchmarke"/>
        </w:rPr>
        <w:t>#22#</w:t>
      </w:r>
      <w:bookmarkEnd w:id="41"/>
    </w:p>
    <w:p>
      <w:r>
        <w:t>(1) Wer ein bestehendes Handelsgeschäft unter Lebenden oder von Todes wegen erwirbt, darf für das Geschäft die bisherige Firma, auch wenn sie den Namen des bisherigen Geschäftsinhabers enthält, mit oder ohne Beifügung eines das Nachfolgeverhältnis andeutenden Zusatzes fortführen, wenn der bisherige Geschäftsinhaber oder dessen Erben in die Fortführung der Firma ausdrücklich willigen.</w:t>
      </w:r>
    </w:p>
    <w:p>
      <w:r>
        <w:t>(2) Wird ein Handelsgeschäft auf Grund eines Nießbrauchs, eines Pachtvertrags oder eines ähnlichen Verhältnisses übernommen, so finden diese Vorschriften entsprechende Anwendung.</w:t>
      </w:r>
    </w:p>
    <w:p>
      <w:pPr>
        <w:pStyle w:val="Heading3"/>
      </w:pPr>
      <w:bookmarkStart w:id="42" w:name="b41"/>
      <w:r>
        <w:t>§ 23</w:t>
      </w:r>
      <w:r>
        <w:t xml:space="preserve"> </w:t>
      </w:r>
      <w:r>
        <w:rPr>
          <w:rStyle w:val="Suchmarke"/>
        </w:rPr>
        <w:t>#23#</w:t>
      </w:r>
      <w:bookmarkEnd w:id="42"/>
    </w:p>
    <w:p>
      <w:r>
        <w:t>Die Firma kann nicht ohne das Handelsgeschäft, für welches sie geführt wird, veräußert werden.</w:t>
      </w:r>
    </w:p>
    <w:p>
      <w:pPr>
        <w:pStyle w:val="Heading3"/>
      </w:pPr>
      <w:bookmarkStart w:id="43" w:name="b42"/>
      <w:r>
        <w:t>§ 24</w:t>
      </w:r>
      <w:r>
        <w:t xml:space="preserve"> </w:t>
      </w:r>
      <w:r>
        <w:rPr>
          <w:rStyle w:val="Suchmarke"/>
        </w:rPr>
        <w:t>#24#</w:t>
      </w:r>
      <w:bookmarkEnd w:id="43"/>
    </w:p>
    <w:p>
      <w:r>
        <w:t>(1) Wird jemand in ein bestehendes Handelsgeschäft als Gesellschafter aufgenommen oder tritt ein neuer Gesellschafter in eine Handelsgesellschaft ein oder scheidet aus einer solchen ein Gesellschafter aus, so kann ungeachtet dieser Veränderung die bisherige Firma fortgeführt werden, auch wenn sie den Namen des bisherigen Geschäftsinhabers oder Namen von Gesellschaftern enthält.</w:t>
      </w:r>
    </w:p>
    <w:p>
      <w:r>
        <w:t>(2) Bei dem Ausscheiden eines Gesellschafters, dessen Name in der Firma enthalten ist, bedarf es zur Fortführung der Firma der ausdrücklichen Einwilligung des Gesellschafters oder seiner Erben.</w:t>
      </w:r>
    </w:p>
    <w:p>
      <w:pPr>
        <w:pStyle w:val="Heading3"/>
      </w:pPr>
      <w:bookmarkStart w:id="44" w:name="b43"/>
      <w:r>
        <w:t>§ 25</w:t>
      </w:r>
      <w:r>
        <w:t xml:space="preserve"> </w:t>
      </w:r>
      <w:r>
        <w:rPr>
          <w:rStyle w:val="Suchmarke"/>
        </w:rPr>
        <w:t>#25#</w:t>
      </w:r>
      <w:bookmarkEnd w:id="44"/>
    </w:p>
    <w:p>
      <w:r>
        <w:t xml:space="preserve">(1) </w:t>
      </w:r>
      <w:r>
        <w:rPr>
          <w:rStyle w:val="Satznummer"/>
        </w:rPr>
        <w:t>1</w:t>
      </w:r>
      <w:r>
        <w:t xml:space="preserve">Wer ein unter Lebenden erworbenes Handelsgeschäft unter der bisherigen Firma mit oder ohne Beifügung eines das Nachfolgeverhältnis andeutenden Zusatzes fortführt, haftet für alle im Betriebe des Geschäfts begründeten Verbindlichkeiten des früheren Inhabers. </w:t>
      </w:r>
      <w:r>
        <w:rPr>
          <w:rStyle w:val="Satznummer"/>
        </w:rPr>
        <w:t>2</w:t>
      </w:r>
      <w:r>
        <w:t>Die in dem Betriebe begründeten Forderungen gelten den Schuldnern gegenüber als auf den Erwerber übergegangen, falls der bisherige Inhaber oder seine Erben in die Fortführung der Firma gewilligt haben.</w:t>
      </w:r>
    </w:p>
    <w:p>
      <w:r>
        <w:t>(2) Eine abweichende Vereinbarung ist einem Dritten gegenüber nur wirksam, wenn sie in das Handelsregister eingetragen und bekanntgemacht oder von dem Erwerber oder dem Veräußerer dem Dritten mitgeteilt worden ist.</w:t>
      </w:r>
    </w:p>
    <w:p>
      <w:r>
        <w:t>(3) Wird die Firma nicht fortgeführt, so haftet der Erwerber eines Handelsgeschäfts für die früheren Geschäftsverbindlichkeiten nur, wenn ein besonderer Verpflichtungsgrund vorliegt, insbesondere wenn die Übernahme der Verbindlichkeiten in handelsüblicher Weise von dem Erwerber bekanntgemacht worden ist.</w:t>
      </w:r>
    </w:p>
    <w:p>
      <w:pPr>
        <w:pStyle w:val="Heading3"/>
      </w:pPr>
      <w:bookmarkStart w:id="45" w:name="b44"/>
      <w:r>
        <w:t>§ 26</w:t>
      </w:r>
      <w:r>
        <w:t xml:space="preserve"> </w:t>
      </w:r>
      <w:r>
        <w:rPr>
          <w:rStyle w:val="Suchmarke"/>
        </w:rPr>
        <w:t>#26#</w:t>
      </w:r>
      <w:bookmarkEnd w:id="45"/>
    </w:p>
    <w:p>
      <w:r>
        <w:t xml:space="preserve">(1) </w:t>
      </w:r>
      <w:r>
        <w:rPr>
          <w:rStyle w:val="Satznummer"/>
        </w:rPr>
        <w:t>1</w:t>
      </w:r>
      <w:r>
        <w:t xml:space="preserve">Ist der Erwerber des Handelsgeschäfts auf Grund der Fortführung der Firma oder auf Grund der in </w:t>
      </w:r>
      <w:hyperlink w:anchor="b43" w:history="1">
        <w:r>
          <w:rPr>
            <w:color w:val="0A3A8C"/>
            <w:u w:val="single"/>
          </w:rPr>
          <w:t xml:space="preserve">§ 25</w:t>
        </w:r>
      </w:hyperlink>
      <w:r>
        <w:t xml:space="preserve"> Abs. 3 bezeichneten Kundmachung für die früheren Geschäftsverbindlichkeiten haftbar, so haftet der frühere Geschäftsinhaber für diese Verbindlichkeiten nur, wenn sie vor Ablauf von fünf Jahren fällig und daraus Ansprüche gegen ihn in einer in § 197 Abs. 1 Nr. 3 bis 5 des Bürgerlichen Gesetzbuchs bezeichneten Art festgestellt sind oder eine gerichtliche oder behördliche Vollstreckungshandlung vorgenommen oder beantragt wird; bei öffentlich-rechtlichen Verbindlichkeiten genügt der Erlass eines Verwaltungsakts. </w:t>
      </w:r>
      <w:r>
        <w:rPr>
          <w:rStyle w:val="Satznummer"/>
        </w:rPr>
        <w:t>2</w:t>
      </w:r>
      <w:r>
        <w:t xml:space="preserve">Die Frist beginnt im Falle des </w:t>
      </w:r>
      <w:hyperlink w:anchor="b43" w:history="1">
        <w:r>
          <w:rPr>
            <w:color w:val="0A3A8C"/>
            <w:u w:val="single"/>
          </w:rPr>
          <w:t xml:space="preserve">§ 25</w:t>
        </w:r>
      </w:hyperlink>
      <w:r>
        <w:t xml:space="preserve"> Abs. 1 mit dem Ende des Tages, an dem der neue Inhaber der Firma in das Handelsregister des Gerichts der Hauptniederlassung eingetragen wird, im Falle des </w:t>
      </w:r>
      <w:hyperlink w:anchor="b43" w:history="1">
        <w:r>
          <w:rPr>
            <w:color w:val="0A3A8C"/>
            <w:u w:val="single"/>
          </w:rPr>
          <w:t xml:space="preserve">§ 25</w:t>
        </w:r>
      </w:hyperlink>
      <w:r>
        <w:t xml:space="preserve"> Abs. 3 mit dem Ende des Tages, an dem die Übernahme kundgemacht wird. </w:t>
      </w:r>
      <w:r>
        <w:rPr>
          <w:rStyle w:val="Satznummer"/>
        </w:rPr>
        <w:t>3</w:t>
      </w:r>
      <w:r>
        <w:t>Die für die Verjährung geltenden §§ 204, 206, 210, 211 und 212 Abs. 2 und 3 des Bürgerlichen Gesetzbuches sind entsprechend anzuwenden.</w:t>
      </w:r>
    </w:p>
    <w:p>
      <w:r>
        <w:t>(2) Einer Feststellung in einer in § 197 Abs. 1 Nr. 3 bis 5 des Bürgerlichen Gesetzbuchs bezeichneten Art bedarf es nicht, soweit der frühere Geschäftsinhaber den Anspruch schriftlich anerkannt hat.</w:t>
      </w:r>
    </w:p>
    <w:p>
      <w:pPr>
        <w:pStyle w:val="Heading3"/>
      </w:pPr>
      <w:bookmarkStart w:id="46" w:name="b45"/>
      <w:r>
        <w:t>§ 27</w:t>
      </w:r>
      <w:r>
        <w:t xml:space="preserve"> </w:t>
      </w:r>
      <w:r>
        <w:rPr>
          <w:rStyle w:val="Suchmarke"/>
        </w:rPr>
        <w:t>#27#</w:t>
      </w:r>
      <w:bookmarkEnd w:id="46"/>
    </w:p>
    <w:p>
      <w:r>
        <w:t xml:space="preserve">(1) Wird ein zu einem Nachlasse gehörendes Handelsgeschäft von dem Erben fortgeführt, so finden auf die Haftung des Erben für die früheren Geschäftsverbindlichkeiten die Vorschriften des </w:t>
      </w:r>
      <w:hyperlink w:anchor="b43" w:history="1">
        <w:r>
          <w:rPr>
            <w:color w:val="0A3A8C"/>
            <w:u w:val="single"/>
          </w:rPr>
          <w:t xml:space="preserve">§ 25</w:t>
        </w:r>
      </w:hyperlink>
      <w:r>
        <w:t xml:space="preserve"> entsprechende Anwendung.</w:t>
      </w:r>
    </w:p>
    <w:p>
      <w:r>
        <w:t xml:space="preserve">(2) </w:t>
      </w:r>
      <w:r>
        <w:rPr>
          <w:rStyle w:val="Satznummer"/>
        </w:rPr>
        <w:t>1</w:t>
      </w:r>
      <w:r>
        <w:t xml:space="preserve">Die unbeschränkte Haftung nach </w:t>
      </w:r>
      <w:hyperlink w:anchor="b43" w:history="1">
        <w:r>
          <w:rPr>
            <w:color w:val="0A3A8C"/>
            <w:u w:val="single"/>
          </w:rPr>
          <w:t xml:space="preserve">§ 25</w:t>
        </w:r>
      </w:hyperlink>
      <w:r>
        <w:t xml:space="preserve"> Abs. 1 tritt nicht ein, wenn die Fortführung des Geschäfts vor dem Ablaufe von drei Monaten nach dem Zeitpunkt, in welchem der Erbe von dem Anfalle der Erbschaft Kenntnis erlangt hat, eingestellt wird. </w:t>
      </w:r>
      <w:r>
        <w:rPr>
          <w:rStyle w:val="Satznummer"/>
        </w:rPr>
        <w:t>2</w:t>
      </w:r>
      <w:r>
        <w:t xml:space="preserve">Auf den Lauf der Frist finden die für die Verjährung geltenden Vorschriften des § 210 des Bürgerlichen Gesetzbuchs entsprechende Anwendung. </w:t>
      </w:r>
      <w:r>
        <w:rPr>
          <w:rStyle w:val="Satznummer"/>
        </w:rPr>
        <w:t>3</w:t>
      </w:r>
      <w:r>
        <w:t>Ist bei dem Ablaufe der drei Monate das Recht zur Ausschlagung der Erbschaft noch nicht verloren, so endigt die Frist nicht vor dem Ablaufe der Ausschlagungsfrist.</w:t>
      </w:r>
    </w:p>
    <w:p>
      <w:pPr>
        <w:pStyle w:val="Heading3"/>
      </w:pPr>
      <w:bookmarkStart w:id="47" w:name="b46"/>
      <w:r>
        <w:t>§ 28</w:t>
      </w:r>
      <w:r>
        <w:t xml:space="preserve"> </w:t>
      </w:r>
      <w:r>
        <w:rPr>
          <w:rStyle w:val="Suchmarke"/>
        </w:rPr>
        <w:t>#28#</w:t>
      </w:r>
      <w:bookmarkEnd w:id="47"/>
    </w:p>
    <w:p>
      <w:r>
        <w:t xml:space="preserve">(1) </w:t>
      </w:r>
      <w:r>
        <w:rPr>
          <w:rStyle w:val="Satznummer"/>
        </w:rPr>
        <w:t>1</w:t>
      </w:r>
      <w:r>
        <w:t xml:space="preserve">Tritt jemand als persönlich haftender Gesellschafter oder als Kommanditist in das Geschäft eines Einzelkaufmanns ein, so haftet die Gesellschaft, auch wenn sie die frühere Firma nicht fortführt, für alle im Betriebe des Geschäfts entstandenen Verbindlichkeiten des früheren Geschäftsinhabers. </w:t>
      </w:r>
      <w:r>
        <w:rPr>
          <w:rStyle w:val="Satznummer"/>
        </w:rPr>
        <w:t>2</w:t>
      </w:r>
      <w:r>
        <w:t>Die in dem Betriebe begründeten Forderungen gelten den Schuldnern gegenüber als auf die Gesellschaft übergegangen.</w:t>
      </w:r>
    </w:p>
    <w:p>
      <w:r>
        <w:t>(2) Eine abweichende Vereinbarung ist einem Dritten gegenüber nur wirksam, wenn sie in das Handelsregister eingetragen und bekanntgemacht oder von einem Gesellschafter dem Dritten mitgeteilt worden ist.</w:t>
      </w:r>
    </w:p>
    <w:p>
      <w:r>
        <w:t xml:space="preserve">(3) </w:t>
      </w:r>
      <w:r>
        <w:rPr>
          <w:rStyle w:val="Satznummer"/>
        </w:rPr>
        <w:t>1</w:t>
      </w:r>
      <w:r>
        <w:t xml:space="preserve">Wird der frühere Geschäftsinhaber Kommanditist und haftet die Gesellschaft für die im Betrieb seines Geschäfts entstandenen Verbindlichkeiten, so ist für die Begrenzung seiner Haftung </w:t>
      </w:r>
      <w:hyperlink w:anchor="b44" w:history="1">
        <w:r>
          <w:rPr>
            <w:color w:val="0A3A8C"/>
            <w:u w:val="single"/>
          </w:rPr>
          <w:t xml:space="preserve">§ 26</w:t>
        </w:r>
      </w:hyperlink>
      <w:r>
        <w:t xml:space="preserve"> entsprechend mit der Maßgabe anzuwenden, daß die in </w:t>
      </w:r>
      <w:hyperlink w:anchor="b44" w:history="1">
        <w:r>
          <w:rPr>
            <w:color w:val="0A3A8C"/>
            <w:u w:val="single"/>
          </w:rPr>
          <w:t xml:space="preserve">§ 26</w:t>
        </w:r>
      </w:hyperlink>
      <w:r>
        <w:t xml:space="preserve"> Abs. 1 bestimmte Frist mit dem Ende des Tages beginnt, an dem die Gesellschaft in das Handelsregister eingetragen wird. </w:t>
      </w:r>
      <w:r>
        <w:rPr>
          <w:rStyle w:val="Satznummer"/>
        </w:rPr>
        <w:t>2</w:t>
      </w:r>
      <w:r>
        <w:t xml:space="preserve">Dies gilt auch, wenn er in der Gesellschaft oder einem ihr als Gesellschafter angehörenden Unternehmen geschäftsführend tätig wird. </w:t>
      </w:r>
      <w:r>
        <w:rPr>
          <w:rStyle w:val="Satznummer"/>
        </w:rPr>
        <w:t>3</w:t>
      </w:r>
      <w:r>
        <w:t>Seine Haftung als Kommanditist bleibt unberührt.</w:t>
      </w:r>
    </w:p>
    <w:p>
      <w:pPr>
        <w:pStyle w:val="Heading3"/>
      </w:pPr>
      <w:bookmarkStart w:id="48" w:name="b47"/>
      <w:r>
        <w:t>§ 29</w:t>
      </w:r>
      <w:r>
        <w:t xml:space="preserve"> </w:t>
      </w:r>
      <w:r>
        <w:rPr>
          <w:rStyle w:val="Suchmarke"/>
        </w:rPr>
        <w:t>#29#</w:t>
      </w:r>
      <w:bookmarkEnd w:id="48"/>
    </w:p>
    <w:p>
      <w:r>
        <w:t>Jeder Kaufmann ist verpflichtet, seine Firma, den Ort und die inländische Geschäftsanschrift seiner Handelsniederlassung bei dem Gericht, in dessen Bezirke sich die Niederlassung befindet, zur Eintragung in das Handelsregister anzumelden.</w:t>
      </w:r>
    </w:p>
    <w:p>
      <w:pPr>
        <w:pStyle w:val="Heading3"/>
      </w:pPr>
      <w:bookmarkStart w:id="49" w:name="b48"/>
      <w:r>
        <w:t>§ 30</w:t>
      </w:r>
      <w:r>
        <w:t xml:space="preserve"> </w:t>
      </w:r>
      <w:r>
        <w:rPr>
          <w:rStyle w:val="Suchmarke"/>
        </w:rPr>
        <w:t>#30#</w:t>
      </w:r>
      <w:bookmarkEnd w:id="49"/>
    </w:p>
    <w:p>
      <w:r>
        <w:t>(1) Jede neue Firma muß sich von allen an demselben Ort oder in derselben Gemeinde bereits bestehenden und in das Handels-,Genossenschafts-, Gesellschafts-, Partnerschafts- oder Vereinsregister eingetragenen Firmen deutlich unterscheiden.</w:t>
      </w:r>
    </w:p>
    <w:p>
      <w:r>
        <w:t>(2) Hat ein Kaufmann mit einem bereits eingetragenen Kaufmanne die gleichen Vornamen und den gleichen Familiennamen und will auch er sich dieser Namen als seiner Firma bedienen, so muß er der Firma einen Zusatz beifügen, durch den sie sich von der bereits eingetragenen Firma deutlich unterscheidet.</w:t>
      </w:r>
    </w:p>
    <w:p>
      <w:r>
        <w:t>(3) Besteht an dem Orte oder in der Gemeinde, wo eine Zweigniederlassung errichtet wird, bereits eine gleiche eingetragene Firma, so muß der Firma für die Zweigniederlassung ein der Vorschrift des Absatzes 2 entsprechender Zusatz beigefügt werden.</w:t>
      </w:r>
    </w:p>
    <w:p>
      <w:r>
        <w:t>(4) Durch die Landesregierungen kann bestimmt werden, daß benachbarte Orte oder Gemeinden als ein Ort oder als eine Gemeinde im Sinne dieser Vorschriften anzusehen sind.</w:t>
      </w:r>
    </w:p>
    <w:p>
      <w:pPr>
        <w:pStyle w:val="Heading3"/>
      </w:pPr>
      <w:bookmarkStart w:id="50" w:name="b49"/>
      <w:r>
        <w:t>§ 31</w:t>
      </w:r>
      <w:r>
        <w:t xml:space="preserve"> </w:t>
      </w:r>
      <w:r>
        <w:rPr>
          <w:rStyle w:val="Suchmarke"/>
        </w:rPr>
        <w:t>#31#</w:t>
      </w:r>
      <w:bookmarkEnd w:id="50"/>
    </w:p>
    <w:p>
      <w:r>
        <w:t>(1) Eine Änderung der Firma oder ihrer Inhaber, die Verlegung der Niederlassung an einen anderen Ort sowie die Änderung der inländischen Geschäftsanschrift ist nach den Vorschriften des § 29 zur Eintragung in das Handelsregister anzumelden.</w:t>
      </w:r>
    </w:p>
    <w:p>
      <w:r>
        <w:t xml:space="preserve">(2) </w:t>
      </w:r>
      <w:r>
        <w:rPr>
          <w:rStyle w:val="Satznummer"/>
        </w:rPr>
        <w:t>1</w:t>
      </w:r>
      <w:r>
        <w:t xml:space="preserve">Das gleiche gilt, wenn die Firma erlischt. </w:t>
      </w:r>
      <w:r>
        <w:rPr>
          <w:rStyle w:val="Satznummer"/>
        </w:rPr>
        <w:t>2</w:t>
      </w:r>
      <w:r>
        <w:t xml:space="preserve">Kann die Anmeldung des Erlöschens einer eingetragenen Firma durch die hierzu Verpflichteten nicht auf dem in </w:t>
      </w:r>
      <w:hyperlink w:anchor="b30" w:history="1">
        <w:r>
          <w:rPr>
            <w:color w:val="0A3A8C"/>
            <w:u w:val="single"/>
          </w:rPr>
          <w:t xml:space="preserve">§ 14</w:t>
        </w:r>
      </w:hyperlink>
      <w:r>
        <w:t xml:space="preserve"> bezeichneten Wege herbeigeführt werden, so hat das Gericht das Erlöschen von Amts wegen einzutragen.</w:t>
      </w:r>
    </w:p>
    <w:p>
      <w:pPr>
        <w:pStyle w:val="Heading3"/>
      </w:pPr>
      <w:bookmarkStart w:id="51" w:name="b50"/>
      <w:r>
        <w:t>§ 32</w:t>
      </w:r>
      <w:r>
        <w:t xml:space="preserve"> </w:t>
      </w:r>
      <w:r>
        <w:rPr>
          <w:rStyle w:val="Suchmarke"/>
        </w:rPr>
        <w:t>#32#</w:t>
      </w:r>
      <w:bookmarkEnd w:id="51"/>
    </w:p>
    <w:p>
      <w:r>
        <w:t xml:space="preserve">(1) </w:t>
      </w:r>
      <w:r>
        <w:rPr>
          <w:rStyle w:val="Satznummer"/>
        </w:rPr>
        <w:t>1</w:t>
      </w:r>
      <w:r>
        <w:t xml:space="preserve">Wird über das Vermögen eines Kaufmanns das Insolvenzverfahren eröffnet, so ist dies von Amts wegen in das Handelsregister einzutragen. </w:t>
      </w:r>
      <w:r>
        <w:rPr>
          <w:rStyle w:val="Satznummer"/>
        </w:rPr>
        <w:t>2</w:t>
      </w:r>
      <w:r>
        <w:t>Das gleiche gilt für</w:t>
      </w:r>
    </w:p>
    <w:p>
      <w:pPr>
        <w:tabs>
          <w:tab w:pos="567" w:val="left"/>
        </w:tabs>
        <w:ind w:left="567" w:hanging="567"/>
      </w:pPr>
      <w:r>
        <w:t>1.</w:t>
      </w:r>
      <w:r>
        <w:tab/>
      </w:r>
      <w:r>
        <w:t>die Aufhebung des Eröffnungsbeschlusses,</w:t>
      </w:r>
    </w:p>
    <w:p>
      <w:pPr>
        <w:tabs>
          <w:tab w:pos="567" w:val="left"/>
        </w:tabs>
        <w:ind w:left="567" w:hanging="567"/>
      </w:pPr>
      <w:r>
        <w:t>2.</w:t>
      </w:r>
      <w:r>
        <w:tab/>
      </w:r>
      <w:r>
        <w:t>die Bestellung eines vorläufigen Insolvenzverwalters, wenn zusätzlich dem Schuldner ein allgemeines Verfügungsverbot auferlegt oder angeordnet wird, daß Verfügungen des Schuldners nur mit Zustimmung des vorläufigen Insolvenzverwalters wirksam sind, und die Aufhebung einer derartigen Sicherungsmaßnahme,</w:t>
      </w:r>
    </w:p>
    <w:p>
      <w:pPr>
        <w:tabs>
          <w:tab w:pos="567" w:val="left"/>
        </w:tabs>
        <w:ind w:left="567" w:hanging="567"/>
      </w:pPr>
      <w:r>
        <w:t>3.</w:t>
      </w:r>
      <w:r>
        <w:tab/>
      </w:r>
      <w:r>
        <w:t>die Anordnung der Eigenverwaltung durch den Schuldner und deren Aufhebung sowie die Anordnung der Zustimmungsbedürftigkeit bestimmter Rechtsgeschäfte des Schuldners,</w:t>
      </w:r>
    </w:p>
    <w:p>
      <w:pPr>
        <w:tabs>
          <w:tab w:pos="567" w:val="left"/>
        </w:tabs>
        <w:ind w:left="567" w:hanging="567"/>
      </w:pPr>
      <w:r>
        <w:t>4.</w:t>
      </w:r>
      <w:r>
        <w:tab/>
      </w:r>
      <w:r>
        <w:t>die Einstellung und die Aufhebung des Verfahrens und</w:t>
      </w:r>
    </w:p>
    <w:p>
      <w:pPr>
        <w:tabs>
          <w:tab w:pos="567" w:val="left"/>
        </w:tabs>
        <w:ind w:left="567" w:hanging="567"/>
      </w:pPr>
      <w:r>
        <w:t>5.</w:t>
      </w:r>
      <w:r>
        <w:tab/>
      </w:r>
      <w:r>
        <w:t>die Überwachung der Erfüllung eines Insolvenzplans und die Aufhebung der Überwachung.</w:t>
      </w:r>
    </w:p>
    <w:p>
      <w:r>
        <w:t xml:space="preserve">(2) Die Vorschriften des </w:t>
      </w:r>
      <w:hyperlink w:anchor="b31" w:history="1">
        <w:r>
          <w:rPr>
            <w:color w:val="0A3A8C"/>
            <w:u w:val="single"/>
          </w:rPr>
          <w:t xml:space="preserve">§ 15</w:t>
        </w:r>
      </w:hyperlink>
      <w:r>
        <w:t xml:space="preserve"> sind nicht anzuwenden.</w:t>
      </w:r>
    </w:p>
    <w:p>
      <w:pPr>
        <w:pStyle w:val="Heading3"/>
      </w:pPr>
      <w:bookmarkStart w:id="52" w:name="b51"/>
      <w:r>
        <w:t>§ 33</w:t>
      </w:r>
      <w:r>
        <w:t xml:space="preserve"> </w:t>
      </w:r>
      <w:r>
        <w:rPr>
          <w:rStyle w:val="Suchmarke"/>
        </w:rPr>
        <w:t>#33#</w:t>
      </w:r>
      <w:bookmarkEnd w:id="52"/>
    </w:p>
    <w:p>
      <w:r>
        <w:t>(1) Eine juristische Person, deren Eintragung in das Handelsregister mit Rücksicht auf den Gegenstand oder auf die Art und den Umfang ihres Gewerbebetriebes zu erfolgen hat, ist von sämtlichen Mitgliedern des Vorstandes zur Eintragung anzumelden.</w:t>
      </w:r>
    </w:p>
    <w:p>
      <w:r>
        <w:t xml:space="preserve">(2) </w:t>
      </w:r>
      <w:r>
        <w:rPr>
          <w:rStyle w:val="Satznummer"/>
        </w:rPr>
        <w:t>1</w:t>
      </w:r>
      <w:r>
        <w:t xml:space="preserve">Der Anmeldung sind die Satzung der juristischen Person und die Urkunden über die Bestellung des Vorstandes in Urschrift oder in öffentlich beglaubigter Abschrift beizufügen; ferner ist anzugeben, welche Vertretungsmacht die Vorstandsmitglieder haben. </w:t>
      </w:r>
      <w:r>
        <w:rPr>
          <w:rStyle w:val="Satznummer"/>
        </w:rPr>
        <w:t>2</w:t>
      </w:r>
      <w:r>
        <w:t xml:space="preserve">Bei der Eintragung sind die Firma und der Sitz der juristischen Person, der Gegenstand des Unternehmens, die Mitglieder des Vorstandes und ihre Vertretungsmacht anzugeben. </w:t>
      </w:r>
      <w:r>
        <w:rPr>
          <w:rStyle w:val="Satznummer"/>
        </w:rPr>
        <w:t>3</w:t>
      </w:r>
      <w:r>
        <w:t>Besondere Bestimmungen der Satzung über die Zeitdauer des Unternehmens sind gleichfalls einzutragen.</w:t>
      </w:r>
    </w:p>
    <w:p>
      <w:r>
        <w:t>(3) Die Errichtung einer Zweigniederlassung ist durch den Vorstand anzumelden.</w:t>
      </w:r>
    </w:p>
    <w:p>
      <w:r>
        <w:t xml:space="preserve">(4) Für juristische Personen im Sinne von Absatz 1 gilt die Bestimmung des </w:t>
      </w:r>
      <w:hyperlink w:anchor="b56" w:history="1">
        <w:r>
          <w:rPr>
            <w:color w:val="0A3A8C"/>
            <w:u w:val="single"/>
          </w:rPr>
          <w:t xml:space="preserve">§ 37a</w:t>
        </w:r>
      </w:hyperlink>
      <w:r>
        <w:t xml:space="preserve"> entsprechend.</w:t>
      </w:r>
    </w:p>
    <w:p>
      <w:pPr>
        <w:pStyle w:val="Heading3"/>
      </w:pPr>
      <w:bookmarkStart w:id="53" w:name="b52"/>
      <w:r>
        <w:t>§ 34</w:t>
      </w:r>
      <w:r>
        <w:t xml:space="preserve"> </w:t>
      </w:r>
      <w:r>
        <w:rPr>
          <w:rStyle w:val="Suchmarke"/>
        </w:rPr>
        <w:t>#34#</w:t>
      </w:r>
      <w:bookmarkEnd w:id="53"/>
    </w:p>
    <w:p>
      <w:r>
        <w:t xml:space="preserve">(1) Jede Änderung der nach </w:t>
      </w:r>
      <w:hyperlink w:anchor="b51" w:history="1">
        <w:r>
          <w:rPr>
            <w:color w:val="0A3A8C"/>
            <w:u w:val="single"/>
          </w:rPr>
          <w:t xml:space="preserve">§ 33</w:t>
        </w:r>
      </w:hyperlink>
      <w:r>
        <w:t xml:space="preserve"> Abs. 2 Satz 2 und 3 einzutragenden Tatsachen oder der Satzung, die Auflösung der juristischen Person, falls sie nicht die Folge der Eröffnung des Insolvenzverfahrens ist, sowie die Personen der Liquidatoren, ihre Vertretungsmacht, jeder Wechsel der Liquidatoren und jede Änderung ihrer Vertretungsmacht sind zur Eintragung in das Handelsregister anzumelden.</w:t>
      </w:r>
    </w:p>
    <w:p>
      <w:r>
        <w:t xml:space="preserve">(2) Bei der Eintragung einer Änderung der Satzung genügt, soweit nicht die Änderung die in </w:t>
      </w:r>
      <w:hyperlink w:anchor="b51" w:history="1">
        <w:r>
          <w:rPr>
            <w:color w:val="0A3A8C"/>
            <w:u w:val="single"/>
          </w:rPr>
          <w:t xml:space="preserve">§ 33</w:t>
        </w:r>
      </w:hyperlink>
      <w:r>
        <w:t xml:space="preserve"> Abs. 2 Satz 2 und 3 bezeichneten Angaben betrifft, die Bezugnahme auf die bei dem Gericht eingereichten Urkunden über die Änderung.</w:t>
      </w:r>
    </w:p>
    <w:p>
      <w:r>
        <w:t>(3) Die Anmeldung hat durch den Vorstand oder, sofern die Eintragung erst nach der Anmeldung der ersten Liquidatoren geschehen soll, durch die Liquidatoren zu erfolgen.</w:t>
      </w:r>
    </w:p>
    <w:p>
      <w:r>
        <w:t>(4) Die Eintragung gerichtlich bestellter Vorstandsmitglieder oder Liquidatoren geschieht von Amts wegen.</w:t>
      </w:r>
    </w:p>
    <w:p>
      <w:r>
        <w:t>(5) Im Falle des Insolvenzverfahrens finden die Vorschriften des § 32 Anwendung.</w:t>
      </w:r>
    </w:p>
    <w:p>
      <w:pPr>
        <w:pStyle w:val="Heading3"/>
      </w:pPr>
      <w:bookmarkStart w:id="54" w:name="b53"/>
      <w:r>
        <w:t>§ 35 (weggefallen)</w:t>
      </w:r>
      <w:r>
        <w:t xml:space="preserve"> </w:t>
      </w:r>
      <w:r>
        <w:rPr>
          <w:rStyle w:val="Suchmarke"/>
        </w:rPr>
        <w:t>#35#</w:t>
      </w:r>
      <w:bookmarkEnd w:id="54"/>
    </w:p>
    <w:p>
      <w:r>
        <w:t>-</w:t>
      </w:r>
    </w:p>
    <w:p>
      <w:pPr>
        <w:pStyle w:val="Heading3"/>
      </w:pPr>
      <w:bookmarkStart w:id="55" w:name="b54"/>
      <w:r>
        <w:t>§ 36 (weggefallen)</w:t>
      </w:r>
      <w:r>
        <w:t xml:space="preserve"> </w:t>
      </w:r>
      <w:r>
        <w:rPr>
          <w:rStyle w:val="Suchmarke"/>
        </w:rPr>
        <w:t>#36#</w:t>
      </w:r>
      <w:bookmarkEnd w:id="55"/>
    </w:p>
    <w:p>
      <w:pPr>
        <w:pStyle w:val="Heading3"/>
      </w:pPr>
      <w:bookmarkStart w:id="56" w:name="b55"/>
      <w:r>
        <w:t>§ 37</w:t>
      </w:r>
      <w:r>
        <w:t xml:space="preserve"> </w:t>
      </w:r>
      <w:r>
        <w:rPr>
          <w:rStyle w:val="Suchmarke"/>
        </w:rPr>
        <w:t>#37#</w:t>
      </w:r>
      <w:bookmarkEnd w:id="56"/>
    </w:p>
    <w:p>
      <w:r>
        <w:t>(1) Wer eine nach den Vorschriften dieses Abschnitts ihm nicht zustehende Firma gebraucht, ist von dem Registergerichte zur Unterlassung des Gebrauchs der Firma durch Festsetzung von Ordnungsgeld anzuhalten.</w:t>
      </w:r>
    </w:p>
    <w:p>
      <w:r>
        <w:t xml:space="preserve">(2) </w:t>
      </w:r>
      <w:r>
        <w:rPr>
          <w:rStyle w:val="Satznummer"/>
        </w:rPr>
        <w:t>1</w:t>
      </w:r>
      <w:r>
        <w:t xml:space="preserve">Wer in seinen Rechten dadurch verletzt wird, daß ein anderer eine Firma unbefugt gebraucht, kann von diesem die Unterlassung des Gebrauchs der Firma verlangen. </w:t>
      </w:r>
      <w:r>
        <w:rPr>
          <w:rStyle w:val="Satznummer"/>
        </w:rPr>
        <w:t>2</w:t>
      </w:r>
      <w:r>
        <w:t>Ein nach sonstigen Vorschriften begründeter Anspruch auf Schadensersatz bleibt unberührt.</w:t>
      </w:r>
    </w:p>
    <w:p>
      <w:pPr>
        <w:pStyle w:val="Heading3"/>
      </w:pPr>
      <w:bookmarkStart w:id="57" w:name="b56"/>
      <w:r>
        <w:t>§ 37a</w:t>
      </w:r>
      <w:r>
        <w:t xml:space="preserve"> </w:t>
      </w:r>
      <w:r>
        <w:rPr>
          <w:rStyle w:val="Suchmarke"/>
        </w:rPr>
        <w:t>#37a#</w:t>
      </w:r>
      <w:bookmarkEnd w:id="57"/>
    </w:p>
    <w:p>
      <w:r>
        <w:t xml:space="preserve">(1) Auf allen Geschäftsbriefen des Kaufmanns gleichviel welcher Form, die an einen bestimmten Empfänger gerichtet werden, müssen seine Firma, die Bezeichnung nach </w:t>
      </w:r>
      <w:hyperlink w:anchor="b37" w:history="1">
        <w:r>
          <w:rPr>
            <w:color w:val="0A3A8C"/>
            <w:u w:val="single"/>
          </w:rPr>
          <w:t xml:space="preserve">§ 19</w:t>
        </w:r>
      </w:hyperlink>
      <w:r>
        <w:t xml:space="preserve"> Abs. 1 Nr. 1, der Ort seiner Handelsniederlassung, das Registergericht und die Nummer, unter der die Firma in das Handelsregister eingetragen ist, angegeben werden.</w:t>
      </w:r>
    </w:p>
    <w:p>
      <w:r>
        <w:t>(2) Der Angaben nach Absatz 1 bedarf es nicht bei Mitteilungen oder Berichten, die im Rahmen einer bestehenden Geschäftsverbindung ergehen und für die üblicherweise Vordrucke verwendet werden, in denen lediglich die im Einzelfall erforderlichen besonderen Angaben eingefügt zu werden brauchen.</w:t>
      </w:r>
    </w:p>
    <w:p>
      <w:r>
        <w:t xml:space="preserve">(3) </w:t>
      </w:r>
      <w:r>
        <w:rPr>
          <w:rStyle w:val="Satznummer"/>
        </w:rPr>
        <w:t>1</w:t>
      </w:r>
      <w:r>
        <w:t xml:space="preserve">Bestellscheine gelten als Geschäftsbriefe im Sinne des Absatzes 1. </w:t>
      </w:r>
      <w:r>
        <w:rPr>
          <w:rStyle w:val="Satznummer"/>
        </w:rPr>
        <w:t>2</w:t>
      </w:r>
      <w:r>
        <w:t>Absatz 2 ist auf sie nicht anzuwenden.</w:t>
      </w:r>
    </w:p>
    <w:p>
      <w:r>
        <w:t xml:space="preserve">(4) </w:t>
      </w:r>
      <w:r>
        <w:rPr>
          <w:rStyle w:val="Satznummer"/>
        </w:rPr>
        <w:t>1</w:t>
      </w:r>
      <w:r>
        <w:t xml:space="preserve">Wer seiner Pflicht nach Absatz 1 nicht nachkommt, ist hierzu von dem Registergericht durch Festsetzung von Zwangsgeld anzuhalten. </w:t>
      </w:r>
      <w:r>
        <w:rPr>
          <w:rStyle w:val="Satznummer"/>
        </w:rPr>
        <w:t>2</w:t>
      </w:r>
      <w:hyperlink w:anchor="b30" w:history="1">
        <w:r>
          <w:rPr>
            <w:color w:val="0A3A8C"/>
            <w:u w:val="single"/>
          </w:rPr>
          <w:t xml:space="preserve">§ 14</w:t>
        </w:r>
      </w:hyperlink>
      <w:r>
        <w:t xml:space="preserve"> Satz 2 gilt entsprechend.</w:t>
      </w:r>
    </w:p>
    <w:p>
      <w:pPr>
        <w:pStyle w:val="Heading2"/>
      </w:pPr>
      <w:bookmarkStart w:id="58" w:name="b57"/>
      <w:r>
        <w:t>Vierter Abschnitt Handelsbücher</w:t>
      </w:r>
      <w:bookmarkEnd w:id="58"/>
    </w:p>
    <w:p>
      <w:pPr>
        <w:pStyle w:val="Heading3"/>
      </w:pPr>
      <w:bookmarkStart w:id="59" w:name="b58"/>
      <w:r>
        <w:t>§§ 38 bis 47b (weggefallen)</w:t>
      </w:r>
      <w:bookmarkEnd w:id="59"/>
    </w:p>
    <w:p>
      <w:pPr>
        <w:pStyle w:val="Heading2"/>
      </w:pPr>
      <w:bookmarkStart w:id="60" w:name="b59"/>
      <w:r>
        <w:t>Fünfter Abschnitt Prokura und Handlungsvollmacht</w:t>
      </w:r>
      <w:bookmarkEnd w:id="60"/>
    </w:p>
    <w:p>
      <w:pPr>
        <w:pStyle w:val="Heading3"/>
      </w:pPr>
      <w:bookmarkStart w:id="61" w:name="b60"/>
      <w:r>
        <w:t>§ 48</w:t>
      </w:r>
      <w:r>
        <w:t xml:space="preserve"> </w:t>
      </w:r>
      <w:r>
        <w:rPr>
          <w:rStyle w:val="Suchmarke"/>
        </w:rPr>
        <w:t>#48#</w:t>
      </w:r>
      <w:bookmarkEnd w:id="61"/>
    </w:p>
    <w:p>
      <w:r>
        <w:t>(1) Die Prokura kann nur von dem Inhaber des Handelsgeschäfts oder seinem gesetzlichen Vertreter und nur mittels ausdrücklicher Erklärung erteilt werden.</w:t>
      </w:r>
    </w:p>
    <w:p>
      <w:r>
        <w:t>(2) Die Erteilung kann an mehrere Personen gemeinschaftlich erfolgen (Gesamtprokura).</w:t>
      </w:r>
    </w:p>
    <w:p>
      <w:pPr>
        <w:pStyle w:val="Heading3"/>
      </w:pPr>
      <w:bookmarkStart w:id="62" w:name="b61"/>
      <w:r>
        <w:t>§ 49</w:t>
      </w:r>
      <w:r>
        <w:t xml:space="preserve"> </w:t>
      </w:r>
      <w:r>
        <w:rPr>
          <w:rStyle w:val="Suchmarke"/>
        </w:rPr>
        <w:t>#49#</w:t>
      </w:r>
      <w:bookmarkEnd w:id="62"/>
    </w:p>
    <w:p>
      <w:r>
        <w:t>(1) Die Prokura ermächtigt zu allen Arten von gerichtlichen und außergerichtlichen Geschäften und Rechtshandlungen, die der Betrieb eines Handelsgewerbes mit sich bringt.</w:t>
      </w:r>
    </w:p>
    <w:p>
      <w:r>
        <w:t>(2) Zur Veräußerung und Belastung von Grundstücken ist der Prokurist nur ermächtigt, wenn ihm diese Befugnis besonders erteilt ist.</w:t>
      </w:r>
    </w:p>
    <w:p>
      <w:pPr>
        <w:pStyle w:val="Heading3"/>
      </w:pPr>
      <w:bookmarkStart w:id="63" w:name="b62"/>
      <w:r>
        <w:t>§ 50</w:t>
      </w:r>
      <w:r>
        <w:t xml:space="preserve"> </w:t>
      </w:r>
      <w:r>
        <w:rPr>
          <w:rStyle w:val="Suchmarke"/>
        </w:rPr>
        <w:t>#50#</w:t>
      </w:r>
      <w:bookmarkEnd w:id="63"/>
    </w:p>
    <w:p>
      <w:r>
        <w:t>(1) Eine Beschränkung des Umfanges der Prokura ist Dritten gegenüber unwirksam.</w:t>
      </w:r>
    </w:p>
    <w:p>
      <w:r>
        <w:t>(2) Dies gilt insbesondere von der Beschränkung, daß die Prokura nur für gewisse Geschäfte oder gewisse Arten von Geschäften oder nur unter gewissen Umständen oder für eine gewisse Zeit oder an einzelnen Orten ausgeübt werden soll.</w:t>
      </w:r>
    </w:p>
    <w:p>
      <w:r>
        <w:t xml:space="preserve">(3) </w:t>
      </w:r>
      <w:r>
        <w:rPr>
          <w:rStyle w:val="Satznummer"/>
        </w:rPr>
        <w:t>1</w:t>
      </w:r>
      <w:r>
        <w:t xml:space="preserve">Eine Beschränkung der Prokura auf den Betrieb einer von mehreren Niederlassungen des Geschäftsinhabers ist Dritten gegenüber nur wirksam, wenn die Niederlassungen unter verschiedenen Firmen betrieben werden. </w:t>
      </w:r>
      <w:r>
        <w:rPr>
          <w:rStyle w:val="Satznummer"/>
        </w:rPr>
        <w:t>2</w:t>
      </w:r>
      <w:r>
        <w:t>Eine Verschiedenheit der Firmen im Sinne dieser Vorschrift wird auch dadurch begründet, daß für eine Zweigniederlassung der Firma ein Zusatz beigefügt wird, der sie als Firma der Zweigniederlassung bezeichnet.</w:t>
      </w:r>
    </w:p>
    <w:p>
      <w:pPr>
        <w:pStyle w:val="Heading3"/>
      </w:pPr>
      <w:bookmarkStart w:id="64" w:name="b63"/>
      <w:r>
        <w:t>§ 51</w:t>
      </w:r>
      <w:r>
        <w:t xml:space="preserve"> </w:t>
      </w:r>
      <w:r>
        <w:rPr>
          <w:rStyle w:val="Suchmarke"/>
        </w:rPr>
        <w:t>#51#</w:t>
      </w:r>
      <w:bookmarkEnd w:id="64"/>
    </w:p>
    <w:p>
      <w:r>
        <w:t>Der Prokurist hat in der Weise zu zeichnen, daß er der Firma seinen Namen mit einem die Prokura andeutenden Zusatze beifügt.</w:t>
      </w:r>
    </w:p>
    <w:p>
      <w:pPr>
        <w:pStyle w:val="Heading3"/>
      </w:pPr>
      <w:bookmarkStart w:id="65" w:name="b64"/>
      <w:r>
        <w:t>§ 52</w:t>
      </w:r>
      <w:r>
        <w:t xml:space="preserve"> </w:t>
      </w:r>
      <w:r>
        <w:rPr>
          <w:rStyle w:val="Suchmarke"/>
        </w:rPr>
        <w:t>#52#</w:t>
      </w:r>
      <w:bookmarkEnd w:id="65"/>
    </w:p>
    <w:p>
      <w:r>
        <w:t>(1) Die Prokura ist ohne Rücksicht auf das der Erteilung zugrunde liegende Rechtsverhältnis jederzeit widerruflich, unbeschadet des Anspruchs auf die vertragsmäßige Vergütung.</w:t>
      </w:r>
    </w:p>
    <w:p>
      <w:r>
        <w:t>(2) Die Prokura ist nicht übertragbar.</w:t>
      </w:r>
    </w:p>
    <w:p>
      <w:r>
        <w:t>(3) Die Prokura erlischt nicht durch den Tod des Inhabers des Handelsgeschäfts.</w:t>
      </w:r>
    </w:p>
    <w:p>
      <w:pPr>
        <w:pStyle w:val="Heading3"/>
      </w:pPr>
      <w:bookmarkStart w:id="66" w:name="b65"/>
      <w:r>
        <w:t>§ 53</w:t>
      </w:r>
      <w:r>
        <w:t xml:space="preserve"> </w:t>
      </w:r>
      <w:r>
        <w:rPr>
          <w:rStyle w:val="Suchmarke"/>
        </w:rPr>
        <w:t>#53#</w:t>
      </w:r>
      <w:bookmarkEnd w:id="66"/>
    </w:p>
    <w:p>
      <w:r>
        <w:t xml:space="preserve">(1) </w:t>
      </w:r>
      <w:r>
        <w:rPr>
          <w:rStyle w:val="Satznummer"/>
        </w:rPr>
        <w:t>1</w:t>
      </w:r>
      <w:r>
        <w:t xml:space="preserve">Die Erteilung der Prokura ist von dem Inhaber des Handelsgeschäfts zur Eintragung in das Handelsregister anzumelden. </w:t>
      </w:r>
      <w:r>
        <w:rPr>
          <w:rStyle w:val="Satznummer"/>
        </w:rPr>
        <w:t>2</w:t>
      </w:r>
      <w:r>
        <w:t>Ist die Prokura als Gesamtprokura erteilt, so muß auch dies zur Eintragung angemeldet werden.</w:t>
      </w:r>
    </w:p>
    <w:p>
      <w:r>
        <w:t>(2) Das Erlöschen der Prokura ist in gleicher Weise wie die Erteilung zur Eintragung anzumelden.</w:t>
      </w:r>
    </w:p>
    <w:p>
      <w:pPr>
        <w:pStyle w:val="Heading3"/>
      </w:pPr>
      <w:bookmarkStart w:id="67" w:name="b66"/>
      <w:r>
        <w:t>§ 54</w:t>
      </w:r>
      <w:r>
        <w:t xml:space="preserve"> </w:t>
      </w:r>
      <w:r>
        <w:rPr>
          <w:rStyle w:val="Suchmarke"/>
        </w:rPr>
        <w:t>#54#</w:t>
      </w:r>
      <w:bookmarkEnd w:id="67"/>
    </w:p>
    <w:p>
      <w:r>
        <w:t>(1) Ist jemand ohne Erteilung der Prokura zum Betrieb eines Handelsgewerbes oder zur Vornahme einer bestimmten zu einem Handelsgewerbe gehörigen Art von Geschäften oder zur Vornahme einzelner zu einem Handelsgewerbe gehöriger Geschäfte ermächtigt, so erstreckt sich die Vollmacht (Handlungsvollmacht) auf alle Geschäfte und Rechtshandlungen, die der Betrieb eines derartigen Handelsgewerbes oder die Vornahme derartiger Geschäfte gewöhnlich mit sich bringt.</w:t>
      </w:r>
    </w:p>
    <w:p>
      <w:r>
        <w:t>(2) Zur Veräußerung oder Belastung von Grundstücken, zur Eingehung von Wechselverbindlichkeiten, zur Aufnahme von Darlehen und zur Prozeßführung ist der Handlungsbevollmächtigte nur ermächtigt, wenn ihm eine solche Befugnis besonders erteilt ist.</w:t>
      </w:r>
    </w:p>
    <w:p>
      <w:r>
        <w:t>(3) Sonstige Beschränkungen der Handlungsvollmacht braucht ein Dritter nur dann gegen sich gelten zu lassen, wenn er sie kannte oder kennen mußte.</w:t>
      </w:r>
    </w:p>
    <w:p>
      <w:pPr>
        <w:pStyle w:val="Heading3"/>
      </w:pPr>
      <w:bookmarkStart w:id="68" w:name="b67"/>
      <w:r>
        <w:t>§ 55</w:t>
      </w:r>
      <w:r>
        <w:t xml:space="preserve"> </w:t>
      </w:r>
      <w:r>
        <w:rPr>
          <w:rStyle w:val="Suchmarke"/>
        </w:rPr>
        <w:t>#55#</w:t>
      </w:r>
      <w:bookmarkEnd w:id="68"/>
    </w:p>
    <w:p>
      <w:r>
        <w:t xml:space="preserve">(1) Die Vorschriften des </w:t>
      </w:r>
      <w:hyperlink w:anchor="b66" w:history="1">
        <w:r>
          <w:rPr>
            <w:color w:val="0A3A8C"/>
            <w:u w:val="single"/>
          </w:rPr>
          <w:t xml:space="preserve">§ 54</w:t>
        </w:r>
      </w:hyperlink>
      <w:r>
        <w:t xml:space="preserve"> finden auch Anwendung auf Handlungsbevollmächtigte, die Handelsvertreter sind oder die als Handlungsgehilfen damit betraut sind, außerhalb des Betriebes des Prinzipals Geschäfte in dessen Namen abzuschließen.</w:t>
      </w:r>
    </w:p>
    <w:p>
      <w:r>
        <w:t>(2) Die ihnen erteilte Vollmacht zum Abschluß von Geschäften bevollmächtigt sie nicht, abgeschlossene Verträge zu ändern, insbesondere Zahlungsfristen zu gewähren.</w:t>
      </w:r>
    </w:p>
    <w:p>
      <w:r>
        <w:t>(3) Zur Annahme von Zahlungen sind sie nur berechtigt, wenn sie dazu bevollmächtigt sind.</w:t>
      </w:r>
    </w:p>
    <w:p>
      <w:r>
        <w:t>(4) Sie gelten als ermächtigt, die Anzeige von Mängeln einer Ware, die Erklärung, daß eine Ware zur Verfügung gestellt werde, sowie ähnliche Erklärungen, durch die ein Dritter seine Rechte aus mangelhafter Leistung geltend macht oder sie vorbehält, entgegenzunehmen; sie können die dem Unternehmer (Prinzipal) zustehenden Rechte auf Sicherung des Beweises geltend machen.</w:t>
      </w:r>
    </w:p>
    <w:p>
      <w:pPr>
        <w:pStyle w:val="Heading3"/>
      </w:pPr>
      <w:bookmarkStart w:id="69" w:name="b68"/>
      <w:r>
        <w:t>§ 56</w:t>
      </w:r>
      <w:r>
        <w:t xml:space="preserve"> </w:t>
      </w:r>
      <w:r>
        <w:rPr>
          <w:rStyle w:val="Suchmarke"/>
        </w:rPr>
        <w:t>#56#</w:t>
      </w:r>
      <w:bookmarkEnd w:id="69"/>
    </w:p>
    <w:p>
      <w:r>
        <w:t>Wer in einem Laden oder in einem offenen Warenlager angestellt ist, gilt als ermächtigt zu Verkäufen und Empfangnahmen, die in einem derartigen Laden oder Warenlager gewöhnlich geschehen.</w:t>
      </w:r>
    </w:p>
    <w:p>
      <w:pPr>
        <w:pStyle w:val="Heading3"/>
      </w:pPr>
      <w:bookmarkStart w:id="70" w:name="b69"/>
      <w:r>
        <w:t>§ 57</w:t>
      </w:r>
      <w:r>
        <w:t xml:space="preserve"> </w:t>
      </w:r>
      <w:r>
        <w:rPr>
          <w:rStyle w:val="Suchmarke"/>
        </w:rPr>
        <w:t>#57#</w:t>
      </w:r>
      <w:bookmarkEnd w:id="70"/>
    </w:p>
    <w:p>
      <w:r>
        <w:t>Der Handlungsbevollmächtigte hat sich bei der Zeichnung jedes eine Prokura andeutenden Zusatzes zu enthalten; er hat mit einem das Vollmachtsverhältnis ausdrückenden Zusatze zu zeichnen.</w:t>
      </w:r>
    </w:p>
    <w:p>
      <w:pPr>
        <w:pStyle w:val="Heading3"/>
      </w:pPr>
      <w:bookmarkStart w:id="71" w:name="b70"/>
      <w:r>
        <w:t>§ 58</w:t>
      </w:r>
      <w:r>
        <w:t xml:space="preserve"> </w:t>
      </w:r>
      <w:r>
        <w:rPr>
          <w:rStyle w:val="Suchmarke"/>
        </w:rPr>
        <w:t>#58#</w:t>
      </w:r>
      <w:bookmarkEnd w:id="71"/>
    </w:p>
    <w:p>
      <w:r>
        <w:t>Der Handlungsbevollmächtigte kann ohne Zustimmung des Inhabers des Handelsgeschäfts seine Handlungsvollmacht auf einen anderen nicht übertragen.</w:t>
      </w:r>
    </w:p>
    <w:p>
      <w:pPr>
        <w:pStyle w:val="Heading2"/>
      </w:pPr>
      <w:bookmarkStart w:id="72" w:name="b71"/>
      <w:r>
        <w:t>Sechster Abschnitt Handlungsgehilfen und Handlungslehrlinge</w:t>
      </w:r>
      <w:bookmarkEnd w:id="72"/>
    </w:p>
    <w:p>
      <w:pPr>
        <w:pStyle w:val="Heading3"/>
      </w:pPr>
      <w:bookmarkStart w:id="73" w:name="b72"/>
      <w:r>
        <w:t>§ 59</w:t>
      </w:r>
      <w:r>
        <w:t xml:space="preserve"> </w:t>
      </w:r>
      <w:r>
        <w:rPr>
          <w:rStyle w:val="Suchmarke"/>
        </w:rPr>
        <w:t>#59#</w:t>
      </w:r>
      <w:bookmarkEnd w:id="73"/>
    </w:p>
    <w:p>
      <w:r>
        <w:rPr>
          <w:rStyle w:val="Satznummer"/>
        </w:rPr>
        <w:t>1</w:t>
      </w:r>
      <w:r>
        <w:t xml:space="preserve">Wer in einem Handelsgewerbe zur Leistung kaufmännischer Dienste gegen Entgelt angestellt ist (Handlungsgehilfe), hat, soweit nicht besondere Vereinbarungen über die Art und den Umfang seiner Dienstleistungen oder über die ihm zukommende Vergütung getroffen sind, die dem Ortsgebrauch entsprechenden Dienste zu leisten sowie die dem Ortsgebrauch entsprechende Vergütung zu beanspruchen. </w:t>
      </w:r>
      <w:r>
        <w:rPr>
          <w:rStyle w:val="Satznummer"/>
        </w:rPr>
        <w:t>2</w:t>
      </w:r>
      <w:r>
        <w:t>In Ermangelung eines Ortsgebrauchs gelten die den Umständen nach angemessenen Leistungen als vereinbart.</w:t>
      </w:r>
    </w:p>
    <w:p>
      <w:pPr>
        <w:pStyle w:val="Heading3"/>
      </w:pPr>
      <w:bookmarkStart w:id="74" w:name="b73"/>
      <w:r>
        <w:t>§ 60</w:t>
      </w:r>
      <w:r>
        <w:t xml:space="preserve"> </w:t>
      </w:r>
      <w:r>
        <w:rPr>
          <w:rStyle w:val="Suchmarke"/>
        </w:rPr>
        <w:t>#60#</w:t>
      </w:r>
      <w:bookmarkEnd w:id="74"/>
    </w:p>
    <w:p>
      <w:r>
        <w:t>(1) Der Handlungsgehilfe darf ohne Einwilligung des Prinzipals weder ein Handelsgewerbe betreiben noch in dem Handelszweige des Prinzipals für eigene oder fremde Rechnung Geschäfte machen.</w:t>
      </w:r>
    </w:p>
    <w:p>
      <w:r>
        <w:t>(2) Die Einwilligung zum Betrieb eines Handelsgewerbes gilt als erteilt, wenn dem Prinzipal bei der Anstellung des Gehilfen bekannt ist, daß er das Gewerbe betreibt, und der Prinzipal die Aufgabe des Betriebs nicht ausdrücklich vereinbart.</w:t>
      </w:r>
    </w:p>
    <w:p>
      <w:pPr>
        <w:pStyle w:val="Heading3"/>
      </w:pPr>
      <w:bookmarkStart w:id="75" w:name="b74"/>
      <w:r>
        <w:t>§ 61</w:t>
      </w:r>
      <w:r>
        <w:t xml:space="preserve"> </w:t>
      </w:r>
      <w:r>
        <w:rPr>
          <w:rStyle w:val="Suchmarke"/>
        </w:rPr>
        <w:t>#61#</w:t>
      </w:r>
      <w:bookmarkEnd w:id="75"/>
    </w:p>
    <w:p>
      <w:r>
        <w:t xml:space="preserve">(1) Verletzt der Handlungsgehilfe die ihm nach </w:t>
      </w:r>
      <w:hyperlink w:anchor="b73" w:history="1">
        <w:r>
          <w:rPr>
            <w:color w:val="0A3A8C"/>
            <w:u w:val="single"/>
          </w:rPr>
          <w:t xml:space="preserve">§ 60</w:t>
        </w:r>
      </w:hyperlink>
      <w:r>
        <w:t xml:space="preserve"> obliegende Verpflichtung, so kann der Prinzipal Schadensersatz fordern; er kann statt dessen verlangen, daß der Handlungsgehilfe die für eigene Rechnung gemachten Geschäfte als für Rechnung des Prinzipals eingegangen gelten lasse und die aus Geschäften für fremde Rechnung bezogene Vergütung herausgebe oder seinen Anspruch auf die Vergütung abtrete.</w:t>
      </w:r>
    </w:p>
    <w:p>
      <w:r>
        <w:t>(2) Die Ansprüche verjähren in drei Monaten von dem Zeitpunkt an, in welchem der Prinzipal Kenntnis von dem Abschluss des Geschäfts erlangt oder ohne grobe Fahrlässigkeit erlangen müsste; sie verjähren ohne Rücksicht auf diese Kenntnis oder grob fahrlässige Unkenntnis in fünf Jahren von dem Abschluss des Geschäfts an.</w:t>
      </w:r>
    </w:p>
    <w:p>
      <w:pPr>
        <w:pStyle w:val="Heading3"/>
      </w:pPr>
      <w:bookmarkStart w:id="76" w:name="b75"/>
      <w:r>
        <w:t>§ 62</w:t>
      </w:r>
      <w:r>
        <w:t xml:space="preserve"> </w:t>
      </w:r>
      <w:r>
        <w:rPr>
          <w:rStyle w:val="Suchmarke"/>
        </w:rPr>
        <w:t>#62#</w:t>
      </w:r>
      <w:bookmarkEnd w:id="76"/>
    </w:p>
    <w:p>
      <w:r>
        <w:t>(1) Der Prinzipal ist verpflichtet, die Geschäftsräume und die für den Geschäftsbetrieb bestimmten Vorrichtungen und Gerätschaften so einzurichten und zu unterhalten, auch den Geschäftsbetrieb und die Arbeitszeit so zu regeln, daß der Handlungsgehilfe gegen eine Gefährdung seiner Gesundheit, soweit die Natur des Betriebs es gestattet, geschützt und die Aufrechterhaltung der guten Sitten und des Anstandes gesichert ist.</w:t>
      </w:r>
    </w:p>
    <w:p>
      <w:r>
        <w:t>(2) Ist der Handlungsgehilfe in die häusliche Gemeinschaft aufgenommen, so hat der Prinzipal in Ansehung des Wohn- und Schlafraums, der Verpflegung sowie der Arbeits- und Erholungszeit diejenigen Einrichtungen und Anordnungen zu treffen, welche mit Rücksicht auf die Gesundheit, die Sittlichkeit und die Religion des Handlungsgehilfen erforderlich sind.</w:t>
      </w:r>
    </w:p>
    <w:p>
      <w:r>
        <w:t>(3) Erfüllt der Prinzipal die ihm in Ansehung des Lebens und der Gesundheit des Handlungsgehilfen obliegenden Verpflichtungen nicht, so finden auf seine Verpflichtung zum Schadensersatze die für unerlaubte Handlungen geltenden Vorschriften der §§ 842 bis 846 des Bürgerlichen Gesetzbuchs entsprechende Anwendung.</w:t>
      </w:r>
    </w:p>
    <w:p>
      <w:r>
        <w:t>(4) Die dem Prinzipal hiernach obliegenden Verpflichtungen können nicht im voraus durch Vertrag aufgehoben oder beschränkt werden.</w:t>
      </w:r>
    </w:p>
    <w:p>
      <w:pPr>
        <w:pStyle w:val="Heading3"/>
      </w:pPr>
      <w:bookmarkStart w:id="77" w:name="b76"/>
      <w:r>
        <w:t>§ 63 (weggefallen)</w:t>
      </w:r>
      <w:r>
        <w:t xml:space="preserve"> </w:t>
      </w:r>
      <w:r>
        <w:rPr>
          <w:rStyle w:val="Suchmarke"/>
        </w:rPr>
        <w:t>#63#</w:t>
      </w:r>
      <w:bookmarkEnd w:id="77"/>
    </w:p>
    <w:p>
      <w:pPr>
        <w:pStyle w:val="Heading3"/>
      </w:pPr>
      <w:bookmarkStart w:id="78" w:name="b77"/>
      <w:r>
        <w:t>§ 64</w:t>
      </w:r>
      <w:r>
        <w:t xml:space="preserve"> </w:t>
      </w:r>
      <w:r>
        <w:rPr>
          <w:rStyle w:val="Suchmarke"/>
        </w:rPr>
        <w:t>#64#</w:t>
      </w:r>
      <w:bookmarkEnd w:id="78"/>
    </w:p>
    <w:p>
      <w:r>
        <w:rPr>
          <w:rStyle w:val="Satznummer"/>
        </w:rPr>
        <w:t>1</w:t>
      </w:r>
      <w:r>
        <w:t xml:space="preserve">Die Zahlung des dem Handlungsgehilfen zukommenden Gehalts hat am Schlusse jedes Monats zu erfolgen. </w:t>
      </w:r>
      <w:r>
        <w:rPr>
          <w:rStyle w:val="Satznummer"/>
        </w:rPr>
        <w:t>2</w:t>
      </w:r>
      <w:r>
        <w:t>Eine Vereinbarung, nach der die Zahlung des Gehalts später erfolgen soll, ist nichtig.</w:t>
      </w:r>
    </w:p>
    <w:p>
      <w:pPr>
        <w:pStyle w:val="Heading3"/>
      </w:pPr>
      <w:bookmarkStart w:id="79" w:name="b78"/>
      <w:r>
        <w:t>§ 65</w:t>
      </w:r>
      <w:r>
        <w:t xml:space="preserve"> </w:t>
      </w:r>
      <w:r>
        <w:rPr>
          <w:rStyle w:val="Suchmarke"/>
        </w:rPr>
        <w:t>#65#</w:t>
      </w:r>
      <w:bookmarkEnd w:id="79"/>
    </w:p>
    <w:p>
      <w:r>
        <w:t xml:space="preserve">Ist bedungen, daß der Handlungsgehilfe für Geschäfte, die von ihm geschlossen oder vermittelt werden, Provision erhalten solle, so sind die für die Handelsvertreter geltenden Vorschriften des </w:t>
      </w:r>
      <w:hyperlink w:anchor="b103" w:history="1">
        <w:r>
          <w:rPr>
            <w:color w:val="0A3A8C"/>
            <w:u w:val="single"/>
          </w:rPr>
          <w:t xml:space="preserve">§ 87</w:t>
        </w:r>
      </w:hyperlink>
      <w:r>
        <w:t xml:space="preserve"> Abs. 1 und 3 sowie der </w:t>
      </w:r>
      <w:hyperlink w:anchor="b104" w:history="1">
        <w:r>
          <w:rPr>
            <w:color w:val="0A3A8C"/>
            <w:u w:val="single"/>
          </w:rPr>
          <w:t xml:space="preserve">§§ 87a</w:t>
        </w:r>
      </w:hyperlink>
      <w:r>
        <w:t xml:space="preserve"> bis </w:t>
      </w:r>
      <w:hyperlink w:anchor="b106" w:history="1">
        <w:r>
          <w:rPr>
            <w:color w:val="0A3A8C"/>
            <w:u w:val="single"/>
          </w:rPr>
          <w:t xml:space="preserve">87c</w:t>
        </w:r>
      </w:hyperlink>
      <w:r>
        <w:t xml:space="preserve"> anzuwenden.</w:t>
      </w:r>
    </w:p>
    <w:p>
      <w:pPr>
        <w:pStyle w:val="Heading3"/>
      </w:pPr>
      <w:bookmarkStart w:id="80" w:name="b79"/>
      <w:r>
        <w:t>§§ 66 bis 72 (weggefallen)</w:t>
      </w:r>
      <w:bookmarkEnd w:id="80"/>
    </w:p>
    <w:p>
      <w:pPr>
        <w:pStyle w:val="Heading3"/>
      </w:pPr>
      <w:bookmarkStart w:id="81" w:name="b80"/>
      <w:r>
        <w:t>§ 73 (weggefallen)</w:t>
      </w:r>
      <w:r>
        <w:t xml:space="preserve"> </w:t>
      </w:r>
      <w:r>
        <w:rPr>
          <w:rStyle w:val="Suchmarke"/>
        </w:rPr>
        <w:t>#73#</w:t>
      </w:r>
      <w:bookmarkEnd w:id="81"/>
    </w:p>
    <w:p>
      <w:pPr>
        <w:pStyle w:val="Heading3"/>
      </w:pPr>
      <w:bookmarkStart w:id="82" w:name="b81"/>
      <w:r>
        <w:t>§ 74</w:t>
      </w:r>
      <w:r>
        <w:t xml:space="preserve"> </w:t>
      </w:r>
      <w:r>
        <w:rPr>
          <w:rStyle w:val="Suchmarke"/>
        </w:rPr>
        <w:t>#74#</w:t>
      </w:r>
      <w:bookmarkEnd w:id="82"/>
    </w:p>
    <w:p>
      <w:r>
        <w:t>(1) Eine Vereinbarung zwischen dem Prinzipal und dem Handlungsgehilfen, die den Gehilfen für die Zeit nach Beendigung des Dienstverhältnisses in seiner gewerblichen Tätigkeit beschränkt (Wettbewerbverbot), bedarf der Schriftform und der Aushändigung einer vom Prinzipal unterzeichneten, die vereinbarten Bestimmungen enthaltenden Urkunde an den Gehilfen.</w:t>
      </w:r>
    </w:p>
    <w:p>
      <w:r>
        <w:t>(2) Das Wettbewerbverbot ist nur verbindlich, wenn sich der Prinzipal verpflichtet, für die Dauer des Verbots eine Entschädigung zu zahlen, die für jedes Jahr des Verbots mindestens die Hälfte der von dem Handlungsgehilfen zuletzt bezogenen vertragsmäßigen Leistungen erreicht.</w:t>
      </w:r>
    </w:p>
    <w:p>
      <w:pPr>
        <w:pStyle w:val="Heading3"/>
      </w:pPr>
      <w:bookmarkStart w:id="83" w:name="b82"/>
      <w:r>
        <w:t>§ 74a</w:t>
      </w:r>
      <w:r>
        <w:t xml:space="preserve"> </w:t>
      </w:r>
      <w:r>
        <w:rPr>
          <w:rStyle w:val="Suchmarke"/>
        </w:rPr>
        <w:t>#74a#</w:t>
      </w:r>
      <w:bookmarkEnd w:id="83"/>
    </w:p>
    <w:p>
      <w:r>
        <w:t xml:space="preserve">(1) </w:t>
      </w:r>
      <w:r>
        <w:rPr>
          <w:rStyle w:val="Satznummer"/>
        </w:rPr>
        <w:t>1</w:t>
      </w:r>
      <w:r>
        <w:t xml:space="preserve">Das Wettbewerbverbot ist insoweit unverbindlich, als es nicht zum Schutze eines berechtigten geschäftlichen Interesses des Prinzipals dient. </w:t>
      </w:r>
      <w:r>
        <w:rPr>
          <w:rStyle w:val="Satznummer"/>
        </w:rPr>
        <w:t>2</w:t>
      </w:r>
      <w:r>
        <w:t xml:space="preserve">Es ist ferner unverbindlich, soweit es unter Berücksichtigung der gewährten Entschädigung nach Ort, Zeit oder Gegenstand eine unbillige Erschwerung des Fortkommens des Gehilfen enthält. </w:t>
      </w:r>
      <w:r>
        <w:rPr>
          <w:rStyle w:val="Satznummer"/>
        </w:rPr>
        <w:t>3</w:t>
      </w:r>
      <w:r>
        <w:t>Das Verbot kann nicht auf einen Zeitraum von mehr als zwei Jahren von der Beendigung des Dienstverhältnisses an erstreckt werden.</w:t>
      </w:r>
    </w:p>
    <w:p>
      <w:r>
        <w:t xml:space="preserve">(2) </w:t>
      </w:r>
      <w:r>
        <w:rPr>
          <w:rStyle w:val="Satznummer"/>
        </w:rPr>
        <w:t>1</w:t>
      </w:r>
      <w:r>
        <w:t xml:space="preserve">Das Verbot ist nichtig, wenn der Gehilfe zur Zeit des Abschlusses minderjährig ist oder wenn sich der Prinzipal die Erfüllung auf Ehrenwort oder unter ähnlichen Versicherungen versprechen läßt. </w:t>
      </w:r>
      <w:r>
        <w:rPr>
          <w:rStyle w:val="Satznummer"/>
        </w:rPr>
        <w:t>2</w:t>
      </w:r>
      <w:r>
        <w:t>Nichtig ist auch die Vereinbarung, durch die ein Dritter an Stelle des Gehilfen die Verpflichtung übernimmt, daß sich der Gehilfe nach der Beendigung des Dienstverhältnisses in seiner gewerblichen Tätigkeit beschränken werde.</w:t>
      </w:r>
    </w:p>
    <w:p>
      <w:r>
        <w:t>(3) Unberührt bleiben die Vorschriften des § 138 des Bürgerlichen Gesetzbuchs über die Nichtigkeit von Rechtsgeschäften, die gegen die guten Sitten verstoßen.</w:t>
      </w:r>
    </w:p>
    <w:p>
      <w:pPr>
        <w:pStyle w:val="Heading3"/>
      </w:pPr>
      <w:bookmarkStart w:id="84" w:name="b83"/>
      <w:r>
        <w:t>§ 74b</w:t>
      </w:r>
      <w:r>
        <w:t xml:space="preserve"> </w:t>
      </w:r>
      <w:r>
        <w:rPr>
          <w:rStyle w:val="Suchmarke"/>
        </w:rPr>
        <w:t>#74b#</w:t>
      </w:r>
      <w:bookmarkEnd w:id="84"/>
    </w:p>
    <w:p>
      <w:r>
        <w:t>(1) Die nach § 74 Abs. 2 dem Handlungsgehilfen zu gewährende Entschädigung ist am Schlusse jedes Monats zu zahlen.</w:t>
      </w:r>
    </w:p>
    <w:p>
      <w:r>
        <w:t xml:space="preserve">(2) </w:t>
      </w:r>
      <w:r>
        <w:rPr>
          <w:rStyle w:val="Satznummer"/>
        </w:rPr>
        <w:t>1</w:t>
      </w:r>
      <w:r>
        <w:t xml:space="preserve">Soweit die dem Gehilfen zustehenden vertragsmäßigen Leistungen in einer Provision oder in anderen wechselnden Bezügen bestehen, sind sie bei der Berechnung der Entschädigung nach dem Durchschnitt der letzten drei Jahre in Ansatz zu bringen. </w:t>
      </w:r>
      <w:r>
        <w:rPr>
          <w:rStyle w:val="Satznummer"/>
        </w:rPr>
        <w:t>2</w:t>
      </w:r>
      <w:r>
        <w:t>Hat die für die Bezüge bei der Beendigung des Dienstverhältnisses maßgebende Vertragsbestimmung noch nicht drei Jahre bestanden, so erfolgt der Ansatz nach dem Durchschnitt des Zeitraums, für den die Bestimmung in Kraft war.</w:t>
      </w:r>
    </w:p>
    <w:p>
      <w:r>
        <w:t>(3) Soweit Bezüge zum Ersatze besonderer Auslagen dienen sollen, die infolge der Dienstleistung entstehen, bleiben sie außer Ansatz.</w:t>
      </w:r>
    </w:p>
    <w:p>
      <w:pPr>
        <w:pStyle w:val="Heading3"/>
      </w:pPr>
      <w:bookmarkStart w:id="85" w:name="b84"/>
      <w:r>
        <w:t>§ 74c</w:t>
      </w:r>
      <w:r>
        <w:t xml:space="preserve"> </w:t>
      </w:r>
      <w:r>
        <w:rPr>
          <w:rStyle w:val="Suchmarke"/>
        </w:rPr>
        <w:t>#74c#</w:t>
      </w:r>
      <w:bookmarkEnd w:id="85"/>
    </w:p>
    <w:p>
      <w:r>
        <w:t xml:space="preserve">(1) </w:t>
      </w:r>
      <w:r>
        <w:rPr>
          <w:rStyle w:val="Satznummer"/>
        </w:rPr>
        <w:t>1</w:t>
      </w:r>
      <w:r>
        <w:t xml:space="preserve">Der Handlungsgehilfe muß sich auf die fällige Entschädigung anrechnen lassen, was er während des Zeitraums, für den die Entschädigung gezahlt wird, durch anderweite Verwertung seiner Arbeitskraft erwirbt oder zu erwerben böswillig unterläßt, soweit die Entschädigung unter Hinzurechnung dieses Betrags den Betrag der zuletzt von ihm bezogenen vertragsmäßigen Leistungen um mehr als ein Zehntel übersteigen würde. </w:t>
      </w:r>
      <w:r>
        <w:rPr>
          <w:rStyle w:val="Satznummer"/>
        </w:rPr>
        <w:t>2</w:t>
      </w:r>
      <w:r>
        <w:t xml:space="preserve">Ist der Gehilfe durch das Wettbewerbverbot gezwungen worden, seinen Wohnsitz zu verlegen, so tritt an die Stelle des Betrags von einem Zehntel der Betrag von einem Viertel. </w:t>
      </w:r>
      <w:r>
        <w:rPr>
          <w:rStyle w:val="Satznummer"/>
        </w:rPr>
        <w:t>3</w:t>
      </w:r>
      <w:r>
        <w:t>Für die Dauer der Verbüßung einer Freiheitsstrafe kann der Gehilfe eine Entschädigung nicht verlangen.</w:t>
      </w:r>
    </w:p>
    <w:p>
      <w:r>
        <w:t>(2) Der Gehilfe ist verpflichtet, dem Prinzipal auf Erfordern über die Höhe seines Erwerbes Auskunft zu erteilen.</w:t>
      </w:r>
    </w:p>
    <w:p>
      <w:pPr>
        <w:pStyle w:val="Heading3"/>
      </w:pPr>
      <w:bookmarkStart w:id="86" w:name="b85"/>
      <w:r>
        <w:t>§ 75</w:t>
      </w:r>
      <w:r>
        <w:t xml:space="preserve"> </w:t>
      </w:r>
      <w:r>
        <w:rPr>
          <w:rStyle w:val="Suchmarke"/>
        </w:rPr>
        <w:t>#75#</w:t>
      </w:r>
      <w:bookmarkEnd w:id="86"/>
    </w:p>
    <w:p>
      <w:r>
        <w:t>(1) Löst der Gehilfe das Dienstverhältnis gemäß § 626 des Bürgerlichen Gesetzbuchs wegen vertragswidrigen Verhaltens des Prinzipals auf, so wird das Wettbewerbverbot unwirksam, wenn der Gehilfe vor Ablauf eines Monats nach der Kündigung schriftlich erklärt, daß er sich an die Vereinbarung nicht gebunden erachte.</w:t>
      </w:r>
    </w:p>
    <w:p>
      <w:r>
        <w:t xml:space="preserve">(2) </w:t>
      </w:r>
      <w:r>
        <w:rPr>
          <w:rStyle w:val="Satznummer"/>
        </w:rPr>
        <w:t>1</w:t>
      </w:r>
      <w:r>
        <w:t xml:space="preserve">In gleicher Weise wird das Wettbewerbverbot unwirksam, wenn der Prinzipal das Dienstverhältnis kündigt, es sei denn, daß für die Kündigung ein erheblicher Anlaß in der Person des Gehilfen vorliegt oder daß sich der Prinzipal bei der Kündigung bereit erklärt, während der Dauer der Beschränkung dem Gehilfen die vollen zuletzt von ihm bezogenen vertragsmäßigen Leistungen zu gewähren. </w:t>
      </w:r>
      <w:r>
        <w:rPr>
          <w:rStyle w:val="Satznummer"/>
        </w:rPr>
        <w:t>2</w:t>
      </w:r>
      <w:r>
        <w:t xml:space="preserve">Im letzteren Falle finden die Vorschriften des </w:t>
      </w:r>
      <w:hyperlink w:anchor="b83" w:history="1">
        <w:r>
          <w:rPr>
            <w:color w:val="0A3A8C"/>
            <w:u w:val="single"/>
          </w:rPr>
          <w:t xml:space="preserve">§ 74b</w:t>
        </w:r>
      </w:hyperlink>
      <w:r>
        <w:t xml:space="preserve"> entsprechende Anwendung.</w:t>
      </w:r>
    </w:p>
    <w:p>
      <w:r>
        <w:t>(3) Löst der Prinzipal das Dienstverhältnis gemäß § 626 des Bürgerlichen Gesetzbuchs wegen vertragswidrigen Verhaltens des Gehilfen auf, so gilt Absatz 1 entsprechend.</w:t>
      </w:r>
    </w:p>
    <w:p>
      <w:pPr>
        <w:pStyle w:val="Heading3"/>
      </w:pPr>
      <w:bookmarkStart w:id="87" w:name="b86"/>
      <w:r>
        <w:t>§ 75a</w:t>
      </w:r>
      <w:r>
        <w:t xml:space="preserve"> </w:t>
      </w:r>
      <w:r>
        <w:rPr>
          <w:rStyle w:val="Suchmarke"/>
        </w:rPr>
        <w:t>#75a#</w:t>
      </w:r>
      <w:bookmarkEnd w:id="87"/>
    </w:p>
    <w:p>
      <w:r>
        <w:t>Der Prinzipal kann vor der Beendigung des Dienstverhältnisses durch schriftliche Erklärung auf das Wettbewerbverbot mit der Wirkung verzichten, daß er mit dem Ablauf eines Jahres seit der Erklärung von der Verpflichtung zur Zahlung der Entschädigung frei wird.</w:t>
      </w:r>
    </w:p>
    <w:p>
      <w:pPr>
        <w:pStyle w:val="Heading3"/>
      </w:pPr>
      <w:bookmarkStart w:id="88" w:name="b87"/>
      <w:r>
        <w:t>§ 75b (weggefallen)</w:t>
      </w:r>
      <w:r>
        <w:t xml:space="preserve"> </w:t>
      </w:r>
      <w:r>
        <w:rPr>
          <w:rStyle w:val="Suchmarke"/>
        </w:rPr>
        <w:t>#75b#</w:t>
      </w:r>
      <w:bookmarkEnd w:id="88"/>
    </w:p>
    <w:p>
      <w:pPr>
        <w:pStyle w:val="Heading3"/>
      </w:pPr>
      <w:bookmarkStart w:id="89" w:name="b88"/>
      <w:r>
        <w:t>§ 75c</w:t>
      </w:r>
      <w:r>
        <w:t xml:space="preserve"> </w:t>
      </w:r>
      <w:r>
        <w:rPr>
          <w:rStyle w:val="Suchmarke"/>
        </w:rPr>
        <w:t>#75c#</w:t>
      </w:r>
      <w:bookmarkEnd w:id="89"/>
    </w:p>
    <w:p>
      <w:r>
        <w:t xml:space="preserve">(1) </w:t>
      </w:r>
      <w:r>
        <w:rPr>
          <w:rStyle w:val="Satznummer"/>
        </w:rPr>
        <w:t>1</w:t>
      </w:r>
      <w:r>
        <w:t xml:space="preserve">Hat der Handlungsgehilfe für den Fall, daß er die in der Vereinbarung übernommene Verpflichtung nicht erfüllt, eine Strafe versprochen, so kann der Prinzipal Ansprüche nur nach Maßgabe der Vorschriften des § 340 des Bürgerlichen Gesetzbuchs geltend machen. </w:t>
      </w:r>
      <w:r>
        <w:rPr>
          <w:rStyle w:val="Satznummer"/>
        </w:rPr>
        <w:t>2</w:t>
      </w:r>
      <w:r>
        <w:t>Die Vorschriften des Bürgerlichen Gesetzbuchs über die Herabsetzung einer unverhältnismäßig hohen Vertragsstrafe bleiben unberührt.</w:t>
      </w:r>
    </w:p>
    <w:p>
      <w:r>
        <w:t>(2) Ist die Verbindlichkeit der Vereinbarung nicht davon abhängig, daß sich der Prinzipal zur Zahlung einer Entschädigung an den Gehilfen verpflichtet, so kann der Prinzipal, wenn sich der Gehilfe einer Vertragsstrafe der in Absatz 1 bezeichneten Art unterworfen hat, nur die verwirkte Strafe verlangen; der Anspruch auf Erfüllung oder auf Ersatz eines weiteren Schadens ist ausgeschlossen.</w:t>
      </w:r>
    </w:p>
    <w:p>
      <w:pPr>
        <w:pStyle w:val="Heading3"/>
      </w:pPr>
      <w:bookmarkStart w:id="90" w:name="b89"/>
      <w:r>
        <w:t>§ 75d</w:t>
      </w:r>
      <w:r>
        <w:t xml:space="preserve"> </w:t>
      </w:r>
      <w:r>
        <w:rPr>
          <w:rStyle w:val="Suchmarke"/>
        </w:rPr>
        <w:t>#75d#</w:t>
      </w:r>
      <w:bookmarkEnd w:id="90"/>
    </w:p>
    <w:p>
      <w:r>
        <w:rPr>
          <w:rStyle w:val="Satznummer"/>
        </w:rPr>
        <w:t>1</w:t>
      </w:r>
      <w:r>
        <w:t xml:space="preserve">Auf eine Vereinbarung, durch die von den Vorschriften der §§ 74 bis 75c zum Nachteil des Handlungsgehilfen abgewichen wird, kann sich der Prinzipal nicht berufen. </w:t>
      </w:r>
      <w:r>
        <w:rPr>
          <w:rStyle w:val="Satznummer"/>
        </w:rPr>
        <w:t>2</w:t>
      </w:r>
      <w:r>
        <w:t>Das gilt auch von Vereinbarungen, die bezwecken, die gesetzlichen Vorschriften über das Mindestmaß der Entschädigung durch Verrechnungen oder auf sonstige Weise zu umgehen.</w:t>
      </w:r>
    </w:p>
    <w:p>
      <w:pPr>
        <w:pStyle w:val="Heading3"/>
      </w:pPr>
      <w:bookmarkStart w:id="91" w:name="b90"/>
      <w:r>
        <w:t>§ 75e (weggefallen)</w:t>
      </w:r>
      <w:r>
        <w:t xml:space="preserve"> </w:t>
      </w:r>
      <w:r>
        <w:rPr>
          <w:rStyle w:val="Suchmarke"/>
        </w:rPr>
        <w:t>#75e#</w:t>
      </w:r>
      <w:bookmarkEnd w:id="91"/>
    </w:p>
    <w:p>
      <w:pPr>
        <w:pStyle w:val="Heading3"/>
      </w:pPr>
      <w:bookmarkStart w:id="92" w:name="b91"/>
      <w:r>
        <w:t>§ 75f</w:t>
      </w:r>
      <w:r>
        <w:t xml:space="preserve"> </w:t>
      </w:r>
      <w:r>
        <w:rPr>
          <w:rStyle w:val="Suchmarke"/>
        </w:rPr>
        <w:t>#75f#</w:t>
      </w:r>
      <w:bookmarkEnd w:id="92"/>
    </w:p>
    <w:p>
      <w:r>
        <w:rPr>
          <w:rStyle w:val="Satznummer"/>
        </w:rPr>
        <w:t>1</w:t>
      </w:r>
      <w:r>
        <w:t xml:space="preserve">Im Falle einer Vereinbarung, durch die sich ein Prinzipal einem anderen Prinzipal gegenüber verpflichtet, einen Handlungsgehilfen, der bei diesem im Dienst ist oder gewesen ist, nicht oder nur unter bestimmten Voraussetzungen anzustellen, steht beiden Teilen der Rücktritt frei. </w:t>
      </w:r>
      <w:r>
        <w:rPr>
          <w:rStyle w:val="Satznummer"/>
        </w:rPr>
        <w:t>2</w:t>
      </w:r>
      <w:r>
        <w:t>Aus der Vereinbarung findet weder Klage noch Einrede statt.</w:t>
      </w:r>
    </w:p>
    <w:p>
      <w:pPr>
        <w:pStyle w:val="Heading3"/>
      </w:pPr>
      <w:bookmarkStart w:id="93" w:name="b92"/>
      <w:r>
        <w:t>§ 75g</w:t>
      </w:r>
      <w:r>
        <w:t xml:space="preserve"> </w:t>
      </w:r>
      <w:r>
        <w:rPr>
          <w:rStyle w:val="Suchmarke"/>
        </w:rPr>
        <w:t>#75g#</w:t>
      </w:r>
      <w:bookmarkEnd w:id="93"/>
    </w:p>
    <w:p>
      <w:r>
        <w:rPr>
          <w:rStyle w:val="Satznummer"/>
        </w:rPr>
        <w:t>1</w:t>
      </w:r>
      <w:hyperlink w:anchor="b67" w:history="1">
        <w:r>
          <w:rPr>
            <w:color w:val="0A3A8C"/>
            <w:u w:val="single"/>
          </w:rPr>
          <w:t xml:space="preserve">§ 55</w:t>
        </w:r>
      </w:hyperlink>
      <w:r>
        <w:t xml:space="preserve"> Abs. 4 gilt auch für einen Handlungsgehilfen, der damit betraut ist, außerhalb des Betriebes des Prinzipals für diesen Geschäfte zu vermitteln. </w:t>
      </w:r>
      <w:r>
        <w:rPr>
          <w:rStyle w:val="Satznummer"/>
        </w:rPr>
        <w:t>2</w:t>
      </w:r>
      <w:r>
        <w:t>Eine Beschränkung dieser Rechte braucht ein Dritter gegen sich nur gelten zu lassen, wenn er sie kannte oder kennen mußte.</w:t>
      </w:r>
    </w:p>
    <w:p>
      <w:pPr>
        <w:pStyle w:val="Heading3"/>
      </w:pPr>
      <w:bookmarkStart w:id="94" w:name="b93"/>
      <w:r>
        <w:t>§ 75h</w:t>
      </w:r>
      <w:r>
        <w:t xml:space="preserve"> </w:t>
      </w:r>
      <w:r>
        <w:rPr>
          <w:rStyle w:val="Suchmarke"/>
        </w:rPr>
        <w:t>#75h#</w:t>
      </w:r>
      <w:bookmarkEnd w:id="94"/>
    </w:p>
    <w:p>
      <w:r>
        <w:t>(1) Hat ein Handlungsgehilfe, der nur mit der Vermittlung von Geschäften außerhalb des Betriebes des Prinzipals betraut ist, ein Geschäft im Namen des Prinzipals abgeschlossen, und war dem Dritten der Mangel der Vertretungsmacht nicht bekannt, so gilt das Geschäft als von dem Prinzipal genehmigt, wenn dieser dem Dritten gegenüber nicht unverzüglich das Geschäft ablehnt, nachdem er von dem Handlungsgehilfen oder dem Dritten über Abschluß und wesentlichen Inhalt benachrichtigt worden ist.</w:t>
      </w:r>
    </w:p>
    <w:p>
      <w:r>
        <w:t>(2) Das gleiche gilt, wenn ein Handlungsgehilfe, der mit dem Abschluß von Geschäften betraut ist, ein Geschäft im Namen des Prinzipals abgeschlossen hat, zu dessen Abschluß er nicht bevollmächtigt ist.</w:t>
      </w:r>
    </w:p>
    <w:p>
      <w:pPr>
        <w:pStyle w:val="Heading3"/>
      </w:pPr>
      <w:bookmarkStart w:id="95" w:name="b94"/>
      <w:r>
        <w:t>§§ 76 bis 82 (weggefallen)</w:t>
      </w:r>
      <w:bookmarkEnd w:id="95"/>
    </w:p>
    <w:p>
      <w:pPr>
        <w:pStyle w:val="Heading3"/>
      </w:pPr>
      <w:bookmarkStart w:id="96" w:name="b95"/>
      <w:r>
        <w:t>§ 82a</w:t>
      </w:r>
      <w:r>
        <w:t xml:space="preserve"> </w:t>
      </w:r>
      <w:r>
        <w:rPr>
          <w:rStyle w:val="Suchmarke"/>
        </w:rPr>
        <w:t>#82a#</w:t>
      </w:r>
      <w:bookmarkEnd w:id="96"/>
    </w:p>
    <w:p>
      <w:r>
        <w:t>Auf Wettbewerbsverbote gegenüber Personen, die, ohne als Lehrlinge angenommen zu sein, zum Zwecke ihrer Ausbildung unentgeltlich mit kaufmännischen Diensten beschäftigt werden (Volontäre), finden die für Handlungsgehilfen geltenden Vorschriften insoweit Anwendung, als sie nicht auf das dem Gehilfen zustehende Entgelt Bezug nehmen.</w:t>
      </w:r>
    </w:p>
    <w:p>
      <w:pPr>
        <w:pStyle w:val="Heading3"/>
      </w:pPr>
      <w:bookmarkStart w:id="97" w:name="b96"/>
      <w:r>
        <w:t>§ 83</w:t>
      </w:r>
      <w:r>
        <w:t xml:space="preserve"> </w:t>
      </w:r>
      <w:r>
        <w:rPr>
          <w:rStyle w:val="Suchmarke"/>
        </w:rPr>
        <w:t>#83#</w:t>
      </w:r>
      <w:bookmarkEnd w:id="97"/>
    </w:p>
    <w:p>
      <w:r>
        <w:t>Hinsichtlich der Personen, welche in dem Betrieb eines Handelsgewerbes andere als kaufmännische Dienste leisten, bewendet es bei den für das Arbeitsverhältnis dieser Personen geltenden Vorschriften.</w:t>
      </w:r>
    </w:p>
    <w:p>
      <w:pPr>
        <w:pStyle w:val="Heading2"/>
      </w:pPr>
      <w:bookmarkStart w:id="98" w:name="b97"/>
      <w:r>
        <w:t>Siebenter Abschnitt Handelsvertreter</w:t>
      </w:r>
      <w:bookmarkEnd w:id="98"/>
    </w:p>
    <w:p>
      <w:pPr>
        <w:pStyle w:val="Heading3"/>
      </w:pPr>
      <w:bookmarkStart w:id="99" w:name="b98"/>
      <w:r>
        <w:t>§ 84</w:t>
      </w:r>
      <w:r>
        <w:t xml:space="preserve"> </w:t>
      </w:r>
      <w:r>
        <w:rPr>
          <w:rStyle w:val="Suchmarke"/>
        </w:rPr>
        <w:t>#84#</w:t>
      </w:r>
      <w:bookmarkEnd w:id="99"/>
    </w:p>
    <w:p>
      <w:r>
        <w:t xml:space="preserve">(1) </w:t>
      </w:r>
      <w:r>
        <w:rPr>
          <w:rStyle w:val="Satznummer"/>
        </w:rPr>
        <w:t>1</w:t>
      </w:r>
      <w:r>
        <w:t xml:space="preserve">Handelsvertreter ist, wer als selbständiger Gewerbetreibender ständig damit betraut ist, für einen anderen Unternehmer (Unternehmer) Geschäfte zu vermitteln oder in dessen Namen abzuschließen. </w:t>
      </w:r>
      <w:r>
        <w:rPr>
          <w:rStyle w:val="Satznummer"/>
        </w:rPr>
        <w:t>2</w:t>
      </w:r>
      <w:r>
        <w:t>Selbständig ist, wer im wesentlichen frei seine Tätigkeit gestalten und seine Arbeitszeit bestimmen kann.</w:t>
      </w:r>
    </w:p>
    <w:p>
      <w:r>
        <w:t>(2) Wer, ohne selbständig im Sinne des Absatzes 1 zu sein, ständig damit betraut ist, für einen Unternehmer Geschäfte zu vermitteln oder in dessen Namen abzuschließen, gilt als Angestellter.</w:t>
      </w:r>
    </w:p>
    <w:p>
      <w:r>
        <w:t>(3) Der Unternehmer kann auch ein Handelsvertreter sein.</w:t>
      </w:r>
    </w:p>
    <w:p>
      <w:r>
        <w:t>(4) Die Vorschriften dieses Abschnittes finden auch Anwendung, wenn das Unternehmen des Handelsvertreters nach Art oder Umfang einen in kaufmännischer Weise eingerichteten Geschäftsbetrieb nicht erfordert.</w:t>
      </w:r>
    </w:p>
    <w:p>
      <w:pPr>
        <w:pStyle w:val="Heading3"/>
      </w:pPr>
      <w:bookmarkStart w:id="100" w:name="b99"/>
      <w:r>
        <w:t>§ 85</w:t>
      </w:r>
      <w:r>
        <w:t xml:space="preserve"> </w:t>
      </w:r>
      <w:r>
        <w:rPr>
          <w:rStyle w:val="Suchmarke"/>
        </w:rPr>
        <w:t>#85#</w:t>
      </w:r>
      <w:bookmarkEnd w:id="100"/>
    </w:p>
    <w:p>
      <w:r>
        <w:rPr>
          <w:rStyle w:val="Satznummer"/>
        </w:rPr>
        <w:t>1</w:t>
      </w:r>
      <w:r>
        <w:t xml:space="preserve">Jeder Teil kann verlangen, daß der Inhalt des Vertrages sowie spätere Vereinbarungen zu dem Vertrag in eine vom anderen Teil unterzeichnete Urkunde aufgenommen werden. </w:t>
      </w:r>
      <w:r>
        <w:rPr>
          <w:rStyle w:val="Satznummer"/>
        </w:rPr>
        <w:t>2</w:t>
      </w:r>
      <w:r>
        <w:t>Dieser Anspruch kann nicht ausgeschlossen werden.</w:t>
      </w:r>
    </w:p>
    <w:p>
      <w:pPr>
        <w:pStyle w:val="Heading3"/>
      </w:pPr>
      <w:bookmarkStart w:id="101" w:name="b100"/>
      <w:r>
        <w:t>§ 86</w:t>
      </w:r>
      <w:r>
        <w:t xml:space="preserve"> </w:t>
      </w:r>
      <w:r>
        <w:rPr>
          <w:rStyle w:val="Suchmarke"/>
        </w:rPr>
        <w:t>#86#</w:t>
      </w:r>
      <w:bookmarkEnd w:id="101"/>
    </w:p>
    <w:p>
      <w:r>
        <w:t>(1) Der Handelsvertreter hat sich um die Vermittlung oder den Abschluß von Geschäften zu bemühen; er hat hierbei das Interesse des Unternehmers wahrzunehmen.</w:t>
      </w:r>
    </w:p>
    <w:p>
      <w:r>
        <w:t>(2) Er hat dem Unternehmer die erforderlichen Nachrichten zu geben, namentlich ihm von jeder Geschäftsvermittlung und von jedem Geschäftsabschluß unverzüglich Mitteilung zu machen.</w:t>
      </w:r>
    </w:p>
    <w:p>
      <w:r>
        <w:t>(3) Er hat seine Pflichten mit der Sorgfalt eines ordentlichen Kaufmanns wahrzunehmen.</w:t>
      </w:r>
    </w:p>
    <w:p>
      <w:r>
        <w:t>(4) Von den Absätzen 1 und 2 abweichende Vereinbarungen sind unwirksam.</w:t>
      </w:r>
    </w:p>
    <w:p>
      <w:pPr>
        <w:pStyle w:val="Heading3"/>
      </w:pPr>
      <w:bookmarkStart w:id="102" w:name="b101"/>
      <w:r>
        <w:t>§ 86a</w:t>
      </w:r>
      <w:r>
        <w:t xml:space="preserve"> </w:t>
      </w:r>
      <w:r>
        <w:rPr>
          <w:rStyle w:val="Suchmarke"/>
        </w:rPr>
        <w:t>#86a#</w:t>
      </w:r>
      <w:bookmarkEnd w:id="102"/>
    </w:p>
    <w:p>
      <w:r>
        <w:t>(1) Der Unternehmer hat dem Handelsvertreter die zur Ausübung seiner Tätigkeit erforderlichen Unterlagen, wie Muster, Zeichnungen, Preislisten, Werbedrucksachen, Geschäftsbedingungen, zur Verfügung zu stellen.</w:t>
      </w:r>
    </w:p>
    <w:p>
      <w:r>
        <w:t xml:space="preserve">(2) </w:t>
      </w:r>
      <w:r>
        <w:rPr>
          <w:rStyle w:val="Satznummer"/>
        </w:rPr>
        <w:t>1</w:t>
      </w:r>
      <w:r>
        <w:t xml:space="preserve">Der Unternehmer hat dem Handelsvertreter die erforderlichen Nachrichten zu geben. </w:t>
      </w:r>
      <w:r>
        <w:rPr>
          <w:rStyle w:val="Satznummer"/>
        </w:rPr>
        <w:t>2</w:t>
      </w:r>
      <w:r>
        <w:t xml:space="preserve">Er hat ihm unverzüglich die Annahme oder Ablehnung eines vom Handelsvertreter vermittelten oder ohne Vertretungsmacht abgeschlossenen Geschäfts und die Nichtausführung eines von ihm vermittelten oder abgeschlossenen Geschäfts mitzuteilen. </w:t>
      </w:r>
      <w:r>
        <w:rPr>
          <w:rStyle w:val="Satznummer"/>
        </w:rPr>
        <w:t>3</w:t>
      </w:r>
      <w:r>
        <w:t>Er hat ihn unverzüglich zu unterrichten, wenn er Geschäfte voraussichtlich nur in erheblich geringerem Umfange abschließen kann oder will, als der Handelsvertreter unter gewöhnlichen Umständen erwarten konnte.</w:t>
      </w:r>
    </w:p>
    <w:p>
      <w:r>
        <w:t>(3) Von den Absätzen 1 und 2 abweichende Vereinbarungen sind unwirksam.</w:t>
      </w:r>
    </w:p>
    <w:p>
      <w:pPr>
        <w:pStyle w:val="Heading3"/>
      </w:pPr>
      <w:bookmarkStart w:id="103" w:name="b102"/>
      <w:r>
        <w:t>§ 86b</w:t>
      </w:r>
      <w:r>
        <w:t xml:space="preserve"> </w:t>
      </w:r>
      <w:r>
        <w:rPr>
          <w:rStyle w:val="Suchmarke"/>
        </w:rPr>
        <w:t>#86b#</w:t>
      </w:r>
      <w:bookmarkEnd w:id="103"/>
    </w:p>
    <w:p>
      <w:r>
        <w:t xml:space="preserve">(1) </w:t>
      </w:r>
      <w:r>
        <w:rPr>
          <w:rStyle w:val="Satznummer"/>
        </w:rPr>
        <w:t>1</w:t>
      </w:r>
      <w:r>
        <w:t xml:space="preserve">Verpflichtet sich ein Handelsvertreter, für die Erfüllung der Verbindlichkeit aus einem Geschäft einzustehen, so kann er eine besondere Vergütung (Delkredereprovision) beanspruchen; der Anspruch kann im voraus nicht ausgeschlossen werden. </w:t>
      </w:r>
      <w:r>
        <w:rPr>
          <w:rStyle w:val="Satznummer"/>
        </w:rPr>
        <w:t>2</w:t>
      </w:r>
      <w:r>
        <w:t xml:space="preserve">Die Verpflichtung kann nur für ein bestimmtes Geschäft oder für solche Geschäfte mit bestimmten Dritten übernommen werden, die der Handelsvertreter vermittelt oder abschließt. </w:t>
      </w:r>
      <w:r>
        <w:rPr>
          <w:rStyle w:val="Satznummer"/>
        </w:rPr>
        <w:t>3</w:t>
      </w:r>
      <w:r>
        <w:t>Die Übernahme bedarf der Schriftform.</w:t>
      </w:r>
    </w:p>
    <w:p>
      <w:r>
        <w:t>(2) Der Anspruch auf die Delkredereprovision entsteht mit dem Abschluß des Geschäfts.</w:t>
      </w:r>
    </w:p>
    <w:p>
      <w:r>
        <w:t xml:space="preserve">(3) </w:t>
      </w:r>
      <w:r>
        <w:rPr>
          <w:rStyle w:val="Satznummer"/>
        </w:rPr>
        <w:t>1</w:t>
      </w:r>
      <w:r>
        <w:t xml:space="preserve">Absatz 1 gilt nicht, wenn der Unternehmer oder der Dritte seine Niederlassung oder beim Fehlen einer solchen seinen Wohnsitz im Ausland hat. </w:t>
      </w:r>
      <w:r>
        <w:rPr>
          <w:rStyle w:val="Satznummer"/>
        </w:rPr>
        <w:t>2</w:t>
      </w:r>
      <w:r>
        <w:t>Er gilt ferner nicht für Geschäfte, zu deren Abschluß und Ausführung der Handelsvertreter unbeschränkt bevollmächtigt ist.</w:t>
      </w:r>
    </w:p>
    <w:p>
      <w:pPr>
        <w:pStyle w:val="Heading3"/>
      </w:pPr>
      <w:bookmarkStart w:id="104" w:name="b103"/>
      <w:r>
        <w:t>§ 87</w:t>
      </w:r>
      <w:r>
        <w:t xml:space="preserve"> </w:t>
      </w:r>
      <w:r>
        <w:rPr>
          <w:rStyle w:val="Suchmarke"/>
        </w:rPr>
        <w:t>#87#</w:t>
      </w:r>
      <w:bookmarkEnd w:id="104"/>
    </w:p>
    <w:p>
      <w:r>
        <w:t xml:space="preserve">(1) </w:t>
      </w:r>
      <w:r>
        <w:rPr>
          <w:rStyle w:val="Satznummer"/>
        </w:rPr>
        <w:t>1</w:t>
      </w:r>
      <w:r>
        <w:t xml:space="preserve">Der Handelsvertreter hat Anspruch auf Provision für alle während des Vertragsverhältnisses abgeschlossenen Geschäfte, die auf seine Tätigkeit zurückzuführen sind oder mit Dritten abgeschlossen werden, die er als Kunden für Geschäfte der gleichen Art geworben hat. </w:t>
      </w:r>
      <w:r>
        <w:rPr>
          <w:rStyle w:val="Satznummer"/>
        </w:rPr>
        <w:t>2</w:t>
      </w:r>
      <w:r>
        <w:t>Ein Anspruch auf Provision besteht für ihn nicht, wenn und soweit die Provision nach Absatz 3 dem ausgeschiedenen Handelsvertreter zusteht.</w:t>
      </w:r>
    </w:p>
    <w:p>
      <w:r>
        <w:t xml:space="preserve">(2) </w:t>
      </w:r>
      <w:r>
        <w:rPr>
          <w:rStyle w:val="Satznummer"/>
        </w:rPr>
        <w:t>1</w:t>
      </w:r>
      <w:r>
        <w:t xml:space="preserve">Ist dem Handelsvertreter ein bestimmter Bezirk oder ein bestimmter Kundenkreis zugewiesen, so hat er Anspruch auf Provision auch für die Geschäfte, die ohne seine Mitwirkung mit Personen seines Bezirkes oder seines Kundenkreises während des Vertragsverhältnisses abgeschlossen sind. </w:t>
      </w:r>
      <w:r>
        <w:rPr>
          <w:rStyle w:val="Satznummer"/>
        </w:rPr>
        <w:t>2</w:t>
      </w:r>
      <w:r>
        <w:t>Dies gilt nicht, wenn und soweit die Provision nach Absatz 3 dem ausgeschiedenen Handelsvertreter zusteht.</w:t>
      </w:r>
    </w:p>
    <w:p>
      <w:r>
        <w:t xml:space="preserve">(3) </w:t>
      </w:r>
      <w:r>
        <w:rPr>
          <w:rStyle w:val="Satznummer"/>
        </w:rPr>
        <w:t>1</w:t>
      </w:r>
      <w:r>
        <w:t>Für ein Geschäft, das erst nach Beendigung des Vertragsverhältnisses abgeschlossen ist, hat der Handelsvertreter Anspruch auf Provision nur, wenn</w:t>
      </w:r>
    </w:p>
    <w:p>
      <w:pPr>
        <w:tabs>
          <w:tab w:pos="567" w:val="left"/>
        </w:tabs>
        <w:ind w:left="567" w:hanging="567"/>
      </w:pPr>
      <w:r>
        <w:t>1.</w:t>
      </w:r>
      <w:r>
        <w:tab/>
      </w:r>
      <w:r>
        <w:t>er das Geschäft vermittelt hat oder es eingeleitet und so vorbereitet hat, daß der Abschluß überwiegend auf seine Tätigkeit zurückzuführen ist, und das Geschäft innerhalb einer angemessenen Frist nach Beendigung des Vertragsverhältnisses abgeschlossen worden ist oder</w:t>
      </w:r>
    </w:p>
    <w:p>
      <w:pPr>
        <w:tabs>
          <w:tab w:pos="567" w:val="left"/>
        </w:tabs>
        <w:ind w:left="567" w:hanging="567"/>
      </w:pPr>
      <w:r>
        <w:t>2.</w:t>
      </w:r>
      <w:r>
        <w:tab/>
      </w:r>
      <w:r>
        <w:t>vor Beendigung des Vertragsverhältnisses das Angebot des Dritten zum Abschluß eines Geschäfts, für das der Handelsvertreter nach Absatz 1 Satz 1 oder Absatz 2 Satz 1 Anspruch auf Provision hat, dem Handelsvertreter oder dem Unternehmer zugegangen ist.</w:t>
      </w:r>
    </w:p>
    <w:p>
      <w:r>
        <w:rPr>
          <w:rStyle w:val="Satznummer"/>
        </w:rPr>
        <w:t>2</w:t>
      </w:r>
      <w:r>
        <w:t>Der Anspruch auf Provision nach Satz 1 steht dem nachfolgenden Handelsvertreter anteilig zu, wenn wegen besonderer Umstände eine Teilung der Provision der Billigkeit entspricht.</w:t>
      </w:r>
    </w:p>
    <w:p>
      <w:r>
        <w:t>(4) Neben dem Anspruch auf Provision für abgeschlossene Geschäfte hat der Handelsvertreter Anspruch auf Inkassoprovision für die von ihm auftragsgemäß eingezogenen Beträge.</w:t>
      </w:r>
    </w:p>
    <w:p>
      <w:pPr>
        <w:pStyle w:val="Heading3"/>
      </w:pPr>
      <w:bookmarkStart w:id="105" w:name="b104"/>
      <w:r>
        <w:t>§ 87a</w:t>
      </w:r>
      <w:r>
        <w:t xml:space="preserve"> </w:t>
      </w:r>
      <w:r>
        <w:rPr>
          <w:rStyle w:val="Suchmarke"/>
        </w:rPr>
        <w:t>#87a#</w:t>
      </w:r>
      <w:bookmarkEnd w:id="105"/>
    </w:p>
    <w:p>
      <w:r>
        <w:t xml:space="preserve">(1) </w:t>
      </w:r>
      <w:r>
        <w:rPr>
          <w:rStyle w:val="Satznummer"/>
        </w:rPr>
        <w:t>1</w:t>
      </w:r>
      <w:r>
        <w:t xml:space="preserve">Der Handelsvertreter hat Anspruch auf Provision, sobald und soweit der Unternehmer das Geschäft ausgeführt hat. </w:t>
      </w:r>
      <w:r>
        <w:rPr>
          <w:rStyle w:val="Satznummer"/>
        </w:rPr>
        <w:t>2</w:t>
      </w:r>
      <w:r>
        <w:t xml:space="preserve">Eine abweichende Vereinbarung kann getroffen werden, jedoch hat der Handelsvertreter mit der Ausführung des Geschäfts durch den Unternehmer Anspruch auf einen angemessenen Vorschuß, der spätestens am letzten Tag des folgenden Monats fällig ist. </w:t>
      </w:r>
      <w:r>
        <w:rPr>
          <w:rStyle w:val="Satznummer"/>
        </w:rPr>
        <w:t>3</w:t>
      </w:r>
      <w:r>
        <w:t>Unabhängig von einer Vereinbarung hat jedoch der Handelsvertreter Anspruch auf Provision, sobald und soweit der Dritte das Geschäft ausgeführt hat.</w:t>
      </w:r>
    </w:p>
    <w:p>
      <w:r>
        <w:t>(2) Steht fest, daß der Dritte nicht leistet, so entfällt der Anspruch auf Provision; bereits empfangene Beträge sind zurückzugewähren.</w:t>
      </w:r>
    </w:p>
    <w:p>
      <w:r>
        <w:t xml:space="preserve">(3) </w:t>
      </w:r>
      <w:r>
        <w:rPr>
          <w:rStyle w:val="Satznummer"/>
        </w:rPr>
        <w:t>1</w:t>
      </w:r>
      <w:r>
        <w:t xml:space="preserve">Der Handelsvertreter hat auch dann einen Anspruch auf Provision, wenn feststeht, daß der Unternehmer das Geschäft ganz oder teilweise nicht oder nicht so ausführt, wie es abgeschlossen worden ist. </w:t>
      </w:r>
      <w:r>
        <w:rPr>
          <w:rStyle w:val="Satznummer"/>
        </w:rPr>
        <w:t>2</w:t>
      </w:r>
      <w:r>
        <w:t>Der Anspruch entfällt im Falle der Nichtausführung, wenn und soweit diese auf Umständen beruht, die vom Unternehmer nicht zu vertreten sind.</w:t>
      </w:r>
    </w:p>
    <w:p>
      <w:r>
        <w:t xml:space="preserve">(4) Der Anspruch auf Provision wird am letzten Tag des Monats fällig, in dem nach </w:t>
      </w:r>
      <w:hyperlink w:anchor="b106" w:history="1">
        <w:r>
          <w:rPr>
            <w:color w:val="0A3A8C"/>
            <w:u w:val="single"/>
          </w:rPr>
          <w:t xml:space="preserve">§ 87c</w:t>
        </w:r>
      </w:hyperlink>
      <w:r>
        <w:t xml:space="preserve"> Abs. 1 über den Anspruch abzurechnen ist.</w:t>
      </w:r>
    </w:p>
    <w:p>
      <w:r>
        <w:t>(5) Von Absatz 2 erster Halbsatz, Absätzen 3 und 4 abweichende, für den Handelsvertreter nachteilige Vereinbarungen sind unwirksam.</w:t>
      </w:r>
    </w:p>
    <w:p>
      <w:pPr>
        <w:pStyle w:val="Heading3"/>
      </w:pPr>
      <w:bookmarkStart w:id="106" w:name="b105"/>
      <w:r>
        <w:t>§ 87b</w:t>
      </w:r>
      <w:r>
        <w:t xml:space="preserve"> </w:t>
      </w:r>
      <w:r>
        <w:rPr>
          <w:rStyle w:val="Suchmarke"/>
        </w:rPr>
        <w:t>#87b#</w:t>
      </w:r>
      <w:bookmarkEnd w:id="106"/>
    </w:p>
    <w:p>
      <w:r>
        <w:t>(1) Ist die Höhe der Provision nicht bestimmt, so ist der übliche Satz als vereinbart anzusehen.</w:t>
      </w:r>
    </w:p>
    <w:p>
      <w:r>
        <w:t xml:space="preserve">(2) </w:t>
      </w:r>
      <w:r>
        <w:rPr>
          <w:rStyle w:val="Satznummer"/>
        </w:rPr>
        <w:t>1</w:t>
      </w:r>
      <w:r>
        <w:t xml:space="preserve">Die Provision ist von dem Entgelt zu berechnen, das der Dritte oder der Unternehmer zu leisten hat. </w:t>
      </w:r>
      <w:r>
        <w:rPr>
          <w:rStyle w:val="Satznummer"/>
        </w:rPr>
        <w:t>2</w:t>
      </w:r>
      <w:r>
        <w:t xml:space="preserve">Nachlässe bei Barzahlung sind nicht abzuziehen; dasselbe gilt für Nebenkosten, namentlich für Fracht, Verpackung, Zoll, Steuern, es sei denn, daß die Nebenkosten dem Dritten besonders in Rechnung gestellt sind. </w:t>
      </w:r>
      <w:r>
        <w:rPr>
          <w:rStyle w:val="Satznummer"/>
        </w:rPr>
        <w:t>3</w:t>
      </w:r>
      <w:r>
        <w:t>Die Umsatzsteuer, die lediglich auf Grund der steuerrechtlichen Vorschriften in der Rechnung gesondert ausgewiesen ist, gilt nicht als besonders in Rechnung gestellt.</w:t>
      </w:r>
    </w:p>
    <w:p>
      <w:r>
        <w:t xml:space="preserve">(3) </w:t>
      </w:r>
      <w:r>
        <w:rPr>
          <w:rStyle w:val="Satznummer"/>
        </w:rPr>
        <w:t>1</w:t>
      </w:r>
      <w:r>
        <w:t xml:space="preserve">Bei Gebrauchsüberlassungs- und Nutzungsverträgen von bestimmter Dauer ist die Provision vom Entgelt für die Vertragsdauer zu berechnen. </w:t>
      </w:r>
      <w:r>
        <w:rPr>
          <w:rStyle w:val="Satznummer"/>
        </w:rPr>
        <w:t>2</w:t>
      </w:r>
      <w:r>
        <w:t>Bei unbestimmter Dauer ist die Provision vom Entgelt bis zu dem Zeitpunkt zu berechnen, zu dem erstmals von dem Dritten gekündigt werden kann; der Handelsvertreter hat Anspruch auf weitere entsprechend berechnete Provisionen, wenn der Vertrag fortbesteht.</w:t>
      </w:r>
    </w:p>
    <w:p>
      <w:pPr>
        <w:pStyle w:val="Heading3"/>
      </w:pPr>
      <w:bookmarkStart w:id="107" w:name="b106"/>
      <w:r>
        <w:t>§ 87c</w:t>
      </w:r>
      <w:r>
        <w:t xml:space="preserve"> </w:t>
      </w:r>
      <w:r>
        <w:rPr>
          <w:rStyle w:val="Suchmarke"/>
        </w:rPr>
        <w:t>#87c#</w:t>
      </w:r>
      <w:bookmarkEnd w:id="107"/>
    </w:p>
    <w:p>
      <w:r>
        <w:t xml:space="preserve">(1) </w:t>
      </w:r>
      <w:r>
        <w:rPr>
          <w:rStyle w:val="Satznummer"/>
        </w:rPr>
        <w:t>1</w:t>
      </w:r>
      <w:r>
        <w:t xml:space="preserve">Der Unternehmer hat über die Provision, auf die der Handelsvertreter Anspruch hat, monatlich abzurechnen; der Abrechnungszeitraum kann auf höchstens drei Monate erstreckt werden. </w:t>
      </w:r>
      <w:r>
        <w:rPr>
          <w:rStyle w:val="Satznummer"/>
        </w:rPr>
        <w:t>2</w:t>
      </w:r>
      <w:r>
        <w:t>Die Abrechnung hat unverzüglich, spätestens bis zum Ende des nächsten Monats, zu erfolgen.</w:t>
      </w:r>
    </w:p>
    <w:p>
      <w:r>
        <w:t>(2) Der Handelsvertreter kann bei der Abrechnung einen Buchauszug über alle Geschäfte verlangen, für die ihm nach § 87 Provision gebührt.</w:t>
      </w:r>
    </w:p>
    <w:p>
      <w:r>
        <w:t>(3) Der Handelsvertreter kann außerdem Mitteilung über alle Umstände verlangen, die für den Provisionsanspruch, seine Fälligkeit und seine Berechnung wesentlich sind.</w:t>
      </w:r>
    </w:p>
    <w:p>
      <w:r>
        <w:t>(4) Wird der Buchauszug verweigert oder bestehen begründete Zweifel an der Richtigkeit oder Vollständigkeit der Abrechnung oder des Buchauszuges, so kann der Handelsvertreter verlangen, daß nach Wahl des Unternehmers entweder ihm oder einem von ihm zu bestimmenden Wirtschaftsprüfer oder vereidigten Buchsachverständigen Einsicht in die Geschäftsbücher oder die sonstigen Urkunden so weit gewährt wird, wie dies zur Feststellung der Richtigkeit oder Vollständigkeit der Abrechnung oder des Buchauszuges erforderlich ist.</w:t>
      </w:r>
    </w:p>
    <w:p>
      <w:r>
        <w:t>(5) Diese Rechte des Handelsvertreters können nicht ausgeschlossen oder beschränkt werden.</w:t>
      </w:r>
    </w:p>
    <w:p>
      <w:pPr>
        <w:pStyle w:val="Heading3"/>
      </w:pPr>
      <w:bookmarkStart w:id="108" w:name="b107"/>
      <w:r>
        <w:t>§ 87d</w:t>
      </w:r>
      <w:r>
        <w:t xml:space="preserve"> </w:t>
      </w:r>
      <w:r>
        <w:rPr>
          <w:rStyle w:val="Suchmarke"/>
        </w:rPr>
        <w:t>#87d#</w:t>
      </w:r>
      <w:bookmarkEnd w:id="108"/>
    </w:p>
    <w:p>
      <w:r>
        <w:t>Der Handelsvertreter kann den Ersatz seiner im regelmäßigen Geschäftsbetrieb entstandenen Aufwendungen nur verlangen, wenn dies handelsüblich ist.</w:t>
      </w:r>
    </w:p>
    <w:p>
      <w:pPr>
        <w:pStyle w:val="Heading3"/>
      </w:pPr>
      <w:bookmarkStart w:id="109" w:name="b108"/>
      <w:r>
        <w:t>§ 88 (weggefallen)</w:t>
      </w:r>
      <w:r>
        <w:t xml:space="preserve"> </w:t>
      </w:r>
      <w:r>
        <w:rPr>
          <w:rStyle w:val="Suchmarke"/>
        </w:rPr>
        <w:t>#88#</w:t>
      </w:r>
      <w:bookmarkEnd w:id="109"/>
    </w:p>
    <w:p>
      <w:pPr>
        <w:pStyle w:val="Heading3"/>
      </w:pPr>
      <w:bookmarkStart w:id="110" w:name="b109"/>
      <w:r>
        <w:t>§ 88a</w:t>
      </w:r>
      <w:r>
        <w:t xml:space="preserve"> </w:t>
      </w:r>
      <w:r>
        <w:rPr>
          <w:rStyle w:val="Suchmarke"/>
        </w:rPr>
        <w:t>#88a#</w:t>
      </w:r>
      <w:bookmarkEnd w:id="110"/>
    </w:p>
    <w:p>
      <w:r>
        <w:t>(1) Der Handelsvertreter kann nicht im voraus auf gesetzliche Zurückbehaltungsrechte verzichten.</w:t>
      </w:r>
    </w:p>
    <w:p>
      <w:r>
        <w:t>(2) Nach Beendigung des Vertragsverhältnisses hat der Handelsvertreter ein nach allgemeinen Vorschriften bestehendes Zurückbehaltungsrecht an ihm zur Verfügung gestellten Unterlagen (</w:t>
      </w:r>
      <w:hyperlink w:anchor="b101" w:history="1">
        <w:r>
          <w:rPr>
            <w:color w:val="0A3A8C"/>
            <w:u w:val="single"/>
          </w:rPr>
          <w:t xml:space="preserve">§ 86a</w:t>
        </w:r>
      </w:hyperlink>
      <w:r>
        <w:t xml:space="preserve"> Abs. 1) nur wegen seiner fälligen Ansprüche auf Provision und Ersatz von Aufwendungen.</w:t>
      </w:r>
    </w:p>
    <w:p>
      <w:pPr>
        <w:pStyle w:val="Heading3"/>
      </w:pPr>
      <w:bookmarkStart w:id="111" w:name="b110"/>
      <w:r>
        <w:t>§ 89</w:t>
      </w:r>
      <w:r>
        <w:t xml:space="preserve"> </w:t>
      </w:r>
      <w:r>
        <w:rPr>
          <w:rStyle w:val="Suchmarke"/>
        </w:rPr>
        <w:t>#89#</w:t>
      </w:r>
      <w:bookmarkEnd w:id="111"/>
    </w:p>
    <w:p>
      <w:r>
        <w:t xml:space="preserve">(1) </w:t>
      </w:r>
      <w:r>
        <w:rPr>
          <w:rStyle w:val="Satznummer"/>
        </w:rPr>
        <w:t>1</w:t>
      </w:r>
      <w:r>
        <w:t xml:space="preserve">Ist das Vertragsverhältnis auf unbestimmte Zeit eingegangen, so kann es im ersten Jahr der Vertragsdauer mit einer Frist von einem Monat, im zweiten Jahr mit einer Frist von zwei Monaten und im dritten bis fünften Jahr mit einer Frist von drei Monaten gekündigt werden. </w:t>
      </w:r>
      <w:r>
        <w:rPr>
          <w:rStyle w:val="Satznummer"/>
        </w:rPr>
        <w:t>2</w:t>
      </w:r>
      <w:r>
        <w:t xml:space="preserve">Nach einer Vertragsdauer von fünf Jahren kann das Vertragsverhältnis mit einer Frist von sechs Monaten gekündigt werden. </w:t>
      </w:r>
      <w:r>
        <w:rPr>
          <w:rStyle w:val="Satznummer"/>
        </w:rPr>
        <w:t>3</w:t>
      </w:r>
      <w:r>
        <w:t>Die Kündigung ist nur für den Schluß eines Kalendermonats zulässig, sofern keine abweichende Vereinbarung getroffen ist.</w:t>
      </w:r>
    </w:p>
    <w:p>
      <w:r>
        <w:t xml:space="preserve">(2) </w:t>
      </w:r>
      <w:r>
        <w:rPr>
          <w:rStyle w:val="Satznummer"/>
        </w:rPr>
        <w:t>1</w:t>
      </w:r>
      <w:r>
        <w:t xml:space="preserve">Die Kündigungsfristen nach Absatz 1 Satz 1 und 2 können durch Vereinbarung verlängert werden; die Frist darf für den Unternehmer nicht kürzer sein als für den Handelsvertreter. </w:t>
      </w:r>
      <w:r>
        <w:rPr>
          <w:rStyle w:val="Satznummer"/>
        </w:rPr>
        <w:t>2</w:t>
      </w:r>
      <w:r>
        <w:t>Bei Vereinbarung einer kürzeren Frist für den Unternehmer gilt die für den Handelsvertreter vereinbarte Frist.</w:t>
      </w:r>
    </w:p>
    <w:p>
      <w:r>
        <w:t xml:space="preserve">(3) </w:t>
      </w:r>
      <w:r>
        <w:rPr>
          <w:rStyle w:val="Satznummer"/>
        </w:rPr>
        <w:t>1</w:t>
      </w:r>
      <w:r>
        <w:t xml:space="preserve">Ein für eine bestimmte Zeit eingegangenes Vertragsverhältnis, das nach Ablauf der vereinbarten Laufzeit von beiden Teilen fortgesetzt wird, gilt als auf unbestimmte Zeit verlängert. </w:t>
      </w:r>
      <w:r>
        <w:rPr>
          <w:rStyle w:val="Satznummer"/>
        </w:rPr>
        <w:t>2</w:t>
      </w:r>
      <w:r>
        <w:t>Für die Bestimmung der Kündigungsfristen nach Absatz 1 Satz 1 und 2 ist die Gesamtdauer des Vertragsverhältnisses maßgeblich.</w:t>
      </w:r>
    </w:p>
    <w:p>
      <w:pPr>
        <w:pStyle w:val="Heading3"/>
      </w:pPr>
      <w:bookmarkStart w:id="112" w:name="b111"/>
      <w:r>
        <w:t>§ 89a</w:t>
      </w:r>
      <w:r>
        <w:t xml:space="preserve"> </w:t>
      </w:r>
      <w:r>
        <w:rPr>
          <w:rStyle w:val="Suchmarke"/>
        </w:rPr>
        <w:t>#89a#</w:t>
      </w:r>
      <w:bookmarkEnd w:id="112"/>
    </w:p>
    <w:p>
      <w:r>
        <w:t xml:space="preserve">(1) </w:t>
      </w:r>
      <w:r>
        <w:rPr>
          <w:rStyle w:val="Satznummer"/>
        </w:rPr>
        <w:t>1</w:t>
      </w:r>
      <w:r>
        <w:t xml:space="preserve">Das Vertragsverhältnis kann von jedem Teil aus wichtigem Grunde ohne Einhaltung einer Kündigungsfrist gekündigt werden. </w:t>
      </w:r>
      <w:r>
        <w:rPr>
          <w:rStyle w:val="Satznummer"/>
        </w:rPr>
        <w:t>2</w:t>
      </w:r>
      <w:r>
        <w:t>Dieses Recht kann nicht ausgeschlossen oder beschränkt werden.</w:t>
      </w:r>
    </w:p>
    <w:p>
      <w:r>
        <w:t>(2) Wird die Kündigung durch ein Verhalten veranlaßt, das der andere Teil zu vertreten hat, so ist dieser zum Ersatz des durch die Aufhebung des Vertragsverhältnisses entstehenden Schadens verpflichtet.</w:t>
      </w:r>
    </w:p>
    <w:p>
      <w:pPr>
        <w:pStyle w:val="Heading3"/>
      </w:pPr>
      <w:bookmarkStart w:id="113" w:name="b112"/>
      <w:r>
        <w:t>§ 89b</w:t>
      </w:r>
      <w:r>
        <w:t xml:space="preserve"> </w:t>
      </w:r>
      <w:r>
        <w:rPr>
          <w:rStyle w:val="Suchmarke"/>
        </w:rPr>
        <w:t>#89b#</w:t>
      </w:r>
      <w:bookmarkEnd w:id="113"/>
    </w:p>
    <w:p>
      <w:r>
        <w:t xml:space="preserve">(1) </w:t>
      </w:r>
      <w:r>
        <w:rPr>
          <w:rStyle w:val="Satznummer"/>
        </w:rPr>
        <w:t>1</w:t>
      </w:r>
      <w:r>
        <w:t xml:space="preserve">Der </w:t>
      </w:r>
      <w:r>
        <w:rPr>
          <w:i/>
        </w:rPr>
        <w:t>Handelvertreter</w:t>
      </w:r>
      <w:r>
        <w:t xml:space="preserve"> kann von dem Unternehmer nach Beendigung des Vertragsverhältnisses einen angemessenen Ausgleich verlangen, wenn und soweit</w:t>
      </w:r>
    </w:p>
    <w:p>
      <w:pPr>
        <w:tabs>
          <w:tab w:pos="567" w:val="left"/>
        </w:tabs>
        <w:ind w:left="567" w:hanging="567"/>
      </w:pPr>
      <w:r>
        <w:t>1.</w:t>
      </w:r>
      <w:r>
        <w:tab/>
      </w:r>
      <w:r>
        <w:t>der Unternehmer aus der Geschäftsverbindung mit neuen Kunden, die der Handelsvertreter geworben hat, auch nach Beendigung des Vertragsverhältnisses erhebliche Vorteile hat und</w:t>
      </w:r>
    </w:p>
    <w:p>
      <w:pPr>
        <w:tabs>
          <w:tab w:pos="567" w:val="left"/>
        </w:tabs>
        <w:ind w:left="567" w:hanging="567"/>
      </w:pPr>
      <w:r>
        <w:t>2.</w:t>
      </w:r>
      <w:r>
        <w:tab/>
      </w:r>
      <w:r>
        <w:t>die Zahlung eines Ausgleichs unter Berücksichtigung aller Umstände, insbesondere der dem Handelsvertreter aus Geschäften mit diesen Kunden entgehenden Provisionen, der Billigkeit entspricht.</w:t>
      </w:r>
    </w:p>
    <w:p>
      <w:r>
        <w:rPr>
          <w:rStyle w:val="Satznummer"/>
        </w:rPr>
        <w:t>2</w:t>
      </w:r>
      <w:r>
        <w:t>Der Werbung eines neuen Kunden steht es gleich, wenn der Handelsvertreter die Geschäftsverbindung mit einem Kunden so wesentlich erweitert hat, daß dies wirtschaftlich der Werbung eines neuen Kunden entspricht.</w:t>
      </w:r>
    </w:p>
    <w:p>
      <w:r>
        <w:t>(2) Der Ausgleich beträgt höchstens eine nach dem Durchschnitt der letzten fünf Jahre der Tätigkeit des Handelsvertreters berechnete Jahresprovision oder sonstige Jahresvergütung; bei kürzerer Dauer des Vertragsverhältnisses ist der Durchschnitt während der Dauer der Tätigkeit maßgebend.</w:t>
      </w:r>
    </w:p>
    <w:p>
      <w:r>
        <w:t>(3) Der Anspruch besteht nicht, wenn</w:t>
      </w:r>
    </w:p>
    <w:p>
      <w:pPr>
        <w:tabs>
          <w:tab w:pos="567" w:val="left"/>
        </w:tabs>
        <w:ind w:left="567" w:hanging="567"/>
      </w:pPr>
      <w:r>
        <w:t>1.</w:t>
      </w:r>
      <w:r>
        <w:tab/>
      </w:r>
      <w:r>
        <w:t>der Handelsvertreter das Vertragsverhältnis gekündigt hat, es sei denn, daß ein Verhalten des Unternehmers hierzu begründeten Anlaß gegeben hat oder dem Handelsvertreter eine Fortsetzung seiner Tätigkeit wegen seines Alters oder wegen Krankheit nicht zugemutet werden kann, oder</w:t>
      </w:r>
    </w:p>
    <w:p>
      <w:pPr>
        <w:tabs>
          <w:tab w:pos="567" w:val="left"/>
        </w:tabs>
        <w:ind w:left="567" w:hanging="567"/>
      </w:pPr>
      <w:r>
        <w:t>2.</w:t>
      </w:r>
      <w:r>
        <w:tab/>
      </w:r>
      <w:r>
        <w:t>der Unternehmer das Vertragsverhältnis gekündigt hat und für die Kündigung ein wichtiger Grund wegen schuldhaften Verhaltens des Handelsvertreters vorlag oder</w:t>
      </w:r>
    </w:p>
    <w:p>
      <w:pPr>
        <w:tabs>
          <w:tab w:pos="567" w:val="left"/>
        </w:tabs>
        <w:ind w:left="567" w:hanging="567"/>
      </w:pPr>
      <w:r>
        <w:t>3.</w:t>
      </w:r>
      <w:r>
        <w:tab/>
      </w:r>
      <w:r>
        <w:t>auf Grund einer Vereinbarung zwischen dem Unternehmer und dem Handelsvertreter ein Dritter anstelle des Handelsvertreters in das Vertragsverhältnis eintritt; die Vereinbarung kann nicht vor Beendigung des Vertragsverhältnisses getroffen werden.</w:t>
      </w:r>
    </w:p>
    <w:p>
      <w:r>
        <w:t xml:space="preserve">(4) </w:t>
      </w:r>
      <w:r>
        <w:rPr>
          <w:rStyle w:val="Satznummer"/>
        </w:rPr>
        <w:t>1</w:t>
      </w:r>
      <w:r>
        <w:t xml:space="preserve">Der Anspruch kann im voraus nicht ausgeschlossen werden. </w:t>
      </w:r>
      <w:r>
        <w:rPr>
          <w:rStyle w:val="Satznummer"/>
        </w:rPr>
        <w:t>2</w:t>
      </w:r>
      <w:r>
        <w:t>Er ist innerhalb eines Jahres nach Beendigung des Vertragsverhältnisses geltend zu machen.</w:t>
      </w:r>
    </w:p>
    <w:p>
      <w:r>
        <w:t xml:space="preserve">(5) </w:t>
      </w:r>
      <w:r>
        <w:rPr>
          <w:rStyle w:val="Satznummer"/>
        </w:rPr>
        <w:t>1</w:t>
      </w:r>
      <w:r>
        <w:t xml:space="preserve">Die Absätze 1, 3 und 4 gelten für Versicherungsvertreter mit der Maßgabe, daß an die Stelle der Geschäftsverbindung mit neuen Kunden, die der Handelsvertreter geworben hat, die Vermittlung neuer Versicherungsverträge durch den Versicherungsvertreter tritt und der Vermittlung eines Versicherungsvertrages es gleichsteht, wenn der Versicherungsvertreter einen bestehenden Versicherungsvertrag so wesentlich erweitert hat, daß dies wirtschaftlich der Vermittlung eines neuen Versicherungsvertrages entspricht. </w:t>
      </w:r>
      <w:r>
        <w:rPr>
          <w:rStyle w:val="Satznummer"/>
        </w:rPr>
        <w:t>2</w:t>
      </w:r>
      <w:r>
        <w:t xml:space="preserve">Der Ausgleich des Versicherungsvertreters beträgt abweichend von Absatz 2 höchstens drei Jahresprovisionen oder Jahresvergütungen. </w:t>
      </w:r>
      <w:r>
        <w:rPr>
          <w:rStyle w:val="Satznummer"/>
        </w:rPr>
        <w:t>3</w:t>
      </w:r>
      <w:r>
        <w:t>Die Vorschriften der Sätze 1 und 2 gelten sinngemäß für Bausparkassenvertreter.</w:t>
      </w:r>
    </w:p>
    <w:p>
      <w:pPr>
        <w:pStyle w:val="Heading3"/>
      </w:pPr>
      <w:bookmarkStart w:id="114" w:name="b113"/>
      <w:r>
        <w:t>§ 90</w:t>
      </w:r>
      <w:r>
        <w:t xml:space="preserve"> </w:t>
      </w:r>
      <w:r>
        <w:rPr>
          <w:rStyle w:val="Suchmarke"/>
        </w:rPr>
        <w:t>#90#</w:t>
      </w:r>
      <w:bookmarkEnd w:id="114"/>
    </w:p>
    <w:p>
      <w:r>
        <w:t>Der Handelsvertreter darf Geschäfts- und Betriebsgeheimnisse, die ihm anvertraut oder als solche durch seine Tätigkeit für den Unternehmer bekanntgeworden sind, auch nach Beendigung des Vertragsverhältnisses nicht verwerten oder anderen mitteilen, soweit dies nach den gesamten Umständen der Berufsauffassung eines ordentlichen Kaufmannes widersprechen würde.</w:t>
      </w:r>
    </w:p>
    <w:p>
      <w:pPr>
        <w:pStyle w:val="Heading3"/>
      </w:pPr>
      <w:bookmarkStart w:id="115" w:name="b114"/>
      <w:r>
        <w:t>§ 90a</w:t>
      </w:r>
      <w:r>
        <w:t xml:space="preserve"> </w:t>
      </w:r>
      <w:r>
        <w:rPr>
          <w:rStyle w:val="Suchmarke"/>
        </w:rPr>
        <w:t>#90a#</w:t>
      </w:r>
      <w:bookmarkEnd w:id="115"/>
    </w:p>
    <w:p>
      <w:r>
        <w:t xml:space="preserve">(1) </w:t>
      </w:r>
      <w:r>
        <w:rPr>
          <w:rStyle w:val="Satznummer"/>
        </w:rPr>
        <w:t>1</w:t>
      </w:r>
      <w:r>
        <w:t xml:space="preserve">Eine Vereinbarung, die den Handelsvertreter nach Beendigung des Vertragsverhältnisses in seiner gewerblichen Tätigkeit beschränkt (Wettbewerbsabrede), bedarf der Schriftform und der Aushändigung einer vom Unternehmer unterzeichneten, die vereinbarten Bestimmungen enthaltenden Urkunde an den Handelsvertreter. </w:t>
      </w:r>
      <w:r>
        <w:rPr>
          <w:rStyle w:val="Satznummer"/>
        </w:rPr>
        <w:t>2</w:t>
      </w:r>
      <w:r>
        <w:t xml:space="preserve">Die Abrede kann nur für längstens zwei Jahre von der Beendigung des Vertragsverhältnisses an getroffen werden; sie darf sich nur auf den dem Handelsvertreter zugewiesenen Bezirk oder Kundenkreis und nur auf die Gegenstände erstrecken, hinsichtlich deren sich der Handelsvertreter um die Vermittlung oder den Abschluß von Geschäften für den Unternehmer zu bemühen hat. </w:t>
      </w:r>
      <w:r>
        <w:rPr>
          <w:rStyle w:val="Satznummer"/>
        </w:rPr>
        <w:t>3</w:t>
      </w:r>
      <w:r>
        <w:t>Der Unternehmer ist verpflichtet, dem Handelsvertreter für die Dauer der Wettbewerbsbeschränkung eine angemessene Entschädigung zu zahlen.</w:t>
      </w:r>
    </w:p>
    <w:p>
      <w:r>
        <w:t>(2) Der Unternehmer kann bis zum Ende des Vertragsverhältnisses schriftlich auf die Wettbewerbsbeschränkung mit der Wirkung verzichten, daß er mit dem Ablauf von sechs Monaten seit der Erklärung von der Verpflichtung zur Zahlung der Entschädigung frei wird.</w:t>
      </w:r>
    </w:p>
    <w:p>
      <w:r>
        <w:t>(3) Kündigt ein Teil das Vertragsverhältnis aus wichtigem Grund wegen schuldhaften Verhaltens des anderen Teils, kann er sich durch schriftliche Erklärung binnen einem Monat nach der Kündigung von der Wettbewerbsabrede lossagen.</w:t>
      </w:r>
    </w:p>
    <w:p>
      <w:r>
        <w:t>(4) Abweichende für den Handelsvertreter nachteilige Vereinbarungen können nicht getroffen werden.</w:t>
      </w:r>
    </w:p>
    <w:p>
      <w:pPr>
        <w:pStyle w:val="Heading3"/>
      </w:pPr>
      <w:bookmarkStart w:id="116" w:name="b115"/>
      <w:r>
        <w:t>§ 91</w:t>
      </w:r>
      <w:r>
        <w:t xml:space="preserve"> </w:t>
      </w:r>
      <w:r>
        <w:rPr>
          <w:rStyle w:val="Suchmarke"/>
        </w:rPr>
        <w:t>#91#</w:t>
      </w:r>
      <w:bookmarkEnd w:id="116"/>
    </w:p>
    <w:p>
      <w:r>
        <w:t xml:space="preserve">(1) </w:t>
      </w:r>
      <w:hyperlink w:anchor="b67" w:history="1">
        <w:r>
          <w:rPr>
            <w:color w:val="0A3A8C"/>
            <w:u w:val="single"/>
          </w:rPr>
          <w:t xml:space="preserve">§ 55</w:t>
        </w:r>
      </w:hyperlink>
      <w:r>
        <w:t xml:space="preserve"> gilt auch für einen Handelsvertreter, der zum Abschluß von Geschäften von einem Unternehmer bevollmächtigt ist, der nicht Kaufmann ist.</w:t>
      </w:r>
    </w:p>
    <w:p>
      <w:r>
        <w:t xml:space="preserve">(2) </w:t>
      </w:r>
      <w:r>
        <w:rPr>
          <w:rStyle w:val="Satznummer"/>
        </w:rPr>
        <w:t>1</w:t>
      </w:r>
      <w:r>
        <w:t xml:space="preserve">Ein Handelsvertreter gilt, auch wenn ihm keine Vollmacht zum Abschluß von Geschäften erteilt ist, als ermächtigt, die Anzeige von Mängeln einer Ware, die Erklärung, daß eine Ware zur Verfügung gestellt werde, sowie ähnliche Erklärungen, durch die ein Dritter seine Rechte aus mangelhafter Leistung geltend macht oder sich vorbehält, entgegenzunehmen; er kann die dem Unternehmer zustehenden Rechte auf Sicherung des Beweises geltend machen. </w:t>
      </w:r>
      <w:r>
        <w:rPr>
          <w:rStyle w:val="Satznummer"/>
        </w:rPr>
        <w:t>2</w:t>
      </w:r>
      <w:r>
        <w:t>Eine Beschränkung dieser Rechte braucht ein Dritter gegen sich nur gelten zu lassen, wenn er sie kannte oder kennen mußte.</w:t>
      </w:r>
    </w:p>
    <w:p>
      <w:pPr>
        <w:pStyle w:val="Heading3"/>
      </w:pPr>
      <w:bookmarkStart w:id="117" w:name="b116"/>
      <w:r>
        <w:t>§ 91a</w:t>
      </w:r>
      <w:r>
        <w:t xml:space="preserve"> </w:t>
      </w:r>
      <w:r>
        <w:rPr>
          <w:rStyle w:val="Suchmarke"/>
        </w:rPr>
        <w:t>#91a#</w:t>
      </w:r>
      <w:bookmarkEnd w:id="117"/>
    </w:p>
    <w:p>
      <w:r>
        <w:t>(1) Hat ein Handelsvertreter, der nur mit der Vermittlung von Geschäften betraut ist, ein Geschäft im Namen des Unternehmers abgeschlossen, und war dem Dritten der Mangel an Vertretungsmacht nicht bekannt, so gilt das Geschäft als von dem Unternehmer genehmigt, wenn dieser nicht unverzüglich, nachdem er von dem Handelsvertreter oder dem Dritten über Abschluß und wesentlichen Inhalt benachrichtigt worden ist, dem Dritten gegenüber das Geschäft ablehnt.</w:t>
      </w:r>
    </w:p>
    <w:p>
      <w:r>
        <w:t>(2) Das gleiche gilt, wenn ein Handelsvertreter, der mit dem Abschluß von Geschäften betraut ist, ein Geschäft im Namen des Unternehmers abgeschlossen hat, zu dessen Abschluß er nicht bevollmächtigt ist.</w:t>
      </w:r>
    </w:p>
    <w:p>
      <w:pPr>
        <w:pStyle w:val="Heading3"/>
      </w:pPr>
      <w:bookmarkStart w:id="118" w:name="b117"/>
      <w:r>
        <w:t>§ 92</w:t>
      </w:r>
      <w:r>
        <w:t xml:space="preserve"> </w:t>
      </w:r>
      <w:r>
        <w:rPr>
          <w:rStyle w:val="Suchmarke"/>
        </w:rPr>
        <w:t>#92#</w:t>
      </w:r>
      <w:bookmarkEnd w:id="118"/>
    </w:p>
    <w:p>
      <w:r>
        <w:t>(1) Versicherungsvertreter ist, wer als Handelsvertreter damit betraut ist, Versicherungsverträge zu vermitteln oder abzuschließen.</w:t>
      </w:r>
    </w:p>
    <w:p>
      <w:r>
        <w:t>(2) Für das Vertragsverhältnis zwischen dem Versicherungsvertreter und dem Versicherer gelten die Vorschriften für das Vertragsverhältnis zwischen dem Handelsvertreter und dem Unternehmer vorbehaltlich der Absätze 3 und 4.</w:t>
      </w:r>
    </w:p>
    <w:p>
      <w:r>
        <w:t xml:space="preserve">(3) </w:t>
      </w:r>
      <w:r>
        <w:rPr>
          <w:rStyle w:val="Satznummer"/>
        </w:rPr>
        <w:t>1</w:t>
      </w:r>
      <w:r>
        <w:t xml:space="preserve">In Abweichung von </w:t>
      </w:r>
      <w:hyperlink w:anchor="b103" w:history="1">
        <w:r>
          <w:rPr>
            <w:color w:val="0A3A8C"/>
            <w:u w:val="single"/>
          </w:rPr>
          <w:t xml:space="preserve">§ 87</w:t>
        </w:r>
      </w:hyperlink>
      <w:r>
        <w:t xml:space="preserve"> Abs. 1 Satz 1 hat ein Versicherungsvertreter Anspruch auf Provision nur für Geschäfte, die auf seine Tätigkeit zurückzuführen sind. </w:t>
      </w:r>
      <w:r>
        <w:rPr>
          <w:rStyle w:val="Satznummer"/>
        </w:rPr>
        <w:t>2</w:t>
      </w:r>
      <w:hyperlink w:anchor="b103" w:history="1">
        <w:r>
          <w:rPr>
            <w:color w:val="0A3A8C"/>
            <w:u w:val="single"/>
          </w:rPr>
          <w:t xml:space="preserve">§ 87</w:t>
        </w:r>
      </w:hyperlink>
      <w:r>
        <w:t xml:space="preserve"> Abs. 2 gilt nicht für Versicherungsvertreter.</w:t>
      </w:r>
    </w:p>
    <w:p>
      <w:r>
        <w:t>(4) Der Versicherungsvertreter hat Anspruch auf Provision (</w:t>
      </w:r>
      <w:hyperlink w:anchor="b104" w:history="1">
        <w:r>
          <w:rPr>
            <w:color w:val="0A3A8C"/>
            <w:u w:val="single"/>
          </w:rPr>
          <w:t xml:space="preserve">§ 87a</w:t>
        </w:r>
      </w:hyperlink>
      <w:r>
        <w:t xml:space="preserve"> Abs. 1), sobald der Versicherungsnehmer die Prämie gezahlt hat, aus der sich die Provision nach dem Vertragsverhältnis berechnet.</w:t>
      </w:r>
    </w:p>
    <w:p>
      <w:r>
        <w:t>(5) Die Vorschriften der Absätze 1 bis 4 gelten sinngemäß für Bausparkassenvertreter.</w:t>
      </w:r>
    </w:p>
    <w:p>
      <w:pPr>
        <w:pStyle w:val="Heading3"/>
      </w:pPr>
      <w:bookmarkStart w:id="119" w:name="b118"/>
      <w:r>
        <w:t>§ 92a</w:t>
      </w:r>
      <w:r>
        <w:t xml:space="preserve"> </w:t>
      </w:r>
      <w:r>
        <w:rPr>
          <w:rStyle w:val="Suchmarke"/>
        </w:rPr>
        <w:t>#92a#</w:t>
      </w:r>
      <w:bookmarkEnd w:id="119"/>
    </w:p>
    <w:p>
      <w:r>
        <w:t xml:space="preserve">(1) </w:t>
      </w:r>
      <w:r>
        <w:rPr>
          <w:rStyle w:val="Satznummer"/>
        </w:rPr>
        <w:t>1</w:t>
      </w:r>
      <w:r>
        <w:t xml:space="preserve">Für das Vertragsverhältnis eines Handelsvertreters, der vertraglich nicht für weitere Unternehmer tätig werden darf oder dem dies nach Art und Umfang der von ihm verlangten Tätigkeit nicht möglich ist, kann das Bundesministerium der Justiz im Einvernehmen mit dem Bundesministerium für Wirtschaft und Klimaschutz nach Anhörung von Verbänden der Handelsvertreter und der Unternehmer durch Rechtsverordnung, die nicht der Zustimmung des Bundesrates bedarf, die untere Grenze der vertraglichen Leistungen des Unternehmers festsetzen, um die notwendigen sozialen und wirtschaftlichen Bedürfnisse dieser Handelsvertreter oder einer bestimmten Gruppe von ihnen sicherzustellen. </w:t>
      </w:r>
      <w:r>
        <w:rPr>
          <w:rStyle w:val="Satznummer"/>
        </w:rPr>
        <w:t>2</w:t>
      </w:r>
      <w:r>
        <w:t>Die festgesetzten Leistungen können vertraglich nicht ausgeschlossen oder beschränkt werden.</w:t>
      </w:r>
    </w:p>
    <w:p>
      <w:r>
        <w:t xml:space="preserve">(2) </w:t>
      </w:r>
      <w:r>
        <w:rPr>
          <w:rStyle w:val="Satznummer"/>
        </w:rPr>
        <w:t>1</w:t>
      </w:r>
      <w:r>
        <w:t xml:space="preserve">Absatz 1 gilt auch für das Vertragsverhältnis eines Versicherungsvertreters, der auf Grund eines Vertrages oder mehrerer Verträge damit betraut ist, Geschäfte für mehrere Versicherer zu vermitteln oder abzuschließen, die zu einem Versicherungskonzern oder zu einer zwischen ihnen bestehenden Organisationsgemeinschaft gehören, sofern die Beendigung des Vertragsverhältnisses mit einem dieser Versicherer im Zweifel auch die Beendigung des Vertragsverhältnisses mit den anderen Versicherern zur Folge haben würde. </w:t>
      </w:r>
      <w:r>
        <w:rPr>
          <w:rStyle w:val="Satznummer"/>
        </w:rPr>
        <w:t>2</w:t>
      </w:r>
      <w:r>
        <w:t>In diesem Falle kann durch Rechtsverordnung, die nicht der Zustimmung des Bundesrates bedarf, außerdem bestimmt werden, ob die festgesetzten Leistungen von allen Versicherern als Gesamtschuldnern oder anteilig oder nur von einem der Versicherer geschuldet werden und wie der Ausgleich unter ihnen zu erfolgen hat.</w:t>
      </w:r>
    </w:p>
    <w:p>
      <w:pPr>
        <w:pStyle w:val="Heading3"/>
      </w:pPr>
      <w:bookmarkStart w:id="120" w:name="b119"/>
      <w:r>
        <w:t>§ 92b</w:t>
      </w:r>
      <w:r>
        <w:t xml:space="preserve"> </w:t>
      </w:r>
      <w:r>
        <w:rPr>
          <w:rStyle w:val="Suchmarke"/>
        </w:rPr>
        <w:t>#92b#</w:t>
      </w:r>
      <w:bookmarkEnd w:id="120"/>
    </w:p>
    <w:p>
      <w:r>
        <w:t xml:space="preserve">(1) </w:t>
      </w:r>
      <w:r>
        <w:rPr>
          <w:rStyle w:val="Satznummer"/>
        </w:rPr>
        <w:t>1</w:t>
      </w:r>
      <w:r>
        <w:t xml:space="preserve">Auf einen Handelsvertreter im Nebenberuf sind </w:t>
      </w:r>
      <w:hyperlink w:anchor="b110" w:history="1">
        <w:r>
          <w:rPr>
            <w:color w:val="0A3A8C"/>
            <w:u w:val="single"/>
          </w:rPr>
          <w:t xml:space="preserve">§§ 89</w:t>
        </w:r>
      </w:hyperlink>
      <w:r>
        <w:t xml:space="preserve"> und </w:t>
      </w:r>
      <w:hyperlink w:anchor="b112" w:history="1">
        <w:r>
          <w:rPr>
            <w:color w:val="0A3A8C"/>
            <w:u w:val="single"/>
          </w:rPr>
          <w:t xml:space="preserve">89b</w:t>
        </w:r>
      </w:hyperlink>
      <w:r>
        <w:t xml:space="preserve"> nicht anzuwenden. </w:t>
      </w:r>
      <w:r>
        <w:rPr>
          <w:rStyle w:val="Satznummer"/>
        </w:rPr>
        <w:t>2</w:t>
      </w:r>
      <w:r>
        <w:t xml:space="preserve">Ist das Vertragsverhältnis auf unbestimmte Zeit eingegangen, so kann es mit einer Frist von einem Monat für den Schluß eines Kalendermonats gekündigt werden; wird eine andere Kündigungsfrist vereinbart, so muß sie für beide Teile gleich sein. </w:t>
      </w:r>
      <w:r>
        <w:rPr>
          <w:rStyle w:val="Satznummer"/>
        </w:rPr>
        <w:t>3</w:t>
      </w:r>
      <w:r>
        <w:t xml:space="preserve">Der Anspruch auf einen angemessenen Vorschuß nach </w:t>
      </w:r>
      <w:hyperlink w:anchor="b104" w:history="1">
        <w:r>
          <w:rPr>
            <w:color w:val="0A3A8C"/>
            <w:u w:val="single"/>
          </w:rPr>
          <w:t xml:space="preserve">§ 87a</w:t>
        </w:r>
      </w:hyperlink>
      <w:r>
        <w:t xml:space="preserve"> Abs. 1 Satz 2 kann ausgeschlossen werden.</w:t>
      </w:r>
    </w:p>
    <w:p>
      <w:r>
        <w:t>(2) Auf Absatz 1 kann sich nur der Unternehmer berufen, der den Handelsvertreter ausdrücklich als Handelsvertreter im Nebenberuf mit der Vermittlung oder dem Abschluß von Geschäften betraut hat.</w:t>
      </w:r>
    </w:p>
    <w:p>
      <w:r>
        <w:t>(3) Ob ein Handelsvertreter nur als Handelsvertreter im Nebenberuf tätig ist, bestimmt sich nach der Verkehrsauffassung.</w:t>
      </w:r>
    </w:p>
    <w:p>
      <w:r>
        <w:t>(4) Die Vorschriften der Absätze 1 bis 3 gelten sinngemäß für Versicherungsvertreter und für Bausparkassenvertreter.</w:t>
      </w:r>
    </w:p>
    <w:p>
      <w:pPr>
        <w:pStyle w:val="Heading3"/>
      </w:pPr>
      <w:bookmarkStart w:id="121" w:name="b120"/>
      <w:r>
        <w:t>§ 92c</w:t>
      </w:r>
      <w:r>
        <w:t xml:space="preserve"> </w:t>
      </w:r>
      <w:r>
        <w:rPr>
          <w:rStyle w:val="Suchmarke"/>
        </w:rPr>
        <w:t>#92c#</w:t>
      </w:r>
      <w:bookmarkEnd w:id="121"/>
    </w:p>
    <w:p>
      <w:r>
        <w:t>(1) Hat der Handelsvertreter seine Tätigkeit für den Unternehmer nach dem Vertrag nicht innerhalb des Gebietes der Europäischen Gemeinschaft oder der anderen Vertragsstaaten des Abkommens über den Europäischen Wirtschaftsraum auszuüben, so kann hinsichtlich aller Vorschriften dieses Abschnittes etwas anderes vereinbart werden.</w:t>
      </w:r>
    </w:p>
    <w:p>
      <w:r>
        <w:t>(2) Das gleiche gilt, wenn der Handelsvertreter mit der Vermittlung oder dem Abschluß von Geschäften betraut wird, die die Befrachtung, Abfertigung oder Ausrüstung von Schiffen oder die Buchung von Passagen auf Schiffen zum Gegenstand haben.</w:t>
      </w:r>
    </w:p>
    <w:p>
      <w:pPr>
        <w:pStyle w:val="Heading2"/>
      </w:pPr>
      <w:bookmarkStart w:id="122" w:name="b121"/>
      <w:r>
        <w:t>Achter Abschnitt Handelsmakler</w:t>
      </w:r>
      <w:bookmarkEnd w:id="122"/>
    </w:p>
    <w:p>
      <w:pPr>
        <w:pStyle w:val="Heading3"/>
      </w:pPr>
      <w:bookmarkStart w:id="123" w:name="b122"/>
      <w:r>
        <w:t>§ 93</w:t>
      </w:r>
      <w:r>
        <w:t xml:space="preserve"> </w:t>
      </w:r>
      <w:r>
        <w:rPr>
          <w:rStyle w:val="Suchmarke"/>
        </w:rPr>
        <w:t>#93#</w:t>
      </w:r>
      <w:bookmarkEnd w:id="123"/>
    </w:p>
    <w:p>
      <w:r>
        <w:t>(1) Wer gewerbsmäßig für andere Personen, ohne von ihnen auf Grund eines Vertragsverhältnisses ständig damit betraut zu sein, die Vermittlung von Verträgen über Anschaffung oder Veräußerung von Waren oder Wertpapieren, über Versicherungen, Güterbeförderungen, Schiffsmiete oder sonstige Gegenstände des Handelsverkehrs übernimmt, hat die Rechte und Pflichten eines Handelsmaklers.</w:t>
      </w:r>
    </w:p>
    <w:p>
      <w:r>
        <w:t>(2) Auf die Vermittlung anderer als der bezeichneten Geschäfte, insbesondere auf die Vermittlung von Geschäften über unbewegliche Sachen, finden, auch wenn die Vermittlung durch einen Handelsmakler erfolgt, die Vorschriften dieses Abschnitts keine Anwendung.</w:t>
      </w:r>
    </w:p>
    <w:p>
      <w:r>
        <w:t>(3) Die Vorschriften dieses Abschnittes finden auch Anwendung, wenn das Unternehmen des Handelsmaklers nach Art oder Umfang einen in kaufmännischer Weise eingerichteten Geschäftsbetrieb nicht erfordert.</w:t>
      </w:r>
    </w:p>
    <w:p>
      <w:pPr>
        <w:pStyle w:val="Heading3"/>
      </w:pPr>
      <w:bookmarkStart w:id="124" w:name="b123"/>
      <w:r>
        <w:t>§ 94</w:t>
      </w:r>
      <w:r>
        <w:t xml:space="preserve"> </w:t>
      </w:r>
      <w:r>
        <w:rPr>
          <w:rStyle w:val="Suchmarke"/>
        </w:rPr>
        <w:t>#94#</w:t>
      </w:r>
      <w:bookmarkEnd w:id="124"/>
    </w:p>
    <w:p>
      <w:r>
        <w:t>(1) Der Handelsmakler hat, sofern nicht die Parteien ihm dies erlassen oder der Ortsgebrauch mit Rücksicht auf die Gattung der Ware davon entbindet, unverzüglich nach dem Abschlusse des Geschäfts jeder Partei eine von ihm unterzeichnete Schlußnote zuzustellen, welche die Parteien, den Gegenstand und die Bedingungen des Geschäfts, insbesondere bei Verkäufen von Waren oder Wertpapieren deren Gattung und Menge sowie den Preis und die Zeit der Lieferung, enthält.</w:t>
      </w:r>
    </w:p>
    <w:p>
      <w:r>
        <w:t>(2) Bei Geschäften, die nicht sofort erfüllt werden sollen, ist die Schlußnote den Parteien zu ihrer Unterschrift zuzustellen und jeder Partei die von der anderen unterschriebene Schlußnote zu übersenden.</w:t>
      </w:r>
    </w:p>
    <w:p>
      <w:r>
        <w:t>(3) Verweigert eine Partei die Annahme oder Unterschrift der Schlußnote, so hat der Handelsmakler davon der anderen Partei unverzüglich Anzeige zu machen.</w:t>
      </w:r>
    </w:p>
    <w:p>
      <w:pPr>
        <w:pStyle w:val="Heading3"/>
      </w:pPr>
      <w:bookmarkStart w:id="125" w:name="b124"/>
      <w:r>
        <w:t>§ 95</w:t>
      </w:r>
      <w:r>
        <w:t xml:space="preserve"> </w:t>
      </w:r>
      <w:r>
        <w:rPr>
          <w:rStyle w:val="Suchmarke"/>
        </w:rPr>
        <w:t>#95#</w:t>
      </w:r>
      <w:bookmarkEnd w:id="125"/>
    </w:p>
    <w:p>
      <w:r>
        <w:t>(1) Nimmt eine Partei eine Schlußnote an, in der sich der Handelsmakler die Bezeichnung der anderen Partei vorbehalten hat, so ist sie an das Geschäft mit der Partei, welche ihr nachträglich bezeichnet wird, gebunden, es sei denn, daß gegen diese begründete Einwendungen zu erheben sind.</w:t>
      </w:r>
    </w:p>
    <w:p>
      <w:r>
        <w:t>(2) Die Bezeichnung der anderen Partei hat innerhalb der ortsüblichen Frist, in Ermangelung einer solchen innerhalb einer den Umständen nach angemessenen Frist zu erfolgen.</w:t>
      </w:r>
    </w:p>
    <w:p>
      <w:r>
        <w:t xml:space="preserve">(3) </w:t>
      </w:r>
      <w:r>
        <w:rPr>
          <w:rStyle w:val="Satznummer"/>
        </w:rPr>
        <w:t>1</w:t>
      </w:r>
      <w:r>
        <w:t xml:space="preserve">Unterbleibt die Bezeichnung oder sind gegen die bezeichnete Person oder Firma begründete Einwendungen zu erheben, so ist die Partei befugt, den Handelsmakler auf die Erfüllung des Geschäfts in Anspruch zu nehmen. </w:t>
      </w:r>
      <w:r>
        <w:rPr>
          <w:rStyle w:val="Satznummer"/>
        </w:rPr>
        <w:t>2</w:t>
      </w:r>
      <w:r>
        <w:t>Der Anspruch ist ausgeschlossen, wenn sich die Partei auf die Aufforderung des Handelsmaklers nicht unverzüglich darüber erklärt, ob sie Erfüllung verlange.</w:t>
      </w:r>
    </w:p>
    <w:p>
      <w:pPr>
        <w:pStyle w:val="Heading3"/>
      </w:pPr>
      <w:bookmarkStart w:id="126" w:name="b125"/>
      <w:r>
        <w:t>§ 96</w:t>
      </w:r>
      <w:r>
        <w:t xml:space="preserve"> </w:t>
      </w:r>
      <w:r>
        <w:rPr>
          <w:rStyle w:val="Suchmarke"/>
        </w:rPr>
        <w:t>#96#</w:t>
      </w:r>
      <w:bookmarkEnd w:id="126"/>
    </w:p>
    <w:p>
      <w:r>
        <w:rPr>
          <w:rStyle w:val="Satznummer"/>
        </w:rPr>
        <w:t>1</w:t>
      </w:r>
      <w:r>
        <w:t xml:space="preserve">Der Handelsmakler hat, sofern nicht die Parteien ihm dies erlassen oder der Ortsgebrauch mit Rücksicht auf die Gattung der Ware davon entbindet, von jeder durch seine Vermittlung nach Probe verkauften Ware die Probe, falls sie ihm übergeben ist, so lange aufzubewahren, bis die Ware ohne Einwendung gegen ihre Beschaffenheit angenommen oder das Geschäft in anderer Weise erledigt wird. </w:t>
      </w:r>
      <w:r>
        <w:rPr>
          <w:rStyle w:val="Satznummer"/>
        </w:rPr>
        <w:t>2</w:t>
      </w:r>
      <w:r>
        <w:t>Er hat die Probe durch ein Zeichen kenntlich zu machen.</w:t>
      </w:r>
    </w:p>
    <w:p>
      <w:pPr>
        <w:pStyle w:val="Heading3"/>
      </w:pPr>
      <w:bookmarkStart w:id="127" w:name="b126"/>
      <w:r>
        <w:t>§ 97</w:t>
      </w:r>
      <w:r>
        <w:t xml:space="preserve"> </w:t>
      </w:r>
      <w:r>
        <w:rPr>
          <w:rStyle w:val="Suchmarke"/>
        </w:rPr>
        <w:t>#97#</w:t>
      </w:r>
      <w:bookmarkEnd w:id="127"/>
    </w:p>
    <w:p>
      <w:r>
        <w:t>Der Handelsmakler gilt nicht als ermächtigt, eine Zahlung oder eine andere im Vertrage bedungene Leistung in Empfang zu nehmen.</w:t>
      </w:r>
    </w:p>
    <w:p>
      <w:pPr>
        <w:pStyle w:val="Heading3"/>
      </w:pPr>
      <w:bookmarkStart w:id="128" w:name="b127"/>
      <w:r>
        <w:t>§ 98</w:t>
      </w:r>
      <w:r>
        <w:t xml:space="preserve"> </w:t>
      </w:r>
      <w:r>
        <w:rPr>
          <w:rStyle w:val="Suchmarke"/>
        </w:rPr>
        <w:t>#98#</w:t>
      </w:r>
      <w:bookmarkEnd w:id="128"/>
    </w:p>
    <w:p>
      <w:r>
        <w:t>Der Handelsmakler haftet jeder der beiden Parteien für den durch sein Verschulden entstehenden Schaden.</w:t>
      </w:r>
    </w:p>
    <w:p>
      <w:pPr>
        <w:pStyle w:val="Heading3"/>
      </w:pPr>
      <w:bookmarkStart w:id="129" w:name="b128"/>
      <w:r>
        <w:t>§ 99</w:t>
      </w:r>
      <w:r>
        <w:t xml:space="preserve"> </w:t>
      </w:r>
      <w:r>
        <w:rPr>
          <w:rStyle w:val="Suchmarke"/>
        </w:rPr>
        <w:t>#99#</w:t>
      </w:r>
      <w:bookmarkEnd w:id="129"/>
    </w:p>
    <w:p>
      <w:r>
        <w:t>Ist unter den Parteien nichts darüber vereinbart, wer den Maklerlohn bezahlen soll, so ist er in Ermangelung eines abweichenden Ortsgebrauchs von jeder Partei zur Hälfte zu entrichten.</w:t>
      </w:r>
    </w:p>
    <w:p>
      <w:pPr>
        <w:pStyle w:val="Heading3"/>
      </w:pPr>
      <w:bookmarkStart w:id="130" w:name="b129"/>
      <w:r>
        <w:t>§ 100</w:t>
      </w:r>
      <w:r>
        <w:t xml:space="preserve"> </w:t>
      </w:r>
      <w:r>
        <w:rPr>
          <w:rStyle w:val="Suchmarke"/>
        </w:rPr>
        <w:t>#100#</w:t>
      </w:r>
      <w:bookmarkEnd w:id="130"/>
    </w:p>
    <w:p>
      <w:r>
        <w:t xml:space="preserve">(1) </w:t>
      </w:r>
      <w:r>
        <w:rPr>
          <w:rStyle w:val="Satznummer"/>
        </w:rPr>
        <w:t>1</w:t>
      </w:r>
      <w:r>
        <w:t xml:space="preserve">Der Handelsmakler ist verpflichtet, ein Tagebuch zu führen und in dieses alle abgeschlossenen Geschäfte täglich einzutragen. </w:t>
      </w:r>
      <w:r>
        <w:rPr>
          <w:rStyle w:val="Satznummer"/>
        </w:rPr>
        <w:t>2</w:t>
      </w:r>
      <w:r>
        <w:t xml:space="preserve">Die Eintragungen sind nach der Zeitfolge zu bewirken; sie haben die in </w:t>
      </w:r>
      <w:hyperlink w:anchor="b123" w:history="1">
        <w:r>
          <w:rPr>
            <w:color w:val="0A3A8C"/>
            <w:u w:val="single"/>
          </w:rPr>
          <w:t xml:space="preserve">§ 94</w:t>
        </w:r>
      </w:hyperlink>
      <w:r>
        <w:t xml:space="preserve"> Abs. 1 bezeichneten Angaben zu enthalten. </w:t>
      </w:r>
      <w:r>
        <w:rPr>
          <w:rStyle w:val="Satznummer"/>
        </w:rPr>
        <w:t>3</w:t>
      </w:r>
      <w:r>
        <w:t>Das Eingetragene ist von dem Handelsmakler täglich zu unterzeichnen oder gemäß § 126a Abs. 1 des Bürgerlichen Gesetzbuchs elektronisch zu signieren.</w:t>
      </w:r>
    </w:p>
    <w:p>
      <w:r>
        <w:t xml:space="preserve">(2) Die Vorschriften der </w:t>
      </w:r>
      <w:hyperlink w:anchor="b229" w:history="1">
        <w:r>
          <w:rPr>
            <w:color w:val="0A3A8C"/>
            <w:u w:val="single"/>
          </w:rPr>
          <w:t xml:space="preserve">§§ 239</w:t>
        </w:r>
      </w:hyperlink>
      <w:r>
        <w:t xml:space="preserve"> und </w:t>
      </w:r>
      <w:hyperlink w:anchor="b254" w:history="1">
        <w:r>
          <w:rPr>
            <w:color w:val="0A3A8C"/>
            <w:u w:val="single"/>
          </w:rPr>
          <w:t xml:space="preserve">257</w:t>
        </w:r>
      </w:hyperlink>
      <w:r>
        <w:t xml:space="preserve"> über die Einrichtung und Aufbewahrung der Handelsbücher finden auf das Tagebuch des Handelsmaklers Anwendung.</w:t>
      </w:r>
    </w:p>
    <w:p>
      <w:pPr>
        <w:pStyle w:val="Heading3"/>
      </w:pPr>
      <w:bookmarkStart w:id="131" w:name="b130"/>
      <w:r>
        <w:t>§ 101</w:t>
      </w:r>
      <w:r>
        <w:t xml:space="preserve"> </w:t>
      </w:r>
      <w:r>
        <w:rPr>
          <w:rStyle w:val="Suchmarke"/>
        </w:rPr>
        <w:t>#101#</w:t>
      </w:r>
      <w:bookmarkEnd w:id="131"/>
    </w:p>
    <w:p>
      <w:r>
        <w:t>Der Handelsmakler ist verpflichtet, den Parteien jederzeit auf Verlangen Auszüge aus dem Tagebuche zu geben, die von ihm unterzeichnet sind und alles enthalten, was von ihm in Ansehung des vermittelten Geschäfts eingetragen ist.</w:t>
      </w:r>
    </w:p>
    <w:p>
      <w:pPr>
        <w:pStyle w:val="Heading3"/>
      </w:pPr>
      <w:bookmarkStart w:id="132" w:name="b131"/>
      <w:r>
        <w:t>§ 102</w:t>
      </w:r>
      <w:r>
        <w:t xml:space="preserve"> </w:t>
      </w:r>
      <w:r>
        <w:rPr>
          <w:rStyle w:val="Suchmarke"/>
        </w:rPr>
        <w:t>#102#</w:t>
      </w:r>
      <w:bookmarkEnd w:id="132"/>
    </w:p>
    <w:p>
      <w:r>
        <w:t>Im Laufe eines Rechtsstreits kann das Gericht auch ohne Antrag einer Partei die Vorlegung des Tagebuchs anordnen, um es mit der Schlußnote, den Auszügen oder anderen Beweismitteln zu vergleichen.</w:t>
      </w:r>
    </w:p>
    <w:p>
      <w:pPr>
        <w:pStyle w:val="Heading3"/>
      </w:pPr>
      <w:bookmarkStart w:id="133" w:name="b132"/>
      <w:r>
        <w:t>§ 103</w:t>
      </w:r>
      <w:r>
        <w:t xml:space="preserve"> </w:t>
      </w:r>
      <w:r>
        <w:rPr>
          <w:rStyle w:val="Suchmarke"/>
        </w:rPr>
        <w:t>#103#</w:t>
      </w:r>
      <w:bookmarkEnd w:id="133"/>
    </w:p>
    <w:p>
      <w:r>
        <w:t>(1) Ordnungswidrig handelt, wer als Handelsmakler</w:t>
      </w:r>
    </w:p>
    <w:p>
      <w:pPr>
        <w:tabs>
          <w:tab w:pos="567" w:val="left"/>
        </w:tabs>
        <w:ind w:left="567" w:hanging="567"/>
      </w:pPr>
      <w:r>
        <w:t>1.</w:t>
      </w:r>
      <w:r>
        <w:tab/>
      </w:r>
      <w:r>
        <w:t xml:space="preserve">vorsätzlich oder fahrlässig ein Tagebuch über die abgeschlossenen Geschäfte zu führen unterläßt oder das Tagebuch in einer Weise führt, die dem </w:t>
      </w:r>
      <w:hyperlink w:anchor="b129" w:history="1">
        <w:r>
          <w:rPr>
            <w:color w:val="0A3A8C"/>
            <w:u w:val="single"/>
          </w:rPr>
          <w:t xml:space="preserve">§ 100</w:t>
        </w:r>
      </w:hyperlink>
      <w:r>
        <w:t xml:space="preserve"> Abs. 1 widerspricht oder</w:t>
      </w:r>
    </w:p>
    <w:p>
      <w:pPr>
        <w:tabs>
          <w:tab w:pos="567" w:val="left"/>
        </w:tabs>
        <w:ind w:left="567" w:hanging="567"/>
      </w:pPr>
      <w:r>
        <w:t>2.</w:t>
      </w:r>
      <w:r>
        <w:tab/>
      </w:r>
      <w:r>
        <w:t>ein solches Tagebuch vor Ablauf der gesetzlichen Aufbewahrungsfrist vernichtet.</w:t>
      </w:r>
    </w:p>
    <w:p>
      <w:r>
        <w:t>(2) Die Ordnungswidrigkeit kann mit einer Geldbuße bis zu fünftausend Euro geahndet werden.</w:t>
      </w:r>
    </w:p>
    <w:p>
      <w:pPr>
        <w:pStyle w:val="Heading3"/>
      </w:pPr>
      <w:bookmarkStart w:id="134" w:name="b133"/>
      <w:r>
        <w:t>§ 104</w:t>
      </w:r>
      <w:r>
        <w:t xml:space="preserve"> </w:t>
      </w:r>
      <w:r>
        <w:rPr>
          <w:rStyle w:val="Suchmarke"/>
        </w:rPr>
        <w:t>#104#</w:t>
      </w:r>
      <w:bookmarkEnd w:id="134"/>
    </w:p>
    <w:p>
      <w:r>
        <w:rPr>
          <w:rStyle w:val="Satznummer"/>
        </w:rPr>
        <w:t>1</w:t>
      </w:r>
      <w:r>
        <w:t xml:space="preserve">Auf Personen, welche die Vermittlung von Warengeschäften im Kleinverkehre besorgen, finden die Vorschriften über Schlußnoten und Tagebücher keine Anwendung. </w:t>
      </w:r>
      <w:r>
        <w:rPr>
          <w:rStyle w:val="Satznummer"/>
        </w:rPr>
        <w:t>2</w:t>
      </w:r>
      <w:r>
        <w:t>Auf Personen, welche die Vermittlung von Versicherungs- oder Bausparverträgen übernehmen, sind die Vorschriften über Tagebücher nicht anzuwenden.</w:t>
      </w:r>
    </w:p>
    <w:p>
      <w:pPr>
        <w:pStyle w:val="Heading2"/>
      </w:pPr>
      <w:bookmarkStart w:id="135" w:name="b134"/>
      <w:r>
        <w:t>Neunter Abschnitt Bußgeldvorschriften</w:t>
      </w:r>
      <w:bookmarkEnd w:id="135"/>
    </w:p>
    <w:p>
      <w:pPr>
        <w:pStyle w:val="Heading3"/>
      </w:pPr>
      <w:bookmarkStart w:id="136" w:name="b135"/>
      <w:r>
        <w:t>§ 104a Bußgeldvorschrift</w:t>
      </w:r>
      <w:r>
        <w:t xml:space="preserve"> </w:t>
      </w:r>
      <w:r>
        <w:rPr>
          <w:rStyle w:val="Suchmarke"/>
        </w:rPr>
        <w:t>#104a#</w:t>
      </w:r>
      <w:bookmarkEnd w:id="136"/>
    </w:p>
    <w:p>
      <w:r>
        <w:t xml:space="preserve">(1) </w:t>
      </w:r>
      <w:r>
        <w:rPr>
          <w:rStyle w:val="Satznummer"/>
        </w:rPr>
        <w:t>1</w:t>
      </w:r>
      <w:r>
        <w:t xml:space="preserve">Ordnungswidrig handelt, wer vorsätzlich oder leichtfertig entgegen </w:t>
      </w:r>
      <w:hyperlink w:anchor="b12" w:history="1">
        <w:r>
          <w:rPr>
            <w:color w:val="0A3A8C"/>
            <w:u w:val="single"/>
          </w:rPr>
          <w:t xml:space="preserve">§ 8b</w:t>
        </w:r>
      </w:hyperlink>
      <w:r>
        <w:t xml:space="preserve"> Abs. 3 Satz 1 Nr. 2 dort genannte Daten nicht, nicht richtig oder nicht vollständig übermittelt. </w:t>
      </w:r>
      <w:r>
        <w:rPr>
          <w:rStyle w:val="Satznummer"/>
        </w:rPr>
        <w:t>2</w:t>
      </w:r>
      <w:r>
        <w:t>Die Ordnungswidrigkeit kann mit einer Geldbuße bis zu zweihunderttausend Euro geahndet werden.</w:t>
      </w:r>
    </w:p>
    <w:p>
      <w:r>
        <w:t>(2) Verwaltungsbehörde im Sinne des § 36 Abs. 1 Nr. 1 des Gesetzes über Ordnungswidrigkeiten ist die Bundesanstalt für Finanzdienstleistungsaufsicht.</w:t>
      </w:r>
    </w:p>
    <w:p>
      <w:pPr>
        <w:pStyle w:val="Heading1"/>
      </w:pPr>
      <w:bookmarkStart w:id="137" w:name="b136"/>
      <w:r>
        <w:t>Zweites Buch Handelsgesellschaften und stille Gesellschaft</w:t>
      </w:r>
      <w:bookmarkEnd w:id="137"/>
    </w:p>
    <w:p>
      <w:pPr>
        <w:pStyle w:val="Heading2"/>
      </w:pPr>
      <w:bookmarkStart w:id="138" w:name="b137"/>
      <w:r>
        <w:t>Erster Abschnitt Offene Handelsgesellschaft</w:t>
      </w:r>
      <w:bookmarkEnd w:id="138"/>
    </w:p>
    <w:p>
      <w:pPr>
        <w:pStyle w:val="Heading3"/>
      </w:pPr>
      <w:bookmarkStart w:id="139" w:name="b138"/>
      <w:r>
        <w:t>Erster Titel Errichtung der Gesellschaft</w:t>
      </w:r>
      <w:bookmarkEnd w:id="139"/>
    </w:p>
    <w:p>
      <w:pPr>
        <w:pStyle w:val="Heading4"/>
      </w:pPr>
      <w:bookmarkStart w:id="140" w:name="b139"/>
      <w:r>
        <w:t>§ 105 Begriff der offenen Handelsgesellschaft; Anwendbarkeit des Bürgerlichen Gesetzbuchs</w:t>
      </w:r>
      <w:r>
        <w:t xml:space="preserve"> </w:t>
      </w:r>
      <w:r>
        <w:rPr>
          <w:rStyle w:val="Suchmarke"/>
        </w:rPr>
        <w:t>#105#</w:t>
      </w:r>
      <w:bookmarkEnd w:id="140"/>
    </w:p>
    <w:p>
      <w:r>
        <w:t>(1) Eine Gesellschaft, deren Zweck auf den Betrieb eines Handelsgewerbes unter gemeinschaftlicher Firma gerichtet ist, ist eine offene Handelsgesellschaft, wenn bei keinem der Gesellschafter die Haftung gegenüber den Gesellschaftsgläubigern beschränkt ist.</w:t>
      </w:r>
    </w:p>
    <w:p>
      <w:r>
        <w:t>(2) Die offene Handelsgesellschaft kann Rechte erwerben und Verbindlichkeiten eingehen.</w:t>
      </w:r>
    </w:p>
    <w:p>
      <w:r>
        <w:t>(3) Auf die offene Handelsgesellschaft finden, soweit in diesem Abschnitt nichts anderes vorgeschrieben ist, die Vorschriften des Bürgerlichen Gesetzbuchs über die Gesellschaft entsprechende Anwendung.</w:t>
      </w:r>
    </w:p>
    <w:p>
      <w:pPr>
        <w:pStyle w:val="Heading4"/>
      </w:pPr>
      <w:bookmarkStart w:id="141" w:name="b140"/>
      <w:r>
        <w:t>§ 106 Anmeldung zum Handelsregister; Statuswechsel</w:t>
      </w:r>
      <w:r>
        <w:t xml:space="preserve"> </w:t>
      </w:r>
      <w:r>
        <w:rPr>
          <w:rStyle w:val="Suchmarke"/>
        </w:rPr>
        <w:t>#106#</w:t>
      </w:r>
      <w:bookmarkEnd w:id="141"/>
    </w:p>
    <w:p>
      <w:r>
        <w:t>(1) Die Gesellschaft ist bei dem Gericht, in dessen Bezirk sie ihren Sitz hat, zur Eintragung in das Handelsregister anzumelden.</w:t>
      </w:r>
    </w:p>
    <w:p>
      <w:r>
        <w:t>(2) Die Anmeldung muss enthalten:</w:t>
      </w:r>
    </w:p>
    <w:p>
      <w:pPr>
        <w:tabs>
          <w:tab w:pos="567" w:val="left"/>
        </w:tabs>
        <w:ind w:left="567" w:hanging="567"/>
      </w:pPr>
      <w:r>
        <w:t>1.</w:t>
      </w:r>
      <w:r>
        <w:tab/>
      </w:r>
      <w:r>
        <w:t>folgende Angaben zur Gesellschaft:</w:t>
      </w:r>
    </w:p>
    <w:p>
      <w:pPr>
        <w:tabs>
          <w:tab w:pos="1134" w:val="left"/>
        </w:tabs>
        <w:ind w:left="1134" w:hanging="567"/>
      </w:pPr>
      <w:r>
        <w:t>a)</w:t>
      </w:r>
      <w:r>
        <w:tab/>
      </w:r>
      <w:r>
        <w:t>die Firma,</w:t>
      </w:r>
    </w:p>
    <w:p>
      <w:pPr>
        <w:tabs>
          <w:tab w:pos="1134" w:val="left"/>
        </w:tabs>
        <w:ind w:left="1134" w:hanging="567"/>
      </w:pPr>
      <w:r>
        <w:t>b)</w:t>
      </w:r>
      <w:r>
        <w:tab/>
      </w:r>
      <w:r>
        <w:t>den Sitz und</w:t>
      </w:r>
    </w:p>
    <w:p>
      <w:pPr>
        <w:tabs>
          <w:tab w:pos="1134" w:val="left"/>
        </w:tabs>
        <w:ind w:left="1134" w:hanging="567"/>
      </w:pPr>
      <w:r>
        <w:t>c)</w:t>
      </w:r>
      <w:r>
        <w:tab/>
      </w:r>
      <w:r>
        <w:t>die Geschäftsanschrift in einem Mitgliedstaat der Europäischen Union;</w:t>
      </w:r>
    </w:p>
    <w:p>
      <w:pPr>
        <w:tabs>
          <w:tab w:pos="567" w:val="left"/>
        </w:tabs>
        <w:ind w:left="567" w:hanging="567"/>
      </w:pPr>
      <w:r>
        <w:t>2.</w:t>
      </w:r>
      <w:r>
        <w:tab/>
      </w:r>
      <w:r>
        <w:t>folgende Angaben zu jedem Gesellschafter:</w:t>
      </w:r>
    </w:p>
    <w:p>
      <w:pPr>
        <w:tabs>
          <w:tab w:pos="1134" w:val="left"/>
        </w:tabs>
        <w:ind w:left="1134" w:hanging="567"/>
      </w:pPr>
      <w:r>
        <w:t>a)</w:t>
      </w:r>
      <w:r>
        <w:tab/>
      </w:r>
      <w:r>
        <w:t>wenn der Gesellschafter eine natürliche Person ist: dessen Namen, Vornamen, Geburtsdatum und Wohnort;</w:t>
      </w:r>
    </w:p>
    <w:p>
      <w:pPr>
        <w:tabs>
          <w:tab w:pos="1134" w:val="left"/>
        </w:tabs>
        <w:ind w:left="1134" w:hanging="567"/>
      </w:pPr>
      <w:r>
        <w:t>b)</w:t>
      </w:r>
      <w:r>
        <w:tab/>
      </w:r>
      <w:r>
        <w:t>wenn der Gesellschafter eine juristische Person oder rechtsfähige Personengesellschaft ist: deren Firma oder Namen, Rechtsform, Sitz und, soweit gesetzlich vorgesehen, zuständiges Register und Registernummer;</w:t>
      </w:r>
    </w:p>
    <w:p>
      <w:pPr>
        <w:tabs>
          <w:tab w:pos="567" w:val="left"/>
        </w:tabs>
        <w:ind w:left="567" w:hanging="567"/>
      </w:pPr>
      <w:r>
        <w:t>3.</w:t>
      </w:r>
      <w:r>
        <w:tab/>
      </w:r>
      <w:r>
        <w:t>die Angabe der Vertretungsbefugnis der Gesellschafter;</w:t>
      </w:r>
    </w:p>
    <w:p>
      <w:pPr>
        <w:tabs>
          <w:tab w:pos="567" w:val="left"/>
        </w:tabs>
        <w:ind w:left="567" w:hanging="567"/>
      </w:pPr>
      <w:r>
        <w:t>4.</w:t>
      </w:r>
      <w:r>
        <w:tab/>
      </w:r>
      <w:r>
        <w:t>die Versicherung, dass die Gesellschaft nicht bereits im Gesellschafts- oder im Partnerschaftsregister eingetragen ist.</w:t>
      </w:r>
    </w:p>
    <w:p>
      <w:r>
        <w:t>(3) Ist die Gesellschaft bereits im Gesellschafts- oder im Partnerschaftsregister eingetragen, hat die Anmeldung im Wege eines Statuswechsels dort zu erfolgen.</w:t>
      </w:r>
    </w:p>
    <w:p>
      <w:r>
        <w:t xml:space="preserve">(4) </w:t>
      </w:r>
      <w:r>
        <w:rPr>
          <w:rStyle w:val="Satznummer"/>
        </w:rPr>
        <w:t>1</w:t>
      </w:r>
      <w:r>
        <w:t>Das Gericht soll eine Gesellschaft, die bereits im Gesellschafts- oder im Partnerschaftsregister eingetragen ist, in das Handelsregister nur eintragen, wenn</w:t>
      </w:r>
    </w:p>
    <w:p>
      <w:pPr>
        <w:tabs>
          <w:tab w:pos="567" w:val="left"/>
        </w:tabs>
        <w:ind w:left="567" w:hanging="567"/>
      </w:pPr>
      <w:r>
        <w:t>1.</w:t>
      </w:r>
      <w:r>
        <w:tab/>
      </w:r>
      <w:r>
        <w:t>der Statuswechsel zu dem anderen Register nach Absatz 3 angemeldet wurde,</w:t>
      </w:r>
    </w:p>
    <w:p>
      <w:pPr>
        <w:tabs>
          <w:tab w:pos="567" w:val="left"/>
        </w:tabs>
        <w:ind w:left="567" w:hanging="567"/>
      </w:pPr>
      <w:r>
        <w:t>2.</w:t>
      </w:r>
      <w:r>
        <w:tab/>
      </w:r>
      <w:r>
        <w:t>der Statuswechselvermerk in das andere Register eingetragen wurde und</w:t>
      </w:r>
    </w:p>
    <w:p>
      <w:pPr>
        <w:tabs>
          <w:tab w:pos="567" w:val="left"/>
        </w:tabs>
        <w:ind w:left="567" w:hanging="567"/>
      </w:pPr>
      <w:r>
        <w:t>3.</w:t>
      </w:r>
      <w:r>
        <w:tab/>
      </w:r>
      <w:r>
        <w:t>das für die Führung des anderen Registers zuständige Gericht das Verfahren an das für die Führung des Handelsregisters zuständige Gericht abgegeben hat.</w:t>
      </w:r>
    </w:p>
    <w:p>
      <w:r>
        <w:rPr>
          <w:rStyle w:val="Satznummer"/>
        </w:rPr>
        <w:t>2</w:t>
      </w:r>
      <w:r>
        <w:t xml:space="preserve">§ 707c Absatz 2 des Bürgerlichen Gesetzbuchs ist entsprechend anzuwenden. </w:t>
      </w:r>
      <w:r>
        <w:rPr>
          <w:rStyle w:val="Satznummer"/>
        </w:rPr>
        <w:t>3</w:t>
      </w:r>
      <w:r>
        <w:t>Absatz 2 bleibt im Übrigen unberührt.</w:t>
      </w:r>
    </w:p>
    <w:p>
      <w:r>
        <w:t xml:space="preserve">(5) </w:t>
      </w:r>
      <w:r>
        <w:rPr>
          <w:rStyle w:val="Satznummer"/>
        </w:rPr>
        <w:t>1</w:t>
      </w:r>
      <w:r>
        <w:t xml:space="preserve">Die Eintragung der Gesellschaft hat im Fall des Absatzes 4 die Angabe des für die Führung des Gesellschafts- oder des Partnerschaftsregisters zuständigen Gerichts, den Namen und die Registernummer, unter der die Gesellschaft bislang eingetragen ist, zu enthalten. </w:t>
      </w:r>
      <w:r>
        <w:rPr>
          <w:rStyle w:val="Satznummer"/>
        </w:rPr>
        <w:t>2</w:t>
      </w:r>
      <w:r>
        <w:t xml:space="preserve">Das Gericht teilt dem Gericht, das das Verfahren abgegeben hat, von Amts wegen den Tag der Eintragung der Gesellschaft in das Handelsregister und die neue Registernummer mit. </w:t>
      </w:r>
      <w:r>
        <w:rPr>
          <w:rStyle w:val="Satznummer"/>
        </w:rPr>
        <w:t>3</w:t>
      </w:r>
      <w:r>
        <w:t>Die Ablehnung der Eintragung teilt das Gericht von Amts wegen dem Gericht, das das Verfahren abgegeben hat, mit, sobald die Entscheidung rechtskräftig geworden ist.</w:t>
      </w:r>
    </w:p>
    <w:p>
      <w:r>
        <w:t>(6) Wird die Firma der Gesellschaft geändert, der Sitz der Gesellschaft an einen anderen Ort verlegt, die Geschäftsanschrift geändert, scheidet ein Gesellschafter aus oder tritt ein neuer Gesellschafter ein oder ändert sich die Vertretungsbefugnis eines Gesellschafters, ist dies ebenfalls zur Eintragung in das Handelsregister anzumelden.</w:t>
      </w:r>
    </w:p>
    <w:p>
      <w:r>
        <w:t xml:space="preserve">(7) </w:t>
      </w:r>
      <w:r>
        <w:rPr>
          <w:rStyle w:val="Satznummer"/>
        </w:rPr>
        <w:t>1</w:t>
      </w:r>
      <w:r>
        <w:t xml:space="preserve">Anmeldungen sind vorbehaltlich der Sätze 2 und 3 von sämtlichen Gesellschaftern zu bewirken. </w:t>
      </w:r>
      <w:r>
        <w:rPr>
          <w:rStyle w:val="Satznummer"/>
        </w:rPr>
        <w:t>2</w:t>
      </w:r>
      <w:r>
        <w:t xml:space="preserve">Scheidet ein Gesellschafter durch Tod aus, kann die Anmeldung ohne Mitwirkung der Erben erfolgen, sofern einer solchen Mitwirkung besondere Hindernisse entgegenstehen. </w:t>
      </w:r>
      <w:r>
        <w:rPr>
          <w:rStyle w:val="Satznummer"/>
        </w:rPr>
        <w:t>3</w:t>
      </w:r>
      <w:r>
        <w:t>Ändert sich nur die Geschäftsanschrift der Gesellschaft, ist die Anmeldung von der Gesellschaft zu bewirken.</w:t>
      </w:r>
    </w:p>
    <w:p>
      <w:pPr>
        <w:pStyle w:val="Heading4"/>
      </w:pPr>
      <w:bookmarkStart w:id="142" w:name="b141"/>
      <w:r>
        <w:t>§ 107 Kleingewerbliche, vermögensverwaltende oder freiberufliche Gesellschaft; Statuswechsel</w:t>
      </w:r>
      <w:r>
        <w:t xml:space="preserve"> </w:t>
      </w:r>
      <w:r>
        <w:rPr>
          <w:rStyle w:val="Suchmarke"/>
        </w:rPr>
        <w:t>#107#</w:t>
      </w:r>
      <w:bookmarkEnd w:id="142"/>
    </w:p>
    <w:p>
      <w:r>
        <w:t xml:space="preserve">(1) </w:t>
      </w:r>
      <w:r>
        <w:rPr>
          <w:rStyle w:val="Satznummer"/>
        </w:rPr>
        <w:t>1</w:t>
      </w:r>
      <w:r>
        <w:t xml:space="preserve">Eine Gesellschaft, deren Gewerbebetrieb nicht schon nach § 1 Absatz 2 Handelsgewerbe ist oder die nur eigenes Vermögen verwaltet, ist offene Handelsgesellschaft, wenn die Firma des Unternehmens in das Handelsregister eingetragen ist. </w:t>
      </w:r>
      <w:r>
        <w:rPr>
          <w:rStyle w:val="Satznummer"/>
        </w:rPr>
        <w:t>2</w:t>
      </w:r>
      <w:r>
        <w:t>Dies gilt auch für eine Gesellschaft, deren Zweck die gemeinsame Ausübung Freier Berufe durch ihre Gesellschafter ist, soweit das anwendbare Berufsrecht die Eintragung zulässt.</w:t>
      </w:r>
    </w:p>
    <w:p>
      <w:r>
        <w:t xml:space="preserve">(2) </w:t>
      </w:r>
      <w:r>
        <w:rPr>
          <w:rStyle w:val="Satznummer"/>
        </w:rPr>
        <w:t>1</w:t>
      </w:r>
      <w:r>
        <w:t xml:space="preserve">Die Gesellschaft ist berechtigt, aber nicht verpflichtet, die Eintragung nach den für die Eintragung einer offenen Handelsgesellschaft geltenden Vorschriften herbeizuführen. </w:t>
      </w:r>
      <w:r>
        <w:rPr>
          <w:rStyle w:val="Satznummer"/>
        </w:rPr>
        <w:t>2</w:t>
      </w:r>
      <w:r>
        <w:t>Ist die Eintragung erfolgt, ist eine Fortsetzung als Gesellschaft bürgerlichen Rechts nur im Wege eines Statuswechsels zulässig.</w:t>
      </w:r>
    </w:p>
    <w:p>
      <w:r>
        <w:t xml:space="preserve">(3) </w:t>
      </w:r>
      <w:r>
        <w:rPr>
          <w:rStyle w:val="Satznummer"/>
        </w:rPr>
        <w:t>1</w:t>
      </w:r>
      <w:r>
        <w:t xml:space="preserve">Wird eine offene Handelsgesellschaft zur Eintragung in das Gesellschaftsregister angemeldet, trägt das Gericht ihre Fortsetzung als Gesellschaft bürgerlichen Rechts ein, sofern nicht die Voraussetzung des </w:t>
      </w:r>
      <w:hyperlink w:anchor="b2" w:history="1">
        <w:r>
          <w:rPr>
            <w:color w:val="0A3A8C"/>
            <w:u w:val="single"/>
          </w:rPr>
          <w:t xml:space="preserve">§ 1</w:t>
        </w:r>
      </w:hyperlink>
      <w:r>
        <w:t xml:space="preserve"> Absatz 2 eingetreten ist. </w:t>
      </w:r>
      <w:r>
        <w:rPr>
          <w:rStyle w:val="Satznummer"/>
        </w:rPr>
        <w:t>2</w:t>
      </w:r>
      <w:r>
        <w:t>Im Übrigen findet § 707c Absatz 2 Satz 2 bis 5 des Bürgerlichen Gesetzbuchs entsprechende Anwendung.</w:t>
      </w:r>
    </w:p>
    <w:p>
      <w:pPr>
        <w:pStyle w:val="Heading3"/>
      </w:pPr>
      <w:bookmarkStart w:id="143" w:name="b142"/>
      <w:r>
        <w:t>Zweiter Titel Rechtsverhältnis der Gesellschafter untereinander und der Gesellschafter zur Gesellschaft</w:t>
      </w:r>
      <w:bookmarkEnd w:id="143"/>
    </w:p>
    <w:p>
      <w:pPr>
        <w:pStyle w:val="Heading4"/>
      </w:pPr>
      <w:bookmarkStart w:id="144" w:name="b143"/>
      <w:r>
        <w:t>§ 108 Gestaltungsfreiheit</w:t>
      </w:r>
      <w:r>
        <w:t xml:space="preserve"> </w:t>
      </w:r>
      <w:r>
        <w:rPr>
          <w:rStyle w:val="Suchmarke"/>
        </w:rPr>
        <w:t>#108#</w:t>
      </w:r>
      <w:bookmarkEnd w:id="144"/>
    </w:p>
    <w:p>
      <w:r>
        <w:t>Von den Vorschriften dieses Titels kann durch den Gesellschaftsvertrag abgewichen werden, soweit im Gesetz nichts anderes bestimmt ist.</w:t>
      </w:r>
    </w:p>
    <w:p>
      <w:pPr>
        <w:pStyle w:val="Heading4"/>
      </w:pPr>
      <w:bookmarkStart w:id="145" w:name="b144"/>
      <w:r>
        <w:t>§ 109 Beschlussfassung</w:t>
      </w:r>
      <w:r>
        <w:t xml:space="preserve"> </w:t>
      </w:r>
      <w:r>
        <w:rPr>
          <w:rStyle w:val="Suchmarke"/>
        </w:rPr>
        <w:t>#109#</w:t>
      </w:r>
      <w:bookmarkEnd w:id="145"/>
    </w:p>
    <w:p>
      <w:r>
        <w:t>(1) Die Beschlüsse der Gesellschafter werden in Versammlungen gefasst.</w:t>
      </w:r>
    </w:p>
    <w:p>
      <w:r>
        <w:t xml:space="preserve">(2) </w:t>
      </w:r>
      <w:r>
        <w:rPr>
          <w:rStyle w:val="Satznummer"/>
        </w:rPr>
        <w:t>1</w:t>
      </w:r>
      <w:r>
        <w:t xml:space="preserve">Die Versammlung kann durch jeden Gesellschafter einberufen werden, der die Befugnis zur Geschäftsführung hat. </w:t>
      </w:r>
      <w:r>
        <w:rPr>
          <w:rStyle w:val="Satznummer"/>
        </w:rPr>
        <w:t>2</w:t>
      </w:r>
      <w:r>
        <w:t>Die Einberufung erfolgt durch formlose Einladung der anderen Gesellschafter unter Ankündigung des Zwecks der Versammlung in angemessener Frist.</w:t>
      </w:r>
    </w:p>
    <w:p>
      <w:r>
        <w:t>(3) Gesellschafterbeschlüsse bedürfen der Zustimmung aller stimmberechtigten Gesellschafter.</w:t>
      </w:r>
    </w:p>
    <w:p>
      <w:r>
        <w:t>(4) Hat nach dem Gesellschaftsvertrag die Mehrheit der Stimmen zu entscheiden, ist die Gesellschafterversammlung beschlussfähig, wenn die anwesenden Gesellschafter oder ihre Vertreter ohne Rücksicht auf ihre Stimmberechtigung die für die Beschlussfassung erforderlichen Stimmen haben.</w:t>
      </w:r>
    </w:p>
    <w:p>
      <w:pPr>
        <w:pStyle w:val="Heading4"/>
      </w:pPr>
      <w:bookmarkStart w:id="146" w:name="b145"/>
      <w:r>
        <w:t>§ 110 Anfechtbarkeit und Nichtigkeit von Gesellschafterbeschlüssen</w:t>
      </w:r>
      <w:r>
        <w:t xml:space="preserve"> </w:t>
      </w:r>
      <w:r>
        <w:rPr>
          <w:rStyle w:val="Suchmarke"/>
        </w:rPr>
        <w:t>#110#</w:t>
      </w:r>
      <w:bookmarkEnd w:id="146"/>
    </w:p>
    <w:p>
      <w:r>
        <w:t>(1) Ein Beschluss der Gesellschafter kann wegen Verletzung von Rechtsvorschriften durch Klage auf Nichtigerklärung angefochten werden (Anfechtungsklage).</w:t>
      </w:r>
    </w:p>
    <w:p>
      <w:r>
        <w:t xml:space="preserve">(2) </w:t>
      </w:r>
      <w:r>
        <w:rPr>
          <w:rStyle w:val="Satznummer"/>
        </w:rPr>
        <w:t>1</w:t>
      </w:r>
      <w:r>
        <w:t>Ein Gesellschafterbeschluss ist von Anfang an nichtig, wenn er</w:t>
      </w:r>
    </w:p>
    <w:p>
      <w:pPr>
        <w:tabs>
          <w:tab w:pos="567" w:val="left"/>
        </w:tabs>
        <w:ind w:left="567" w:hanging="567"/>
      </w:pPr>
      <w:r>
        <w:t>1.</w:t>
      </w:r>
      <w:r>
        <w:tab/>
      </w:r>
      <w:r>
        <w:t>durch seinen Inhalt Rechtsvorschriften verletzt, auf deren Einhaltung die Gesellschafter nicht verzichten können, oder</w:t>
      </w:r>
    </w:p>
    <w:p>
      <w:pPr>
        <w:tabs>
          <w:tab w:pos="567" w:val="left"/>
        </w:tabs>
        <w:ind w:left="567" w:hanging="567"/>
      </w:pPr>
      <w:r>
        <w:t>2.</w:t>
      </w:r>
      <w:r>
        <w:tab/>
      </w:r>
      <w:r>
        <w:t>nach einer Anfechtungsklage durch Urteil rechtskräftig für nichtig erklärt worden ist.</w:t>
      </w:r>
    </w:p>
    <w:p>
      <w:r>
        <w:rPr>
          <w:rStyle w:val="Satznummer"/>
        </w:rPr>
        <w:t>2</w:t>
      </w:r>
      <w:r>
        <w:t>Die Nichtigkeit eines Beschlusses der Gesellschafter kann auch auf andere Weise als durch Klage auf Feststellung der Nichtigkeit (Nichtigkeitsklage) geltend gemacht werden.</w:t>
      </w:r>
    </w:p>
    <w:p>
      <w:pPr>
        <w:pStyle w:val="Heading4"/>
      </w:pPr>
      <w:bookmarkStart w:id="147" w:name="b146"/>
      <w:r>
        <w:t>§ 111 Anfechtungsbefugnis; Rechtsschutzbedürfnis</w:t>
      </w:r>
      <w:r>
        <w:t xml:space="preserve"> </w:t>
      </w:r>
      <w:r>
        <w:rPr>
          <w:rStyle w:val="Suchmarke"/>
        </w:rPr>
        <w:t>#111#</w:t>
      </w:r>
      <w:bookmarkEnd w:id="147"/>
    </w:p>
    <w:p>
      <w:r>
        <w:t>(1) Anfechtungsbefugt ist jeder Gesellschafter, der oder dessen Rechtsvorgänger im Zeitpunkt der Beschlussfassung der Gesellschaft angehört hat.</w:t>
      </w:r>
    </w:p>
    <w:p>
      <w:r>
        <w:t>(2) Ein Verlust der Mitgliedschaft nach dem Zeitpunkt der Beschlussfassung lässt das Rechtsschutzbedürfnis des Rechtsvorgängers unberührt, wenn er ein berechtigtes Interesse an der Führung des Rechtsstreits hat.</w:t>
      </w:r>
    </w:p>
    <w:p>
      <w:pPr>
        <w:pStyle w:val="Heading4"/>
      </w:pPr>
      <w:bookmarkStart w:id="148" w:name="b147"/>
      <w:r>
        <w:t>§ 112 Klagefrist</w:t>
      </w:r>
      <w:r>
        <w:t xml:space="preserve"> </w:t>
      </w:r>
      <w:r>
        <w:rPr>
          <w:rStyle w:val="Suchmarke"/>
        </w:rPr>
        <w:t>#112#</w:t>
      </w:r>
      <w:bookmarkEnd w:id="148"/>
    </w:p>
    <w:p>
      <w:r>
        <w:t xml:space="preserve">(1) </w:t>
      </w:r>
      <w:r>
        <w:rPr>
          <w:rStyle w:val="Satznummer"/>
        </w:rPr>
        <w:t>1</w:t>
      </w:r>
      <w:r>
        <w:t xml:space="preserve">Die Anfechtungsklage ist innerhalb von drei Monaten zu erheben. </w:t>
      </w:r>
      <w:r>
        <w:rPr>
          <w:rStyle w:val="Satznummer"/>
        </w:rPr>
        <w:t>2</w:t>
      </w:r>
      <w:r>
        <w:t>Eine Vereinbarung im Gesellschaftsvertrag, welche eine kürzere Frist als einen Monat vorsieht, ist unwirksam.</w:t>
      </w:r>
    </w:p>
    <w:p>
      <w:r>
        <w:t>(2) Die Frist beginnt mit dem Tag, an dem der Beschluss dem anfechtungsbefugten Gesellschafter bekanntgegeben worden ist.</w:t>
      </w:r>
    </w:p>
    <w:p>
      <w:r>
        <w:t xml:space="preserve">(3) </w:t>
      </w:r>
      <w:r>
        <w:rPr>
          <w:rStyle w:val="Satznummer"/>
        </w:rPr>
        <w:t>1</w:t>
      </w:r>
      <w:r>
        <w:t xml:space="preserve">Für die Dauer von Vergleichsverhandlungen über den Gegenstand des Beschlusses oder die ihm zugrundeliegenden Umstände zwischen dem anfechtungsbefugten Gesellschafter und der Gesellschaft wird die Klagefrist gehemmt. </w:t>
      </w:r>
      <w:r>
        <w:rPr>
          <w:rStyle w:val="Satznummer"/>
        </w:rPr>
        <w:t>2</w:t>
      </w:r>
      <w:r>
        <w:t>Die für die Verjährung geltenden §§ 203 und 209 des Bürgerlichen Gesetzbuchs sind mit der Maßgabe entsprechend anzuwenden, dass die Klagefrist frühestens einen Monat nach dem Scheitern der Vergleichsverhandlungen endet.</w:t>
      </w:r>
    </w:p>
    <w:p>
      <w:pPr>
        <w:pStyle w:val="Heading4"/>
      </w:pPr>
      <w:bookmarkStart w:id="149" w:name="b148"/>
      <w:r>
        <w:t>§ 113 Anfechtungsklage</w:t>
      </w:r>
      <w:r>
        <w:t xml:space="preserve"> </w:t>
      </w:r>
      <w:r>
        <w:rPr>
          <w:rStyle w:val="Suchmarke"/>
        </w:rPr>
        <w:t>#113#</w:t>
      </w:r>
      <w:bookmarkEnd w:id="149"/>
    </w:p>
    <w:p>
      <w:r>
        <w:t>(1) Zuständig für die Anfechtungsklage ist ausschließlich das Landgericht, in dessen Bezirk die Gesellschaft ihren Sitz hat.</w:t>
      </w:r>
    </w:p>
    <w:p>
      <w:r>
        <w:t xml:space="preserve">(2) </w:t>
      </w:r>
      <w:r>
        <w:rPr>
          <w:rStyle w:val="Satznummer"/>
        </w:rPr>
        <w:t>1</w:t>
      </w:r>
      <w:r>
        <w:t xml:space="preserve">Die Klage ist gegen die Gesellschaft zu richten. </w:t>
      </w:r>
      <w:r>
        <w:rPr>
          <w:rStyle w:val="Satznummer"/>
        </w:rPr>
        <w:t>2</w:t>
      </w:r>
      <w:r>
        <w:t>Ist außer dem Kläger kein Gesellschafter zur Vertretung der Gesellschaft befugt, wird die Gesellschaft von den anderen Gesellschaftern gemeinsam vertreten.</w:t>
      </w:r>
    </w:p>
    <w:p>
      <w:r>
        <w:t xml:space="preserve">(3) </w:t>
      </w:r>
      <w:r>
        <w:rPr>
          <w:rStyle w:val="Satznummer"/>
        </w:rPr>
        <w:t>1</w:t>
      </w:r>
      <w:r>
        <w:t xml:space="preserve">Die Gesellschaft hat die Gesellschafter unverzüglich über die Erhebung der Klage und die Lage des Rechtsstreits zu unterrichten. </w:t>
      </w:r>
      <w:r>
        <w:rPr>
          <w:rStyle w:val="Satznummer"/>
        </w:rPr>
        <w:t>2</w:t>
      </w:r>
      <w:r>
        <w:t xml:space="preserve">Ferner hat sie das Gericht über die erfolgte Unterrichtung in Kenntnis zu setzen. </w:t>
      </w:r>
      <w:r>
        <w:rPr>
          <w:rStyle w:val="Satznummer"/>
        </w:rPr>
        <w:t>3</w:t>
      </w:r>
      <w:r>
        <w:t>Das Gericht hat auf eine unverzügliche Unterrichtung der Gesellschafter hinzuwirken.</w:t>
      </w:r>
    </w:p>
    <w:p>
      <w:r>
        <w:t xml:space="preserve">(4) </w:t>
      </w:r>
      <w:r>
        <w:rPr>
          <w:rStyle w:val="Satznummer"/>
        </w:rPr>
        <w:t>1</w:t>
      </w:r>
      <w:r>
        <w:t xml:space="preserve">Die mündliche Verhandlung soll nicht vor Ablauf der Klagefrist stattfinden. </w:t>
      </w:r>
      <w:r>
        <w:rPr>
          <w:rStyle w:val="Satznummer"/>
        </w:rPr>
        <w:t>2</w:t>
      </w:r>
      <w:r>
        <w:t>Mehrere Anfechtungsprozesse sind zur gleichzeitigen Verhandlung und Entscheidung zu verbinden.</w:t>
      </w:r>
    </w:p>
    <w:p>
      <w:r>
        <w:t>(5) Den Streitwert bestimmt das Gericht unter Berücksichtigung aller Umstände des Einzelfalls, insbesondere der Bedeutung der Sache für die Parteien, nach billigem Ermessen.</w:t>
      </w:r>
    </w:p>
    <w:p>
      <w:r>
        <w:t>(6) Soweit der Gesellschafterbeschluss durch rechtskräftiges Urteil für nichtig erklärt worden ist, wirkt das Urteil für und gegen alle Gesellschafter, auch wenn sie nicht Partei sind.</w:t>
      </w:r>
    </w:p>
    <w:p>
      <w:pPr>
        <w:pStyle w:val="Heading4"/>
      </w:pPr>
      <w:bookmarkStart w:id="150" w:name="b149"/>
      <w:r>
        <w:t>§ 114 Nichtigkeitsklage</w:t>
      </w:r>
      <w:r>
        <w:t xml:space="preserve"> </w:t>
      </w:r>
      <w:r>
        <w:rPr>
          <w:rStyle w:val="Suchmarke"/>
        </w:rPr>
        <w:t>#114#</w:t>
      </w:r>
      <w:bookmarkEnd w:id="150"/>
    </w:p>
    <w:p>
      <w:r>
        <w:rPr>
          <w:rStyle w:val="Satznummer"/>
        </w:rPr>
        <w:t>1</w:t>
      </w:r>
      <w:r>
        <w:t xml:space="preserve">Erhebt ein Gesellschafter Nichtigkeitsklage gegen die Gesellschaft, sind die </w:t>
      </w:r>
      <w:hyperlink w:anchor="b146" w:history="1">
        <w:r>
          <w:rPr>
            <w:color w:val="0A3A8C"/>
            <w:u w:val="single"/>
          </w:rPr>
          <w:t xml:space="preserve">§§ 111</w:t>
        </w:r>
      </w:hyperlink>
      <w:r>
        <w:t xml:space="preserve"> und </w:t>
      </w:r>
      <w:hyperlink w:anchor="b148" w:history="1">
        <w:r>
          <w:rPr>
            <w:color w:val="0A3A8C"/>
            <w:u w:val="single"/>
          </w:rPr>
          <w:t xml:space="preserve">113</w:t>
        </w:r>
      </w:hyperlink>
      <w:r>
        <w:t xml:space="preserve"> entsprechend anzuwenden. </w:t>
      </w:r>
      <w:r>
        <w:rPr>
          <w:rStyle w:val="Satznummer"/>
        </w:rPr>
        <w:t>2</w:t>
      </w:r>
      <w:r>
        <w:t>Mehrere Nichtigkeits- und Anfechtungsprozesse sind zur gemeinsamen Verhandlung und Entscheidung zu verbinden.</w:t>
      </w:r>
    </w:p>
    <w:p>
      <w:pPr>
        <w:pStyle w:val="Heading4"/>
      </w:pPr>
      <w:bookmarkStart w:id="151" w:name="b150"/>
      <w:r>
        <w:t>§ 115 Verbindung von Anfechtungs- und Feststellungsklage</w:t>
      </w:r>
      <w:r>
        <w:t xml:space="preserve"> </w:t>
      </w:r>
      <w:r>
        <w:rPr>
          <w:rStyle w:val="Suchmarke"/>
        </w:rPr>
        <w:t>#115#</w:t>
      </w:r>
      <w:bookmarkEnd w:id="151"/>
    </w:p>
    <w:p>
      <w:r>
        <w:rPr>
          <w:rStyle w:val="Satznummer"/>
        </w:rPr>
        <w:t>1</w:t>
      </w:r>
      <w:r>
        <w:t xml:space="preserve">Wendet sich ein Gesellschafter gegen einen Beschluss, mit dem ein Beschlussvorschlag abgelehnt wurde, kann er seinen Antrag auf Nichtigerklärung des ablehnenden Beschlusses mit dem Antrag verbinden, dass ein Beschluss festgestellt wird, der bei Annahme des Beschlussvorschlags rechtmäßig gefasst worden wäre. </w:t>
      </w:r>
      <w:r>
        <w:rPr>
          <w:rStyle w:val="Satznummer"/>
        </w:rPr>
        <w:t>2</w:t>
      </w:r>
      <w:r>
        <w:t>Auf die Feststellungsklage finden die für die Anfechtungsklage geltenden Vorschriften entsprechende Anwendung.</w:t>
      </w:r>
    </w:p>
    <w:p>
      <w:pPr>
        <w:pStyle w:val="Heading4"/>
      </w:pPr>
      <w:bookmarkStart w:id="152" w:name="b151"/>
      <w:r>
        <w:t>§ 116 Geschäftsführungsbefugnis</w:t>
      </w:r>
      <w:r>
        <w:t xml:space="preserve"> </w:t>
      </w:r>
      <w:r>
        <w:rPr>
          <w:rStyle w:val="Suchmarke"/>
        </w:rPr>
        <w:t>#116#</w:t>
      </w:r>
      <w:bookmarkEnd w:id="152"/>
    </w:p>
    <w:p>
      <w:r>
        <w:t>(1) Zur Führung der Geschäfte der Gesellschaft sind alle Gesellschafter berechtigt und verpflichtet.</w:t>
      </w:r>
    </w:p>
    <w:p>
      <w:r>
        <w:t xml:space="preserve">(2) </w:t>
      </w:r>
      <w:r>
        <w:rPr>
          <w:rStyle w:val="Satznummer"/>
        </w:rPr>
        <w:t>1</w:t>
      </w:r>
      <w:r>
        <w:t xml:space="preserve">Die Befugnis zur Geschäftsführung erstreckt sich auf alle Geschäfte, die der gewöhnliche Betrieb des Handelsgewerbes der Gesellschaft mit sich bringt; zur Vornahme von Geschäften, die darüber hinausgehen, ist ein Beschluss aller Gesellschafter erforderlich. </w:t>
      </w:r>
      <w:r>
        <w:rPr>
          <w:rStyle w:val="Satznummer"/>
        </w:rPr>
        <w:t>2</w:t>
      </w:r>
      <w:r>
        <w:t xml:space="preserve">Zur Bestellung eines Prokuristen bedarf es der Zustimmung aller geschäftsführungsbefugten Gesellschafter, es sei denn, dass mit dem Aufschub Gefahr für die Gesellschaft oder das Gesellschaftsvermögen verbunden ist. </w:t>
      </w:r>
      <w:r>
        <w:rPr>
          <w:rStyle w:val="Satznummer"/>
        </w:rPr>
        <w:t>3</w:t>
      </w:r>
      <w:r>
        <w:t>Der Widerruf der Prokura kann von jedem der zur Erteilung oder zur Mitwirkung bei der Erteilung befugten Gesellschafter erfolgen.</w:t>
      </w:r>
    </w:p>
    <w:p>
      <w:r>
        <w:t xml:space="preserve">(3) </w:t>
      </w:r>
      <w:r>
        <w:rPr>
          <w:rStyle w:val="Satznummer"/>
        </w:rPr>
        <w:t>1</w:t>
      </w:r>
      <w:r>
        <w:t xml:space="preserve">Die Geschäftsführung steht vorbehaltlich des Absatzes 4 allen Gesellschaftern in der Art zu, dass jeder von ihnen allein zu handeln berechtigt ist. </w:t>
      </w:r>
      <w:r>
        <w:rPr>
          <w:rStyle w:val="Satznummer"/>
        </w:rPr>
        <w:t>2</w:t>
      </w:r>
      <w:r>
        <w:t xml:space="preserve">Das gilt im Zweifel entsprechend, wenn nach dem Gesellschaftsvertrag die Geschäftsführung mehreren Gesellschaftern zusteht. </w:t>
      </w:r>
      <w:r>
        <w:rPr>
          <w:rStyle w:val="Satznummer"/>
        </w:rPr>
        <w:t>3</w:t>
      </w:r>
      <w:r>
        <w:t>Widerspricht ein geschäftsführungsbefugter Gesellschafter der Vornahme des Geschäfts, muss dieses unterbleiben.</w:t>
      </w:r>
    </w:p>
    <w:p>
      <w:r>
        <w:t>(4) Steht nach dem Gesellschaftsvertrag die Geschäftsführung allen oder mehreren Gesellschaftern in der Art zu, dass sie nur gemeinsam zu handeln berechtigt sind, bedarf es für jedes Geschäft der Zustimmung aller geschäftsführungsbefugten Gesellschafter, es sei denn, dass mit dem Aufschub Gefahr für die Gesellschaft oder das Gesellschaftsvermögen verbunden ist.</w:t>
      </w:r>
    </w:p>
    <w:p>
      <w:r>
        <w:t xml:space="preserve">(5) </w:t>
      </w:r>
      <w:r>
        <w:rPr>
          <w:rStyle w:val="Satznummer"/>
        </w:rPr>
        <w:t>1</w:t>
      </w:r>
      <w:r>
        <w:t xml:space="preserve">Die Befugnis zur Geschäftsführung kann einem Gesellschafter auf Antrag der anderen Gesellschafter ganz oder teilweise durch gerichtliche Entscheidung entzogen werden, wenn ein wichtiger Grund vorliegt. </w:t>
      </w:r>
      <w:r>
        <w:rPr>
          <w:rStyle w:val="Satznummer"/>
        </w:rPr>
        <w:t>2</w:t>
      </w:r>
      <w:r>
        <w:t>Ein wichtiger Grund ist insbesondere eine grobe Pflichtverletzung des Gesellschafters oder die Unfähigkeit des Gesellschafters zur ordnungsgemäßen Geschäftsführung.</w:t>
      </w:r>
    </w:p>
    <w:p>
      <w:r>
        <w:t xml:space="preserve">(6) </w:t>
      </w:r>
      <w:r>
        <w:rPr>
          <w:rStyle w:val="Satznummer"/>
        </w:rPr>
        <w:t>1</w:t>
      </w:r>
      <w:r>
        <w:t xml:space="preserve">Der Gesellschafter kann seinerseits die Geschäftsführung ganz oder teilweise kündigen, wenn ein wichtiger Grund vorliegt. </w:t>
      </w:r>
      <w:r>
        <w:rPr>
          <w:rStyle w:val="Satznummer"/>
        </w:rPr>
        <w:t>2</w:t>
      </w:r>
      <w:r>
        <w:t>§ 671 Absatz 2 und 3 des Bürgerlichen Gesetzbuchs ist entsprechend anzuwenden.</w:t>
      </w:r>
    </w:p>
    <w:p>
      <w:pPr>
        <w:pStyle w:val="Heading4"/>
      </w:pPr>
      <w:bookmarkStart w:id="153" w:name="b152"/>
      <w:r>
        <w:t>§ 117 Wettbewerbsverbot</w:t>
      </w:r>
      <w:r>
        <w:t xml:space="preserve"> </w:t>
      </w:r>
      <w:r>
        <w:rPr>
          <w:rStyle w:val="Suchmarke"/>
        </w:rPr>
        <w:t>#117#</w:t>
      </w:r>
      <w:bookmarkEnd w:id="153"/>
    </w:p>
    <w:p>
      <w:r>
        <w:t>(1) Ein Gesellschafter darf ohne Einwilligung der anderen Gesellschafter weder in dem Handelszweig der Gesellschaft Geschäfte machen noch an einer anderen gleichartigen Gesellschaft als persönlich haftender Gesellschafter teilnehmen.</w:t>
      </w:r>
    </w:p>
    <w:p>
      <w:r>
        <w:t>(2) Die Einwilligung zur Teilnahme an einer anderen Gesellschaft gilt als erteilt, wenn den anderen Gesellschaftern bei Eingehung der Gesellschaft bekannt ist, dass der Gesellschafter an einer anderen Gesellschaft als persönlich haftender Gesellschafter teilnimmt, und gleichwohl die Aufgabe dieser Beteiligung nicht ausdrücklich vereinbart wird.</w:t>
      </w:r>
    </w:p>
    <w:p>
      <w:pPr>
        <w:pStyle w:val="Heading4"/>
      </w:pPr>
      <w:bookmarkStart w:id="154" w:name="b153"/>
      <w:r>
        <w:t>§ 118 Verletzung des Wettbewerbsverbots</w:t>
      </w:r>
      <w:r>
        <w:t xml:space="preserve"> </w:t>
      </w:r>
      <w:r>
        <w:rPr>
          <w:rStyle w:val="Suchmarke"/>
        </w:rPr>
        <w:t>#118#</w:t>
      </w:r>
      <w:bookmarkEnd w:id="154"/>
    </w:p>
    <w:p>
      <w:r>
        <w:t xml:space="preserve">(1) </w:t>
      </w:r>
      <w:r>
        <w:rPr>
          <w:rStyle w:val="Satznummer"/>
        </w:rPr>
        <w:t>1</w:t>
      </w:r>
      <w:r>
        <w:t xml:space="preserve">Verletzt ein Gesellschafter die ihm nach </w:t>
      </w:r>
      <w:hyperlink w:anchor="b152" w:history="1">
        <w:r>
          <w:rPr>
            <w:color w:val="0A3A8C"/>
            <w:u w:val="single"/>
          </w:rPr>
          <w:t xml:space="preserve">§ 117</w:t>
        </w:r>
      </w:hyperlink>
      <w:r>
        <w:t xml:space="preserve"> obliegende Verpflichtung, kann die Gesellschaft Schadensersatz fordern. </w:t>
      </w:r>
      <w:r>
        <w:rPr>
          <w:rStyle w:val="Satznummer"/>
        </w:rPr>
        <w:t>2</w:t>
      </w:r>
      <w:r>
        <w:t>Sie kann stattdessen von dem Gesellschafter verlangen, dass er die für eigene Rechnung gemachten Geschäfte als für Rechnung der Gesellschaft eingegangen gelten lasse und die aus Geschäften für fremde Rechnung bezogene Vergütung herausgebe oder seinen Anspruch auf die Vergütung abtrete.</w:t>
      </w:r>
    </w:p>
    <w:p>
      <w:r>
        <w:t>(2) Über die Geltendmachung dieser Ansprüche beschließen die anderen Gesellschafter.</w:t>
      </w:r>
    </w:p>
    <w:p>
      <w:r>
        <w:t xml:space="preserve">(3) </w:t>
      </w:r>
      <w:r>
        <w:rPr>
          <w:rStyle w:val="Satznummer"/>
        </w:rPr>
        <w:t>1</w:t>
      </w:r>
      <w:r>
        <w:t xml:space="preserve">Die Ansprüche nach Absatz 1 verjähren in drei Monaten von dem Zeitpunkt an, in welchem die anderen Gesellschafter von dem Abschluss des Geschäfts oder von der Teilnahme des Gesellschafters an der anderen Gesellschaft Kenntnis erlangt haben oder ohne grobe Fahrlässigkeit erlangen mussten. </w:t>
      </w:r>
      <w:r>
        <w:rPr>
          <w:rStyle w:val="Satznummer"/>
        </w:rPr>
        <w:t>2</w:t>
      </w:r>
      <w:r>
        <w:t>Sie verjähren ohne Rücksicht auf diese Kenntnis oder grob fahrlässige Unkenntnis in fünf Jahren von ihrer Entstehung an.</w:t>
      </w:r>
    </w:p>
    <w:p>
      <w:r>
        <w:t>(4) Das Recht der anderen Gesellschafter, den betreffenden Gesellschafter auszuschließen oder die Auflösung der Gesellschaft zu verlangen, wird durch diese Vorschriften nicht berührt.</w:t>
      </w:r>
    </w:p>
    <w:p>
      <w:pPr>
        <w:pStyle w:val="Heading4"/>
      </w:pPr>
      <w:bookmarkStart w:id="155" w:name="b154"/>
      <w:r>
        <w:t>§ 119 Verzinsungspflicht</w:t>
      </w:r>
      <w:r>
        <w:t xml:space="preserve"> </w:t>
      </w:r>
      <w:r>
        <w:rPr>
          <w:rStyle w:val="Suchmarke"/>
        </w:rPr>
        <w:t>#119#</w:t>
      </w:r>
      <w:bookmarkEnd w:id="155"/>
    </w:p>
    <w:p>
      <w:r>
        <w:t xml:space="preserve">(1) Schuldet die Gesellschaft nach Maßgabe von § 716 Absatz 4 Satz 2 des Bürgerlichen Gesetzbuchs dem Gesellschafter die Verzinsung von Aufwendungen und Verlusten, richtet sich deren Höhe nach </w:t>
      </w:r>
      <w:hyperlink w:anchor="b494" w:history="1">
        <w:r>
          <w:rPr>
            <w:color w:val="0A3A8C"/>
            <w:u w:val="single"/>
          </w:rPr>
          <w:t xml:space="preserve">§ 352</w:t>
        </w:r>
      </w:hyperlink>
      <w:r>
        <w:t xml:space="preserve"> Absatz 2.</w:t>
      </w:r>
    </w:p>
    <w:p>
      <w:r>
        <w:t xml:space="preserve">(2) </w:t>
      </w:r>
      <w:r>
        <w:rPr>
          <w:rStyle w:val="Satznummer"/>
        </w:rPr>
        <w:t>1</w:t>
      </w:r>
      <w:r>
        <w:t xml:space="preserve">Ein Gesellschafter, der der Gesellschaft liquide Geldmittel dadurch vorenthält, dass er seinen vereinbarten Beitrag nicht zur rechten Zeit einzahlt oder eingenommenes Geld der Gesellschaft nicht zur rechten Zeit an die Gesellschaftskasse abliefert oder unbefugt Geld aus der Gesellschaftskasse für sich entnimmt, hat der Gesellschaft Zinsen von dem Tag an zu entrichten, an welchem die Zahlung oder die Ablieferung hätte geschehen sollen oder die Herausnahme des Geldes erfolgt ist. </w:t>
      </w:r>
      <w:r>
        <w:rPr>
          <w:rStyle w:val="Satznummer"/>
        </w:rPr>
        <w:t>2</w:t>
      </w:r>
      <w:r>
        <w:t>Die Geltendmachung eines weiteren Schadens ist nicht ausgeschlossen.</w:t>
      </w:r>
    </w:p>
    <w:p>
      <w:pPr>
        <w:pStyle w:val="Heading4"/>
      </w:pPr>
      <w:bookmarkStart w:id="156" w:name="b155"/>
      <w:r>
        <w:t>§ 120 Ermittlung von Gewinn- und Verlustanteilen</w:t>
      </w:r>
      <w:r>
        <w:t xml:space="preserve"> </w:t>
      </w:r>
      <w:r>
        <w:rPr>
          <w:rStyle w:val="Suchmarke"/>
        </w:rPr>
        <w:t>#120#</w:t>
      </w:r>
      <w:bookmarkEnd w:id="156"/>
    </w:p>
    <w:p>
      <w:r>
        <w:t xml:space="preserve">(1) </w:t>
      </w:r>
      <w:r>
        <w:rPr>
          <w:rStyle w:val="Satznummer"/>
        </w:rPr>
        <w:t>1</w:t>
      </w:r>
      <w:r>
        <w:t>Die geschäftsführungsbefugten Gesellschafter sind gegenüber der Gesellschaft zur Aufstellung des Jahresabschlusses (</w:t>
      </w:r>
      <w:hyperlink w:anchor="b235" w:history="1">
        <w:r>
          <w:rPr>
            <w:color w:val="0A3A8C"/>
            <w:u w:val="single"/>
          </w:rPr>
          <w:t xml:space="preserve">§ 242</w:t>
        </w:r>
      </w:hyperlink>
      <w:r>
        <w:t xml:space="preserve"> Absatz 3) verpflichtet. </w:t>
      </w:r>
      <w:r>
        <w:rPr>
          <w:rStyle w:val="Satznummer"/>
        </w:rPr>
        <w:t>2</w:t>
      </w:r>
      <w:r>
        <w:t>Sie haben dabei für jeden Gesellschafter nach Maßgabe von § 709 Absatz 3 des Bürgerlichen Gesetzbuchs den Anteil am Gewinn oder Verlust zu ermitteln.</w:t>
      </w:r>
    </w:p>
    <w:p>
      <w:r>
        <w:t>(2) Der einem Gesellschafter zukommende Gewinn wird dem Kapitalanteil des Gesellschafters zugeschrieben; der auf einen Gesellschafter entfallende Verlust wird davon abgeschrieben.</w:t>
      </w:r>
    </w:p>
    <w:p>
      <w:pPr>
        <w:pStyle w:val="Heading4"/>
      </w:pPr>
      <w:bookmarkStart w:id="157" w:name="b156"/>
      <w:r>
        <w:t>§ 121 Feststellung des Jahresabschlusses</w:t>
      </w:r>
      <w:r>
        <w:t xml:space="preserve"> </w:t>
      </w:r>
      <w:r>
        <w:rPr>
          <w:rStyle w:val="Suchmarke"/>
        </w:rPr>
        <w:t>#121#</w:t>
      </w:r>
      <w:bookmarkEnd w:id="157"/>
    </w:p>
    <w:p>
      <w:r>
        <w:t>Über die Feststellung des Jahresabschlusses entscheiden die Gesellschafter durch Beschluss.</w:t>
      </w:r>
    </w:p>
    <w:p>
      <w:pPr>
        <w:pStyle w:val="Heading4"/>
      </w:pPr>
      <w:bookmarkStart w:id="158" w:name="b157"/>
      <w:r>
        <w:t>§ 122 Gewinnauszahlung</w:t>
      </w:r>
      <w:r>
        <w:t xml:space="preserve"> </w:t>
      </w:r>
      <w:r>
        <w:rPr>
          <w:rStyle w:val="Suchmarke"/>
        </w:rPr>
        <w:t>#122#</w:t>
      </w:r>
      <w:bookmarkEnd w:id="158"/>
    </w:p>
    <w:p>
      <w:r>
        <w:rPr>
          <w:rStyle w:val="Satznummer"/>
        </w:rPr>
        <w:t>1</w:t>
      </w:r>
      <w:r>
        <w:t xml:space="preserve">Jeder Gesellschafter hat aufgrund des festgestellten Jahresabschlusses Anspruch auf Auszahlung seines ermittelten Gewinnanteils. </w:t>
      </w:r>
      <w:r>
        <w:rPr>
          <w:rStyle w:val="Satznummer"/>
        </w:rPr>
        <w:t>2</w:t>
      </w:r>
      <w:r>
        <w:t>Der Anspruch kann nicht geltend gemacht werden, soweit die Auszahlung zum offenbaren Schaden der Gesellschaft gereicht oder der Gesellschafter seinen vereinbarten Beitrag trotz Fälligkeit nicht geleistet hat.</w:t>
      </w:r>
    </w:p>
    <w:p>
      <w:pPr>
        <w:pStyle w:val="Heading3"/>
      </w:pPr>
      <w:bookmarkStart w:id="159" w:name="b158"/>
      <w:r>
        <w:t>Dritter Titel Rechtsverhältnis der Gesellschaft zu Dritten</w:t>
      </w:r>
      <w:bookmarkEnd w:id="159"/>
    </w:p>
    <w:p>
      <w:pPr>
        <w:pStyle w:val="Heading4"/>
      </w:pPr>
      <w:bookmarkStart w:id="160" w:name="b159"/>
      <w:r>
        <w:t>§ 123 Entstehung der Gesellschaft im Verhältnis zu Dritten</w:t>
      </w:r>
      <w:r>
        <w:t xml:space="preserve"> </w:t>
      </w:r>
      <w:r>
        <w:rPr>
          <w:rStyle w:val="Suchmarke"/>
        </w:rPr>
        <w:t>#123#</w:t>
      </w:r>
      <w:bookmarkEnd w:id="160"/>
    </w:p>
    <w:p>
      <w:r>
        <w:t xml:space="preserve">(1) </w:t>
      </w:r>
      <w:r>
        <w:rPr>
          <w:rStyle w:val="Satznummer"/>
        </w:rPr>
        <w:t>1</w:t>
      </w:r>
      <w:r>
        <w:t xml:space="preserve">Im Verhältnis zu Dritten entsteht die Gesellschaft, sobald sie im Handelsregister eingetragen ist. </w:t>
      </w:r>
      <w:r>
        <w:rPr>
          <w:rStyle w:val="Satznummer"/>
        </w:rPr>
        <w:t>2</w:t>
      </w:r>
      <w:r>
        <w:t xml:space="preserve">Dessen ungeachtet entsteht die Gesellschaft schon dann, wenn sie mit Zustimmung sämtlicher Gesellschafter am Rechtsverkehr teilnimmt, soweit sich aus </w:t>
      </w:r>
      <w:hyperlink w:anchor="b141" w:history="1">
        <w:r>
          <w:rPr>
            <w:color w:val="0A3A8C"/>
            <w:u w:val="single"/>
          </w:rPr>
          <w:t xml:space="preserve">§ 107</w:t>
        </w:r>
      </w:hyperlink>
      <w:r>
        <w:t xml:space="preserve"> Absatz 1 nichts anderes ergibt.</w:t>
      </w:r>
    </w:p>
    <w:p>
      <w:r>
        <w:t>(2) Eine Vereinbarung, dass die Gesellschaft erst zu einem späteren Zeitpunkt entstehen soll, ist Dritten gegenüber unwirksam.</w:t>
      </w:r>
    </w:p>
    <w:p>
      <w:pPr>
        <w:pStyle w:val="Heading4"/>
      </w:pPr>
      <w:bookmarkStart w:id="161" w:name="b160"/>
      <w:r>
        <w:t>§ 124 Vertretung der Gesellschaft</w:t>
      </w:r>
      <w:r>
        <w:t xml:space="preserve"> </w:t>
      </w:r>
      <w:r>
        <w:rPr>
          <w:rStyle w:val="Suchmarke"/>
        </w:rPr>
        <w:t>#124#</w:t>
      </w:r>
      <w:bookmarkEnd w:id="161"/>
    </w:p>
    <w:p>
      <w:r>
        <w:t>(1) Zur Vertretung der Gesellschaft ist jeder Gesellschafter befugt, wenn er nicht durch den Gesellschaftsvertrag von der Vertretung ausgeschlossen ist.</w:t>
      </w:r>
    </w:p>
    <w:p>
      <w:r>
        <w:t xml:space="preserve">(2) </w:t>
      </w:r>
      <w:r>
        <w:rPr>
          <w:rStyle w:val="Satznummer"/>
        </w:rPr>
        <w:t>1</w:t>
      </w:r>
      <w:r>
        <w:t xml:space="preserve">Im Gesellschaftsvertrag kann vereinbart werden, dass alle oder mehrere Gesellschafter nur gemeinsam zur Vertretung der Gesellschaft befugt sein sollen. </w:t>
      </w:r>
      <w:r>
        <w:rPr>
          <w:rStyle w:val="Satznummer"/>
        </w:rPr>
        <w:t>2</w:t>
      </w:r>
      <w:r>
        <w:t>Die zur Gesamtvertretung befugten Gesellschafter können einzelne von ihnen zur Vornahme bestimmter Geschäfte oder bestimmter Arten von Geschäften ermächtigen.</w:t>
      </w:r>
    </w:p>
    <w:p>
      <w:r>
        <w:t xml:space="preserve">(3) </w:t>
      </w:r>
      <w:r>
        <w:rPr>
          <w:rStyle w:val="Satznummer"/>
        </w:rPr>
        <w:t>1</w:t>
      </w:r>
      <w:r>
        <w:t xml:space="preserve">Im Gesellschaftsvertrag kann vereinbart werden, dass die Gesellschafter, sofern nicht mehrere zusammen handeln, nur gemeinsam mit einem Prokuristen zur Vertretung der Gesellschaft berechtigt sein sollen. </w:t>
      </w:r>
      <w:r>
        <w:rPr>
          <w:rStyle w:val="Satznummer"/>
        </w:rPr>
        <w:t>2</w:t>
      </w:r>
      <w:r>
        <w:t>Absatz 2 Satz 2 und Absatz 6 sind in diesem Fall entsprechend anzuwenden.</w:t>
      </w:r>
    </w:p>
    <w:p>
      <w:r>
        <w:t xml:space="preserve">(4) </w:t>
      </w:r>
      <w:r>
        <w:rPr>
          <w:rStyle w:val="Satznummer"/>
        </w:rPr>
        <w:t>1</w:t>
      </w:r>
      <w:r>
        <w:t xml:space="preserve">Die Vertretungsbefugnis der Gesellschafter erstreckt sich auf alle Geschäfte der Gesellschaft einschließlich der Veräußerung und Belastung von Grundstücken sowie der Erteilung und des Widerrufs einer Prokura. </w:t>
      </w:r>
      <w:r>
        <w:rPr>
          <w:rStyle w:val="Satznummer"/>
        </w:rPr>
        <w:t>2</w:t>
      </w:r>
      <w:r>
        <w:t xml:space="preserve">Eine Beschränkung des Umfangs der Vertretungsbefugnis ist Dritten gegenüber unwirksam. </w:t>
      </w:r>
      <w:r>
        <w:rPr>
          <w:rStyle w:val="Satznummer"/>
        </w:rPr>
        <w:t>3</w:t>
      </w:r>
      <w:r>
        <w:t xml:space="preserve">Dies gilt insbesondere für die Beschränkung, dass sich die Vertretung nur auf bestimmte Geschäfte oder Arten von Geschäften erstreckt oder dass sie nur unter gewissen Umständen oder für eine gewisse Zeit oder an einzelnen Orten stattfinden soll. </w:t>
      </w:r>
      <w:r>
        <w:rPr>
          <w:rStyle w:val="Satznummer"/>
        </w:rPr>
        <w:t>4</w:t>
      </w:r>
      <w:r>
        <w:t xml:space="preserve">Hinsichtlich der Beschränkung auf den Betrieb einer von mehreren Niederlassungen der Gesellschaft ist </w:t>
      </w:r>
      <w:hyperlink w:anchor="b62" w:history="1">
        <w:r>
          <w:rPr>
            <w:color w:val="0A3A8C"/>
            <w:u w:val="single"/>
          </w:rPr>
          <w:t xml:space="preserve">§ 50</w:t>
        </w:r>
      </w:hyperlink>
      <w:r>
        <w:t xml:space="preserve"> Absatz 3 entsprechend anzuwenden.</w:t>
      </w:r>
    </w:p>
    <w:p>
      <w:r>
        <w:t xml:space="preserve">(5) Die Vertretungsbefugnis kann einem Gesellschafter in entsprechender Anwendung von </w:t>
      </w:r>
      <w:hyperlink w:anchor="b151" w:history="1">
        <w:r>
          <w:rPr>
            <w:color w:val="0A3A8C"/>
            <w:u w:val="single"/>
          </w:rPr>
          <w:t xml:space="preserve">§ 116</w:t>
        </w:r>
      </w:hyperlink>
      <w:r>
        <w:t xml:space="preserve"> Absatz 5 ganz oder teilweise entzogen werden, sofern im Gesellschaftsvertrag nichts anderes vereinbart ist.</w:t>
      </w:r>
    </w:p>
    <w:p>
      <w:r>
        <w:t>(6) Ist der Gesellschaft gegenüber eine Willenserklärung abzugeben, genügt die Abgabe gegenüber einem vertretungsbefugten Gesellschafter.</w:t>
      </w:r>
    </w:p>
    <w:p>
      <w:pPr>
        <w:pStyle w:val="Heading4"/>
      </w:pPr>
      <w:bookmarkStart w:id="162" w:name="b161"/>
      <w:r>
        <w:t>§ 125 Angaben auf Geschäftsbriefen</w:t>
      </w:r>
      <w:r>
        <w:t xml:space="preserve"> </w:t>
      </w:r>
      <w:r>
        <w:rPr>
          <w:rStyle w:val="Suchmarke"/>
        </w:rPr>
        <w:t>#125#</w:t>
      </w:r>
      <w:bookmarkEnd w:id="162"/>
    </w:p>
    <w:p>
      <w:r>
        <w:t xml:space="preserve">(1) </w:t>
      </w:r>
      <w:r>
        <w:rPr>
          <w:rStyle w:val="Satznummer"/>
        </w:rPr>
        <w:t>1</w:t>
      </w:r>
      <w:r>
        <w:t xml:space="preserve">Auf allen Geschäftsbriefen der Gesellschaft, gleichviel welcher Form, die an einen bestimmten Empfänger gerichtet werden, müssen die Firma und der Sitz der Gesellschaft, das Registergericht und die Nummer, unter der die Gesellschaft in das Handelsregister eingetragen ist, angegeben werden. </w:t>
      </w:r>
      <w:r>
        <w:rPr>
          <w:rStyle w:val="Satznummer"/>
        </w:rPr>
        <w:t>2</w:t>
      </w:r>
      <w:r>
        <w:t xml:space="preserve">Bei einer Gesellschaft, bei der kein Gesellschafter eine natürliche Person ist, sind auf den Geschäftsbriefen der Gesellschaft ferner die Firmen oder Namen der Gesellschafter anzugeben sowie für die Gesellschafter die nach § 35a des Gesetzes betreffend die Gesellschaften mit beschränkter Haftung oder § 80 des Aktiengesetzes für Geschäftsbriefe vorgeschriebenen Angaben zu machen. </w:t>
      </w:r>
      <w:r>
        <w:rPr>
          <w:rStyle w:val="Satznummer"/>
        </w:rPr>
        <w:t>3</w:t>
      </w:r>
      <w:r>
        <w:t>Die Angaben nach Satz 2 sind nicht erforderlich, wenn zu den Gesellschaftern der Gesellschaft eine rechtsfähige Personengesellschaft gehört, bei der mindestens ein persönlich haftender Gesellschafter eine natürliche Person ist.</w:t>
      </w:r>
    </w:p>
    <w:p>
      <w:r>
        <w:t xml:space="preserve">(2) </w:t>
      </w:r>
      <w:r>
        <w:rPr>
          <w:rStyle w:val="Satznummer"/>
        </w:rPr>
        <w:t>1</w:t>
      </w:r>
      <w:r>
        <w:t xml:space="preserve">Für Vordrucke und Bestellscheine ist </w:t>
      </w:r>
      <w:hyperlink w:anchor="b56" w:history="1">
        <w:r>
          <w:rPr>
            <w:color w:val="0A3A8C"/>
            <w:u w:val="single"/>
          </w:rPr>
          <w:t xml:space="preserve">§ 37a</w:t>
        </w:r>
      </w:hyperlink>
      <w:r>
        <w:t xml:space="preserve"> Absatz 2 und 3 entsprechend anzuwenden. </w:t>
      </w:r>
      <w:r>
        <w:rPr>
          <w:rStyle w:val="Satznummer"/>
        </w:rPr>
        <w:t>2</w:t>
      </w:r>
      <w:r>
        <w:t xml:space="preserve">Für Zwangsgelder gegen die zur Vertretung der Gesellschaft befugten Gesellschafter oder deren organschaftliche Vertreter und die Liquidatoren ist </w:t>
      </w:r>
      <w:hyperlink w:anchor="b56" w:history="1">
        <w:r>
          <w:rPr>
            <w:color w:val="0A3A8C"/>
            <w:u w:val="single"/>
          </w:rPr>
          <w:t xml:space="preserve">§ 37a</w:t>
        </w:r>
      </w:hyperlink>
      <w:r>
        <w:t xml:space="preserve"> Absatz 4 entsprechend anzuwenden.</w:t>
      </w:r>
    </w:p>
    <w:p>
      <w:pPr>
        <w:pStyle w:val="Heading4"/>
      </w:pPr>
      <w:bookmarkStart w:id="163" w:name="b162"/>
      <w:r>
        <w:t>§ 126 Persönliche Haftung der Gesellschafter</w:t>
      </w:r>
      <w:r>
        <w:t xml:space="preserve"> </w:t>
      </w:r>
      <w:r>
        <w:rPr>
          <w:rStyle w:val="Suchmarke"/>
        </w:rPr>
        <w:t>#126#</w:t>
      </w:r>
      <w:bookmarkEnd w:id="163"/>
    </w:p>
    <w:p>
      <w:r>
        <w:rPr>
          <w:rStyle w:val="Satznummer"/>
        </w:rPr>
        <w:t>1</w:t>
      </w:r>
      <w:r>
        <w:t xml:space="preserve">Die Gesellschafter haften für die Verbindlichkeiten der Gesellschaft den Gläubigern als Gesamtschuldner persönlich. </w:t>
      </w:r>
      <w:r>
        <w:rPr>
          <w:rStyle w:val="Satznummer"/>
        </w:rPr>
        <w:t>2</w:t>
      </w:r>
      <w:r>
        <w:t>Eine entgegenstehende Vereinbarung ist Dritten gegenüber unwirksam.</w:t>
      </w:r>
    </w:p>
    <w:p>
      <w:pPr>
        <w:pStyle w:val="Heading4"/>
      </w:pPr>
      <w:bookmarkStart w:id="164" w:name="b163"/>
      <w:r>
        <w:t>§ 127 Haftung des eintretenden Gesellschafters</w:t>
      </w:r>
      <w:r>
        <w:t xml:space="preserve"> </w:t>
      </w:r>
      <w:r>
        <w:rPr>
          <w:rStyle w:val="Suchmarke"/>
        </w:rPr>
        <w:t>#127#</w:t>
      </w:r>
      <w:bookmarkEnd w:id="164"/>
    </w:p>
    <w:p>
      <w:r>
        <w:rPr>
          <w:rStyle w:val="Satznummer"/>
        </w:rPr>
        <w:t>1</w:t>
      </w:r>
      <w:r>
        <w:t xml:space="preserve">Wer in eine bestehende Gesellschaft eintritt, haftet gleich den anderen Gesellschaftern nach Maßgabe der </w:t>
      </w:r>
      <w:hyperlink w:anchor="b162" w:history="1">
        <w:r>
          <w:rPr>
            <w:color w:val="0A3A8C"/>
            <w:u w:val="single"/>
          </w:rPr>
          <w:t xml:space="preserve">§§ 126</w:t>
        </w:r>
      </w:hyperlink>
      <w:r>
        <w:t xml:space="preserve"> und </w:t>
      </w:r>
      <w:hyperlink w:anchor="b164" w:history="1">
        <w:r>
          <w:rPr>
            <w:color w:val="0A3A8C"/>
            <w:u w:val="single"/>
          </w:rPr>
          <w:t xml:space="preserve">128</w:t>
        </w:r>
      </w:hyperlink>
      <w:r>
        <w:t xml:space="preserve"> für die vor seinem Eintritt begründeten Verbindlichkeiten der Gesellschaft. </w:t>
      </w:r>
      <w:r>
        <w:rPr>
          <w:rStyle w:val="Satznummer"/>
        </w:rPr>
        <w:t>2</w:t>
      </w:r>
      <w:r>
        <w:t>Eine entgegenstehende Vereinbarung ist Dritten gegenüber unwirksam.</w:t>
      </w:r>
    </w:p>
    <w:p>
      <w:pPr>
        <w:pStyle w:val="Heading4"/>
      </w:pPr>
      <w:bookmarkStart w:id="165" w:name="b164"/>
      <w:r>
        <w:t>§ 128 Einwendungen und Einreden des Gesellschafters</w:t>
      </w:r>
      <w:r>
        <w:t xml:space="preserve"> </w:t>
      </w:r>
      <w:r>
        <w:rPr>
          <w:rStyle w:val="Suchmarke"/>
        </w:rPr>
        <w:t>#128#</w:t>
      </w:r>
      <w:bookmarkEnd w:id="165"/>
    </w:p>
    <w:p>
      <w:r>
        <w:t>(1) Wird ein Gesellschafter wegen einer Verbindlichkeit der Gesellschaft in Anspruch genommen, kann er Einwendungen und Einreden, die nicht in seiner Person begründet sind, insoweit geltend machen, als sie von der Gesellschaft erhoben werden können.</w:t>
      </w:r>
    </w:p>
    <w:p>
      <w:r>
        <w:t>(2) Der Gesellschafter kann die Befriedigung des Gläubigers verweigern, solange der Gesellschaft in Ansehung der Verbindlichkeit das Recht zur Anfechtung oder Aufrechnung oder ein anderes Gestaltungsrecht, dessen Ausübung die Gesellschaft ihrerseits zur Leistungsverweigerung berechtigen würde, zusteht.</w:t>
      </w:r>
    </w:p>
    <w:p>
      <w:pPr>
        <w:pStyle w:val="Heading4"/>
      </w:pPr>
      <w:bookmarkStart w:id="166" w:name="b165"/>
      <w:r>
        <w:t>§ 129 Zwangsvollstreckung gegen die Gesellschaft oder gegen ihre Gesellschafter</w:t>
      </w:r>
      <w:r>
        <w:t xml:space="preserve"> </w:t>
      </w:r>
      <w:r>
        <w:rPr>
          <w:rStyle w:val="Suchmarke"/>
        </w:rPr>
        <w:t>#129#</w:t>
      </w:r>
      <w:bookmarkEnd w:id="166"/>
    </w:p>
    <w:p>
      <w:r>
        <w:t>(1) Zur Zwangsvollstreckung in das Vermögen der Gesellschaft ist ein gegen die Gesellschaft gerichteter Vollstreckungstitel erforderlich.</w:t>
      </w:r>
    </w:p>
    <w:p>
      <w:r>
        <w:t>(2) Aus einem gegen die Gesellschaft gerichteten Vollstreckungstitel findet die Zwangsvollstreckung gegen die Gesellschafter nicht statt.</w:t>
      </w:r>
    </w:p>
    <w:p>
      <w:pPr>
        <w:pStyle w:val="Heading3"/>
      </w:pPr>
      <w:bookmarkStart w:id="167" w:name="b166"/>
      <w:r>
        <w:t>Vierter Titel Ausscheiden eines Gesellschafters</w:t>
      </w:r>
      <w:bookmarkEnd w:id="167"/>
    </w:p>
    <w:p>
      <w:pPr>
        <w:pStyle w:val="Heading4"/>
      </w:pPr>
      <w:bookmarkStart w:id="168" w:name="b167"/>
      <w:r>
        <w:t>§ 130 Gründe für das Ausscheiden; Zeitpunkt des Ausscheidens</w:t>
      </w:r>
      <w:r>
        <w:t xml:space="preserve"> </w:t>
      </w:r>
      <w:r>
        <w:rPr>
          <w:rStyle w:val="Suchmarke"/>
        </w:rPr>
        <w:t>#130#</w:t>
      </w:r>
      <w:bookmarkEnd w:id="168"/>
    </w:p>
    <w:p>
      <w:r>
        <w:t>(1) Folgende Gründe führen zum Ausscheiden eines Gesellschafters aus der Gesellschaft, sofern der Gesellschaftsvertrag für diese Fälle nicht die Auflösung der Gesellschaft vorsieht:</w:t>
      </w:r>
    </w:p>
    <w:p>
      <w:pPr>
        <w:tabs>
          <w:tab w:pos="567" w:val="left"/>
        </w:tabs>
        <w:ind w:left="567" w:hanging="567"/>
      </w:pPr>
      <w:r>
        <w:t>1.</w:t>
      </w:r>
      <w:r>
        <w:tab/>
      </w:r>
      <w:r>
        <w:t>Tod des Gesellschafters;</w:t>
      </w:r>
    </w:p>
    <w:p>
      <w:pPr>
        <w:tabs>
          <w:tab w:pos="567" w:val="left"/>
        </w:tabs>
        <w:ind w:left="567" w:hanging="567"/>
      </w:pPr>
      <w:r>
        <w:t>2.</w:t>
      </w:r>
      <w:r>
        <w:tab/>
      </w:r>
      <w:r>
        <w:t>Kündigung der Mitgliedschaft durch den Gesellschafter;</w:t>
      </w:r>
    </w:p>
    <w:p>
      <w:pPr>
        <w:tabs>
          <w:tab w:pos="567" w:val="left"/>
        </w:tabs>
        <w:ind w:left="567" w:hanging="567"/>
      </w:pPr>
      <w:r>
        <w:t>3.</w:t>
      </w:r>
      <w:r>
        <w:tab/>
      </w:r>
      <w:r>
        <w:t>Eröffnung des Insolvenzverfahrens über das Vermögen des Gesellschafters;</w:t>
      </w:r>
    </w:p>
    <w:p>
      <w:pPr>
        <w:tabs>
          <w:tab w:pos="567" w:val="left"/>
        </w:tabs>
        <w:ind w:left="567" w:hanging="567"/>
      </w:pPr>
      <w:r>
        <w:t>4.</w:t>
      </w:r>
      <w:r>
        <w:tab/>
      </w:r>
      <w:r>
        <w:t>Kündigung der Mitgliedschaft durch einen Privatgläubiger des Gesellschafters;</w:t>
      </w:r>
    </w:p>
    <w:p>
      <w:pPr>
        <w:tabs>
          <w:tab w:pos="567" w:val="left"/>
        </w:tabs>
        <w:ind w:left="567" w:hanging="567"/>
      </w:pPr>
      <w:r>
        <w:t>5.</w:t>
      </w:r>
      <w:r>
        <w:tab/>
      </w:r>
      <w:r>
        <w:t>gerichtliche Entscheidung über Ausschließungsklage.</w:t>
      </w:r>
    </w:p>
    <w:p>
      <w:r>
        <w:t>(2) Im Gesellschaftsvertrag können weitere Gründe für das Ausscheiden eines Gesellschafters vereinbart werden.</w:t>
      </w:r>
    </w:p>
    <w:p>
      <w:r>
        <w:t>(3) Der Gesellschafter scheidet mit Eintritt des ihn betreffenden Ausscheidensgrundes aus, im Fall der Kündigung der Mitgliedschaft aber nicht vor Ablauf der Kündigungsfrist und im Fall der gerichtlichen Entscheidung über die Ausschließungsklage nicht vor Rechtskraft des stattgebenden Urteils.</w:t>
      </w:r>
    </w:p>
    <w:p>
      <w:pPr>
        <w:pStyle w:val="Heading4"/>
      </w:pPr>
      <w:bookmarkStart w:id="169" w:name="b168"/>
      <w:r>
        <w:t>§ 131 Fortsetzung mit dem Erben; Ausscheiden des Erben</w:t>
      </w:r>
      <w:r>
        <w:t xml:space="preserve"> </w:t>
      </w:r>
      <w:r>
        <w:rPr>
          <w:rStyle w:val="Suchmarke"/>
        </w:rPr>
        <w:t>#131#</w:t>
      </w:r>
      <w:bookmarkEnd w:id="169"/>
    </w:p>
    <w:p>
      <w:r>
        <w:t>(1) Geht der Anteil eines verstorbenen Gesellschafters auf dessen Erben über, so kann jeder Erbe gegenüber den anderen Gesellschaftern antragen, dass ihm die Stellung eines Kommanditisten eingeräumt und der auf ihn entfallende Anteil des Erblassers als seine Kommanditeinlage anerkannt wird.</w:t>
      </w:r>
    </w:p>
    <w:p>
      <w:r>
        <w:t>(2) Nehmen die anderen Gesellschafter einen Antrag nach Absatz 1 nicht an, ist der Erbe befugt, seine Mitgliedschaft in der Gesellschaft ohne Einhaltung einer Kündigungsfrist zu kündigen.</w:t>
      </w:r>
    </w:p>
    <w:p>
      <w:r>
        <w:t xml:space="preserve">(3) </w:t>
      </w:r>
      <w:r>
        <w:rPr>
          <w:rStyle w:val="Satznummer"/>
        </w:rPr>
        <w:t>1</w:t>
      </w:r>
      <w:r>
        <w:t xml:space="preserve">Die Rechte nach den Absätzen 1 bis 2 können von dem Erben nur innerhalb von drei Monaten nach dem Zeitpunkt, zu dem er von dem Anfall der Erbschaft Kenntnis erlangt hat, geltend gemacht werden. </w:t>
      </w:r>
      <w:r>
        <w:rPr>
          <w:rStyle w:val="Satznummer"/>
        </w:rPr>
        <w:t>2</w:t>
      </w:r>
      <w:r>
        <w:t xml:space="preserve">Auf den Lauf der Frist ist § 210 des Bürgerlichen Gesetzbuchs entsprechend anzuwenden. </w:t>
      </w:r>
      <w:r>
        <w:rPr>
          <w:rStyle w:val="Satznummer"/>
        </w:rPr>
        <w:t>3</w:t>
      </w:r>
      <w:r>
        <w:t>Ist bei Ablauf der drei Monate das Recht zur Ausschlagung der Erbschaft noch nicht verloren, endet die Frist nicht vor dem Ablauf der Ausschlagungsfrist.</w:t>
      </w:r>
    </w:p>
    <w:p>
      <w:r>
        <w:t>(4) Scheidet innerhalb der Frist des Absatzes 3 der Erbe aus der Gesellschaft aus oder wird innerhalb der Frist die Gesellschaft aufgelöst oder dem Erben die Stellung eines Kommanditisten eingeräumt, so haftet er für die bis dahin entstandenen Gesellschaftsverbindlichkeiten nur nach Maßgabe der Vorschriften des bürgerlichen Rechts, welche die Haftung des Erben für die Nachlassverbindlichkeiten betreffen.</w:t>
      </w:r>
    </w:p>
    <w:p>
      <w:r>
        <w:t xml:space="preserve">(5) </w:t>
      </w:r>
      <w:r>
        <w:rPr>
          <w:rStyle w:val="Satznummer"/>
        </w:rPr>
        <w:t>1</w:t>
      </w:r>
      <w:r>
        <w:t xml:space="preserve">Der Gesellschaftsvertrag kann die Anwendung der Vorschriften der Absätze 1 bis 4 nicht ausschließen. </w:t>
      </w:r>
      <w:r>
        <w:rPr>
          <w:rStyle w:val="Satznummer"/>
        </w:rPr>
        <w:t>2</w:t>
      </w:r>
      <w:r>
        <w:t>Jedoch kann für den Fall, dass der Erbe sein Verbleiben in der Gesellschaft von der Einräumung der Stellung eines Kommanditisten abhängig macht, sein Gewinnanteil anders als der des Erblassers bestimmt werden.</w:t>
      </w:r>
    </w:p>
    <w:p>
      <w:pPr>
        <w:pStyle w:val="Heading4"/>
      </w:pPr>
      <w:bookmarkStart w:id="170" w:name="b169"/>
      <w:r>
        <w:t>§ 132 Kündigung der Mitgliedschaft durch den Gesellschafter</w:t>
      </w:r>
      <w:r>
        <w:t xml:space="preserve"> </w:t>
      </w:r>
      <w:r>
        <w:rPr>
          <w:rStyle w:val="Suchmarke"/>
        </w:rPr>
        <w:t>#132#</w:t>
      </w:r>
      <w:bookmarkEnd w:id="170"/>
    </w:p>
    <w:p>
      <w:r>
        <w:t>(1) Ist das Gesellschaftsverhältnis auf unbestimmte Zeit eingegangen, kann ein Gesellschafter seine Mitgliedschaft unter Einhaltung einer Frist von sechs Monaten zum Ablauf des Geschäftsjahres gegenüber der Gesellschaft kündigen.</w:t>
      </w:r>
    </w:p>
    <w:p>
      <w:r>
        <w:t xml:space="preserve">(2) </w:t>
      </w:r>
      <w:r>
        <w:rPr>
          <w:rStyle w:val="Satznummer"/>
        </w:rPr>
        <w:t>1</w:t>
      </w:r>
      <w:r>
        <w:t xml:space="preserve">Ist für das Gesellschaftsverhältnis eine Zeitdauer vereinbart, ist die Kündigung der Mitgliedschaft durch einen Gesellschafter vor dem Ablauf dieser Zeit zulässig, wenn ein wichtiger Grund vorliegt. </w:t>
      </w:r>
      <w:r>
        <w:rPr>
          <w:rStyle w:val="Satznummer"/>
        </w:rPr>
        <w:t>2</w:t>
      </w:r>
      <w:r>
        <w:t>Ein wichtiger Grund liegt insbesondere vor, wenn ein anderer Gesellschafter eine ihm nach dem Gesellschaftsvertrag obliegende wesentliche Verpflichtung vorsätzlich oder grob fahrlässig verletzt hat oder wenn die Erfüllung einer solchen Verpflichtung unmöglich wird.</w:t>
      </w:r>
    </w:p>
    <w:p>
      <w:r>
        <w:t>(3) Liegt ein wichtiger Grund im Sinne von Absatz 2 Satz 2 vor, so ist eine Kündigung der Mitgliedschaft durch einen Gesellschafter stets ohne Einhaltung einer Kündigungsfrist zulässig.</w:t>
      </w:r>
    </w:p>
    <w:p>
      <w:r>
        <w:t xml:space="preserve">(4) </w:t>
      </w:r>
      <w:r>
        <w:rPr>
          <w:rStyle w:val="Satznummer"/>
        </w:rPr>
        <w:t>1</w:t>
      </w:r>
      <w:r>
        <w:t xml:space="preserve">Ein Gesellschafter kann seine Mitgliedschaft auch kündigen, wenn er volljährig geworden ist. </w:t>
      </w:r>
      <w:r>
        <w:rPr>
          <w:rStyle w:val="Satznummer"/>
        </w:rPr>
        <w:t>2</w:t>
      </w:r>
      <w:r>
        <w:t xml:space="preserve">Das Kündigungsrecht besteht nicht, wenn der Gesellschafter bezüglich des Gegenstands der Gesellschaft zum selbständigen Betrieb eines Erwerbsgeschäfts gemäß § 112 des Bürgerlichen Gesetzbuchs ermächtigt war oder der Zweck der Gesellschaft allein der Befriedigung seiner persönlichen Bedürfnisse diente. </w:t>
      </w:r>
      <w:r>
        <w:rPr>
          <w:rStyle w:val="Satznummer"/>
        </w:rPr>
        <w:t>3</w:t>
      </w:r>
      <w:r>
        <w:t>Der volljährig Gewordene kann die Kündigung nur binnen drei Monaten von dem Zeitpunkt an erklären, in welchem er von seiner Gesellschafterstellung Kenntnis hatte oder haben musste.</w:t>
      </w:r>
    </w:p>
    <w:p>
      <w:r>
        <w:t xml:space="preserve">(5) </w:t>
      </w:r>
      <w:r>
        <w:rPr>
          <w:rStyle w:val="Satznummer"/>
        </w:rPr>
        <w:t>1</w:t>
      </w:r>
      <w:r>
        <w:t xml:space="preserve">Die Kündigung darf nicht zur Unzeit geschehen, es sei denn, dass ein wichtiger Grund für die unzeitige Kündigung vorliegt. </w:t>
      </w:r>
      <w:r>
        <w:rPr>
          <w:rStyle w:val="Satznummer"/>
        </w:rPr>
        <w:t>2</w:t>
      </w:r>
      <w:r>
        <w:t>Kündigt ein Gesellschafter seine Mitgliedschaft dennoch ohne einen solchen Grund zur Unzeit, hat er der Gesellschaft den daraus entstehenden Schaden zu ersetzen.</w:t>
      </w:r>
    </w:p>
    <w:p>
      <w:r>
        <w:t>(6) Eine Vereinbarung im Gesellschaftsvertrag, welche das Kündigungsrecht nach den Absätzen 2 und 4 ausschließt oder diesen Vorschriften zuwider beschränkt, ist unwirksam.</w:t>
      </w:r>
    </w:p>
    <w:p>
      <w:pPr>
        <w:pStyle w:val="Heading4"/>
      </w:pPr>
      <w:bookmarkStart w:id="171" w:name="b170"/>
      <w:r>
        <w:t>§ 133 Kündigung der Mitgliedschaft durch einen Privatgläubiger des Gesellschafters</w:t>
      </w:r>
      <w:r>
        <w:t xml:space="preserve"> </w:t>
      </w:r>
      <w:r>
        <w:rPr>
          <w:rStyle w:val="Suchmarke"/>
        </w:rPr>
        <w:t>#133#</w:t>
      </w:r>
      <w:bookmarkEnd w:id="171"/>
    </w:p>
    <w:p>
      <w:r>
        <w:t>Hat ein Privatgläubiger eines Gesellschafters, nachdem innerhalb der letzten sechs Monate eine Zwangsvollstreckung in das bewegliche Vermögen des Gesellschafters ohne Erfolg versucht wurde, aufgrund eines nicht bloß vorläufig vollstreckbaren Schuldtitels die Pfändung des Anteils des Gesellschafters an der Gesellschaft erwirkt, kann er dessen Mitgliedschaft gegenüber der Gesellschaft unter Einhaltung einer Frist von sechs Monaten zum Ablauf des Geschäftsjahrs kündigen.</w:t>
      </w:r>
    </w:p>
    <w:p>
      <w:pPr>
        <w:pStyle w:val="Heading4"/>
      </w:pPr>
      <w:bookmarkStart w:id="172" w:name="b171"/>
      <w:r>
        <w:t>§ 134 Gerichtliche Entscheidung über Ausschließungsklage</w:t>
      </w:r>
      <w:r>
        <w:t xml:space="preserve"> </w:t>
      </w:r>
      <w:r>
        <w:rPr>
          <w:rStyle w:val="Suchmarke"/>
        </w:rPr>
        <w:t>#134#</w:t>
      </w:r>
      <w:bookmarkEnd w:id="172"/>
    </w:p>
    <w:p>
      <w:r>
        <w:rPr>
          <w:rStyle w:val="Satznummer"/>
        </w:rPr>
        <w:t>1</w:t>
      </w:r>
      <w:r>
        <w:t xml:space="preserve">Tritt in der Person eines Gesellschafters ein wichtiger Grund ein, kann auf Antrag der anderen Gesellschafter seine Ausschließung aus der Gesellschaft durch gerichtliche Entscheidung ausgesprochen werden, sofern im Gesellschaftsvertrag nichts anderes vereinbart ist. </w:t>
      </w:r>
      <w:r>
        <w:rPr>
          <w:rStyle w:val="Satznummer"/>
        </w:rPr>
        <w:t>2</w:t>
      </w:r>
      <w:r>
        <w:t xml:space="preserve">Ein wichtiger Grund liegt insbesondere vor, wenn der Gesellschafter eine ihm nach dem Gesellschaftsvertrag obliegende wesentliche Verpflichtung vorsätzlich oder grob fahrlässig verletzt hat oder wenn ihm die Erfüllung einer solchen Verpflichtung unmöglich wird. </w:t>
      </w:r>
      <w:r>
        <w:rPr>
          <w:rStyle w:val="Satznummer"/>
        </w:rPr>
        <w:t>3</w:t>
      </w:r>
      <w:r>
        <w:t>Der Klage steht nicht entgegen, dass nach der Ausschließung nur ein Gesellschafter verbleibt.</w:t>
      </w:r>
    </w:p>
    <w:p>
      <w:pPr>
        <w:pStyle w:val="Heading4"/>
      </w:pPr>
      <w:bookmarkStart w:id="173" w:name="b172"/>
      <w:r>
        <w:t>§ 135 Ansprüche des ausgeschiedenen Gesellschafters</w:t>
      </w:r>
      <w:r>
        <w:t xml:space="preserve"> </w:t>
      </w:r>
      <w:r>
        <w:rPr>
          <w:rStyle w:val="Suchmarke"/>
        </w:rPr>
        <w:t>#135#</w:t>
      </w:r>
      <w:bookmarkEnd w:id="173"/>
    </w:p>
    <w:p>
      <w:r>
        <w:t xml:space="preserve">(1) </w:t>
      </w:r>
      <w:r>
        <w:rPr>
          <w:rStyle w:val="Satznummer"/>
        </w:rPr>
        <w:t>1</w:t>
      </w:r>
      <w:r>
        <w:t xml:space="preserve">Sofern im Gesellschaftsvertrag nichts anderes vereinbart ist, ist die Gesellschaft verpflichtet, den ausgeschiedenen Gesellschafter von der Haftung für die Verbindlichkeiten der Gesellschaft zu befreien und ihm eine dem Wert seines Anteils angemessene Abfindung zu zahlen. </w:t>
      </w:r>
      <w:r>
        <w:rPr>
          <w:rStyle w:val="Satznummer"/>
        </w:rPr>
        <w:t>2</w:t>
      </w:r>
      <w:r>
        <w:t xml:space="preserve">Sind Verbindlichkeiten der Gesellschaft noch nicht fällig, kann die Gesellschaft dem Ausgeschiedenen Sicherheit leisten, statt ihn von der Haftung nach </w:t>
      </w:r>
      <w:hyperlink w:anchor="b162" w:history="1">
        <w:r>
          <w:rPr>
            <w:color w:val="0A3A8C"/>
            <w:u w:val="single"/>
          </w:rPr>
          <w:t xml:space="preserve">§ 126</w:t>
        </w:r>
      </w:hyperlink>
      <w:r>
        <w:t xml:space="preserve"> zu befreien.</w:t>
      </w:r>
    </w:p>
    <w:p>
      <w:r>
        <w:t xml:space="preserve">(2) Im Fall des </w:t>
      </w:r>
      <w:hyperlink w:anchor="b171" w:history="1">
        <w:r>
          <w:rPr>
            <w:color w:val="0A3A8C"/>
            <w:u w:val="single"/>
          </w:rPr>
          <w:t xml:space="preserve">§ 134</w:t>
        </w:r>
      </w:hyperlink>
      <w:r>
        <w:t xml:space="preserve"> ist für die Ermittlung des Abfindungsanspruchs die Vermögenslage der Gesellschaft in dem Zeitpunkt maßgebend, in welchem die Ausschließungsklage erhoben ist.</w:t>
      </w:r>
    </w:p>
    <w:p>
      <w:r>
        <w:t>(3) Der Wert des Gesellschaftsanteils ist, soweit erforderlich, im Wege der Schätzung zu ermitteln.</w:t>
      </w:r>
    </w:p>
    <w:p>
      <w:pPr>
        <w:pStyle w:val="Heading4"/>
      </w:pPr>
      <w:bookmarkStart w:id="174" w:name="b173"/>
      <w:r>
        <w:t>§ 136 Haftung des ausgeschiedenen Gesellschafters für Fehlbetrag</w:t>
      </w:r>
      <w:r>
        <w:t xml:space="preserve"> </w:t>
      </w:r>
      <w:r>
        <w:rPr>
          <w:rStyle w:val="Suchmarke"/>
        </w:rPr>
        <w:t>#136#</w:t>
      </w:r>
      <w:bookmarkEnd w:id="174"/>
    </w:p>
    <w:p>
      <w:r>
        <w:t>Reicht der Wert des Gesellschaftsvermögens zur Deckung der Verbindlichkeiten der Gesellschaft nicht aus, hat der ausgeschiedene Gesellschafter der Gesellschaft für den Fehlbetrag nach dem Verhältnis seines Anteils am Gewinn und Verlust aufzukommen.</w:t>
      </w:r>
    </w:p>
    <w:p>
      <w:pPr>
        <w:pStyle w:val="Heading4"/>
      </w:pPr>
      <w:bookmarkStart w:id="175" w:name="b174"/>
      <w:r>
        <w:t>§ 137 Nachhaftung des ausgeschiedenen Gesellschafters</w:t>
      </w:r>
      <w:r>
        <w:t xml:space="preserve"> </w:t>
      </w:r>
      <w:r>
        <w:rPr>
          <w:rStyle w:val="Suchmarke"/>
        </w:rPr>
        <w:t>#137#</w:t>
      </w:r>
      <w:bookmarkEnd w:id="175"/>
    </w:p>
    <w:p>
      <w:r>
        <w:t xml:space="preserve">(1) </w:t>
      </w:r>
      <w:r>
        <w:rPr>
          <w:rStyle w:val="Satznummer"/>
        </w:rPr>
        <w:t>1</w:t>
      </w:r>
      <w:r>
        <w:t>Scheidet ein Gesellschafter aus der Gesellschaft aus, so haftet er für deren bis dahin begründete Verbindlichkeiten, wenn sie vor Ablauf von fünf Jahren nach seinem Ausscheiden fällig sind und</w:t>
      </w:r>
    </w:p>
    <w:p>
      <w:pPr>
        <w:tabs>
          <w:tab w:pos="567" w:val="left"/>
        </w:tabs>
        <w:ind w:left="567" w:hanging="567"/>
      </w:pPr>
      <w:r>
        <w:t>1.</w:t>
      </w:r>
      <w:r>
        <w:tab/>
      </w:r>
      <w:r>
        <w:t>daraus Ansprüche gegen ihn in einer in § 197 Absatz 1 Nummer 3 bis 5 des Bürgerlichen Gesetzbuchs bezeichneten Art festgestellt sind oder</w:t>
      </w:r>
    </w:p>
    <w:p>
      <w:pPr>
        <w:tabs>
          <w:tab w:pos="567" w:val="left"/>
        </w:tabs>
        <w:ind w:left="567" w:hanging="567"/>
      </w:pPr>
      <w:r>
        <w:t>2.</w:t>
      </w:r>
      <w:r>
        <w:tab/>
      </w:r>
      <w:r>
        <w:t>eine gerichtliche oder behördliche Vollstreckungshandlung vorgenommen oder beantragt wird; bei öffentlich-rechtlichen Verbindlichkeiten genügt der Erlass eines Verwaltungsakts.</w:t>
      </w:r>
    </w:p>
    <w:p>
      <w:r>
        <w:rPr>
          <w:rStyle w:val="Satznummer"/>
        </w:rPr>
        <w:t>2</w:t>
      </w:r>
      <w:r>
        <w:t xml:space="preserve">Ist die Verbindlichkeit auf Schadensersatz gerichtet, haftet der ausgeschiedene Gesellschafter nach Satz 1 nur, wenn auch die zum Schadensersatz führende Verletzung vertraglicher oder gesetzlicher Pflichten vor dem Ausscheiden des Gesellschafters eingetreten ist. </w:t>
      </w:r>
      <w:r>
        <w:rPr>
          <w:rStyle w:val="Satznummer"/>
        </w:rPr>
        <w:t>3</w:t>
      </w:r>
      <w:r>
        <w:t xml:space="preserve">Die Frist beginnt, sobald der Gläubiger von dem Ausscheiden des Gesellschafters Kenntnis erlangt hat oder das Ausscheiden des Gesellschafters im Handelsregister eingetragen worden ist. </w:t>
      </w:r>
      <w:r>
        <w:rPr>
          <w:rStyle w:val="Satznummer"/>
        </w:rPr>
        <w:t>4</w:t>
      </w:r>
      <w:r>
        <w:t>Die §§ 204, 206, 210, 211 und 212 Absatz 2 und 3 des Bürgerlichen Gesetzbuchs sind entsprechend anzuwenden.</w:t>
      </w:r>
    </w:p>
    <w:p>
      <w:r>
        <w:t>(2) Einer Feststellung in einer in § 197 Absatz 1 Nummer 3 bis 5 des Bürgerlichen Gesetzbuchs bezeichneten Art bedarf es nicht, soweit der Gesellschafter den Anspruch schriftlich anerkannt hat.</w:t>
      </w:r>
    </w:p>
    <w:p>
      <w:r>
        <w:t xml:space="preserve">(3) </w:t>
      </w:r>
      <w:r>
        <w:rPr>
          <w:rStyle w:val="Satznummer"/>
        </w:rPr>
        <w:t>1</w:t>
      </w:r>
      <w:r>
        <w:t xml:space="preserve">Wird ein Gesellschafter Kommanditist, sind für die Begrenzung seiner Haftung für die im Zeitpunkt der Eintragung der Änderung in das Handelsregister begründeten Verbindlichkeiten die Absätze 1 und 2 entsprechend anzuwenden. </w:t>
      </w:r>
      <w:r>
        <w:rPr>
          <w:rStyle w:val="Satznummer"/>
        </w:rPr>
        <w:t>2</w:t>
      </w:r>
      <w:r>
        <w:t xml:space="preserve">Dies gilt auch, wenn er in der Gesellschaft oder einem ihr als Gesellschafter angehörenden Unternehmen geschäftsführend tätig wird. </w:t>
      </w:r>
      <w:r>
        <w:rPr>
          <w:rStyle w:val="Satznummer"/>
        </w:rPr>
        <w:t>3</w:t>
      </w:r>
      <w:r>
        <w:t>Seine Haftung als Kommanditist bleibt unberührt.</w:t>
      </w:r>
    </w:p>
    <w:p>
      <w:pPr>
        <w:pStyle w:val="Heading3"/>
      </w:pPr>
      <w:bookmarkStart w:id="176" w:name="b175"/>
      <w:r>
        <w:t>Fünfter Titel Auflösung der Gesellschaft</w:t>
      </w:r>
      <w:bookmarkEnd w:id="176"/>
    </w:p>
    <w:p>
      <w:pPr>
        <w:pStyle w:val="Heading4"/>
      </w:pPr>
      <w:bookmarkStart w:id="177" w:name="b176"/>
      <w:r>
        <w:t>§ 138 Auflösungsgründe</w:t>
      </w:r>
      <w:r>
        <w:t xml:space="preserve"> </w:t>
      </w:r>
      <w:r>
        <w:rPr>
          <w:rStyle w:val="Suchmarke"/>
        </w:rPr>
        <w:t>#138#</w:t>
      </w:r>
      <w:bookmarkEnd w:id="177"/>
    </w:p>
    <w:p>
      <w:r>
        <w:t>(1) Die Gesellschaft wird aufgelöst durch:</w:t>
      </w:r>
    </w:p>
    <w:p>
      <w:pPr>
        <w:tabs>
          <w:tab w:pos="567" w:val="left"/>
        </w:tabs>
        <w:ind w:left="567" w:hanging="567"/>
      </w:pPr>
      <w:r>
        <w:t>1.</w:t>
      </w:r>
      <w:r>
        <w:tab/>
      </w:r>
      <w:r>
        <w:t>Ablauf der Zeit, für welche sie eingegangen wurde;</w:t>
      </w:r>
    </w:p>
    <w:p>
      <w:pPr>
        <w:tabs>
          <w:tab w:pos="567" w:val="left"/>
        </w:tabs>
        <w:ind w:left="567" w:hanging="567"/>
      </w:pPr>
      <w:r>
        <w:t>2.</w:t>
      </w:r>
      <w:r>
        <w:tab/>
      </w:r>
      <w:r>
        <w:t>Eröffnung des Insolvenzverfahrens über das Vermögen der Gesellschaft;</w:t>
      </w:r>
    </w:p>
    <w:p>
      <w:pPr>
        <w:tabs>
          <w:tab w:pos="567" w:val="left"/>
        </w:tabs>
        <w:ind w:left="567" w:hanging="567"/>
      </w:pPr>
      <w:r>
        <w:t>3.</w:t>
      </w:r>
      <w:r>
        <w:tab/>
      </w:r>
      <w:r>
        <w:t>gerichtliche Entscheidung über den Antrag auf Auflösung;</w:t>
      </w:r>
    </w:p>
    <w:p>
      <w:pPr>
        <w:tabs>
          <w:tab w:pos="567" w:val="left"/>
        </w:tabs>
        <w:ind w:left="567" w:hanging="567"/>
      </w:pPr>
      <w:r>
        <w:t>4.</w:t>
      </w:r>
      <w:r>
        <w:tab/>
      </w:r>
      <w:r>
        <w:t>Auflösungsbeschluss.</w:t>
      </w:r>
    </w:p>
    <w:p>
      <w:r>
        <w:t xml:space="preserve">(2) </w:t>
      </w:r>
      <w:r>
        <w:rPr>
          <w:rStyle w:val="Satznummer"/>
        </w:rPr>
        <w:t>1</w:t>
      </w:r>
      <w:r>
        <w:t>Eine Gesellschaft, bei der kein persönlich haftender Gesellschafter eine natürliche Person ist, wird ferner aufgelöst:</w:t>
      </w:r>
    </w:p>
    <w:p>
      <w:pPr>
        <w:tabs>
          <w:tab w:pos="567" w:val="left"/>
        </w:tabs>
        <w:ind w:left="567" w:hanging="567"/>
      </w:pPr>
      <w:r>
        <w:t>1.</w:t>
      </w:r>
      <w:r>
        <w:tab/>
      </w:r>
      <w:r>
        <w:t>mit der Rechtskraft des Beschlusses, durch den die Eröffnung des Insolvenzverfahrens mangels Masse abgelehnt worden ist;</w:t>
      </w:r>
    </w:p>
    <w:p>
      <w:pPr>
        <w:tabs>
          <w:tab w:pos="567" w:val="left"/>
        </w:tabs>
        <w:ind w:left="567" w:hanging="567"/>
      </w:pPr>
      <w:r>
        <w:t>2.</w:t>
      </w:r>
      <w:r>
        <w:tab/>
      </w:r>
      <w:r>
        <w:t>durch die Löschung wegen Vermögenslosigkeit nach § 394 des Gesetzes über das Verfahren in Familiensachen und in den Angelegenheiten der freiwilligen Gerichtsbarkeit.</w:t>
      </w:r>
    </w:p>
    <w:p>
      <w:r>
        <w:rPr>
          <w:rStyle w:val="Satznummer"/>
        </w:rPr>
        <w:t>2</w:t>
      </w:r>
      <w:r>
        <w:t>Dies gilt nicht, wenn zu den persönlich haftenden Gesellschaftern eine andere rechtsfähige Personengesellschaft gehört, bei der mindestens ein persönlich haftender Gesellschafter eine natürliche Person ist.</w:t>
      </w:r>
    </w:p>
    <w:p>
      <w:r>
        <w:t>(3) Im Gesellschaftsvertrag können weitere Auflösungsgründe vereinbart werden.</w:t>
      </w:r>
    </w:p>
    <w:p>
      <w:pPr>
        <w:pStyle w:val="Heading4"/>
      </w:pPr>
      <w:bookmarkStart w:id="178" w:name="b177"/>
      <w:r>
        <w:t>§ 139 Auflösung durch gerichtliche Entscheidung</w:t>
      </w:r>
      <w:r>
        <w:t xml:space="preserve"> </w:t>
      </w:r>
      <w:r>
        <w:rPr>
          <w:rStyle w:val="Suchmarke"/>
        </w:rPr>
        <w:t>#139#</w:t>
      </w:r>
      <w:bookmarkEnd w:id="178"/>
    </w:p>
    <w:p>
      <w:r>
        <w:t xml:space="preserve">(1) </w:t>
      </w:r>
      <w:r>
        <w:rPr>
          <w:rStyle w:val="Satznummer"/>
        </w:rPr>
        <w:t>1</w:t>
      </w:r>
      <w:r>
        <w:t xml:space="preserve">Auf Antrag eines Gesellschafters kann aus wichtigem Grund die Auflösung der Gesellschaft durch gerichtliche Entscheidung ausgesprochen werden, wenn ihm die Fortsetzung der Gesellschaft nicht zuzumuten ist. </w:t>
      </w:r>
      <w:r>
        <w:rPr>
          <w:rStyle w:val="Satznummer"/>
        </w:rPr>
        <w:t>2</w:t>
      </w:r>
      <w:r>
        <w:t>Ein wichtiger Grund liegt insbesondere vor, wenn ein anderer Gesellschafter eine ihm nach dem Gesellschaftsvertrag obliegende wesentliche Verpflichtung vorsätzlich oder grob fahrlässig verletzt hat oder wenn die Erfüllung einer solchen Verpflichtung unmöglich wird.</w:t>
      </w:r>
    </w:p>
    <w:p>
      <w:r>
        <w:t>(2) Eine Vereinbarung im Gesellschaftsvertrag, welche das Recht des Gesellschafters, die Auflösung der Gesellschaft aus wichtigem Grund zu verlangen, ausschließt oder Absatz 1 zuwider beschränkt, ist unwirksam.</w:t>
      </w:r>
    </w:p>
    <w:p>
      <w:pPr>
        <w:pStyle w:val="Heading4"/>
      </w:pPr>
      <w:bookmarkStart w:id="179" w:name="b178"/>
      <w:r>
        <w:t>§ 140 Auflösungsbeschluss</w:t>
      </w:r>
      <w:r>
        <w:t xml:space="preserve"> </w:t>
      </w:r>
      <w:r>
        <w:rPr>
          <w:rStyle w:val="Suchmarke"/>
        </w:rPr>
        <w:t>#140#</w:t>
      </w:r>
      <w:bookmarkEnd w:id="179"/>
    </w:p>
    <w:p>
      <w:r>
        <w:t>Hat nach dem Gesellschaftsvertrag die Mehrheit der Stimmen zu entscheiden, muss ein Beschluss, der die Auflösung der Gesellschaft zum Gegenstand hat, mit einer Mehrheit von mindestens drei Viertel der abgegebenen Stimmen gefasst werden.</w:t>
      </w:r>
    </w:p>
    <w:p>
      <w:pPr>
        <w:pStyle w:val="Heading4"/>
      </w:pPr>
      <w:bookmarkStart w:id="180" w:name="b179"/>
      <w:r>
        <w:t>§ 141 Anmeldung der Auflösung</w:t>
      </w:r>
      <w:r>
        <w:t xml:space="preserve"> </w:t>
      </w:r>
      <w:r>
        <w:rPr>
          <w:rStyle w:val="Suchmarke"/>
        </w:rPr>
        <w:t>#141#</w:t>
      </w:r>
      <w:bookmarkEnd w:id="180"/>
    </w:p>
    <w:p>
      <w:r>
        <w:t xml:space="preserve">(1) </w:t>
      </w:r>
      <w:r>
        <w:rPr>
          <w:rStyle w:val="Satznummer"/>
        </w:rPr>
        <w:t>1</w:t>
      </w:r>
      <w:r>
        <w:t xml:space="preserve">Die Auflösung der Gesellschaft ist von sämtlichen Gesellschaftern zur Eintragung in das Handelsregister anzumelden. </w:t>
      </w:r>
      <w:r>
        <w:rPr>
          <w:rStyle w:val="Satznummer"/>
        </w:rPr>
        <w:t>2</w:t>
      </w:r>
      <w:r>
        <w:t>Dies gilt nicht in den Fällen der Eröffnung oder Ablehnung der Eröffnung des Insolvenzverfahrens über das Vermögen der Gesellschaft (</w:t>
      </w:r>
      <w:hyperlink w:anchor="b176" w:history="1">
        <w:r>
          <w:rPr>
            <w:color w:val="0A3A8C"/>
            <w:u w:val="single"/>
          </w:rPr>
          <w:t xml:space="preserve">§ 138</w:t>
        </w:r>
      </w:hyperlink>
      <w:r>
        <w:t xml:space="preserve"> Absatz 1 Nummer 2 und </w:t>
      </w:r>
      <w:hyperlink w:anchor="b176" w:history="1">
        <w:r>
          <w:rPr>
            <w:color w:val="0A3A8C"/>
            <w:u w:val="single"/>
          </w:rPr>
          <w:t xml:space="preserve">§ 138</w:t>
        </w:r>
      </w:hyperlink>
      <w:r>
        <w:t xml:space="preserve"> Absatz 2 Satz 1 Nummer 1); dann hat das Gericht die Auflösung und ihren Grund von Amts wegen einzutragen. </w:t>
      </w:r>
      <w:r>
        <w:rPr>
          <w:rStyle w:val="Satznummer"/>
        </w:rPr>
        <w:t>3</w:t>
      </w:r>
      <w:r>
        <w:t>Im Fall der Löschung der Gesellschaft (</w:t>
      </w:r>
      <w:hyperlink w:anchor="b176" w:history="1">
        <w:r>
          <w:rPr>
            <w:color w:val="0A3A8C"/>
            <w:u w:val="single"/>
          </w:rPr>
          <w:t xml:space="preserve">§ 138</w:t>
        </w:r>
      </w:hyperlink>
      <w:r>
        <w:t xml:space="preserve"> Absatz 2 Satz 1 Nummer 2) entfällt die Eintragung der Auflösung.</w:t>
      </w:r>
    </w:p>
    <w:p>
      <w:r>
        <w:t>(2) Ist aufgrund einer Vereinbarung im Gesellschaftsvertrag die Gesellschaft durch den Tod eines Gesellschafters aufgelöst, kann die Anmeldung der Auflösung der Gesellschaft ohne Mitwirkung der Erben erfolgen, sofern einer solchen Mitwirkung besondere Hindernisse entgegenstehen.</w:t>
      </w:r>
    </w:p>
    <w:p>
      <w:pPr>
        <w:pStyle w:val="Heading4"/>
      </w:pPr>
      <w:bookmarkStart w:id="181" w:name="b180"/>
      <w:r>
        <w:t>§ 142 Fortsetzung der Gesellschaft</w:t>
      </w:r>
      <w:r>
        <w:t xml:space="preserve"> </w:t>
      </w:r>
      <w:r>
        <w:rPr>
          <w:rStyle w:val="Suchmarke"/>
        </w:rPr>
        <w:t>#142#</w:t>
      </w:r>
      <w:bookmarkEnd w:id="181"/>
    </w:p>
    <w:p>
      <w:r>
        <w:t>(1) Die Gesellschafter können nach Auflösung der Gesellschaft deren Fortsetzung beschließen, sobald der Auflösungsgrund beseitigt ist.</w:t>
      </w:r>
    </w:p>
    <w:p>
      <w:r>
        <w:t>(2) Hat nach dem Gesellschaftsvertrag die Mehrheit der Stimmen zu entscheiden, muss der Beschluss über die Fortsetzung mit einer Mehrheit von mindestens drei Viertel der abgegebenen Stimmen gefasst werden.</w:t>
      </w:r>
    </w:p>
    <w:p>
      <w:r>
        <w:t>(3) Die Fortsetzung ist von sämtlichen Gesellschaftern zur Eintragung in das Handelsregister anzumelden.</w:t>
      </w:r>
    </w:p>
    <w:p>
      <w:pPr>
        <w:pStyle w:val="Heading3"/>
      </w:pPr>
      <w:bookmarkStart w:id="182" w:name="b181"/>
      <w:r>
        <w:t>Sechster Titel Liquidation der Gesellschaft</w:t>
      </w:r>
      <w:bookmarkEnd w:id="182"/>
    </w:p>
    <w:p>
      <w:pPr>
        <w:pStyle w:val="Heading4"/>
      </w:pPr>
      <w:bookmarkStart w:id="183" w:name="b182"/>
      <w:r>
        <w:t>§ 143 Notwendigkeit der Liquidation; anwendbare Vorschriften</w:t>
      </w:r>
      <w:r>
        <w:t xml:space="preserve"> </w:t>
      </w:r>
      <w:r>
        <w:rPr>
          <w:rStyle w:val="Suchmarke"/>
        </w:rPr>
        <w:t>#143#</w:t>
      </w:r>
      <w:bookmarkEnd w:id="183"/>
    </w:p>
    <w:p>
      <w:r>
        <w:t xml:space="preserve">(1) </w:t>
      </w:r>
      <w:r>
        <w:rPr>
          <w:rStyle w:val="Satznummer"/>
        </w:rPr>
        <w:t>1</w:t>
      </w:r>
      <w:r>
        <w:t xml:space="preserve">Nach Auflösung der Gesellschaft findet die Liquidation statt, sofern nicht über das Vermögen der Gesellschaft das Insolvenzverfahren eröffnet ist. </w:t>
      </w:r>
      <w:r>
        <w:rPr>
          <w:rStyle w:val="Satznummer"/>
        </w:rPr>
        <w:t>2</w:t>
      </w:r>
      <w:r>
        <w:t>Ist die Gesellschaft durch Löschung wegen Vermögenslosigkeit aufgelöst, findet eine Liquidation nur statt, wenn sich nach der Löschung herausstellt, dass noch Vermögen vorhanden ist, das der Verteilung unterliegt.</w:t>
      </w:r>
    </w:p>
    <w:p>
      <w:r>
        <w:t xml:space="preserve">(2) </w:t>
      </w:r>
      <w:r>
        <w:rPr>
          <w:rStyle w:val="Satznummer"/>
        </w:rPr>
        <w:t>1</w:t>
      </w:r>
      <w:r>
        <w:t xml:space="preserve">Die Gesellschafter können anstelle der Liquidation eine andere Art der Abwicklung vereinbaren. </w:t>
      </w:r>
      <w:r>
        <w:rPr>
          <w:rStyle w:val="Satznummer"/>
        </w:rPr>
        <w:t>2</w:t>
      </w:r>
      <w:r>
        <w:t>Ist aufgrund einer Vereinbarung im Gesellschaftsvertrag die Gesellschaft durch die Kündigung eines Privatgläubigers eines Gesellschafters oder durch die Eröffnung des Insolvenzverfahrens über das Vermögen eines Gesellschafters aufgelöst, bedarf eine Vereinbarung über eine andere Art der Abwicklung der Zustimmung des Privatgläubigers oder des Insolvenzverwalters; ist im Insolvenzverfahren Eigenverwaltung angeordnet, tritt an die Stelle der Zustimmung des Insolvenzverwalters die Zustimmung des Schuldners.</w:t>
      </w:r>
    </w:p>
    <w:p>
      <w:r>
        <w:t>(3) Die Liquidation erfolgt nach den folgenden Vorschriften dieses Titels, sofern sich nicht aus dem Gesellschaftsvertrag etwas anderes ergibt.</w:t>
      </w:r>
    </w:p>
    <w:p>
      <w:pPr>
        <w:pStyle w:val="Heading4"/>
      </w:pPr>
      <w:bookmarkStart w:id="184" w:name="b183"/>
      <w:r>
        <w:t>§ 144 Liquidatoren</w:t>
      </w:r>
      <w:r>
        <w:t xml:space="preserve"> </w:t>
      </w:r>
      <w:r>
        <w:rPr>
          <w:rStyle w:val="Suchmarke"/>
        </w:rPr>
        <w:t>#144#</w:t>
      </w:r>
      <w:bookmarkEnd w:id="184"/>
    </w:p>
    <w:p>
      <w:r>
        <w:t>(1) Zur Liquidation sind alle Gesellschafter berufen.</w:t>
      </w:r>
    </w:p>
    <w:p>
      <w:r>
        <w:t>(2) Ist über das Vermögen eines Gesellschafters das Insolvenzverfahren eröffnet und ein Insolvenzverwalter bestellt worden, tritt dieser an die Stelle des Gesellschafters.</w:t>
      </w:r>
    </w:p>
    <w:p>
      <w:r>
        <w:t>(3) Mehrere Erben eines Gesellschafters haben einen gemeinsamen Vertreter zu bestellen.</w:t>
      </w:r>
    </w:p>
    <w:p>
      <w:r>
        <w:t>(4) Durch Vereinbarung im Gesellschaftsvertrag oder durch Beschluss der Gesellschafter können auch einzelne Gesellschafter oder andere Personen zu Liquidatoren berufen werden.</w:t>
      </w:r>
    </w:p>
    <w:p>
      <w:r>
        <w:t>(5) Hat nach dem Gesellschaftsvertrag die Mehrheit der Stimmen zu entscheiden, gilt dies im Zweifel nicht für die Berufung und Abberufung eines Liquidators.</w:t>
      </w:r>
    </w:p>
    <w:p>
      <w:pPr>
        <w:pStyle w:val="Heading4"/>
      </w:pPr>
      <w:bookmarkStart w:id="185" w:name="b184"/>
      <w:r>
        <w:t>§ 145 Gerichtliche Berufung und Abberufung von Liquidatoren</w:t>
      </w:r>
      <w:r>
        <w:t xml:space="preserve"> </w:t>
      </w:r>
      <w:r>
        <w:rPr>
          <w:rStyle w:val="Suchmarke"/>
        </w:rPr>
        <w:t>#145#</w:t>
      </w:r>
      <w:bookmarkEnd w:id="185"/>
    </w:p>
    <w:p>
      <w:r>
        <w:t xml:space="preserve">(1) </w:t>
      </w:r>
      <w:r>
        <w:rPr>
          <w:rStyle w:val="Satznummer"/>
        </w:rPr>
        <w:t>1</w:t>
      </w:r>
      <w:r>
        <w:t xml:space="preserve">Auf Antrag eines Beteiligten kann aus wichtigem Grund ein Liquidator durch das Gericht, in dessen Bezirk die Gesellschaft ihren Sitz hat, berufen und abberufen werden. </w:t>
      </w:r>
      <w:r>
        <w:rPr>
          <w:rStyle w:val="Satznummer"/>
        </w:rPr>
        <w:t>2</w:t>
      </w:r>
      <w:r>
        <w:t>Eine Vereinbarung im Gesellschaftsvertrag, welche dieses Recht ausschließt, ist unwirksam.</w:t>
      </w:r>
    </w:p>
    <w:p>
      <w:r>
        <w:t>(2) Beteiligte sind:</w:t>
      </w:r>
    </w:p>
    <w:p>
      <w:pPr>
        <w:tabs>
          <w:tab w:pos="567" w:val="left"/>
        </w:tabs>
        <w:ind w:left="567" w:hanging="567"/>
      </w:pPr>
      <w:r>
        <w:t>1.</w:t>
      </w:r>
      <w:r>
        <w:tab/>
      </w:r>
      <w:r>
        <w:t>jeder Gesellschafter (</w:t>
      </w:r>
      <w:hyperlink w:anchor="b183" w:history="1">
        <w:r>
          <w:rPr>
            <w:color w:val="0A3A8C"/>
            <w:u w:val="single"/>
          </w:rPr>
          <w:t xml:space="preserve">§ 144</w:t>
        </w:r>
      </w:hyperlink>
      <w:r>
        <w:t xml:space="preserve"> Absatz 1),</w:t>
      </w:r>
    </w:p>
    <w:p>
      <w:pPr>
        <w:tabs>
          <w:tab w:pos="567" w:val="left"/>
        </w:tabs>
        <w:ind w:left="567" w:hanging="567"/>
      </w:pPr>
      <w:r>
        <w:t>2.</w:t>
      </w:r>
      <w:r>
        <w:tab/>
      </w:r>
      <w:r>
        <w:t>der Insolvenzverwalter über das Vermögen des Gesellschafters (</w:t>
      </w:r>
      <w:hyperlink w:anchor="b183" w:history="1">
        <w:r>
          <w:rPr>
            <w:color w:val="0A3A8C"/>
            <w:u w:val="single"/>
          </w:rPr>
          <w:t xml:space="preserve">§ 144</w:t>
        </w:r>
      </w:hyperlink>
      <w:r>
        <w:t xml:space="preserve"> Absatz 2),</w:t>
      </w:r>
    </w:p>
    <w:p>
      <w:pPr>
        <w:tabs>
          <w:tab w:pos="567" w:val="left"/>
        </w:tabs>
        <w:ind w:left="567" w:hanging="567"/>
      </w:pPr>
      <w:r>
        <w:t>3.</w:t>
      </w:r>
      <w:r>
        <w:tab/>
      </w:r>
      <w:r>
        <w:t>der gemeinsame Vertreter (</w:t>
      </w:r>
      <w:hyperlink w:anchor="b183" w:history="1">
        <w:r>
          <w:rPr>
            <w:color w:val="0A3A8C"/>
            <w:u w:val="single"/>
          </w:rPr>
          <w:t xml:space="preserve">§ 144</w:t>
        </w:r>
      </w:hyperlink>
      <w:r>
        <w:t xml:space="preserve"> Absatz 3) und</w:t>
      </w:r>
    </w:p>
    <w:p>
      <w:pPr>
        <w:tabs>
          <w:tab w:pos="567" w:val="left"/>
        </w:tabs>
        <w:ind w:left="567" w:hanging="567"/>
      </w:pPr>
      <w:r>
        <w:t>4.</w:t>
      </w:r>
      <w:r>
        <w:tab/>
      </w:r>
      <w:r>
        <w:t>der Privatgläubiger des Gesellschafters, durch den die zur Auflösung der Gesellschaft führende Kündigung erfolgt ist (</w:t>
      </w:r>
      <w:hyperlink w:anchor="b182" w:history="1">
        <w:r>
          <w:rPr>
            <w:color w:val="0A3A8C"/>
            <w:u w:val="single"/>
          </w:rPr>
          <w:t xml:space="preserve">§ 143</w:t>
        </w:r>
      </w:hyperlink>
      <w:r>
        <w:t xml:space="preserve"> Absatz 2 Satz 2).</w:t>
      </w:r>
    </w:p>
    <w:p>
      <w:r>
        <w:t xml:space="preserve">(3) </w:t>
      </w:r>
      <w:r>
        <w:rPr>
          <w:rStyle w:val="Satznummer"/>
        </w:rPr>
        <w:t>1</w:t>
      </w:r>
      <w:r>
        <w:t xml:space="preserve">Gehört der Liquidator nicht zu den Gesellschaftern, hat er Anspruch auf Ersatz der erforderlichen Aufwendungen und auf Vergütung für seine Tätigkeit. </w:t>
      </w:r>
      <w:r>
        <w:rPr>
          <w:rStyle w:val="Satznummer"/>
        </w:rPr>
        <w:t>2</w:t>
      </w:r>
      <w:r>
        <w:t xml:space="preserve">Einigen sich der Liquidator und die Gesellschaft hierüber nicht, setzt das Gericht die Aufwendungen und die Vergütung fest. </w:t>
      </w:r>
      <w:r>
        <w:rPr>
          <w:rStyle w:val="Satznummer"/>
        </w:rPr>
        <w:t>3</w:t>
      </w:r>
      <w:r>
        <w:t xml:space="preserve">Gegen die Entscheidung ist die Beschwerde zulässig; die Rechtsbeschwerde ist ausgeschlossen. </w:t>
      </w:r>
      <w:r>
        <w:rPr>
          <w:rStyle w:val="Satznummer"/>
        </w:rPr>
        <w:t>4</w:t>
      </w:r>
      <w:r>
        <w:t>Aus der rechtskräftigen Entscheidung findet die Zwangsvollstreckung nach der Zivilprozessordnung statt.</w:t>
      </w:r>
    </w:p>
    <w:p>
      <w:pPr>
        <w:pStyle w:val="Heading4"/>
      </w:pPr>
      <w:bookmarkStart w:id="186" w:name="b185"/>
      <w:r>
        <w:t>§ 146 Geschäftsführungs- und Vertretungsbefugnis der Liquidatoren</w:t>
      </w:r>
      <w:r>
        <w:t xml:space="preserve"> </w:t>
      </w:r>
      <w:r>
        <w:rPr>
          <w:rStyle w:val="Suchmarke"/>
        </w:rPr>
        <w:t>#146#</w:t>
      </w:r>
      <w:bookmarkEnd w:id="186"/>
    </w:p>
    <w:p>
      <w:r>
        <w:t xml:space="preserve">(1) </w:t>
      </w:r>
      <w:r>
        <w:rPr>
          <w:rStyle w:val="Satznummer"/>
        </w:rPr>
        <w:t>1</w:t>
      </w:r>
      <w:r>
        <w:t xml:space="preserve">Mit der Auflösung erlischt die einem Gesellschafter im Gesellschaftsvertrag übertragene Befugnis zur Geschäftsführung und Vertretung. </w:t>
      </w:r>
      <w:r>
        <w:rPr>
          <w:rStyle w:val="Satznummer"/>
        </w:rPr>
        <w:t>2</w:t>
      </w:r>
      <w:r>
        <w:t>Diese Befugnis steht von der Auflösung an allen Liquidatoren gemeinsam zu.</w:t>
      </w:r>
    </w:p>
    <w:p>
      <w:r>
        <w:t>(2) Die bisherige Befugnis eines Gesellschafters zur Geschäftsführung gilt gleichwohl zu seinen Gunsten als fortbestehend, bis er von der Auflösung der Gesellschaft Kenntnis erlangt hat oder die Auflösung kennen muss.</w:t>
      </w:r>
    </w:p>
    <w:p>
      <w:pPr>
        <w:pStyle w:val="Heading4"/>
      </w:pPr>
      <w:bookmarkStart w:id="187" w:name="b186"/>
      <w:r>
        <w:t>§ 147 Anmeldung der Liquidatoren</w:t>
      </w:r>
      <w:r>
        <w:t xml:space="preserve"> </w:t>
      </w:r>
      <w:r>
        <w:rPr>
          <w:rStyle w:val="Suchmarke"/>
        </w:rPr>
        <w:t>#147#</w:t>
      </w:r>
      <w:bookmarkEnd w:id="187"/>
    </w:p>
    <w:p>
      <w:r>
        <w:t xml:space="preserve">(1) </w:t>
      </w:r>
      <w:r>
        <w:rPr>
          <w:rStyle w:val="Satznummer"/>
        </w:rPr>
        <w:t>1</w:t>
      </w:r>
      <w:r>
        <w:t xml:space="preserve">Die Liquidatoren und ihre Vertretungsbefugnis sind von sämtlichen Gesellschaftern zur Eintragung in das Handelsregister anzumelden. </w:t>
      </w:r>
      <w:r>
        <w:rPr>
          <w:rStyle w:val="Satznummer"/>
        </w:rPr>
        <w:t>2</w:t>
      </w:r>
      <w:r>
        <w:t xml:space="preserve">Das Gleiche gilt für jede Änderung in der Person des Liquidators oder in seiner Vertretungsbefugnis. </w:t>
      </w:r>
      <w:r>
        <w:rPr>
          <w:rStyle w:val="Satznummer"/>
        </w:rPr>
        <w:t>3</w:t>
      </w:r>
      <w:r>
        <w:t>Wenn im Fall des Todes eines Gesellschafters anzunehmen ist, dass die Anmeldung den Tatsachen entspricht, kann die Eintragung erfolgen, auch ohne dass die Erben bei der Anmeldung mitwirken, sofern einer solchen Mitwirkung besondere Hindernisse entgegenstehen.</w:t>
      </w:r>
    </w:p>
    <w:p>
      <w:r>
        <w:t>(2) Die Eintragung gerichtlich berufener Liquidatoren sowie die Eintragung der gerichtlichen Abberufung von Liquidatoren geschieht von Amts wegen.</w:t>
      </w:r>
    </w:p>
    <w:p>
      <w:pPr>
        <w:pStyle w:val="Heading4"/>
      </w:pPr>
      <w:bookmarkStart w:id="188" w:name="b187"/>
      <w:r>
        <w:t>§ 148 Rechtsstellung der Liquidatoren</w:t>
      </w:r>
      <w:r>
        <w:t xml:space="preserve"> </w:t>
      </w:r>
      <w:r>
        <w:rPr>
          <w:rStyle w:val="Suchmarke"/>
        </w:rPr>
        <w:t>#148#</w:t>
      </w:r>
      <w:bookmarkEnd w:id="188"/>
    </w:p>
    <w:p>
      <w:r>
        <w:t xml:space="preserve">(1) </w:t>
      </w:r>
      <w:r>
        <w:rPr>
          <w:rStyle w:val="Satznummer"/>
        </w:rPr>
        <w:t>1</w:t>
      </w:r>
      <w:r>
        <w:t xml:space="preserve">Die Liquidatoren haben, auch wenn sie vom Gericht berufen sind, den Weisungen Folge zu leisten, welche die Beteiligten in Bezug auf die Geschäftsführung beschließen. </w:t>
      </w:r>
      <w:r>
        <w:rPr>
          <w:rStyle w:val="Satznummer"/>
        </w:rPr>
        <w:t>2</w:t>
      </w:r>
      <w:r>
        <w:t xml:space="preserve">Hat nach dem Gesellschaftsvertrag die Mehrheit der Stimmen zu entscheiden, bedarf der Beschluss der Zustimmung der Beteiligten nach </w:t>
      </w:r>
      <w:hyperlink w:anchor="b184" w:history="1">
        <w:r>
          <w:rPr>
            <w:color w:val="0A3A8C"/>
            <w:u w:val="single"/>
          </w:rPr>
          <w:t xml:space="preserve">§ 145</w:t>
        </w:r>
      </w:hyperlink>
      <w:r>
        <w:t xml:space="preserve"> Absatz 2 Nummer 2 und 4.</w:t>
      </w:r>
    </w:p>
    <w:p>
      <w:r>
        <w:t xml:space="preserve">(2) </w:t>
      </w:r>
      <w:r>
        <w:rPr>
          <w:rStyle w:val="Satznummer"/>
        </w:rPr>
        <w:t>1</w:t>
      </w:r>
      <w:r>
        <w:t xml:space="preserve">Die Liquidatoren haben die laufenden Geschäfte zu beendigen, die Forderungen der Gesellschaft einzuziehen und das übrige Vermögen in Geld umzusetzen. </w:t>
      </w:r>
      <w:r>
        <w:rPr>
          <w:rStyle w:val="Satznummer"/>
        </w:rPr>
        <w:t>2</w:t>
      </w:r>
      <w:r>
        <w:t>Zur Beendigung der laufenden Geschäfte können die Liquidatoren auch neue Geschäfte eingehen.</w:t>
      </w:r>
    </w:p>
    <w:p>
      <w:r>
        <w:t xml:space="preserve">(3) </w:t>
      </w:r>
      <w:r>
        <w:rPr>
          <w:rStyle w:val="Satznummer"/>
        </w:rPr>
        <w:t>1</w:t>
      </w:r>
      <w:r>
        <w:t xml:space="preserve">Die Liquidatoren haben bei Abgabe ihrer Unterschrift der Firma einen Liquidationszusatz beizufügen. </w:t>
      </w:r>
      <w:r>
        <w:rPr>
          <w:rStyle w:val="Satznummer"/>
        </w:rPr>
        <w:t>2</w:t>
      </w:r>
      <w:r>
        <w:t xml:space="preserve">Dies gilt entsprechend für die Pflicht nach </w:t>
      </w:r>
      <w:hyperlink w:anchor="b161" w:history="1">
        <w:r>
          <w:rPr>
            <w:color w:val="0A3A8C"/>
            <w:u w:val="single"/>
          </w:rPr>
          <w:t xml:space="preserve">§ 125</w:t>
        </w:r>
      </w:hyperlink>
      <w:r>
        <w:t>.</w:t>
      </w:r>
    </w:p>
    <w:p>
      <w:r>
        <w:t xml:space="preserve">(4) </w:t>
      </w:r>
      <w:r>
        <w:rPr>
          <w:rStyle w:val="Satznummer"/>
        </w:rPr>
        <w:t>1</w:t>
      </w:r>
      <w:r>
        <w:t xml:space="preserve">Die Liquidatoren haben gegenüber den nach § 145 Absatz 2 Beteiligten zur Ermittlung des zu verteilenden Gesellschaftsvermögens bei Beginn und Beendigung der Liquidation eine Bilanz aufzustellen. </w:t>
      </w:r>
      <w:r>
        <w:rPr>
          <w:rStyle w:val="Satznummer"/>
        </w:rPr>
        <w:t>2</w:t>
      </w:r>
      <w:r>
        <w:t>Die Pflichten zur Buchführung (</w:t>
      </w:r>
      <w:hyperlink w:anchor="b228" w:history="1">
        <w:r>
          <w:rPr>
            <w:color w:val="0A3A8C"/>
            <w:u w:val="single"/>
          </w:rPr>
          <w:t xml:space="preserve">§§ 238</w:t>
        </w:r>
      </w:hyperlink>
      <w:r>
        <w:t xml:space="preserve"> bis </w:t>
      </w:r>
      <w:hyperlink w:anchor="b232" w:history="1">
        <w:r>
          <w:rPr>
            <w:color w:val="0A3A8C"/>
            <w:u w:val="single"/>
          </w:rPr>
          <w:t xml:space="preserve">241a</w:t>
        </w:r>
      </w:hyperlink>
      <w:r>
        <w:t>) und Jahresrechnungslegung (</w:t>
      </w:r>
      <w:hyperlink w:anchor="b235" w:history="1">
        <w:r>
          <w:rPr>
            <w:color w:val="0A3A8C"/>
            <w:u w:val="single"/>
          </w:rPr>
          <w:t xml:space="preserve">§§ 242</w:t>
        </w:r>
      </w:hyperlink>
      <w:r>
        <w:t xml:space="preserve"> bis </w:t>
      </w:r>
      <w:hyperlink w:anchor="b252" w:history="1">
        <w:r>
          <w:rPr>
            <w:color w:val="0A3A8C"/>
            <w:u w:val="single"/>
          </w:rPr>
          <w:t xml:space="preserve">256a</w:t>
        </w:r>
      </w:hyperlink>
      <w:r>
        <w:t>) bleiben unberührt.</w:t>
      </w:r>
    </w:p>
    <w:p>
      <w:r>
        <w:t xml:space="preserve">(5) </w:t>
      </w:r>
      <w:r>
        <w:rPr>
          <w:rStyle w:val="Satznummer"/>
        </w:rPr>
        <w:t>1</w:t>
      </w:r>
      <w:r>
        <w:t xml:space="preserve">Aus dem Vermögen der Gesellschaft sind zunächst die Gläubiger der Gesellschaft zu befriedigen. </w:t>
      </w:r>
      <w:r>
        <w:rPr>
          <w:rStyle w:val="Satznummer"/>
        </w:rPr>
        <w:t>2</w:t>
      </w:r>
      <w:r>
        <w:t>Ist eine Verbindlichkeit noch nicht fällig oder ist sie streitig, ist das zur Berichtigung der Verbindlichkeit Erforderliche zurückzubehalten.</w:t>
      </w:r>
    </w:p>
    <w:p>
      <w:r>
        <w:t xml:space="preserve">(6) </w:t>
      </w:r>
      <w:r>
        <w:rPr>
          <w:rStyle w:val="Satznummer"/>
        </w:rPr>
        <w:t>1</w:t>
      </w:r>
      <w:r>
        <w:t xml:space="preserve">Aus dem nach der Berichtigung der Verbindlichkeiten verbleibenden Gesellschaftsvermögen sind die geleisteten Beiträge zurückzuerstatten. </w:t>
      </w:r>
      <w:r>
        <w:rPr>
          <w:rStyle w:val="Satznummer"/>
        </w:rPr>
        <w:t>2</w:t>
      </w:r>
      <w:r>
        <w:t xml:space="preserve">Für Beiträge, die nicht in Geld bestanden haben, ist der Wert zu ersetzen, den sie zur Zeit der Einbringung gehabt haben. </w:t>
      </w:r>
      <w:r>
        <w:rPr>
          <w:rStyle w:val="Satznummer"/>
        </w:rPr>
        <w:t>3</w:t>
      </w:r>
      <w:r>
        <w:t>Für Beiträge, die in der Leistung von Diensten oder in der Überlassung der Benutzung eines Gegenstands bestanden haben, kann im Zweifel kein Ersatz verlangt werden.</w:t>
      </w:r>
    </w:p>
    <w:p>
      <w:r>
        <w:t>(7) Das während der Liquidation entbehrliche Geld wird unter Berücksichtigung der den Gesellschaftern bei der Schlussverteilung zukommenden Beträge vorläufig verteilt.</w:t>
      </w:r>
    </w:p>
    <w:p>
      <w:r>
        <w:t>(8) Das nach Berichtigung der Verbindlichkeiten und Rückerstattung der Beiträge verbleibende Vermögen der Gesellschaft ist unter den Gesellschaftern nach dem Verhältnis ihrer Kapitalanteile, wie sie sich aufgrund der Schlussbilanz im Sinne von Absatz 4 ergeben, schließlich zu verteilen.</w:t>
      </w:r>
    </w:p>
    <w:p>
      <w:pPr>
        <w:pStyle w:val="Heading4"/>
      </w:pPr>
      <w:bookmarkStart w:id="189" w:name="b188"/>
      <w:r>
        <w:t>§ 149 Haftung des Gesellschafters für Fehlbetrag</w:t>
      </w:r>
      <w:r>
        <w:t xml:space="preserve"> </w:t>
      </w:r>
      <w:r>
        <w:rPr>
          <w:rStyle w:val="Suchmarke"/>
        </w:rPr>
        <w:t>#149#</w:t>
      </w:r>
      <w:bookmarkEnd w:id="189"/>
    </w:p>
    <w:p>
      <w:r>
        <w:rPr>
          <w:rStyle w:val="Satznummer"/>
        </w:rPr>
        <w:t>1</w:t>
      </w:r>
      <w:r>
        <w:t xml:space="preserve">Reicht das Gesellschaftsvermögen zur Berichtigung der Verbindlichkeiten und zur Rückerstattung der Beiträge nicht aus, haben die Gesellschafter der Gesellschaft für den Fehlbetrag nach dem Verhältnis ihrer Kapitalanteile aufzukommen. </w:t>
      </w:r>
      <w:r>
        <w:rPr>
          <w:rStyle w:val="Satznummer"/>
        </w:rPr>
        <w:t>2</w:t>
      </w:r>
      <w:r>
        <w:t>Kann von einem Gesellschafter der auf ihn entfallende Betrag nicht erlangt werden, haben die anderen Gesellschafter den Ausfall nach dem gleichen Verhältnis zu tragen.</w:t>
      </w:r>
    </w:p>
    <w:p>
      <w:pPr>
        <w:pStyle w:val="Heading4"/>
      </w:pPr>
      <w:bookmarkStart w:id="190" w:name="b189"/>
      <w:r>
        <w:t>§ 150 Anmeldung des Erlöschens der Firma</w:t>
      </w:r>
      <w:r>
        <w:t xml:space="preserve"> </w:t>
      </w:r>
      <w:r>
        <w:rPr>
          <w:rStyle w:val="Suchmarke"/>
        </w:rPr>
        <w:t>#150#</w:t>
      </w:r>
      <w:bookmarkEnd w:id="190"/>
    </w:p>
    <w:p>
      <w:r>
        <w:t>Nach der Beendigung der Liquidation ist das Erlöschen der Firma von sämtlichen Liquidatoren zur Eintragung in das Handelsregister anzumelden.</w:t>
      </w:r>
    </w:p>
    <w:p>
      <w:pPr>
        <w:pStyle w:val="Heading4"/>
      </w:pPr>
      <w:bookmarkStart w:id="191" w:name="b190"/>
      <w:r>
        <w:t>§ 151 Verjährung von Ansprüchen aus der Gesellschafterhaftung</w:t>
      </w:r>
      <w:r>
        <w:t xml:space="preserve"> </w:t>
      </w:r>
      <w:r>
        <w:rPr>
          <w:rStyle w:val="Suchmarke"/>
        </w:rPr>
        <w:t>#151#</w:t>
      </w:r>
      <w:bookmarkEnd w:id="191"/>
    </w:p>
    <w:p>
      <w:r>
        <w:t>(1) Ist die Gesellschaft durch Liquidation oder auf andere Weise erloschen, verjähren Ansprüche gegen einen Gesellschafter aus Verbindlichkeiten der Gesellschaft in fünf Jahren, sofern nicht der Anspruch gegen die Gesellschaft einer kürzeren Verjährung unterliegt.</w:t>
      </w:r>
    </w:p>
    <w:p>
      <w:r>
        <w:t>(2) Die Verjährung beginnt abweichend von § 199 Absatz 1 des Bürgerlichen Gesetzbuchs, sobald der Gläubiger von dem Erlöschen der Firma Kenntnis erlangt hat oder das Erlöschen der Firma im Handelsregister eingetragen worden ist.</w:t>
      </w:r>
    </w:p>
    <w:p>
      <w:r>
        <w:t>(3) Beginnt die Verjährung des Anspruchs gegen die Gesellschaft neu oder wird die Verjährung des Anspruchs gegenüber der Gesellschaft nach den §§ 203, 204, 205 oder 206 des Bürgerlichen Gesetzbuchs gehemmt, wirkt dies auch gegenüber den Gesellschaftern, die der Gesellschaft zur Zeit des Erlöschens angehört haben.</w:t>
      </w:r>
    </w:p>
    <w:p>
      <w:pPr>
        <w:pStyle w:val="Heading4"/>
      </w:pPr>
      <w:bookmarkStart w:id="192" w:name="b191"/>
      <w:r>
        <w:t>§ 152 Aufbewahrung der Geschäftsunterlagen; Einsicht in die Geschäftsunterlagen</w:t>
      </w:r>
      <w:r>
        <w:t xml:space="preserve"> </w:t>
      </w:r>
      <w:r>
        <w:rPr>
          <w:rStyle w:val="Suchmarke"/>
        </w:rPr>
        <w:t>#152#</w:t>
      </w:r>
      <w:bookmarkEnd w:id="192"/>
    </w:p>
    <w:p>
      <w:r>
        <w:t xml:space="preserve">(1) </w:t>
      </w:r>
      <w:r>
        <w:rPr>
          <w:rStyle w:val="Satznummer"/>
        </w:rPr>
        <w:t>1</w:t>
      </w:r>
      <w:r>
        <w:t xml:space="preserve">Die Geschäftsunterlagen der aufgelösten Gesellschaft werden einem der Gesellschafter oder einem Dritten in Verwahrung gegeben. </w:t>
      </w:r>
      <w:r>
        <w:rPr>
          <w:rStyle w:val="Satznummer"/>
        </w:rPr>
        <w:t>2</w:t>
      </w:r>
      <w:r>
        <w:t>In Ermangelung einer Verständigung wird der Gesellschafter oder der Dritte durch das Gericht bestimmt, in dessen Bezirk die Gesellschaft ihren Sitz hat.</w:t>
      </w:r>
    </w:p>
    <w:p>
      <w:r>
        <w:t>(2) Die Gesellschafter und deren Erben behalten das Recht auf Einsicht und Benutzung der Geschäftsunterlagen.</w:t>
      </w:r>
    </w:p>
    <w:p>
      <w:pPr>
        <w:pStyle w:val="Heading4"/>
      </w:pPr>
      <w:bookmarkStart w:id="193" w:name="b192"/>
      <w:r>
        <w:t>§§ 153 bis 160</w:t>
      </w:r>
      <w:bookmarkEnd w:id="193"/>
    </w:p>
    <w:p>
      <w:pPr>
        <w:pStyle w:val="Heading2"/>
      </w:pPr>
      <w:bookmarkStart w:id="194" w:name="b193"/>
      <w:r>
        <w:t>Zweiter Abschnitt Kommanditgesellschaft</w:t>
      </w:r>
      <w:bookmarkEnd w:id="194"/>
    </w:p>
    <w:p>
      <w:pPr>
        <w:pStyle w:val="Heading3"/>
      </w:pPr>
      <w:bookmarkStart w:id="195" w:name="b194"/>
      <w:r>
        <w:t>§ 161</w:t>
      </w:r>
      <w:r>
        <w:t xml:space="preserve"> </w:t>
      </w:r>
      <w:r>
        <w:rPr>
          <w:rStyle w:val="Suchmarke"/>
        </w:rPr>
        <w:t>#161#</w:t>
      </w:r>
      <w:bookmarkEnd w:id="195"/>
    </w:p>
    <w:p>
      <w:r>
        <w:t>(1) Eine Gesellschaft, deren Zweck auf den Betrieb eines Handelsgewerbes unter gemeinschaftlicher Firma gerichtet ist, ist eine Kommanditgesellschaft, wenn bei einem oder bei einigen von den Gesellschaftern die Haftung gegenüber den Gesellschaftsgläubigern auf einen bestimmten Betrag (Haftsumme) beschränkt ist (Kommanditisten), während bei dem anderen Teile der Gesellschafter eine Beschränkung der Haftung nicht stattfindet (persönlich haftende Gesellschafter).</w:t>
      </w:r>
    </w:p>
    <w:p>
      <w:r>
        <w:t>(2) Soweit nicht in diesem Abschnitt ein anderes vorgeschrieben ist, finden auf die Kommanditgesellschaft die für die offene Handelsgesellschaft geltenden Vorschriften entsprechende Anwendung.</w:t>
      </w:r>
    </w:p>
    <w:p>
      <w:pPr>
        <w:pStyle w:val="Heading3"/>
      </w:pPr>
      <w:bookmarkStart w:id="196" w:name="b195"/>
      <w:r>
        <w:t>§ 162</w:t>
      </w:r>
      <w:r>
        <w:t xml:space="preserve"> </w:t>
      </w:r>
      <w:r>
        <w:rPr>
          <w:rStyle w:val="Suchmarke"/>
        </w:rPr>
        <w:t>#162#</w:t>
      </w:r>
      <w:bookmarkEnd w:id="196"/>
    </w:p>
    <w:p>
      <w:r>
        <w:t xml:space="preserve">(1) Die Anmeldung der Gesellschaft hat außer den in </w:t>
      </w:r>
      <w:hyperlink w:anchor="b140" w:history="1">
        <w:r>
          <w:rPr>
            <w:color w:val="0A3A8C"/>
            <w:u w:val="single"/>
          </w:rPr>
          <w:t xml:space="preserve">§ 106</w:t>
        </w:r>
      </w:hyperlink>
      <w:r>
        <w:t xml:space="preserve"> Abs. 2 vorgesehenen Angaben die Bezeichnung der Kommanditisten und den Betrag der Haftsumme eines jeden von ihnen zu enthalten.</w:t>
      </w:r>
    </w:p>
    <w:p>
      <w:r>
        <w:t>(2) Diese Vorschriften finden im Falle des Eintritts eines Kommanditisten in eine bestehende Handelsgesellschaft und im Falle des Ausscheidens eines Kommanditisten aus einer Kommanditgesellschaft entsprechende Anwendung.</w:t>
      </w:r>
    </w:p>
    <w:p>
      <w:pPr>
        <w:pStyle w:val="Heading3"/>
      </w:pPr>
      <w:bookmarkStart w:id="197" w:name="b196"/>
      <w:r>
        <w:t>§ 163</w:t>
      </w:r>
      <w:r>
        <w:t xml:space="preserve"> </w:t>
      </w:r>
      <w:r>
        <w:rPr>
          <w:rStyle w:val="Suchmarke"/>
        </w:rPr>
        <w:t>#163#</w:t>
      </w:r>
      <w:bookmarkEnd w:id="197"/>
    </w:p>
    <w:p>
      <w:r>
        <w:t xml:space="preserve">Für das Verhältnis der Gesellschafter untereinander gelten in Ermangelung abweichender Bestimmungen des Gesellschaftsvertrags die besonderen Vorschriften der </w:t>
      </w:r>
      <w:hyperlink w:anchor="b197" w:history="1">
        <w:r>
          <w:rPr>
            <w:color w:val="0A3A8C"/>
            <w:u w:val="single"/>
          </w:rPr>
          <w:t xml:space="preserve">§§ 164</w:t>
        </w:r>
      </w:hyperlink>
      <w:r>
        <w:t xml:space="preserve"> bis </w:t>
      </w:r>
      <w:hyperlink w:anchor="b202" w:history="1">
        <w:r>
          <w:rPr>
            <w:color w:val="0A3A8C"/>
            <w:u w:val="single"/>
          </w:rPr>
          <w:t xml:space="preserve">169</w:t>
        </w:r>
      </w:hyperlink>
      <w:r>
        <w:t>.</w:t>
      </w:r>
    </w:p>
    <w:p>
      <w:pPr>
        <w:pStyle w:val="Heading3"/>
      </w:pPr>
      <w:bookmarkStart w:id="198" w:name="b197"/>
      <w:r>
        <w:t>§ 164 Geschäftsführungsbefugnis</w:t>
      </w:r>
      <w:r>
        <w:t xml:space="preserve"> </w:t>
      </w:r>
      <w:r>
        <w:rPr>
          <w:rStyle w:val="Suchmarke"/>
        </w:rPr>
        <w:t>#164#</w:t>
      </w:r>
      <w:bookmarkEnd w:id="198"/>
    </w:p>
    <w:p>
      <w:r>
        <w:t xml:space="preserve">Die Kommanditisten sind von der Geschäftsführungsbefugnis ausgeschlossen; </w:t>
      </w:r>
      <w:hyperlink w:anchor="b151" w:history="1">
        <w:r>
          <w:rPr>
            <w:color w:val="0A3A8C"/>
            <w:u w:val="single"/>
          </w:rPr>
          <w:t xml:space="preserve">§ 116</w:t>
        </w:r>
      </w:hyperlink>
      <w:r>
        <w:t xml:space="preserve"> Absatz 2 Satz 1 bleibt unberührt.</w:t>
      </w:r>
    </w:p>
    <w:p>
      <w:pPr>
        <w:pStyle w:val="Heading3"/>
      </w:pPr>
      <w:bookmarkStart w:id="199" w:name="b198"/>
      <w:r>
        <w:t>§ 165</w:t>
      </w:r>
      <w:r>
        <w:t xml:space="preserve"> </w:t>
      </w:r>
      <w:r>
        <w:rPr>
          <w:rStyle w:val="Suchmarke"/>
        </w:rPr>
        <w:t>#165#</w:t>
      </w:r>
      <w:bookmarkEnd w:id="199"/>
    </w:p>
    <w:p>
      <w:r>
        <w:t xml:space="preserve">Die </w:t>
      </w:r>
      <w:hyperlink w:anchor="b152" w:history="1">
        <w:r>
          <w:rPr>
            <w:color w:val="0A3A8C"/>
            <w:u w:val="single"/>
          </w:rPr>
          <w:t xml:space="preserve">§§ 117</w:t>
        </w:r>
      </w:hyperlink>
      <w:r>
        <w:t xml:space="preserve"> und </w:t>
      </w:r>
      <w:hyperlink w:anchor="b153" w:history="1">
        <w:r>
          <w:rPr>
            <w:color w:val="0A3A8C"/>
            <w:u w:val="single"/>
          </w:rPr>
          <w:t xml:space="preserve">118</w:t>
        </w:r>
      </w:hyperlink>
      <w:r>
        <w:t xml:space="preserve"> finden auf die Kommanditisten keine Anwendung.</w:t>
      </w:r>
    </w:p>
    <w:p>
      <w:pPr>
        <w:pStyle w:val="Heading3"/>
      </w:pPr>
      <w:bookmarkStart w:id="200" w:name="b199"/>
      <w:r>
        <w:t>§ 166 Informationsrecht der Kommanditisten</w:t>
      </w:r>
      <w:r>
        <w:t xml:space="preserve"> </w:t>
      </w:r>
      <w:r>
        <w:rPr>
          <w:rStyle w:val="Suchmarke"/>
        </w:rPr>
        <w:t>#166#</w:t>
      </w:r>
      <w:bookmarkEnd w:id="200"/>
    </w:p>
    <w:p>
      <w:r>
        <w:t xml:space="preserve">(1) </w:t>
      </w:r>
      <w:r>
        <w:rPr>
          <w:rStyle w:val="Satznummer"/>
        </w:rPr>
        <w:t>1</w:t>
      </w:r>
      <w:r>
        <w:t>Der Kommanditist kann von der Gesellschaft eine Abschrift des Jahresabschlusses (</w:t>
      </w:r>
      <w:hyperlink w:anchor="b235" w:history="1">
        <w:r>
          <w:rPr>
            <w:color w:val="0A3A8C"/>
            <w:u w:val="single"/>
          </w:rPr>
          <w:t xml:space="preserve">§ 242</w:t>
        </w:r>
      </w:hyperlink>
      <w:r>
        <w:t xml:space="preserve"> Absatz 3) verlangen und zu dessen Überprüfung Einsicht in die zugehörigen Geschäftsunterlagen nehmen. </w:t>
      </w:r>
      <w:r>
        <w:rPr>
          <w:rStyle w:val="Satznummer"/>
        </w:rPr>
        <w:t>2</w:t>
      </w:r>
      <w:r>
        <w:t>Daneben kann er von der Gesellschaft Auskunft über die Gesellschaftsangelegenheiten verlangen, soweit dies zur Wahrnehmung seiner Mitgliedschaftsrechte erforderlich ist, insbesondere, wenn Grund zu der Annahme unredlicher Geschäftsführung besteht.</w:t>
      </w:r>
    </w:p>
    <w:p>
      <w:r>
        <w:t>(2) Eine Vereinbarung im Gesellschaftsvertrag, welche diese Rechte ausschließt oder dieser Vorschrift zuwider beschränkt, ist unwirksam.</w:t>
      </w:r>
    </w:p>
    <w:p>
      <w:pPr>
        <w:pStyle w:val="Heading3"/>
      </w:pPr>
      <w:bookmarkStart w:id="201" w:name="b200"/>
      <w:r>
        <w:t>§ 167 Verlustbeteiligung</w:t>
      </w:r>
      <w:r>
        <w:t xml:space="preserve"> </w:t>
      </w:r>
      <w:r>
        <w:rPr>
          <w:rStyle w:val="Suchmarke"/>
        </w:rPr>
        <w:t>#167#</w:t>
      </w:r>
      <w:bookmarkEnd w:id="201"/>
    </w:p>
    <w:p>
      <w:r>
        <w:t xml:space="preserve">Soweit der Kommanditist die vereinbarte Einlage geleistet hat, sind die </w:t>
      </w:r>
      <w:hyperlink w:anchor="b173" w:history="1">
        <w:r>
          <w:rPr>
            <w:color w:val="0A3A8C"/>
            <w:u w:val="single"/>
          </w:rPr>
          <w:t xml:space="preserve">§§ 136</w:t>
        </w:r>
      </w:hyperlink>
      <w:r>
        <w:t xml:space="preserve"> und </w:t>
      </w:r>
      <w:hyperlink w:anchor="b188" w:history="1">
        <w:r>
          <w:rPr>
            <w:color w:val="0A3A8C"/>
            <w:u w:val="single"/>
          </w:rPr>
          <w:t xml:space="preserve">149</w:t>
        </w:r>
      </w:hyperlink>
      <w:r>
        <w:t xml:space="preserve"> auf ihn nicht anzuwenden.</w:t>
      </w:r>
    </w:p>
    <w:p>
      <w:pPr>
        <w:pStyle w:val="Heading3"/>
      </w:pPr>
      <w:bookmarkStart w:id="202" w:name="b201"/>
      <w:r>
        <w:t>§ 168 (weggefallen)</w:t>
      </w:r>
      <w:r>
        <w:t xml:space="preserve"> </w:t>
      </w:r>
      <w:r>
        <w:rPr>
          <w:rStyle w:val="Suchmarke"/>
        </w:rPr>
        <w:t>#168#</w:t>
      </w:r>
      <w:bookmarkEnd w:id="202"/>
    </w:p>
    <w:p>
      <w:pPr>
        <w:pStyle w:val="Heading3"/>
      </w:pPr>
      <w:bookmarkStart w:id="203" w:name="b202"/>
      <w:r>
        <w:t>§ 169</w:t>
      </w:r>
      <w:r>
        <w:t xml:space="preserve"> </w:t>
      </w:r>
      <w:r>
        <w:rPr>
          <w:rStyle w:val="Suchmarke"/>
        </w:rPr>
        <w:t>#169#</w:t>
      </w:r>
      <w:bookmarkEnd w:id="203"/>
    </w:p>
    <w:p>
      <w:r>
        <w:t>(1) Der Kommanditist kann die Auszahlung des Gewinns nicht fordern, soweit sein Kapitalanteil durch den ihm zugewiesenen Verlust unter den auf die vereinbarte Einlage geleisteten Betrag herabgemindert ist oder durch die Auszahlung des Gewinns unter diesen Betrag herabgemindert werden würde.</w:t>
      </w:r>
    </w:p>
    <w:p>
      <w:r>
        <w:t>(2) Der Kommanditist ist nicht verpflichtet, den bezogenen Gewinn wegen späterer Verluste zurückzuzahlen.</w:t>
      </w:r>
    </w:p>
    <w:p>
      <w:pPr>
        <w:pStyle w:val="Heading3"/>
      </w:pPr>
      <w:bookmarkStart w:id="204" w:name="b203"/>
      <w:r>
        <w:t>§ 170 Vertretung der Kommanditgesellschaft</w:t>
      </w:r>
      <w:r>
        <w:t xml:space="preserve"> </w:t>
      </w:r>
      <w:r>
        <w:rPr>
          <w:rStyle w:val="Suchmarke"/>
        </w:rPr>
        <w:t>#170#</w:t>
      </w:r>
      <w:bookmarkEnd w:id="204"/>
    </w:p>
    <w:p>
      <w:r>
        <w:t>(1) Der Kommanditist ist als solcher nicht befugt, die Gesellschaft zu vertreten.</w:t>
      </w:r>
    </w:p>
    <w:p>
      <w:r>
        <w:t>(2) Sofern der einzig persönlich haftende Gesellschafter der Gesellschaft eine Kapitalgesellschaft ist, an der die Gesellschaft sämtliche Anteile hält, werden vorbehaltlich einer abweichenden Vereinbarung die Rechte in der Gesellschafterversammlung der Kapitalgesellschaft von den Kommanditisten wahrgenommen.</w:t>
      </w:r>
    </w:p>
    <w:p>
      <w:pPr>
        <w:pStyle w:val="Heading3"/>
      </w:pPr>
      <w:bookmarkStart w:id="205" w:name="b204"/>
      <w:r>
        <w:t>§ 171</w:t>
      </w:r>
      <w:r>
        <w:t xml:space="preserve"> </w:t>
      </w:r>
      <w:r>
        <w:rPr>
          <w:rStyle w:val="Suchmarke"/>
        </w:rPr>
        <w:t>#171#</w:t>
      </w:r>
      <w:bookmarkEnd w:id="205"/>
    </w:p>
    <w:p>
      <w:r>
        <w:t>(1) Der Kommanditist haftet den Gläubigern der Gesellschaft bis zur Höhe seiner Haftsumme unmittelbar; die Haftung ist ausgeschlossen, soweit die vereinbarte Einlage geleistet ist.</w:t>
      </w:r>
    </w:p>
    <w:p>
      <w:r>
        <w:t>(2) Ist über das Vermögen der Gesellschaft das Insolvenzverfahren eröffnet, so wird während der Dauer des Verfahrens das den Gesellschaftsgläubigern nach Absatz 1 zustehende Recht durch den Insolvenzverwalter oder den Sachwalter ausgeübt.</w:t>
      </w:r>
    </w:p>
    <w:p>
      <w:pPr>
        <w:pStyle w:val="Heading3"/>
      </w:pPr>
      <w:bookmarkStart w:id="206" w:name="b205"/>
      <w:r>
        <w:t>§ 172</w:t>
      </w:r>
      <w:r>
        <w:t xml:space="preserve"> </w:t>
      </w:r>
      <w:r>
        <w:rPr>
          <w:rStyle w:val="Suchmarke"/>
        </w:rPr>
        <w:t>#172#</w:t>
      </w:r>
      <w:bookmarkEnd w:id="206"/>
    </w:p>
    <w:p>
      <w:r>
        <w:t>(1) Im Verhältnisse zu den Gläubigern der Gesellschaft wird nach der Eintragung in das Handelsregister die Haftsumme eines Kommanditisten durch den in der Eintragung angegebenen Betrag bestimmt.</w:t>
      </w:r>
    </w:p>
    <w:p>
      <w:r>
        <w:t>(2) Auf eine nicht eingetragene Erhöhung der aus dem Handelsregister ersichtlichen Haftsumme können sich die Gläubiger nur berufen, wenn die Erhöhung in handelsüblicher Weise kundgemacht oder ihnen in anderer Weise von der Gesellschaft mitgeteilt worden ist.</w:t>
      </w:r>
    </w:p>
    <w:p>
      <w:r>
        <w:t>(3) Eine Vereinbarung der Gesellschafter, durch die einem Kommanditisten die Einlage erlassen oder gestundet wird, ist den Gläubigern gegenüber unwirksam.</w:t>
      </w:r>
    </w:p>
    <w:p>
      <w:r>
        <w:t xml:space="preserve">(4) </w:t>
      </w:r>
      <w:r>
        <w:rPr>
          <w:rStyle w:val="Satznummer"/>
        </w:rPr>
        <w:t>1</w:t>
      </w:r>
      <w:r>
        <w:t xml:space="preserve">Soweit die Einlage eines Kommanditisten zurückbezahlt wird, gilt sie den Gläubigern gegenüber als nicht geleistet. </w:t>
      </w:r>
      <w:r>
        <w:rPr>
          <w:rStyle w:val="Satznummer"/>
        </w:rPr>
        <w:t>2</w:t>
      </w:r>
      <w:r>
        <w:t xml:space="preserve">Das gleiche gilt, soweit ein Kommanditist Gewinnanteile entnimmt, während sein Kapitalanteil durch Verlust unter den Betrag der Haftsumme herabgemindert ist, oder soweit durch die Entnahme der Kapitalanteil unter den bezeichneten Betrag herabgemindert wird. </w:t>
      </w:r>
      <w:r>
        <w:rPr>
          <w:rStyle w:val="Satznummer"/>
        </w:rPr>
        <w:t>3</w:t>
      </w:r>
      <w:r>
        <w:t xml:space="preserve">Bei der Berechnung des Kapitalanteils nach Satz 2 sind Beträge im Sinne der </w:t>
      </w:r>
      <w:hyperlink w:anchor="b248" w:history="1">
        <w:r>
          <w:rPr>
            <w:color w:val="0A3A8C"/>
            <w:u w:val="single"/>
          </w:rPr>
          <w:t xml:space="preserve">§§ 253</w:t>
        </w:r>
      </w:hyperlink>
      <w:r>
        <w:t xml:space="preserve"> Absatz 6 Satz 2 und 268 Absatz 8 nicht zu berücksichtigen.</w:t>
      </w:r>
    </w:p>
    <w:p>
      <w:r>
        <w:t xml:space="preserve">(5) </w:t>
      </w:r>
      <w:r>
        <w:rPr>
          <w:rStyle w:val="Satznummer"/>
        </w:rPr>
        <w:t>1</w:t>
      </w:r>
      <w:r>
        <w:t xml:space="preserve">Gegenüber den Gläubigern einer Gesellschaft, bei der kein persönlich haftender Gesellschafter eine natürliche Person ist, gilt die Einlage eines Kommanditisten als nicht geleistet, soweit sie in Anteilen an den persönlich haftenden Gesellschaftern bewirkt ist. </w:t>
      </w:r>
      <w:r>
        <w:rPr>
          <w:rStyle w:val="Satznummer"/>
        </w:rPr>
        <w:t>2</w:t>
      </w:r>
      <w:r>
        <w:t>Dies gilt nicht, wenn zu den persönlich haftenden Gesellschaftern eine offene Handelsgesellschaft oder Kommanditgesellschaft gehört, bei der ein persönlich haftender Gesellschafter eine natürliche Person ist.</w:t>
      </w:r>
    </w:p>
    <w:p>
      <w:pPr>
        <w:pStyle w:val="Heading3"/>
      </w:pPr>
      <w:bookmarkStart w:id="207" w:name="b206"/>
      <w:r>
        <w:t>§ 172a (weggefallen)</w:t>
      </w:r>
      <w:r>
        <w:t xml:space="preserve"> </w:t>
      </w:r>
      <w:r>
        <w:rPr>
          <w:rStyle w:val="Suchmarke"/>
        </w:rPr>
        <w:t>#172a#</w:t>
      </w:r>
      <w:bookmarkEnd w:id="207"/>
    </w:p>
    <w:p>
      <w:r>
        <w:t>-</w:t>
      </w:r>
    </w:p>
    <w:p>
      <w:pPr>
        <w:pStyle w:val="Heading3"/>
      </w:pPr>
      <w:bookmarkStart w:id="208" w:name="b207"/>
      <w:r>
        <w:t>§ 173</w:t>
      </w:r>
      <w:r>
        <w:t xml:space="preserve"> </w:t>
      </w:r>
      <w:r>
        <w:rPr>
          <w:rStyle w:val="Suchmarke"/>
        </w:rPr>
        <w:t>#173#</w:t>
      </w:r>
      <w:bookmarkEnd w:id="208"/>
    </w:p>
    <w:p>
      <w:r>
        <w:t xml:space="preserve">(1) Wer in eine bestehende Handelsgesellschaft als Kommanditist eintritt, haftet nach Maßgabe der </w:t>
      </w:r>
      <w:hyperlink w:anchor="b204" w:history="1">
        <w:r>
          <w:rPr>
            <w:color w:val="0A3A8C"/>
            <w:u w:val="single"/>
          </w:rPr>
          <w:t xml:space="preserve">§§ 171</w:t>
        </w:r>
      </w:hyperlink>
      <w:r>
        <w:t xml:space="preserve"> und </w:t>
      </w:r>
      <w:hyperlink w:anchor="b205" w:history="1">
        <w:r>
          <w:rPr>
            <w:color w:val="0A3A8C"/>
            <w:u w:val="single"/>
          </w:rPr>
          <w:t xml:space="preserve">172</w:t>
        </w:r>
      </w:hyperlink>
      <w:r>
        <w:t xml:space="preserve"> für die vor seinem Eintritte begründeten Verbindlichkeiten der Gesellschaft, ohne Unterschied, ob die Firma eine Änderung erleidet oder nicht.</w:t>
      </w:r>
    </w:p>
    <w:p>
      <w:r>
        <w:t>(2) Eine entgegenstehende Vereinbarung ist Dritten gegenüber unwirksam.</w:t>
      </w:r>
    </w:p>
    <w:p>
      <w:pPr>
        <w:pStyle w:val="Heading3"/>
      </w:pPr>
      <w:bookmarkStart w:id="209" w:name="b208"/>
      <w:r>
        <w:t>§ 174</w:t>
      </w:r>
      <w:r>
        <w:t xml:space="preserve"> </w:t>
      </w:r>
      <w:r>
        <w:rPr>
          <w:rStyle w:val="Suchmarke"/>
        </w:rPr>
        <w:t>#174#</w:t>
      </w:r>
      <w:bookmarkEnd w:id="209"/>
    </w:p>
    <w:p>
      <w:r>
        <w:t>Eine Herabsetzung der Haftsumme eines Kommanditisten ist, solange sie nicht in das Handelsregister des Gerichts, in dessen Bezirke die Gesellschaft ihren Sitz hat, eingetragen ist, den Gläubigern gegenüber unwirksam; Gläubiger, deren Forderungen zur Zeit der Eintragung begründet waren, brauchen die Herabsetzung nicht gegen sich gelten zu lassen.</w:t>
      </w:r>
    </w:p>
    <w:p>
      <w:pPr>
        <w:pStyle w:val="Heading3"/>
      </w:pPr>
      <w:bookmarkStart w:id="210" w:name="b209"/>
      <w:r>
        <w:t>§ 175 Anmeldung der Änderung der Haftsumme</w:t>
      </w:r>
      <w:r>
        <w:t xml:space="preserve"> </w:t>
      </w:r>
      <w:r>
        <w:rPr>
          <w:rStyle w:val="Suchmarke"/>
        </w:rPr>
        <w:t>#175#</w:t>
      </w:r>
      <w:bookmarkEnd w:id="210"/>
    </w:p>
    <w:p>
      <w:r>
        <w:t>Die Erhöhung sowie die Herabsetzung einer Haftsumme ist durch sämtliche Gesellschafter zur Eintragung in das Handelsregister anzumelden.</w:t>
      </w:r>
    </w:p>
    <w:p>
      <w:pPr>
        <w:pStyle w:val="Heading3"/>
      </w:pPr>
      <w:bookmarkStart w:id="211" w:name="b210"/>
      <w:r>
        <w:t>§ 176</w:t>
      </w:r>
      <w:r>
        <w:t xml:space="preserve"> </w:t>
      </w:r>
      <w:r>
        <w:rPr>
          <w:rStyle w:val="Suchmarke"/>
        </w:rPr>
        <w:t>#176#</w:t>
      </w:r>
      <w:bookmarkEnd w:id="211"/>
    </w:p>
    <w:p>
      <w:r>
        <w:t>(1) Hat die Gesellschaft, deren Zweck auf den Betrieb eines Handelsgewerbes unter gemeinschaftlicher Firma gerichtet ist, am Rechtsverkehr teilgenommen, bevor sie in das Handelsregister eingetragen ist, haftet jeder Kommanditist, der der Teilnahme am Rechtsverkehr zugestimmt hat, für die bis zur Eintragung begründeten Verbindlichkeiten der Gesellschaft gleich einem persönlich haftenden Gesellschafter, es sei denn, dass seine Beteiligung als Kommanditist dem Gläubiger bekannt war.</w:t>
      </w:r>
    </w:p>
    <w:p>
      <w:r>
        <w:t>(2) Tritt ein weiterer Gesellschafter als Kommanditist in eine bestehende Handelsgesellschaft ein, ist Absatz 1 für die in der Zeit zwischen seinem Eintritt und dessen Eintragung in das Handelsregister begründeten Verbindlichkeiten entsprechend anzuwenden.</w:t>
      </w:r>
    </w:p>
    <w:p>
      <w:pPr>
        <w:pStyle w:val="Heading3"/>
      </w:pPr>
      <w:bookmarkStart w:id="212" w:name="b211"/>
      <w:r>
        <w:t>§ 177</w:t>
      </w:r>
      <w:r>
        <w:t xml:space="preserve"> </w:t>
      </w:r>
      <w:r>
        <w:rPr>
          <w:rStyle w:val="Suchmarke"/>
        </w:rPr>
        <w:t>#177#</w:t>
      </w:r>
      <w:bookmarkEnd w:id="212"/>
    </w:p>
    <w:p>
      <w:r>
        <w:t>Beim Tod eines Kommanditisten wird die Gesellschaft mangels abweichender vertraglicher Bestimmung mit den Erben fortgesetzt.</w:t>
      </w:r>
    </w:p>
    <w:p>
      <w:pPr>
        <w:pStyle w:val="Heading3"/>
      </w:pPr>
      <w:bookmarkStart w:id="213" w:name="b212"/>
      <w:r>
        <w:t>§ 177a</w:t>
      </w:r>
      <w:r>
        <w:t xml:space="preserve"> </w:t>
      </w:r>
      <w:r>
        <w:rPr>
          <w:rStyle w:val="Suchmarke"/>
        </w:rPr>
        <w:t>#177a#</w:t>
      </w:r>
      <w:bookmarkEnd w:id="213"/>
    </w:p>
    <w:p>
      <w:r>
        <w:rPr>
          <w:rStyle w:val="Satznummer"/>
        </w:rPr>
        <w:t>1</w:t>
      </w:r>
      <w:hyperlink w:anchor="b161" w:history="1">
        <w:r>
          <w:rPr>
            <w:color w:val="0A3A8C"/>
            <w:u w:val="single"/>
          </w:rPr>
          <w:t xml:space="preserve">§ 125</w:t>
        </w:r>
      </w:hyperlink>
      <w:r>
        <w:t xml:space="preserve"> gilt auch für die Gesellschaft, bei der ein Kommanditist eine natürliche Person ist. </w:t>
      </w:r>
      <w:r>
        <w:rPr>
          <w:rStyle w:val="Satznummer"/>
        </w:rPr>
        <w:t>2</w:t>
      </w:r>
      <w:r>
        <w:t xml:space="preserve">Der in </w:t>
      </w:r>
      <w:hyperlink w:anchor="b161" w:history="1">
        <w:r>
          <w:rPr>
            <w:color w:val="0A3A8C"/>
            <w:u w:val="single"/>
          </w:rPr>
          <w:t xml:space="preserve">§ 125</w:t>
        </w:r>
      </w:hyperlink>
      <w:r>
        <w:t xml:space="preserve"> Absatz 1 Satz 2 für die Gesellschafter vorgeschriebenen Angaben bedarf es nur für die persönlich haftenden Gesellschafter der Gesellschaft.</w:t>
      </w:r>
    </w:p>
    <w:p>
      <w:pPr>
        <w:pStyle w:val="Heading3"/>
      </w:pPr>
      <w:bookmarkStart w:id="214" w:name="b213"/>
      <w:r>
        <w:t>§ 178 Liquidation der Kommanditgesellschaft</w:t>
      </w:r>
      <w:r>
        <w:t xml:space="preserve"> </w:t>
      </w:r>
      <w:r>
        <w:rPr>
          <w:rStyle w:val="Suchmarke"/>
        </w:rPr>
        <w:t>#178#</w:t>
      </w:r>
      <w:bookmarkEnd w:id="214"/>
    </w:p>
    <w:p>
      <w:hyperlink w:anchor="b183" w:history="1">
        <w:r>
          <w:rPr>
            <w:color w:val="0A3A8C"/>
            <w:u w:val="single"/>
          </w:rPr>
          <w:t xml:space="preserve">§ 144</w:t>
        </w:r>
      </w:hyperlink>
      <w:r>
        <w:t xml:space="preserve"> Absatz 1 findet auf die Kommanditisten keine Anwendung.</w:t>
      </w:r>
    </w:p>
    <w:p>
      <w:pPr>
        <w:pStyle w:val="Heading3"/>
      </w:pPr>
      <w:bookmarkStart w:id="215" w:name="b214"/>
      <w:r>
        <w:t>§ 179 Insolvenz der Kommanditgesellschaft</w:t>
      </w:r>
      <w:r>
        <w:t xml:space="preserve"> </w:t>
      </w:r>
      <w:r>
        <w:rPr>
          <w:rStyle w:val="Suchmarke"/>
        </w:rPr>
        <w:t>#179#</w:t>
      </w:r>
      <w:bookmarkEnd w:id="215"/>
    </w:p>
    <w:p>
      <w:r>
        <w:rPr>
          <w:rStyle w:val="Satznummer"/>
        </w:rPr>
        <w:t>1</w:t>
      </w:r>
      <w:hyperlink w:anchor="b167" w:history="1">
        <w:r>
          <w:rPr>
            <w:color w:val="0A3A8C"/>
            <w:u w:val="single"/>
          </w:rPr>
          <w:t xml:space="preserve">§ 130</w:t>
        </w:r>
      </w:hyperlink>
      <w:r>
        <w:t xml:space="preserve"> Absatz 1 Nummer 3 findet keine Anwendung, wenn der Gesellschafter, über dessen Vermögen das Insolvenzverfahren eröffnet worden ist, der einzige persönlich haftende Gesellschafter der Kommanditgesellschaft ist und</w:t>
      </w:r>
    </w:p>
    <w:p>
      <w:pPr>
        <w:tabs>
          <w:tab w:pos="567" w:val="left"/>
        </w:tabs>
        <w:ind w:left="567" w:hanging="567"/>
      </w:pPr>
      <w:r>
        <w:t>1.</w:t>
      </w:r>
      <w:r>
        <w:tab/>
      </w:r>
      <w:r>
        <w:t>über das Vermögen der Kommanditgesellschaft das Insolvenzverfahren eröffnet ist oder</w:t>
      </w:r>
    </w:p>
    <w:p>
      <w:pPr>
        <w:tabs>
          <w:tab w:pos="567" w:val="left"/>
        </w:tabs>
        <w:ind w:left="567" w:hanging="567"/>
      </w:pPr>
      <w:r>
        <w:t>2.</w:t>
      </w:r>
      <w:r>
        <w:tab/>
      </w:r>
      <w:r>
        <w:t>die Voraussetzungen für die Eröffnung des Insolvenzverfahrens über das Vermögen der Kommanditgesellschaft erfüllt sind und ein Antrag auf die Eröffnung des Insolvenzverfahrens gestellt ist.</w:t>
      </w:r>
    </w:p>
    <w:p>
      <w:r>
        <w:rPr>
          <w:rStyle w:val="Satznummer"/>
        </w:rPr>
        <w:t>2</w:t>
      </w:r>
      <w:r>
        <w:t xml:space="preserve">Wird im Falle des Satzes 1 Nummer 2 der Antrag auf Eröffnung des Insolvenzverfahrens mangels Masse abgewiesen, treten die Wirkungen des </w:t>
      </w:r>
      <w:hyperlink w:anchor="b167" w:history="1">
        <w:r>
          <w:rPr>
            <w:color w:val="0A3A8C"/>
            <w:u w:val="single"/>
          </w:rPr>
          <w:t xml:space="preserve">§ 130</w:t>
        </w:r>
      </w:hyperlink>
      <w:r>
        <w:t xml:space="preserve"> Absatz 1 Nummer 3 mit dem Eintritt der Rechtskraft der Abweisungsentscheidung ein.</w:t>
      </w:r>
    </w:p>
    <w:p>
      <w:pPr>
        <w:pStyle w:val="Heading3"/>
      </w:pPr>
      <w:bookmarkStart w:id="216" w:name="b215"/>
      <w:r>
        <w:t>§§ 180 bis 229 (weggefallen)</w:t>
      </w:r>
      <w:bookmarkEnd w:id="216"/>
    </w:p>
    <w:p>
      <w:pPr>
        <w:pStyle w:val="Heading2"/>
      </w:pPr>
      <w:bookmarkStart w:id="217" w:name="b216"/>
      <w:r>
        <w:t>Dritter Abschnitt Stille Gesellschaft</w:t>
      </w:r>
      <w:bookmarkEnd w:id="217"/>
    </w:p>
    <w:p>
      <w:pPr>
        <w:pStyle w:val="Heading3"/>
      </w:pPr>
      <w:bookmarkStart w:id="218" w:name="b217"/>
      <w:r>
        <w:t>§ 230</w:t>
      </w:r>
      <w:r>
        <w:t xml:space="preserve"> </w:t>
      </w:r>
      <w:r>
        <w:rPr>
          <w:rStyle w:val="Suchmarke"/>
        </w:rPr>
        <w:t>#230#</w:t>
      </w:r>
      <w:bookmarkEnd w:id="218"/>
    </w:p>
    <w:p>
      <w:r>
        <w:t>(1) Wer sich als stiller Gesellschafter an dem Handelsgewerbe, das ein anderer betreibt, mit einer Vermögenseinlage beteiligt, hat die Einlage so zu leisten, daß sie in das Vermögen des Inhabers des Handelsgeschäfts übergeht.</w:t>
      </w:r>
    </w:p>
    <w:p>
      <w:r>
        <w:t>(2) Der Inhaber wird aus den in dem Betriebe geschlossenen Geschäften allein berechtigt und verpflichtet.</w:t>
      </w:r>
    </w:p>
    <w:p>
      <w:pPr>
        <w:pStyle w:val="Heading3"/>
      </w:pPr>
      <w:bookmarkStart w:id="219" w:name="b218"/>
      <w:r>
        <w:t>§ 231</w:t>
      </w:r>
      <w:r>
        <w:t xml:space="preserve"> </w:t>
      </w:r>
      <w:r>
        <w:rPr>
          <w:rStyle w:val="Suchmarke"/>
        </w:rPr>
        <w:t>#231#</w:t>
      </w:r>
      <w:bookmarkEnd w:id="219"/>
    </w:p>
    <w:p>
      <w:r>
        <w:t>(1) Ist der Anteil des stillen Gesellschafters am Gewinn und Verluste nicht bestimmt, so gilt ein den Umständen nach angemessener Anteil als bedungen.</w:t>
      </w:r>
    </w:p>
    <w:p>
      <w:r>
        <w:t>(2) Im Gesellschaftsvertrage kann bestimmt werden, daß der stille Gesellschafter nicht am Verluste beteiligt sein soll; seine Beteiligung am Gewinne kann nicht ausgeschlossen werden.</w:t>
      </w:r>
    </w:p>
    <w:p>
      <w:pPr>
        <w:pStyle w:val="Heading3"/>
      </w:pPr>
      <w:bookmarkStart w:id="220" w:name="b219"/>
      <w:r>
        <w:t>§ 232</w:t>
      </w:r>
      <w:r>
        <w:t xml:space="preserve"> </w:t>
      </w:r>
      <w:r>
        <w:rPr>
          <w:rStyle w:val="Suchmarke"/>
        </w:rPr>
        <w:t>#232#</w:t>
      </w:r>
      <w:bookmarkEnd w:id="220"/>
    </w:p>
    <w:p>
      <w:r>
        <w:t>(1) Am Schlusse jedes Geschäftsjahrs wird der Gewinn und Verlust berechnet und der auf den stillen Gesellschafter fallende Gewinn ihm ausbezahlt.</w:t>
      </w:r>
    </w:p>
    <w:p>
      <w:r>
        <w:t xml:space="preserve">(2) </w:t>
      </w:r>
      <w:r>
        <w:rPr>
          <w:rStyle w:val="Satznummer"/>
        </w:rPr>
        <w:t>1</w:t>
      </w:r>
      <w:r>
        <w:t xml:space="preserve">Der stille Gesellschafter nimmt an dem Verluste nur bis zum Betrage seiner eingezahlten oder rückständigen Einlage teil. </w:t>
      </w:r>
      <w:r>
        <w:rPr>
          <w:rStyle w:val="Satznummer"/>
        </w:rPr>
        <w:t>2</w:t>
      </w:r>
      <w:r>
        <w:t>Er ist nicht verpflichtet, den bezogenen Gewinn wegen späterer Verluste zurückzuzahlen; jedoch wird, solange seine Einlage durch Verlust vermindert ist, der jährliche Gewinn zur Deckung des Verlustes verwendet.</w:t>
      </w:r>
    </w:p>
    <w:p>
      <w:r>
        <w:t>(3) Der Gewinn, welcher von dem stillen Gesellschafter nicht erhoben wird, vermehrt dessen Einlage nicht, sofern nicht ein anderes vereinbart ist.</w:t>
      </w:r>
    </w:p>
    <w:p>
      <w:pPr>
        <w:pStyle w:val="Heading3"/>
      </w:pPr>
      <w:bookmarkStart w:id="221" w:name="b220"/>
      <w:r>
        <w:t>§ 233 Informationsrecht des stillen Gesellschafters</w:t>
      </w:r>
      <w:r>
        <w:t xml:space="preserve"> </w:t>
      </w:r>
      <w:r>
        <w:rPr>
          <w:rStyle w:val="Suchmarke"/>
        </w:rPr>
        <w:t>#233#</w:t>
      </w:r>
      <w:bookmarkEnd w:id="221"/>
    </w:p>
    <w:p>
      <w:r>
        <w:t xml:space="preserve">Auf das Informationsrecht des stillen Gesellschafters ist </w:t>
      </w:r>
      <w:hyperlink w:anchor="b199" w:history="1">
        <w:r>
          <w:rPr>
            <w:color w:val="0A3A8C"/>
            <w:u w:val="single"/>
          </w:rPr>
          <w:t xml:space="preserve">§ 166</w:t>
        </w:r>
      </w:hyperlink>
      <w:r>
        <w:t xml:space="preserve"> entsprechend anzuwenden.</w:t>
      </w:r>
    </w:p>
    <w:p>
      <w:pPr>
        <w:pStyle w:val="Heading3"/>
      </w:pPr>
      <w:bookmarkStart w:id="222" w:name="b221"/>
      <w:r>
        <w:t>§ 234</w:t>
      </w:r>
      <w:r>
        <w:t xml:space="preserve"> </w:t>
      </w:r>
      <w:r>
        <w:rPr>
          <w:rStyle w:val="Suchmarke"/>
        </w:rPr>
        <w:t>#234#</w:t>
      </w:r>
      <w:bookmarkEnd w:id="222"/>
    </w:p>
    <w:p>
      <w:r>
        <w:t xml:space="preserve">(1) Auf die Kündigung der Gesellschaft durch einen der Gesellschafter oder durch einen Gläubiger des stillen Gesellschafters finden die Vorschriften der </w:t>
      </w:r>
      <w:hyperlink w:anchor="b169" w:history="1">
        <w:r>
          <w:rPr>
            <w:color w:val="0A3A8C"/>
            <w:u w:val="single"/>
          </w:rPr>
          <w:t xml:space="preserve">§§ 132</w:t>
        </w:r>
      </w:hyperlink>
      <w:r>
        <w:t xml:space="preserve"> und </w:t>
      </w:r>
      <w:hyperlink w:anchor="b170" w:history="1">
        <w:r>
          <w:rPr>
            <w:color w:val="0A3A8C"/>
            <w:u w:val="single"/>
          </w:rPr>
          <w:t xml:space="preserve">133</w:t>
        </w:r>
      </w:hyperlink>
      <w:r>
        <w:t xml:space="preserve"> entsprechende Anwendung.</w:t>
      </w:r>
    </w:p>
    <w:p>
      <w:r>
        <w:t>(2) Durch den Tod des stillen Gesellschafters wird die Gesellschaft nicht aufgelöst.</w:t>
      </w:r>
    </w:p>
    <w:p>
      <w:pPr>
        <w:pStyle w:val="Heading3"/>
      </w:pPr>
      <w:bookmarkStart w:id="223" w:name="b222"/>
      <w:r>
        <w:t>§ 235</w:t>
      </w:r>
      <w:r>
        <w:t xml:space="preserve"> </w:t>
      </w:r>
      <w:r>
        <w:rPr>
          <w:rStyle w:val="Suchmarke"/>
        </w:rPr>
        <w:t>#235#</w:t>
      </w:r>
      <w:bookmarkEnd w:id="223"/>
    </w:p>
    <w:p>
      <w:r>
        <w:t>(1) Nach der Auflösung der Gesellschaft hat sich der Inhaber des Handelsgeschäfts mit dem stillen Gesellschafter auseinanderzusetzen und dessen Guthaben in Geld zu berichtigen.</w:t>
      </w:r>
    </w:p>
    <w:p>
      <w:r>
        <w:t xml:space="preserve">(2) </w:t>
      </w:r>
      <w:r>
        <w:rPr>
          <w:rStyle w:val="Satznummer"/>
        </w:rPr>
        <w:t>1</w:t>
      </w:r>
      <w:r>
        <w:t xml:space="preserve">Die zur Zeit der Auflösung schwebenden Geschäfte werden von dem Inhaber des Handelsgeschäfts abgewickelt. </w:t>
      </w:r>
      <w:r>
        <w:rPr>
          <w:rStyle w:val="Satznummer"/>
        </w:rPr>
        <w:t>2</w:t>
      </w:r>
      <w:r>
        <w:t>Der stille Gesellschafter nimmt teil an dem Gewinn und Verluste, der sich aus diesen Geschäften ergibt.</w:t>
      </w:r>
    </w:p>
    <w:p>
      <w:r>
        <w:t>(3) Er kann am Schlusse jedes Geschäftsjahrs Rechenschaft über die inzwischen beendigten Geschäfte, Auszahlung des ihm gebührenden Betrags und Auskunft über den Stand der noch schwebenden Geschäfte verlangen.</w:t>
      </w:r>
    </w:p>
    <w:p>
      <w:pPr>
        <w:pStyle w:val="Heading3"/>
      </w:pPr>
      <w:bookmarkStart w:id="224" w:name="b223"/>
      <w:r>
        <w:t>§ 236</w:t>
      </w:r>
      <w:r>
        <w:t xml:space="preserve"> </w:t>
      </w:r>
      <w:r>
        <w:rPr>
          <w:rStyle w:val="Suchmarke"/>
        </w:rPr>
        <w:t>#236#</w:t>
      </w:r>
      <w:bookmarkEnd w:id="224"/>
    </w:p>
    <w:p>
      <w:r>
        <w:t>(1) Wird über das Vermögen des Inhabers des Handelsgeschäfts das Insolvenzverfahren eröffnet, so kann der stille Gesellschafter wegen der Einlage, soweit sie den Betrag des auf ihn fallenden Anteils am Verlust übersteigt, seine Forderung als Insolvenzgläubiger geltend machen.</w:t>
      </w:r>
    </w:p>
    <w:p>
      <w:r>
        <w:t>(2) Ist die Einlage rückständig, so hat sie der stille Gesellschafter bis zu dem Betrage, welcher zur Deckung seines Anteils am Verlust erforderlich ist, zur Insolvenzmasse einzuzahlen.</w:t>
      </w:r>
    </w:p>
    <w:p>
      <w:pPr>
        <w:pStyle w:val="Heading3"/>
      </w:pPr>
      <w:bookmarkStart w:id="225" w:name="b224"/>
      <w:r>
        <w:t>§ 237 (weggefallen)</w:t>
      </w:r>
      <w:r>
        <w:t xml:space="preserve"> </w:t>
      </w:r>
      <w:r>
        <w:rPr>
          <w:rStyle w:val="Suchmarke"/>
        </w:rPr>
        <w:t>#237#</w:t>
      </w:r>
      <w:bookmarkEnd w:id="225"/>
    </w:p>
    <w:p>
      <w:pPr>
        <w:pStyle w:val="Heading1"/>
      </w:pPr>
      <w:bookmarkStart w:id="226" w:name="b225"/>
      <w:r>
        <w:t>Drittes Buch Handelsbücher</w:t>
      </w:r>
      <w:bookmarkEnd w:id="226"/>
    </w:p>
    <w:p>
      <w:pPr>
        <w:pStyle w:val="Heading2"/>
      </w:pPr>
      <w:bookmarkStart w:id="227" w:name="b226"/>
      <w:r>
        <w:t>Erster Abschnitt Vorschriften für alle Kaufleute</w:t>
      </w:r>
      <w:bookmarkEnd w:id="227"/>
    </w:p>
    <w:p>
      <w:pPr>
        <w:pStyle w:val="Heading3"/>
      </w:pPr>
      <w:bookmarkStart w:id="228" w:name="b227"/>
      <w:r>
        <w:t>Erster Unterabschnitt Buchführung. Inventar</w:t>
      </w:r>
      <w:bookmarkEnd w:id="228"/>
    </w:p>
    <w:p>
      <w:pPr>
        <w:pStyle w:val="Heading4"/>
      </w:pPr>
      <w:bookmarkStart w:id="229" w:name="b228"/>
      <w:r>
        <w:t>§ 238 Buchführungspflicht</w:t>
      </w:r>
      <w:r>
        <w:t xml:space="preserve"> </w:t>
      </w:r>
      <w:r>
        <w:rPr>
          <w:rStyle w:val="Suchmarke"/>
        </w:rPr>
        <w:t>#238#</w:t>
      </w:r>
      <w:bookmarkEnd w:id="229"/>
    </w:p>
    <w:p>
      <w:r>
        <w:t xml:space="preserve">(1) </w:t>
      </w:r>
      <w:r>
        <w:rPr>
          <w:rStyle w:val="Satznummer"/>
        </w:rPr>
        <w:t>1</w:t>
      </w:r>
      <w:r>
        <w:t xml:space="preserve">Jeder Kaufmann ist verpflichtet, Bücher zu führen und in diesen seine Handelsgeschäfte und die Lage seines Vermögens nach den Grundsätzen ordnungsmäßiger Buchführung ersichtlich zu machen. </w:t>
      </w:r>
      <w:r>
        <w:rPr>
          <w:rStyle w:val="Satznummer"/>
        </w:rPr>
        <w:t>2</w:t>
      </w:r>
      <w:r>
        <w:t xml:space="preserve">Die Buchführung muß so beschaffen sein, daß sie einem sachverständigen Dritten innerhalb angemessener Zeit einen Überblick über die Geschäftsvorfälle und über die Lage des Unternehmens vermitteln kann. </w:t>
      </w:r>
      <w:r>
        <w:rPr>
          <w:rStyle w:val="Satznummer"/>
        </w:rPr>
        <w:t>3</w:t>
      </w:r>
      <w:r>
        <w:t>Die Geschäftsvorfälle müssen sich in ihrer Entstehung und Abwicklung verfolgen lassen.</w:t>
      </w:r>
    </w:p>
    <w:p>
      <w:r>
        <w:t>(2) Der Kaufmann ist verpflichtet, eine mit der Urschrift übereinstimmende Wiedergabe der abgesandten Handelsbriefe (Kopie, Abdruck, Abschrift oder sonstige Wiedergabe des Wortlauts auf einem Schrift-, Bild- oder anderen Datenträger) zurückzubehalten.</w:t>
      </w:r>
    </w:p>
    <w:p>
      <w:pPr>
        <w:pStyle w:val="Heading4"/>
      </w:pPr>
      <w:bookmarkStart w:id="230" w:name="b229"/>
      <w:r>
        <w:t>§ 239 Führung der Handelsbücher</w:t>
      </w:r>
      <w:r>
        <w:t xml:space="preserve"> </w:t>
      </w:r>
      <w:r>
        <w:rPr>
          <w:rStyle w:val="Suchmarke"/>
        </w:rPr>
        <w:t>#239#</w:t>
      </w:r>
      <w:bookmarkEnd w:id="230"/>
    </w:p>
    <w:p>
      <w:r>
        <w:t xml:space="preserve">(1) </w:t>
      </w:r>
      <w:r>
        <w:rPr>
          <w:rStyle w:val="Satznummer"/>
        </w:rPr>
        <w:t>1</w:t>
      </w:r>
      <w:r>
        <w:t xml:space="preserve">Bei der Führung der Handelsbücher und bei den sonst erforderlichen Aufzeichnungen hat sich der Kaufmann einer lebenden Sprache zu bedienen. </w:t>
      </w:r>
      <w:r>
        <w:rPr>
          <w:rStyle w:val="Satznummer"/>
        </w:rPr>
        <w:t>2</w:t>
      </w:r>
      <w:r>
        <w:t>Werden Abkürzungen, Ziffern, Buchstaben oder Symbole verwendet, muß im Einzelfall deren Bedeutung eindeutig festliegen.</w:t>
      </w:r>
    </w:p>
    <w:p>
      <w:r>
        <w:t>(2) Die Eintragungen in Büchern und die sonst erforderlichen Aufzeichnungen müssen vollständig, richtig, zeitgerecht und geordnet vorgenommen werden.</w:t>
      </w:r>
    </w:p>
    <w:p>
      <w:r>
        <w:t xml:space="preserve">(3) </w:t>
      </w:r>
      <w:r>
        <w:rPr>
          <w:rStyle w:val="Satznummer"/>
        </w:rPr>
        <w:t>1</w:t>
      </w:r>
      <w:r>
        <w:t xml:space="preserve">Eine Eintragung oder eine Aufzeichnung darf nicht in einer Weise verändert werden, daß der ursprüngliche Inhalt nicht mehr feststellbar ist. </w:t>
      </w:r>
      <w:r>
        <w:rPr>
          <w:rStyle w:val="Satznummer"/>
        </w:rPr>
        <w:t>2</w:t>
      </w:r>
      <w:r>
        <w:t>Auch solche Veränderungen dürfen nicht vorgenommen werden, deren Beschaffenheit es ungewiß läßt, ob sie ursprünglich oder erst später gemacht worden sind.</w:t>
      </w:r>
    </w:p>
    <w:p>
      <w:r>
        <w:t xml:space="preserve">(4) </w:t>
      </w:r>
      <w:r>
        <w:rPr>
          <w:rStyle w:val="Satznummer"/>
        </w:rPr>
        <w:t>1</w:t>
      </w:r>
      <w:r>
        <w:t xml:space="preserve">Die Handelsbücher und die sonst erforderlichen Aufzeichnungen können auch in der geordneten Ablage von Belegen bestehen oder auf Datenträgern geführt werden, soweit diese Formen der Buchführung einschließlich des dabei angewandten Verfahrens den Grundsätzen ordnungsmäßiger Buchführung entsprechen. </w:t>
      </w:r>
      <w:r>
        <w:rPr>
          <w:rStyle w:val="Satznummer"/>
        </w:rPr>
        <w:t>2</w:t>
      </w:r>
      <w:r>
        <w:t xml:space="preserve">Bei der Führung der Handelsbücher und der sonst erforderlichen Aufzeichnungen auf Datenträgern muß insbesondere sichergestellt sein, daß die Daten während der Dauer der Aufbewahrungsfrist verfügbar sind und jederzeit innerhalb angemessener Frist lesbar gemacht werden können. </w:t>
      </w:r>
      <w:r>
        <w:rPr>
          <w:rStyle w:val="Satznummer"/>
        </w:rPr>
        <w:t>3</w:t>
      </w:r>
      <w:r>
        <w:t>Absätze 1 bis 3 gelten sinngemäß.</w:t>
      </w:r>
    </w:p>
    <w:p>
      <w:pPr>
        <w:pStyle w:val="Heading4"/>
      </w:pPr>
      <w:bookmarkStart w:id="231" w:name="b230"/>
      <w:r>
        <w:t>§ 240 Inventar</w:t>
      </w:r>
      <w:r>
        <w:t xml:space="preserve"> </w:t>
      </w:r>
      <w:r>
        <w:rPr>
          <w:rStyle w:val="Suchmarke"/>
        </w:rPr>
        <w:t>#240#</w:t>
      </w:r>
      <w:bookmarkEnd w:id="231"/>
    </w:p>
    <w:p>
      <w:r>
        <w:t>(1) Jeder Kaufmann hat zu Beginn seines Handelsgewerbes seine Grundstücke, seine Forderungen und Schulden, den Betrag seines baren Geldes sowie seine sonstigen Vermögensgegenstände genau zu verzeichnen und dabei den Wert der einzelnen Vermögensgegenstände und Schulden anzugeben.</w:t>
      </w:r>
    </w:p>
    <w:p>
      <w:r>
        <w:t xml:space="preserve">(2) </w:t>
      </w:r>
      <w:r>
        <w:rPr>
          <w:rStyle w:val="Satznummer"/>
        </w:rPr>
        <w:t>1</w:t>
      </w:r>
      <w:r>
        <w:t xml:space="preserve">Er hat demnächst für den Schluß eines jeden Geschäftsjahrs ein solches Inventar aufzustellen. </w:t>
      </w:r>
      <w:r>
        <w:rPr>
          <w:rStyle w:val="Satznummer"/>
        </w:rPr>
        <w:t>2</w:t>
      </w:r>
      <w:r>
        <w:t xml:space="preserve">Die Dauer des Geschäftsjahrs darf zwölf Monate nicht überschreiten. </w:t>
      </w:r>
      <w:r>
        <w:rPr>
          <w:rStyle w:val="Satznummer"/>
        </w:rPr>
        <w:t>3</w:t>
      </w:r>
      <w:r>
        <w:t>Die Aufstellung des Inventars ist innerhalb der einem ordnungsmäßigen Geschäftsgang entsprechenden Zeit zu bewirken.</w:t>
      </w:r>
    </w:p>
    <w:p>
      <w:r>
        <w:t xml:space="preserve">(3) </w:t>
      </w:r>
      <w:r>
        <w:rPr>
          <w:rStyle w:val="Satznummer"/>
        </w:rPr>
        <w:t>1</w:t>
      </w:r>
      <w:r>
        <w:t xml:space="preserve">Vermögensgegenstände des Sachanlagevermögens sowie Roh-, Hilfs- und Betriebsstoffe können, wenn sie regelmäßig ersetzt werden und ihr Gesamtwert für das Unternehmen von nachrangiger Bedeutung ist, mit einer gleichbleibenden Menge und einem gleichbleibenden Wert angesetzt werden, sofern ihr Bestand in seiner Größe, seinem Wert und seiner Zusammensetzung nur geringen Veränderungen unterliegt. </w:t>
      </w:r>
      <w:r>
        <w:rPr>
          <w:rStyle w:val="Satznummer"/>
        </w:rPr>
        <w:t>2</w:t>
      </w:r>
      <w:r>
        <w:t>Jedoch ist in der Regel alle drei Jahre eine körperliche Bestandsaufnahme durchzuführen.</w:t>
      </w:r>
    </w:p>
    <w:p>
      <w:r>
        <w:t>(4) Gleichartige Vermögensgegenstände des Vorratsvermögens sowie andere gleichartige oder annähernd gleichwertige bewegliche Vermögensgegenstände und Schulden können jeweils zu einer Gruppe zusammengefaßt und mit dem gewogenen Durchschnittswert angesetzt werden.</w:t>
      </w:r>
    </w:p>
    <w:p>
      <w:pPr>
        <w:pStyle w:val="Heading4"/>
      </w:pPr>
      <w:bookmarkStart w:id="232" w:name="b231"/>
      <w:r>
        <w:t>§ 241 Inventurvereinfachungsverfahren</w:t>
      </w:r>
      <w:r>
        <w:t xml:space="preserve"> </w:t>
      </w:r>
      <w:r>
        <w:rPr>
          <w:rStyle w:val="Suchmarke"/>
        </w:rPr>
        <w:t>#241#</w:t>
      </w:r>
      <w:bookmarkEnd w:id="232"/>
    </w:p>
    <w:p>
      <w:r>
        <w:t xml:space="preserve">(1) </w:t>
      </w:r>
      <w:r>
        <w:rPr>
          <w:rStyle w:val="Satznummer"/>
        </w:rPr>
        <w:t>1</w:t>
      </w:r>
      <w:r>
        <w:t xml:space="preserve">Bei der Aufstellung des Inventars darf der Bestand der Vermögensgegenstände nach Art, Menge und Wert auch mit Hilfe anerkannter mathematisch-statistischer Methoden auf Grund von Stichproben ermittelt werden. </w:t>
      </w:r>
      <w:r>
        <w:rPr>
          <w:rStyle w:val="Satznummer"/>
        </w:rPr>
        <w:t>2</w:t>
      </w:r>
      <w:r>
        <w:t xml:space="preserve">Das Verfahren muß den Grundsätzen ordnungsmäßiger Buchführung entsprechen. </w:t>
      </w:r>
      <w:r>
        <w:rPr>
          <w:rStyle w:val="Satznummer"/>
        </w:rPr>
        <w:t>3</w:t>
      </w:r>
      <w:r>
        <w:t>Der Aussagewert des auf diese Weise aufgestellten Inventars muß dem Aussagewert eines auf Grund einer körperlichen Bestandsaufnahme aufgestellten Inventars gleichkommen.</w:t>
      </w:r>
    </w:p>
    <w:p>
      <w:r>
        <w:t>(2) Bei der Aufstellung des Inventars für den Schluß eines Geschäftsjahrs bedarf es einer körperlichen Bestandsaufnahme der Vermögensgegenstände für diesen Zeitpunkt nicht, soweit durch Anwendung eines den Grundsätzen ordnungsmäßiger Buchführung entsprechenden anderen Verfahrens gesichert ist, daß der Bestand der Vermögensgegenstände nach Art, Menge und Wert auch ohne die körperliche Bestandsaufnahme für diesen Zeitpunkt festgestellt werden kann.</w:t>
      </w:r>
    </w:p>
    <w:p>
      <w:r>
        <w:t>(3) In dem Inventar für den Schluß eines Geschäftsjahrs brauchen Vermögensgegenstände nicht verzeichnet zu werden, wenn</w:t>
      </w:r>
    </w:p>
    <w:p>
      <w:pPr>
        <w:tabs>
          <w:tab w:pos="567" w:val="left"/>
        </w:tabs>
        <w:ind w:left="567" w:hanging="567"/>
      </w:pPr>
      <w:r>
        <w:t>1.</w:t>
      </w:r>
      <w:r>
        <w:tab/>
      </w:r>
      <w:r>
        <w:t>der Kaufmann ihren Bestand auf Grund einer körperlichen Bestandsaufnahme oder auf Grund eines nach Absatz 2 zulässigen anderen Verfahrens nach Art, Menge und Wert in einem besonderen Inventar verzeichnet hat, das für einen Tag innerhalb der letzten drei Monate vor oder der ersten beiden Monate nach dem Schluß des Geschäftsjahrs aufgestellt ist, und</w:t>
      </w:r>
    </w:p>
    <w:p>
      <w:pPr>
        <w:tabs>
          <w:tab w:pos="567" w:val="left"/>
        </w:tabs>
        <w:ind w:left="567" w:hanging="567"/>
      </w:pPr>
      <w:r>
        <w:t>2.</w:t>
      </w:r>
      <w:r>
        <w:tab/>
      </w:r>
      <w:r>
        <w:t>auf Grund des besonderen Inventars durch Anwendung eines den Grundsätzen ordnungsmäßiger Buchführung entsprechenden Fortschreibungs- oder Rückrechnungsverfahrens gesichert ist, daß der am Schluß des Geschäftsjahrs vorhandene Bestand der Vermögensgegenstände für diesen Zeitpunkt ordnungsgemäß bewertet werden kann.</w:t>
      </w:r>
    </w:p>
    <w:p>
      <w:pPr>
        <w:pStyle w:val="Heading4"/>
      </w:pPr>
      <w:bookmarkStart w:id="233" w:name="b232"/>
      <w:r>
        <w:t>§ 241a Befreiung von der Pflicht zur Buchführung und Erstellung eines Inventars</w:t>
      </w:r>
      <w:r>
        <w:t xml:space="preserve"> </w:t>
      </w:r>
      <w:r>
        <w:rPr>
          <w:rStyle w:val="Suchmarke"/>
        </w:rPr>
        <w:t>#241a#</w:t>
      </w:r>
      <w:bookmarkEnd w:id="233"/>
    </w:p>
    <w:p>
      <w:r>
        <w:rPr>
          <w:rStyle w:val="Satznummer"/>
        </w:rPr>
        <w:t>1</w:t>
      </w:r>
      <w:r>
        <w:t xml:space="preserve">Einzelkaufleute, die an den Abschlussstichtagen von zwei aufeinander folgenden Geschäftsjahren nicht mehr als jeweils 800 000 Euro Umsatzerlöse und jeweils 80 000 Euro Jahresüberschuss aufweisen, brauchen die </w:t>
      </w:r>
      <w:hyperlink w:anchor="b228" w:history="1">
        <w:r>
          <w:rPr>
            <w:color w:val="0A3A8C"/>
            <w:u w:val="single"/>
          </w:rPr>
          <w:t xml:space="preserve">§§ 238</w:t>
        </w:r>
      </w:hyperlink>
      <w:r>
        <w:t xml:space="preserve"> bis </w:t>
      </w:r>
      <w:hyperlink w:anchor="b231" w:history="1">
        <w:r>
          <w:rPr>
            <w:color w:val="0A3A8C"/>
            <w:u w:val="single"/>
          </w:rPr>
          <w:t xml:space="preserve">241</w:t>
        </w:r>
      </w:hyperlink>
      <w:r>
        <w:t xml:space="preserve"> nicht anzuwenden. </w:t>
      </w:r>
      <w:r>
        <w:rPr>
          <w:rStyle w:val="Satznummer"/>
        </w:rPr>
        <w:t>2</w:t>
      </w:r>
      <w:r>
        <w:t>Im Fall der Neugründung treten die Rechtsfolgen schon ein, wenn die Werte des Satzes 1 am ersten Abschlussstichtag nach der Neugründung nicht überschritten werden.</w:t>
      </w:r>
    </w:p>
    <w:p>
      <w:pPr>
        <w:pStyle w:val="Heading3"/>
      </w:pPr>
      <w:bookmarkStart w:id="234" w:name="b233"/>
      <w:r>
        <w:t>Zweiter Unterabschnitt Eröffnungsbilanz. Jahresabschluß</w:t>
      </w:r>
      <w:bookmarkEnd w:id="234"/>
    </w:p>
    <w:p>
      <w:pPr>
        <w:pStyle w:val="Heading4"/>
      </w:pPr>
      <w:bookmarkStart w:id="235" w:name="b234"/>
      <w:r>
        <w:t>Erster Titel Allgemeine Vorschriften</w:t>
      </w:r>
      <w:bookmarkEnd w:id="235"/>
    </w:p>
    <w:p>
      <w:pPr>
        <w:pStyle w:val="Heading5"/>
      </w:pPr>
      <w:bookmarkStart w:id="236" w:name="b235"/>
      <w:r>
        <w:t>§ 242 Pflicht zur Aufstellung</w:t>
      </w:r>
      <w:r>
        <w:t xml:space="preserve"> </w:t>
      </w:r>
      <w:r>
        <w:rPr>
          <w:rStyle w:val="Suchmarke"/>
        </w:rPr>
        <w:t>#242#</w:t>
      </w:r>
      <w:bookmarkEnd w:id="236"/>
    </w:p>
    <w:p>
      <w:r>
        <w:t xml:space="preserve">(1) </w:t>
      </w:r>
      <w:r>
        <w:rPr>
          <w:rStyle w:val="Satznummer"/>
        </w:rPr>
        <w:t>1</w:t>
      </w:r>
      <w:r>
        <w:t xml:space="preserve">Der Kaufmann hat zu Beginn seines Handelsgewerbes und für den Schluß eines jeden Geschäftsjahrs einen das Verhältnis seines Vermögens und seiner Schulden darstellenden Abschluß (Eröffnungsbilanz, Bilanz) aufzustellen. </w:t>
      </w:r>
      <w:r>
        <w:rPr>
          <w:rStyle w:val="Satznummer"/>
        </w:rPr>
        <w:t>2</w:t>
      </w:r>
      <w:r>
        <w:t>Auf die Eröffnungsbilanz sind die für den Jahresabschluß geltenden Vorschriften entsprechend anzuwenden, soweit sie sich auf die Bilanz beziehen.</w:t>
      </w:r>
    </w:p>
    <w:p>
      <w:r>
        <w:t>(2) Er hat für den Schluß eines jeden Geschäftsjahrs eine Gegenüberstellung der Aufwendungen und Erträge des Geschäftsjahrs (Gewinn- und Verlustrechnung) aufzustellen.</w:t>
      </w:r>
    </w:p>
    <w:p>
      <w:r>
        <w:t>(3) Die Bilanz und die Gewinn- und Verlustrechnung bilden den Jahresabschluß.</w:t>
      </w:r>
    </w:p>
    <w:p>
      <w:r>
        <w:t xml:space="preserve">(4) </w:t>
      </w:r>
      <w:r>
        <w:rPr>
          <w:rStyle w:val="Satznummer"/>
        </w:rPr>
        <w:t>1</w:t>
      </w:r>
      <w:r>
        <w:t xml:space="preserve">Die Absätze 1 bis 3 sind auf Einzelkaufleute im Sinn des </w:t>
      </w:r>
      <w:hyperlink w:anchor="b232" w:history="1">
        <w:r>
          <w:rPr>
            <w:color w:val="0A3A8C"/>
            <w:u w:val="single"/>
          </w:rPr>
          <w:t xml:space="preserve">§ 241a</w:t>
        </w:r>
      </w:hyperlink>
      <w:r>
        <w:t xml:space="preserve"> nicht anzuwenden. </w:t>
      </w:r>
      <w:r>
        <w:rPr>
          <w:rStyle w:val="Satznummer"/>
        </w:rPr>
        <w:t>2</w:t>
      </w:r>
      <w:r>
        <w:t xml:space="preserve">Im Fall der Neugründung treten die Rechtsfolgen nach Satz 1 schon ein, wenn die Werte des </w:t>
      </w:r>
      <w:hyperlink w:anchor="b232" w:history="1">
        <w:r>
          <w:rPr>
            <w:color w:val="0A3A8C"/>
            <w:u w:val="single"/>
          </w:rPr>
          <w:t xml:space="preserve">§ 241a</w:t>
        </w:r>
      </w:hyperlink>
      <w:r>
        <w:t xml:space="preserve"> Satz 1 am ersten Abschlussstichtag nach der Neugründung nicht überschritten werden.</w:t>
      </w:r>
    </w:p>
    <w:p>
      <w:pPr>
        <w:pStyle w:val="Heading5"/>
      </w:pPr>
      <w:bookmarkStart w:id="237" w:name="b236"/>
      <w:r>
        <w:t>§ 243 Aufstellungsgrundsatz</w:t>
      </w:r>
      <w:r>
        <w:t xml:space="preserve"> </w:t>
      </w:r>
      <w:r>
        <w:rPr>
          <w:rStyle w:val="Suchmarke"/>
        </w:rPr>
        <w:t>#243#</w:t>
      </w:r>
      <w:bookmarkEnd w:id="237"/>
    </w:p>
    <w:p>
      <w:r>
        <w:t>(1) Der Jahresabschluß ist nach den Grundsätzen ordnungsmäßiger Buchführung aufzustellen.</w:t>
      </w:r>
    </w:p>
    <w:p>
      <w:r>
        <w:t>(2) Er muß klar und übersichtlich sein.</w:t>
      </w:r>
    </w:p>
    <w:p>
      <w:r>
        <w:t>(3) Der Jahresabschluß ist innerhalb der einem ordnungsmäßigen Geschäftsgang entsprechenden Zeit aufzustellen.</w:t>
      </w:r>
    </w:p>
    <w:p>
      <w:pPr>
        <w:pStyle w:val="Heading5"/>
      </w:pPr>
      <w:bookmarkStart w:id="238" w:name="b237"/>
      <w:r>
        <w:t>§ 244 Sprache. Währungseinheit</w:t>
      </w:r>
      <w:r>
        <w:t xml:space="preserve"> </w:t>
      </w:r>
      <w:r>
        <w:rPr>
          <w:rStyle w:val="Suchmarke"/>
        </w:rPr>
        <w:t>#244#</w:t>
      </w:r>
      <w:bookmarkEnd w:id="238"/>
    </w:p>
    <w:p>
      <w:r>
        <w:t>Der Jahresabschluß ist in deutscher Sprache und in Euro aufzustellen.</w:t>
      </w:r>
    </w:p>
    <w:p>
      <w:pPr>
        <w:pStyle w:val="Heading5"/>
      </w:pPr>
      <w:bookmarkStart w:id="239" w:name="b238"/>
      <w:r>
        <w:t>§ 245 Unterzeichnung</w:t>
      </w:r>
      <w:r>
        <w:t xml:space="preserve"> </w:t>
      </w:r>
      <w:r>
        <w:rPr>
          <w:rStyle w:val="Suchmarke"/>
        </w:rPr>
        <w:t>#245#</w:t>
      </w:r>
      <w:bookmarkEnd w:id="239"/>
    </w:p>
    <w:p>
      <w:r>
        <w:rPr>
          <w:rStyle w:val="Satznummer"/>
        </w:rPr>
        <w:t>1</w:t>
      </w:r>
      <w:r>
        <w:t xml:space="preserve">Der Jahresabschluß ist vom Kaufmann unter Angabe des Datums zu unterzeichnen. </w:t>
      </w:r>
      <w:r>
        <w:rPr>
          <w:rStyle w:val="Satznummer"/>
        </w:rPr>
        <w:t>2</w:t>
      </w:r>
      <w:r>
        <w:t>Sind mehrere persönlich haftende Gesellschafter vorhanden, so haben sie alle zu unterzeichnen.</w:t>
      </w:r>
    </w:p>
    <w:p>
      <w:pPr>
        <w:pStyle w:val="Heading4"/>
      </w:pPr>
      <w:bookmarkStart w:id="240" w:name="b239"/>
      <w:r>
        <w:t>Zweiter Titel Ansatzvorschriften</w:t>
      </w:r>
      <w:bookmarkEnd w:id="240"/>
    </w:p>
    <w:p>
      <w:pPr>
        <w:pStyle w:val="Heading5"/>
      </w:pPr>
      <w:bookmarkStart w:id="241" w:name="b240"/>
      <w:r>
        <w:t>§ 246 Vollständigkeit. Verrechnungsverbot</w:t>
      </w:r>
      <w:r>
        <w:t xml:space="preserve"> </w:t>
      </w:r>
      <w:r>
        <w:rPr>
          <w:rStyle w:val="Suchmarke"/>
        </w:rPr>
        <w:t>#246#</w:t>
      </w:r>
      <w:bookmarkEnd w:id="241"/>
    </w:p>
    <w:p>
      <w:r>
        <w:t xml:space="preserve">(1) </w:t>
      </w:r>
      <w:r>
        <w:rPr>
          <w:rStyle w:val="Satznummer"/>
        </w:rPr>
        <w:t>1</w:t>
      </w:r>
      <w:r>
        <w:t xml:space="preserve">Der Jahresabschluss hat sämtliche Vermögensgegenstände, Schulden, Rechnungsabgrenzungsposten sowie Aufwendungen und Erträge zu enthalten, soweit gesetzlich nichts anderes bestimmt ist. </w:t>
      </w:r>
      <w:r>
        <w:rPr>
          <w:rStyle w:val="Satznummer"/>
        </w:rPr>
        <w:t>2</w:t>
      </w:r>
      <w:r>
        <w:t xml:space="preserve">Vermögensgegenstände sind in der Bilanz des Eigentümers aufzunehmen; ist ein Vermögensgegenstand nicht dem Eigentümer, sondern einem anderen wirtschaftlich zuzurechnen, hat dieser ihn in seiner Bilanz auszuweisen. </w:t>
      </w:r>
      <w:r>
        <w:rPr>
          <w:rStyle w:val="Satznummer"/>
        </w:rPr>
        <w:t>3</w:t>
      </w:r>
      <w:r>
        <w:t xml:space="preserve">Schulden sind in die Bilanz des Schuldners aufzunehmen. </w:t>
      </w:r>
      <w:r>
        <w:rPr>
          <w:rStyle w:val="Satznummer"/>
        </w:rPr>
        <w:t>4</w:t>
      </w:r>
      <w:r>
        <w:t>Der Unterschiedsbetrag, um den die für die Übernahme eines Unternehmens bewirkte Gegenleistung den Wert der einzelnen Vermögensgegenstände des Unternehmens abzüglich der Schulden im Zeitpunkt der Übernahme übersteigt (entgeltlich erworbener Geschäfts- oder Firmenwert), gilt als zeitlich begrenzt nutzbarer Vermögensgegenstand.</w:t>
      </w:r>
    </w:p>
    <w:p>
      <w:r>
        <w:t xml:space="preserve">(2) </w:t>
      </w:r>
      <w:r>
        <w:rPr>
          <w:rStyle w:val="Satznummer"/>
        </w:rPr>
        <w:t>1</w:t>
      </w:r>
      <w:r>
        <w:t xml:space="preserve">Posten der Aktivseite dürfen nicht mit Posten der Passivseite, Aufwendungen nicht mit Erträgen, Grundstücksrechte nicht mit Grundstückslasten verrechnet werden. </w:t>
      </w:r>
      <w:r>
        <w:rPr>
          <w:rStyle w:val="Satznummer"/>
        </w:rPr>
        <w:t>2</w:t>
      </w:r>
      <w:r>
        <w:t xml:space="preserve">Vermögensgegenstände, die dem Zugriff aller übrigen Gläubiger entzogen sind und ausschließlich der Erfüllung von Schulden aus Altersversorgungsverpflichtungen oder vergleichbaren langfristig fälligen Verpflichtungen dienen, sind mit diesen Schulden zu verrechnen; entsprechend ist mit den zugehörigen Aufwendungen und Erträgen aus der Abzinsung und aus dem zu verrechnenden Vermögen zu verfahren. </w:t>
      </w:r>
      <w:r>
        <w:rPr>
          <w:rStyle w:val="Satznummer"/>
        </w:rPr>
        <w:t>3</w:t>
      </w:r>
      <w:r>
        <w:t>Übersteigt der beizulegende Zeitwert der Vermögensgegenstände den Betrag der Schulden, ist der übersteigende Betrag unter einem gesonderten Posten zu aktivieren.</w:t>
      </w:r>
    </w:p>
    <w:p>
      <w:r>
        <w:t xml:space="preserve">(3) </w:t>
      </w:r>
      <w:r>
        <w:rPr>
          <w:rStyle w:val="Satznummer"/>
        </w:rPr>
        <w:t>1</w:t>
      </w:r>
      <w:r>
        <w:t xml:space="preserve">Die auf den vorhergehenden Jahresabschluss angewandten Ansatzmethoden sind beizubehalten. </w:t>
      </w:r>
      <w:r>
        <w:rPr>
          <w:rStyle w:val="Satznummer"/>
        </w:rPr>
        <w:t>2</w:t>
      </w:r>
      <w:hyperlink w:anchor="b247" w:history="1">
        <w:r>
          <w:rPr>
            <w:color w:val="0A3A8C"/>
            <w:u w:val="single"/>
          </w:rPr>
          <w:t xml:space="preserve">§ 252</w:t>
        </w:r>
      </w:hyperlink>
      <w:r>
        <w:t xml:space="preserve"> Abs. 2 ist entsprechend anzuwenden.</w:t>
      </w:r>
    </w:p>
    <w:p>
      <w:pPr>
        <w:pStyle w:val="Heading5"/>
      </w:pPr>
      <w:bookmarkStart w:id="242" w:name="b241"/>
      <w:r>
        <w:t>§ 247 Inhalt der Bilanz</w:t>
      </w:r>
      <w:r>
        <w:t xml:space="preserve"> </w:t>
      </w:r>
      <w:r>
        <w:rPr>
          <w:rStyle w:val="Suchmarke"/>
        </w:rPr>
        <w:t>#247#</w:t>
      </w:r>
      <w:bookmarkEnd w:id="242"/>
    </w:p>
    <w:p>
      <w:r>
        <w:t>(1) In der Bilanz sind das Anlage- und das Umlaufvermögen, das Eigenkapital, die Schulden sowie die Rechnungsabgrenzungsposten gesondert auszuweisen und hinreichend aufzugliedern.</w:t>
      </w:r>
    </w:p>
    <w:p>
      <w:r>
        <w:t>(2) Beim Anlagevermögen sind nur die Gegenstände auszuweisen, die bestimmt sind, dauernd dem Geschäftsbetrieb zu dienen.</w:t>
      </w:r>
    </w:p>
    <w:p>
      <w:r>
        <w:t>(3) (weggefallen)</w:t>
      </w:r>
    </w:p>
    <w:p>
      <w:pPr>
        <w:pStyle w:val="Heading5"/>
      </w:pPr>
      <w:bookmarkStart w:id="243" w:name="b242"/>
      <w:r>
        <w:t>§ 248 Bilanzierungsverbote und -wahlrechte</w:t>
      </w:r>
      <w:r>
        <w:t xml:space="preserve"> </w:t>
      </w:r>
      <w:r>
        <w:rPr>
          <w:rStyle w:val="Suchmarke"/>
        </w:rPr>
        <w:t>#248#</w:t>
      </w:r>
      <w:bookmarkEnd w:id="243"/>
    </w:p>
    <w:p>
      <w:r>
        <w:t>(1) In die Bilanz dürfen nicht als Aktivposten aufgenommen werden:</w:t>
      </w:r>
    </w:p>
    <w:p>
      <w:pPr>
        <w:tabs>
          <w:tab w:pos="567" w:val="left"/>
        </w:tabs>
        <w:ind w:left="567" w:hanging="567"/>
      </w:pPr>
      <w:r>
        <w:t>1.</w:t>
      </w:r>
      <w:r>
        <w:tab/>
      </w:r>
      <w:r>
        <w:t>Aufwendungen für die Gründung eines Unternehmens,</w:t>
      </w:r>
    </w:p>
    <w:p>
      <w:pPr>
        <w:tabs>
          <w:tab w:pos="567" w:val="left"/>
        </w:tabs>
        <w:ind w:left="567" w:hanging="567"/>
      </w:pPr>
      <w:r>
        <w:t>2.</w:t>
      </w:r>
      <w:r>
        <w:tab/>
      </w:r>
      <w:r>
        <w:t>Aufwendungen für die Beschaffung des Eigenkapitals und</w:t>
      </w:r>
    </w:p>
    <w:p>
      <w:pPr>
        <w:tabs>
          <w:tab w:pos="567" w:val="left"/>
        </w:tabs>
        <w:ind w:left="567" w:hanging="567"/>
      </w:pPr>
      <w:r>
        <w:t>3.</w:t>
      </w:r>
      <w:r>
        <w:tab/>
      </w:r>
      <w:r>
        <w:t>Aufwendungen für den Abschluss von Versicherungsverträgen.</w:t>
      </w:r>
    </w:p>
    <w:p>
      <w:r>
        <w:t xml:space="preserve">(2) </w:t>
      </w:r>
      <w:r>
        <w:rPr>
          <w:rStyle w:val="Satznummer"/>
        </w:rPr>
        <w:t>1</w:t>
      </w:r>
      <w:r>
        <w:t xml:space="preserve">Selbst geschaffene immaterielle Vermögensgegenstände des Anlagevermögens können als Aktivposten in die Bilanz aufgenommen werden. </w:t>
      </w:r>
      <w:r>
        <w:rPr>
          <w:rStyle w:val="Satznummer"/>
        </w:rPr>
        <w:t>2</w:t>
      </w:r>
      <w:r>
        <w:t>Nicht aufgenommen werden dürfen selbst geschaffene Marken, Drucktitel, Verlagsrechte, Kundenlisten oder vergleichbare immaterielle Vermögensgegenstände des Anlagevermögens.</w:t>
      </w:r>
    </w:p>
    <w:p>
      <w:pPr>
        <w:pStyle w:val="Heading5"/>
      </w:pPr>
      <w:bookmarkStart w:id="244" w:name="b243"/>
      <w:r>
        <w:t>§ 249 Rückstellungen</w:t>
      </w:r>
      <w:r>
        <w:t xml:space="preserve"> </w:t>
      </w:r>
      <w:r>
        <w:rPr>
          <w:rStyle w:val="Suchmarke"/>
        </w:rPr>
        <w:t>#249#</w:t>
      </w:r>
      <w:bookmarkEnd w:id="244"/>
    </w:p>
    <w:p>
      <w:r>
        <w:t xml:space="preserve">(1) </w:t>
      </w:r>
      <w:r>
        <w:rPr>
          <w:rStyle w:val="Satznummer"/>
        </w:rPr>
        <w:t>1</w:t>
      </w:r>
      <w:r>
        <w:t xml:space="preserve">Rückstellungen sind für ungewisse Verbindlichkeiten und für drohende Verluste aus schwebenden Geschäften zu bilden. </w:t>
      </w:r>
      <w:r>
        <w:rPr>
          <w:rStyle w:val="Satznummer"/>
        </w:rPr>
        <w:t>2</w:t>
      </w:r>
      <w:r>
        <w:t>Ferner sind Rückstellungen zu bilden für</w:t>
      </w:r>
    </w:p>
    <w:p>
      <w:pPr>
        <w:tabs>
          <w:tab w:pos="567" w:val="left"/>
        </w:tabs>
        <w:ind w:left="567" w:hanging="567"/>
      </w:pPr>
      <w:r>
        <w:t>1.</w:t>
      </w:r>
      <w:r>
        <w:tab/>
      </w:r>
      <w:r>
        <w:t>im Geschäftsjahr unterlassene Aufwendungen für Instandhaltung, die im folgenden Geschäftsjahr innerhalb von drei Monaten, oder für Abraumbeseitigung, die im folgenden Geschäftsjahr nachgeholt werden,</w:t>
      </w:r>
    </w:p>
    <w:p>
      <w:pPr>
        <w:tabs>
          <w:tab w:pos="567" w:val="left"/>
        </w:tabs>
        <w:ind w:left="567" w:hanging="567"/>
      </w:pPr>
      <w:r>
        <w:t>2.</w:t>
      </w:r>
      <w:r>
        <w:tab/>
      </w:r>
      <w:r>
        <w:t>Gewährleistungen, die ohne rechtliche Verpflichtung erbracht werden.</w:t>
      </w:r>
    </w:p>
    <w:p>
      <w:r>
        <w:t xml:space="preserve">(2) </w:t>
      </w:r>
      <w:r>
        <w:rPr>
          <w:rStyle w:val="Satznummer"/>
        </w:rPr>
        <w:t>1</w:t>
      </w:r>
      <w:r>
        <w:t xml:space="preserve">Für andere als die in Absatz 1 bezeichneten Zwecke dürfen Rückstellungen nicht gebildet werden. </w:t>
      </w:r>
      <w:r>
        <w:rPr>
          <w:rStyle w:val="Satznummer"/>
        </w:rPr>
        <w:t>2</w:t>
      </w:r>
      <w:r>
        <w:t>Rückstellungen dürfen nur aufgelöst werden, soweit der Grund hierfür entfallen ist.</w:t>
      </w:r>
    </w:p>
    <w:p>
      <w:pPr>
        <w:pStyle w:val="Heading5"/>
      </w:pPr>
      <w:bookmarkStart w:id="245" w:name="b244"/>
      <w:r>
        <w:t>§ 250 Rechnungsabgrenzungsposten</w:t>
      </w:r>
      <w:r>
        <w:t xml:space="preserve"> </w:t>
      </w:r>
      <w:r>
        <w:rPr>
          <w:rStyle w:val="Suchmarke"/>
        </w:rPr>
        <w:t>#250#</w:t>
      </w:r>
      <w:bookmarkEnd w:id="245"/>
    </w:p>
    <w:p>
      <w:r>
        <w:t>(1) Als Rechnungsabgrenzungsposten sind auf der Aktivseite Ausgaben vor dem Abschlußstichtag auszuweisen, soweit sie Aufwand für eine bestimmte Zeit nach diesem Tag darstellen.</w:t>
      </w:r>
    </w:p>
    <w:p>
      <w:r>
        <w:t>(2) Auf der Passivseite sind als Rechnungsabgrenzungsposten Einnahmen vor dem Abschlußstichtag auszuweisen, soweit sie Ertrag für eine bestimmte Zeit nach diesem Tag darstellen.</w:t>
      </w:r>
    </w:p>
    <w:p>
      <w:r>
        <w:t xml:space="preserve">(3) </w:t>
      </w:r>
      <w:r>
        <w:rPr>
          <w:rStyle w:val="Satznummer"/>
        </w:rPr>
        <w:t>1</w:t>
      </w:r>
      <w:r>
        <w:t xml:space="preserve">Ist der Erfüllungsbetrag einer Verbindlichkeit höher als der Ausgabebetrag, so darf der Unterschiedsbetrag in den Rechnungsabgrenzungsposten auf der Aktivseite aufgenommen werden. </w:t>
      </w:r>
      <w:r>
        <w:rPr>
          <w:rStyle w:val="Satznummer"/>
        </w:rPr>
        <w:t>2</w:t>
      </w:r>
      <w:r>
        <w:t>Der Unterschiedsbetrag ist durch planmäßige jährliche Abschreibungen zu tilgen, die auf die gesamte Laufzeit der Verbindlichkeit verteilt werden können.</w:t>
      </w:r>
    </w:p>
    <w:p>
      <w:pPr>
        <w:pStyle w:val="Heading5"/>
      </w:pPr>
      <w:bookmarkStart w:id="246" w:name="b245"/>
      <w:r>
        <w:t>§ 251 Haftungsverhältnisse</w:t>
      </w:r>
      <w:r>
        <w:t xml:space="preserve"> </w:t>
      </w:r>
      <w:r>
        <w:rPr>
          <w:rStyle w:val="Suchmarke"/>
        </w:rPr>
        <w:t>#251#</w:t>
      </w:r>
      <w:bookmarkEnd w:id="246"/>
    </w:p>
    <w:p>
      <w:r>
        <w:rPr>
          <w:rStyle w:val="Satznummer"/>
        </w:rPr>
        <w:t>1</w:t>
      </w:r>
      <w:r>
        <w:t xml:space="preserve">Unter der Bilanz sind, sofern sie nicht auf der Passivseite auszuweisen sind, Verbindlichkeiten aus der Begebung und Übertragung von Wechseln, aus Bürgschaften, Wechsel- und Scheckbürgschaften und aus Gewährleistungsverträgen sowie Haftungsverhältnisse aus der Bestellung von Sicherheiten für fremde Verbindlichkeiten zu vermerken; sie dürfen in einem Betrag angegeben werden. </w:t>
      </w:r>
      <w:r>
        <w:rPr>
          <w:rStyle w:val="Satznummer"/>
        </w:rPr>
        <w:t>2</w:t>
      </w:r>
      <w:r>
        <w:t>Haftungsverhältnisse sind auch anzugeben, wenn ihnen gleichwertige Rückgriffsforderungen gegenüberstehen.</w:t>
      </w:r>
    </w:p>
    <w:p>
      <w:pPr>
        <w:pStyle w:val="Heading4"/>
      </w:pPr>
      <w:bookmarkStart w:id="247" w:name="b246"/>
      <w:r>
        <w:t>Dritter Titel Bewertungsvorschriften</w:t>
      </w:r>
      <w:bookmarkEnd w:id="247"/>
    </w:p>
    <w:p>
      <w:pPr>
        <w:pStyle w:val="Heading5"/>
      </w:pPr>
      <w:bookmarkStart w:id="248" w:name="b247"/>
      <w:r>
        <w:t>§ 252 Allgemeine Bewertungsgrundsätze</w:t>
      </w:r>
      <w:r>
        <w:t xml:space="preserve"> </w:t>
      </w:r>
      <w:r>
        <w:rPr>
          <w:rStyle w:val="Suchmarke"/>
        </w:rPr>
        <w:t>#252#</w:t>
      </w:r>
      <w:bookmarkEnd w:id="248"/>
    </w:p>
    <w:p>
      <w:r>
        <w:t>(1) Bei der Bewertung der im Jahresabschluß ausgewiesenen Vermögensgegenstände und Schulden gilt insbesondere folgendes:</w:t>
      </w:r>
    </w:p>
    <w:p>
      <w:pPr>
        <w:tabs>
          <w:tab w:pos="567" w:val="left"/>
        </w:tabs>
        <w:ind w:left="567" w:hanging="567"/>
      </w:pPr>
      <w:r>
        <w:t>1.</w:t>
      </w:r>
      <w:r>
        <w:tab/>
      </w:r>
      <w:r>
        <w:t>Die Wertansätze in der Eröffnungsbilanz des Geschäftsjahrs müssen mit denen der Schlußbilanz des vorhergehenden Geschäftsjahrs übereinstimmen.</w:t>
      </w:r>
    </w:p>
    <w:p>
      <w:pPr>
        <w:tabs>
          <w:tab w:pos="567" w:val="left"/>
        </w:tabs>
        <w:ind w:left="567" w:hanging="567"/>
      </w:pPr>
      <w:r>
        <w:t>2.</w:t>
      </w:r>
      <w:r>
        <w:tab/>
      </w:r>
      <w:r>
        <w:t>Bei der Bewertung ist von der Fortführung der Unternehmenstätigkeit auszugehen, sofern dem nicht tatsächliche oder rechtliche Gegebenheiten entgegenstehen.</w:t>
      </w:r>
    </w:p>
    <w:p>
      <w:pPr>
        <w:tabs>
          <w:tab w:pos="567" w:val="left"/>
        </w:tabs>
        <w:ind w:left="567" w:hanging="567"/>
      </w:pPr>
      <w:r>
        <w:t>3.</w:t>
      </w:r>
      <w:r>
        <w:tab/>
      </w:r>
      <w:r>
        <w:t>Die Vermögensgegenstände und Schulden sind zum Abschlußstichtag einzeln zu bewerten.</w:t>
      </w:r>
    </w:p>
    <w:p>
      <w:pPr>
        <w:tabs>
          <w:tab w:pos="567" w:val="left"/>
        </w:tabs>
        <w:ind w:left="567" w:hanging="567"/>
      </w:pPr>
      <w:r>
        <w:t>4.</w:t>
      </w:r>
      <w:r>
        <w:tab/>
      </w:r>
      <w:r>
        <w:t>Es ist vorsichtig zu bewerten, namentlich sind alle vorhersehbaren Risiken und Verluste, die bis zum Abschlußstichtag entstanden sind, zu berücksichtigen, selbst wenn diese erst zwischen dem Abschlußstichtag und dem Tag der Aufstellung des Jahresabschlusses bekanntgeworden sind; Gewinne sind nur zu berücksichtigen, wenn sie am Abschlußstichtag realisiert sind.</w:t>
      </w:r>
    </w:p>
    <w:p>
      <w:pPr>
        <w:tabs>
          <w:tab w:pos="567" w:val="left"/>
        </w:tabs>
        <w:ind w:left="567" w:hanging="567"/>
      </w:pPr>
      <w:r>
        <w:t>5.</w:t>
      </w:r>
      <w:r>
        <w:tab/>
      </w:r>
      <w:r>
        <w:t>Aufwendungen und Erträge des Geschäftsjahrs sind unabhängig von den Zeitpunkten der entsprechenden Zahlungen im Jahresabschluß zu berücksichtigen.</w:t>
      </w:r>
    </w:p>
    <w:p>
      <w:pPr>
        <w:tabs>
          <w:tab w:pos="567" w:val="left"/>
        </w:tabs>
        <w:ind w:left="567" w:hanging="567"/>
      </w:pPr>
      <w:r>
        <w:t>6.</w:t>
      </w:r>
      <w:r>
        <w:tab/>
      </w:r>
      <w:r>
        <w:t>Die auf den vorhergehenden Jahresabschluss angewandten Bewertungsmethoden sind beizubehalten.</w:t>
      </w:r>
    </w:p>
    <w:p>
      <w:r>
        <w:t>(2) Von den Grundsätzen des Absatzes 1 darf nur in begründeten Ausnahmefällen abgewichen werden.</w:t>
      </w:r>
    </w:p>
    <w:p>
      <w:pPr>
        <w:pStyle w:val="Heading5"/>
      </w:pPr>
      <w:bookmarkStart w:id="249" w:name="b248"/>
      <w:r>
        <w:t>§ 253 Zugangs- und Folgebewertung</w:t>
      </w:r>
      <w:r>
        <w:t xml:space="preserve"> </w:t>
      </w:r>
      <w:r>
        <w:rPr>
          <w:rStyle w:val="Suchmarke"/>
        </w:rPr>
        <w:t>#253#</w:t>
      </w:r>
      <w:bookmarkEnd w:id="249"/>
    </w:p>
    <w:p>
      <w:r>
        <w:t xml:space="preserve">(1) </w:t>
      </w:r>
      <w:r>
        <w:rPr>
          <w:rStyle w:val="Satznummer"/>
        </w:rPr>
        <w:t>1</w:t>
      </w:r>
      <w:r>
        <w:t xml:space="preserve">Vermögensgegenstände sind höchstens mit den Anschaffungs- oder Herstellungskosten, vermindert um die Abschreibungen nach den Absätzen 3 bis 5, anzusetzen. </w:t>
      </w:r>
      <w:r>
        <w:rPr>
          <w:rStyle w:val="Satznummer"/>
        </w:rPr>
        <w:t>2</w:t>
      </w:r>
      <w:r>
        <w:t xml:space="preserve">Verbindlichkeiten sind zu ihrem Erfüllungsbetrag und Rückstellungen in Höhe des nach vernünftiger kaufmännischer Beurteilung notwendigen Erfüllungsbetrages anzusetzen. </w:t>
      </w:r>
      <w:r>
        <w:rPr>
          <w:rStyle w:val="Satznummer"/>
        </w:rPr>
        <w:t>3</w:t>
      </w:r>
      <w:r>
        <w:t xml:space="preserve">Soweit sich die Höhe von Altersversorgungsverpflichtungen ausschließlich nach dem beizulegenden Zeitwert von Wertpapieren im Sinn des § 266 Abs. 2 A. III. 5 bestimmt, sind Rückstellungen hierfür zum beizulegenden Zeitwert dieser Wertpapiere anzusetzen, soweit er einen garantierten Mindestbetrag übersteigt. </w:t>
      </w:r>
      <w:r>
        <w:rPr>
          <w:rStyle w:val="Satznummer"/>
        </w:rPr>
        <w:t>4</w:t>
      </w:r>
      <w:r>
        <w:t xml:space="preserve">Nach </w:t>
      </w:r>
      <w:hyperlink w:anchor="b240" w:history="1">
        <w:r>
          <w:rPr>
            <w:color w:val="0A3A8C"/>
            <w:u w:val="single"/>
          </w:rPr>
          <w:t xml:space="preserve">§ 246</w:t>
        </w:r>
      </w:hyperlink>
      <w:r>
        <w:t xml:space="preserve"> Abs. 2 Satz 2 zu verrechnende Vermögensgegenstände sind mit ihrem beizulegenden Zeitwert zu bewerten. </w:t>
      </w:r>
      <w:r>
        <w:rPr>
          <w:rStyle w:val="Satznummer"/>
        </w:rPr>
        <w:t>5</w:t>
      </w:r>
      <w:r>
        <w:t>Kleinstkapitalgesellschaften (</w:t>
      </w:r>
      <w:hyperlink w:anchor="b274" w:history="1">
        <w:r>
          <w:rPr>
            <w:color w:val="0A3A8C"/>
            <w:u w:val="single"/>
          </w:rPr>
          <w:t xml:space="preserve">§ 267a</w:t>
        </w:r>
      </w:hyperlink>
      <w:r>
        <w:t xml:space="preserve">) dürfen eine Bewertung zum beizulegenden Zeitwert nur vornehmen, wenn sie von keiner der in </w:t>
      </w:r>
      <w:hyperlink w:anchor="b265" w:history="1">
        <w:r>
          <w:rPr>
            <w:color w:val="0A3A8C"/>
            <w:u w:val="single"/>
          </w:rPr>
          <w:t xml:space="preserve">§ 264</w:t>
        </w:r>
      </w:hyperlink>
      <w:r>
        <w:t xml:space="preserve"> Absatz 1 Satz 5, </w:t>
      </w:r>
      <w:hyperlink w:anchor="b272" w:history="1">
        <w:r>
          <w:rPr>
            <w:color w:val="0A3A8C"/>
            <w:u w:val="single"/>
          </w:rPr>
          <w:t xml:space="preserve">§ 266</w:t>
        </w:r>
      </w:hyperlink>
      <w:r>
        <w:t xml:space="preserve"> Absatz 1 Satz 4, </w:t>
      </w:r>
      <w:hyperlink w:anchor="b284" w:history="1">
        <w:r>
          <w:rPr>
            <w:color w:val="0A3A8C"/>
            <w:u w:val="single"/>
          </w:rPr>
          <w:t xml:space="preserve">§ 275</w:t>
        </w:r>
      </w:hyperlink>
      <w:r>
        <w:t xml:space="preserve"> Absatz 5 und </w:t>
      </w:r>
      <w:hyperlink w:anchor="b366" w:history="1">
        <w:r>
          <w:rPr>
            <w:color w:val="0A3A8C"/>
            <w:u w:val="single"/>
          </w:rPr>
          <w:t xml:space="preserve">§ 326</w:t>
        </w:r>
      </w:hyperlink>
      <w:r>
        <w:t xml:space="preserve"> Absatz 2 vorgesehenen Erleichterungen Gebrauch machen. </w:t>
      </w:r>
      <w:r>
        <w:rPr>
          <w:rStyle w:val="Satznummer"/>
        </w:rPr>
        <w:t>6</w:t>
      </w:r>
      <w:r>
        <w:t xml:space="preserve">Macht eine Kleinstkapitalgesellschaft von mindestens einer der in Satz 5 genannten Erleichterungen Gebrauch, erfolgt die Bewertung der Vermögensgegenstände nach Satz 1, auch soweit eine Verrechnung nach </w:t>
      </w:r>
      <w:hyperlink w:anchor="b240" w:history="1">
        <w:r>
          <w:rPr>
            <w:color w:val="0A3A8C"/>
            <w:u w:val="single"/>
          </w:rPr>
          <w:t xml:space="preserve">§ 246</w:t>
        </w:r>
      </w:hyperlink>
      <w:r>
        <w:t xml:space="preserve"> Absatz 2 Satz 2 vorgesehen ist.</w:t>
      </w:r>
    </w:p>
    <w:p>
      <w:r>
        <w:t xml:space="preserve">(2) </w:t>
      </w:r>
      <w:r>
        <w:rPr>
          <w:rStyle w:val="Satznummer"/>
        </w:rPr>
        <w:t>1</w:t>
      </w:r>
      <w:r>
        <w:t xml:space="preserve">Rückstellungen mit einer Restlaufzeit von mehr als einem Jahr sind abzuzinsen mit dem ihrer Restlaufzeit entsprechenden durchschnittlichen Marktzinssatz, der sich im Falle von Rückstellungen für Altersversorgungsverpflichtungen aus den vergangenen zehn Geschäftsjahren und im Falle sonstiger Rückstellungen aus den vergangenen sieben Geschäftsjahren ergibt. </w:t>
      </w:r>
      <w:r>
        <w:rPr>
          <w:rStyle w:val="Satznummer"/>
        </w:rPr>
        <w:t>2</w:t>
      </w:r>
      <w:r>
        <w:t xml:space="preserve">Abweichend von Satz 1 dürfen Rückstellungen für Altersversorgungsverpflichtungen oder vergleichbare langfristig fällige Verpflichtungen pauschal mit dem durchschnittlichen Marktzinssatz abgezinst werden, der sich bei einer angenommenen Restlaufzeit von 15 Jahren ergibt. </w:t>
      </w:r>
      <w:r>
        <w:rPr>
          <w:rStyle w:val="Satznummer"/>
        </w:rPr>
        <w:t>3</w:t>
      </w:r>
      <w:r>
        <w:t xml:space="preserve">Die Sätze 1 und 2 gelten entsprechend für auf Rentenverpflichtungen beruhende Verbindlichkeiten, für die eine Gegenleistung nicht mehr zu erwarten ist. </w:t>
      </w:r>
      <w:r>
        <w:rPr>
          <w:rStyle w:val="Satznummer"/>
        </w:rPr>
        <w:t>4</w:t>
      </w:r>
      <w:r>
        <w:t xml:space="preserve">Der nach den Sätzen 1 und 2 anzuwendende Abzinsungszinssatz wird von der Deutschen Bundesbank nach Maßgabe einer Rechtsverordnung ermittelt und monatlich bekannt gegeben. </w:t>
      </w:r>
      <w:r>
        <w:rPr>
          <w:rStyle w:val="Satznummer"/>
        </w:rPr>
        <w:t>5</w:t>
      </w:r>
      <w:r>
        <w:t>In der Rechtsverordnung nach Satz 4, die nicht der Zustimmung des Bundesrates bedarf, bestimmt das Bundesministerium der Justiz im Benehmen mit der Deutschen Bundesbank das Nähere zur Ermittlung der Abzinsungszinssätze, insbesondere die Ermittlungsmethodik und deren Grundlagen, sowie die Form der Bekanntgabe.</w:t>
      </w:r>
    </w:p>
    <w:p>
      <w:r>
        <w:t xml:space="preserve">(3) </w:t>
      </w:r>
      <w:r>
        <w:rPr>
          <w:rStyle w:val="Satznummer"/>
        </w:rPr>
        <w:t>1</w:t>
      </w:r>
      <w:r>
        <w:t xml:space="preserve">Bei Vermögensgegenständen des Anlagevermögens, deren Nutzung zeitlich begrenzt ist, sind die Anschaffungs- oder die Herstellungskosten um planmäßige Abschreibungen zu vermindern. </w:t>
      </w:r>
      <w:r>
        <w:rPr>
          <w:rStyle w:val="Satznummer"/>
        </w:rPr>
        <w:t>2</w:t>
      </w:r>
      <w:r>
        <w:t xml:space="preserve">Der Plan muss die Anschaffungs- oder Herstellungskosten auf die Geschäftsjahre verteilen, in denen der Vermögensgegenstand voraussichtlich genutzt werden kann. </w:t>
      </w:r>
      <w:r>
        <w:rPr>
          <w:rStyle w:val="Satznummer"/>
        </w:rPr>
        <w:t>3</w:t>
      </w:r>
      <w:r>
        <w:t xml:space="preserve">Kann in Ausnahmefällen die voraussichtliche Nutzungsdauer eines selbst geschaffenen immateriellen Vermögensgegenstands des Anlagevermögens nicht verlässlich geschätzt werden, sind planmäßige Abschreibungen auf die Herstellungskosten über einen Zeitraum von zehn Jahren vorzunehmen. </w:t>
      </w:r>
      <w:r>
        <w:rPr>
          <w:rStyle w:val="Satznummer"/>
        </w:rPr>
        <w:t>4</w:t>
      </w:r>
      <w:r>
        <w:t xml:space="preserve">Satz 3 findet auf einen entgeltlich erworbenen Geschäfts- oder Firmenwert entsprechende Anwendung. </w:t>
      </w:r>
      <w:r>
        <w:rPr>
          <w:rStyle w:val="Satznummer"/>
        </w:rPr>
        <w:t>5</w:t>
      </w:r>
      <w:r>
        <w:t xml:space="preserve">Ohne Rücksicht darauf, ob ihre Nutzung zeitlich begrenzt ist, sind bei Vermögensgegenständen des Anlagevermögens bei voraussichtlich dauernder Wertminderung außerplanmäßige Abschreibungen vorzunehmen, um diese mit dem niedrigeren Wert anzusetzen, der ihnen am Abschlussstichtag beizulegen ist. </w:t>
      </w:r>
      <w:r>
        <w:rPr>
          <w:rStyle w:val="Satznummer"/>
        </w:rPr>
        <w:t>6</w:t>
      </w:r>
      <w:r>
        <w:t>Bei Finanzanlagen können außerplanmäßige Abschreibungen auch bei voraussichtlich nicht dauernder Wertminderung vorgenommen werden.</w:t>
      </w:r>
    </w:p>
    <w:p>
      <w:r>
        <w:t xml:space="preserve">(4) </w:t>
      </w:r>
      <w:r>
        <w:rPr>
          <w:rStyle w:val="Satznummer"/>
        </w:rPr>
        <w:t>1</w:t>
      </w:r>
      <w:r>
        <w:t xml:space="preserve">Bei Vermögensgegenständen des Umlaufvermögens sind Abschreibungen vorzunehmen, um diese mit einem niedrigeren Wert anzusetzen, der sich aus einem Börsen- oder Marktpreis am Abschlussstichtag ergibt. </w:t>
      </w:r>
      <w:r>
        <w:rPr>
          <w:rStyle w:val="Satznummer"/>
        </w:rPr>
        <w:t>2</w:t>
      </w:r>
      <w:r>
        <w:t>Ist ein Börsen- oder Marktpreis nicht festzustellen und übersteigen die Anschaffungs- oder Herstellungskosten den Wert, der den Vermögensgegenständen am Abschlussstichtag beizulegen ist, so ist auf diesen Wert abzuschreiben.</w:t>
      </w:r>
    </w:p>
    <w:p>
      <w:r>
        <w:t xml:space="preserve">(5) </w:t>
      </w:r>
      <w:r>
        <w:rPr>
          <w:rStyle w:val="Satznummer"/>
        </w:rPr>
        <w:t>1</w:t>
      </w:r>
      <w:r>
        <w:t xml:space="preserve">Ein niedrigerer Wertansatz nach Absatz 3 Satz 5 oder 6 und Absatz 4 darf nicht beibehalten werden, wenn die Gründe dafür nicht mehr bestehen. </w:t>
      </w:r>
      <w:r>
        <w:rPr>
          <w:rStyle w:val="Satznummer"/>
        </w:rPr>
        <w:t>2</w:t>
      </w:r>
      <w:r>
        <w:t>Ein niedrigerer Wertansatz eines entgeltlich erworbenen Geschäfts- oder Firmenwertes ist beizubehalten.</w:t>
      </w:r>
    </w:p>
    <w:p>
      <w:r>
        <w:t xml:space="preserve">(6) </w:t>
      </w:r>
      <w:r>
        <w:rPr>
          <w:rStyle w:val="Satznummer"/>
        </w:rPr>
        <w:t>1</w:t>
      </w:r>
      <w:r>
        <w:t xml:space="preserve">Im Falle von Rückstellungen für Altersversorgungsverpflichtungen ist der Unterschiedsbetrag zwischen dem Ansatz der Rückstellungen nach Maßgabe des entsprechenden durchschnittlichen Marktzinssatzes aus den vergangenen zehn Geschäftsjahren und dem Ansatz der Rückstellungen nach Maßgabe des entsprechenden durchschnittlichen Marktzinssatzes aus den vergangenen sieben Geschäftsjahren in jedem Geschäftsjahr zu ermitteln. </w:t>
      </w:r>
      <w:r>
        <w:rPr>
          <w:rStyle w:val="Satznummer"/>
        </w:rPr>
        <w:t>2</w:t>
      </w:r>
      <w:r>
        <w:t xml:space="preserve">Gewinne dürfen nur ausgeschüttet werden, wenn die nach der Ausschüttung verbleibenden frei verfügbaren Rücklagen zuzüglich eines Gewinnvortrags und abzüglich eines Verlustvortrags mindestens dem Unterschiedsbetrag nach Satz 1 entsprechen. </w:t>
      </w:r>
      <w:r>
        <w:rPr>
          <w:rStyle w:val="Satznummer"/>
        </w:rPr>
        <w:t>3</w:t>
      </w:r>
      <w:r>
        <w:t>Der Unterschiedsbetrag nach Satz 1 ist in jedem Geschäftsjahr im Anhang oder unter der Bilanz darzustellen.</w:t>
      </w:r>
    </w:p>
    <w:p>
      <w:pPr>
        <w:pStyle w:val="Heading5"/>
      </w:pPr>
      <w:bookmarkStart w:id="250" w:name="b249"/>
      <w:r>
        <w:t>§ 254 Bildung von Bewertungseinheiten</w:t>
      </w:r>
      <w:r>
        <w:t xml:space="preserve"> </w:t>
      </w:r>
      <w:r>
        <w:rPr>
          <w:rStyle w:val="Suchmarke"/>
        </w:rPr>
        <w:t>#254#</w:t>
      </w:r>
      <w:bookmarkEnd w:id="250"/>
    </w:p>
    <w:p>
      <w:r>
        <w:rPr>
          <w:rStyle w:val="Satznummer"/>
        </w:rPr>
        <w:t>1</w:t>
      </w:r>
      <w:r>
        <w:t xml:space="preserve">Werden Vermögensgegenstände, Schulden, schwebende Geschäfte oder mit hoher Wahrscheinlichkeit erwartete Transaktionen zum Ausgleich gegenläufiger Wertänderungen oder Zahlungsströme aus dem Eintritt vergleichbarer Risiken mit Finanzinstrumenten zusammengefasst (Bewertungseinheit), sind § 249 Abs. 1, § 252 Abs. 1 Nr. 3 und 4, § 253 Abs. 1 Satz 1 und § 256a in dem Umfang und für den Zeitraum nicht anzuwenden, in dem die gegenläufigen Wertänderungen oder Zahlungsströme sich ausgleichen. </w:t>
      </w:r>
      <w:r>
        <w:rPr>
          <w:rStyle w:val="Satznummer"/>
        </w:rPr>
        <w:t>2</w:t>
      </w:r>
      <w:r>
        <w:t>Als Finanzinstrumente im Sinn des Satzes 1 gelten auch Termingeschäfte über den Erwerb oder die Veräußerung von Waren.</w:t>
      </w:r>
    </w:p>
    <w:p>
      <w:pPr>
        <w:pStyle w:val="Heading5"/>
      </w:pPr>
      <w:bookmarkStart w:id="251" w:name="b250"/>
      <w:r>
        <w:t>§ 255 Bewertungsmaßstäbe</w:t>
      </w:r>
      <w:r>
        <w:t xml:space="preserve"> </w:t>
      </w:r>
      <w:r>
        <w:rPr>
          <w:rStyle w:val="Suchmarke"/>
        </w:rPr>
        <w:t>#255#</w:t>
      </w:r>
      <w:bookmarkEnd w:id="251"/>
    </w:p>
    <w:p>
      <w:r>
        <w:t xml:space="preserve">(1) </w:t>
      </w:r>
      <w:r>
        <w:rPr>
          <w:rStyle w:val="Satznummer"/>
        </w:rPr>
        <w:t>1</w:t>
      </w:r>
      <w:r>
        <w:t xml:space="preserve">Anschaffungskosten sind die Aufwendungen, die geleistet werden, um einen Vermögensgegenstand zu erwerben und ihn in einen betriebsbereiten Zustand zu versetzen, soweit sie dem Vermögensgegenstand einzeln zugeordnet werden können. </w:t>
      </w:r>
      <w:r>
        <w:rPr>
          <w:rStyle w:val="Satznummer"/>
        </w:rPr>
        <w:t>2</w:t>
      </w:r>
      <w:r>
        <w:t xml:space="preserve">Zu den Anschaffungskosten gehören auch die Nebenkosten sowie die nachträglichen Anschaffungskosten. </w:t>
      </w:r>
      <w:r>
        <w:rPr>
          <w:rStyle w:val="Satznummer"/>
        </w:rPr>
        <w:t>3</w:t>
      </w:r>
      <w:r>
        <w:t>Anschaffungspreisminderungen, die dem Vermögensgegenstand einzeln zugeordnet werden können, sind abzusetzen.</w:t>
      </w:r>
    </w:p>
    <w:p>
      <w:r>
        <w:t xml:space="preserve">(2) </w:t>
      </w:r>
      <w:r>
        <w:rPr>
          <w:rStyle w:val="Satznummer"/>
        </w:rPr>
        <w:t>1</w:t>
      </w:r>
      <w:r>
        <w:t xml:space="preserve">Herstellungskosten sind die Aufwendungen, die durch den Verbrauch von Gütern und die Inanspruchnahme von Diensten für die Herstellung eines Vermögensgegenstands, seine Erweiterung oder für eine über seinen ursprünglichen Zustand hinausgehende wesentliche Verbesserung entstehen. </w:t>
      </w:r>
      <w:r>
        <w:rPr>
          <w:rStyle w:val="Satznummer"/>
        </w:rPr>
        <w:t>2</w:t>
      </w:r>
      <w:r>
        <w:t xml:space="preserve">Dazu gehören die Materialkosten, die Fertigungskosten und die Sonderkosten der Fertigung sowie angemessene Teile der Materialgemeinkosten, der Fertigungsgemeinkosten und des Werteverzehrs des Anlagevermögens, soweit dieser durch die Fertigung veranlasst ist. </w:t>
      </w:r>
      <w:r>
        <w:rPr>
          <w:rStyle w:val="Satznummer"/>
        </w:rPr>
        <w:t>3</w:t>
      </w:r>
      <w:r>
        <w:t xml:space="preserve">Bei der Berechnung der Herstellungskosten dürfen angemessene Teile der Kosten der allgemeinen Verwaltung sowie angemessene Aufwendungen für soziale Einrichtungen des Betriebs, für freiwillige soziale Leistungen und für die betriebliche Altersversorgung einbezogen werden, soweit diese auf den Zeitraum der Herstellung entfallen. </w:t>
      </w:r>
      <w:r>
        <w:rPr>
          <w:rStyle w:val="Satznummer"/>
        </w:rPr>
        <w:t>4</w:t>
      </w:r>
      <w:r>
        <w:t>Forschungs- und Vertriebskosten dürfen nicht einbezogen werden.</w:t>
      </w:r>
    </w:p>
    <w:p>
      <w:r>
        <w:t xml:space="preserve">(2a) </w:t>
      </w:r>
      <w:r>
        <w:rPr>
          <w:rStyle w:val="Satznummer"/>
        </w:rPr>
        <w:t>1</w:t>
      </w:r>
      <w:r>
        <w:t xml:space="preserve">Herstellungskosten eines selbst geschaffenen immateriellen Vermögensgegenstands des Anlagevermögens sind die bei dessen Entwicklung anfallenden Aufwendungen nach Absatz 2. </w:t>
      </w:r>
      <w:r>
        <w:rPr>
          <w:rStyle w:val="Satznummer"/>
        </w:rPr>
        <w:t>2</w:t>
      </w:r>
      <w:r>
        <w:t xml:space="preserve">Entwicklung ist die Anwendung von Forschungsergebnissen oder von anderem Wissen für die Neuentwicklung von Gütern oder Verfahren oder die Weiterentwicklung von Gütern oder Verfahren mittels wesentlicher Änderungen. </w:t>
      </w:r>
      <w:r>
        <w:rPr>
          <w:rStyle w:val="Satznummer"/>
        </w:rPr>
        <w:t>3</w:t>
      </w:r>
      <w:r>
        <w:t xml:space="preserve">Forschung ist die eigenständige und planmäßige Suche nach neuen wissenschaftlichen oder technischen Erkenntnissen oder Erfahrungen allgemeiner Art, über deren technische Verwertbarkeit und wirtschaftliche Erfolgsaussichten grundsätzlich keine Aussagen gemacht werden können. </w:t>
      </w:r>
      <w:r>
        <w:rPr>
          <w:rStyle w:val="Satznummer"/>
        </w:rPr>
        <w:t>4</w:t>
      </w:r>
      <w:r>
        <w:t>Können Forschung und Entwicklung nicht verlässlich voneinander unterschieden werden, ist eine Aktivierung ausgeschlossen.</w:t>
      </w:r>
    </w:p>
    <w:p>
      <w:r>
        <w:t xml:space="preserve">(3) </w:t>
      </w:r>
      <w:r>
        <w:rPr>
          <w:rStyle w:val="Satznummer"/>
        </w:rPr>
        <w:t>1</w:t>
      </w:r>
      <w:r>
        <w:t xml:space="preserve">Zinsen für Fremdkapital gehören nicht zu den Herstellungskosten. </w:t>
      </w:r>
      <w:r>
        <w:rPr>
          <w:rStyle w:val="Satznummer"/>
        </w:rPr>
        <w:t>2</w:t>
      </w:r>
      <w:r>
        <w:t>Zinsen für Fremdkapital, das zur Finanzierung der Herstellung eines Vermögensgegenstands verwendet wird, dürfen angesetzt werden, soweit sie auf den Zeitraum der Herstellung entfallen; in diesem Falle gelten sie als Herstellungskosten des Vermögensgegenstands.</w:t>
      </w:r>
    </w:p>
    <w:p>
      <w:r>
        <w:t xml:space="preserve">(4) </w:t>
      </w:r>
      <w:r>
        <w:rPr>
          <w:rStyle w:val="Satznummer"/>
        </w:rPr>
        <w:t>1</w:t>
      </w:r>
      <w:r>
        <w:t xml:space="preserve">Der beizulegende Zeitwert entspricht dem Marktpreis. </w:t>
      </w:r>
      <w:r>
        <w:rPr>
          <w:rStyle w:val="Satznummer"/>
        </w:rPr>
        <w:t>2</w:t>
      </w:r>
      <w:r>
        <w:t xml:space="preserve">Soweit kein aktiver Markt besteht, anhand dessen sich der Marktpreis ermitteln lässt, ist der beizulegende Zeitwert mit Hilfe allgemein anerkannter Bewertungsmethoden zu bestimmen. </w:t>
      </w:r>
      <w:r>
        <w:rPr>
          <w:rStyle w:val="Satznummer"/>
        </w:rPr>
        <w:t>3</w:t>
      </w:r>
      <w:r>
        <w:t xml:space="preserve">Lässt sich der beizulegende Zeitwert weder nach Satz 1 noch nach Satz 2 ermitteln, sind die Anschaffungs- oder Herstellungskosten gemäß </w:t>
      </w:r>
      <w:hyperlink w:anchor="b248" w:history="1">
        <w:r>
          <w:rPr>
            <w:color w:val="0A3A8C"/>
            <w:u w:val="single"/>
          </w:rPr>
          <w:t xml:space="preserve">§ 253</w:t>
        </w:r>
      </w:hyperlink>
      <w:r>
        <w:t xml:space="preserve"> Abs. 4 fortzuführen. </w:t>
      </w:r>
      <w:r>
        <w:rPr>
          <w:rStyle w:val="Satznummer"/>
        </w:rPr>
        <w:t>4</w:t>
      </w:r>
      <w:r>
        <w:t>Der zuletzt nach Satz 1 oder 2 ermittelte beizulegende Zeitwert gilt als Anschaffungs- oder Herstellungskosten im Sinn des Satzes 3.</w:t>
      </w:r>
    </w:p>
    <w:p>
      <w:pPr>
        <w:pStyle w:val="Heading5"/>
      </w:pPr>
      <w:bookmarkStart w:id="252" w:name="b251"/>
      <w:r>
        <w:t>§ 256 Bewertungsvereinfachungsverfahren</w:t>
      </w:r>
      <w:r>
        <w:t xml:space="preserve"> </w:t>
      </w:r>
      <w:r>
        <w:rPr>
          <w:rStyle w:val="Suchmarke"/>
        </w:rPr>
        <w:t>#256#</w:t>
      </w:r>
      <w:bookmarkEnd w:id="252"/>
    </w:p>
    <w:p>
      <w:r>
        <w:rPr>
          <w:rStyle w:val="Satznummer"/>
        </w:rPr>
        <w:t>1</w:t>
      </w:r>
      <w:r>
        <w:t xml:space="preserve">Soweit es den Grundsätzen ordnungsmäßiger Buchführung entspricht, kann für den Wertansatz gleichartiger Vermögensgegenstände des Vorratsvermögens unterstellt werden, daß die zuerst oder daß die zuletzt angeschafften oder hergestellten Vermögensgegenstände zuerst verbraucht oder veräußert worden sind. </w:t>
      </w:r>
      <w:r>
        <w:rPr>
          <w:rStyle w:val="Satznummer"/>
        </w:rPr>
        <w:t>2</w:t>
      </w:r>
      <w:hyperlink w:anchor="b230" w:history="1">
        <w:r>
          <w:rPr>
            <w:color w:val="0A3A8C"/>
            <w:u w:val="single"/>
          </w:rPr>
          <w:t xml:space="preserve">§ 240</w:t>
        </w:r>
      </w:hyperlink>
      <w:r>
        <w:t xml:space="preserve"> Abs. 3 und 4 ist auch auf den Jahresabschluß anwendbar.</w:t>
      </w:r>
    </w:p>
    <w:p>
      <w:pPr>
        <w:pStyle w:val="Heading5"/>
      </w:pPr>
      <w:bookmarkStart w:id="253" w:name="b252"/>
      <w:r>
        <w:t>§ 256a Währungsumrechnung</w:t>
      </w:r>
      <w:r>
        <w:t xml:space="preserve"> </w:t>
      </w:r>
      <w:r>
        <w:rPr>
          <w:rStyle w:val="Suchmarke"/>
        </w:rPr>
        <w:t>#256a#</w:t>
      </w:r>
      <w:bookmarkEnd w:id="253"/>
    </w:p>
    <w:p>
      <w:r>
        <w:rPr>
          <w:rStyle w:val="Satznummer"/>
        </w:rPr>
        <w:t>1</w:t>
      </w:r>
      <w:r>
        <w:t xml:space="preserve">Auf fremde Währung lautende Vermögensgegenstände und Verbindlichkeiten sind zum Devisenkassamittelkurs am Abschlussstichtag umzurechnen. </w:t>
      </w:r>
      <w:r>
        <w:rPr>
          <w:rStyle w:val="Satznummer"/>
        </w:rPr>
        <w:t>2</w:t>
      </w:r>
      <w:r>
        <w:t xml:space="preserve">Bei einer Restlaufzeit von einem Jahr oder weniger sind </w:t>
      </w:r>
      <w:hyperlink w:anchor="b248" w:history="1">
        <w:r>
          <w:rPr>
            <w:color w:val="0A3A8C"/>
            <w:u w:val="single"/>
          </w:rPr>
          <w:t xml:space="preserve">§ 253</w:t>
        </w:r>
      </w:hyperlink>
      <w:r>
        <w:t xml:space="preserve"> Abs. 1 Satz 1 und </w:t>
      </w:r>
      <w:hyperlink w:anchor="b247" w:history="1">
        <w:r>
          <w:rPr>
            <w:color w:val="0A3A8C"/>
            <w:u w:val="single"/>
          </w:rPr>
          <w:t xml:space="preserve">§ 252</w:t>
        </w:r>
      </w:hyperlink>
      <w:r>
        <w:t xml:space="preserve"> Abs. 1 Nr. 4 Halbsatz 2 nicht anzuwenden.</w:t>
      </w:r>
    </w:p>
    <w:p>
      <w:pPr>
        <w:pStyle w:val="Heading3"/>
      </w:pPr>
      <w:bookmarkStart w:id="254" w:name="b253"/>
      <w:r>
        <w:t>Dritter Unterabschnitt Aufbewahrung und Vorlage</w:t>
      </w:r>
      <w:bookmarkEnd w:id="254"/>
    </w:p>
    <w:p>
      <w:pPr>
        <w:pStyle w:val="Heading4"/>
      </w:pPr>
      <w:bookmarkStart w:id="255" w:name="b254"/>
      <w:r>
        <w:t>§ 257 Aufbewahrung von UnterlagenAufbewahrungsfristen</w:t>
      </w:r>
      <w:r>
        <w:t xml:space="preserve"> </w:t>
      </w:r>
      <w:r>
        <w:rPr>
          <w:rStyle w:val="Suchmarke"/>
        </w:rPr>
        <w:t>#257#</w:t>
      </w:r>
      <w:bookmarkEnd w:id="255"/>
    </w:p>
    <w:p>
      <w:r>
        <w:t>(1) Jeder Kaufmann ist verpflichtet, die folgenden Unterlagen geordnet aufzubewahren:</w:t>
      </w:r>
    </w:p>
    <w:p>
      <w:pPr>
        <w:tabs>
          <w:tab w:pos="567" w:val="left"/>
        </w:tabs>
        <w:ind w:left="567" w:hanging="567"/>
      </w:pPr>
      <w:r>
        <w:t>1.</w:t>
      </w:r>
      <w:r>
        <w:tab/>
      </w:r>
      <w:r>
        <w:t xml:space="preserve">Handelsbücher, Inventare, Eröffnungsbilanzen, Jahresabschlüsse, Einzelabschlüsse nach </w:t>
      </w:r>
      <w:hyperlink w:anchor="b364" w:history="1">
        <w:r>
          <w:rPr>
            <w:color w:val="0A3A8C"/>
            <w:u w:val="single"/>
          </w:rPr>
          <w:t xml:space="preserve">§ 325</w:t>
        </w:r>
      </w:hyperlink>
      <w:r>
        <w:t xml:space="preserve"> Abs. 2a, Lageberichte, Konzernabschlüsse, Konzernlageberichte sowie die zu ihrem Verständnis erforderlichen Arbeitsanweisungen und sonstigen Organisationsunterlagen,</w:t>
      </w:r>
    </w:p>
    <w:p>
      <w:pPr>
        <w:tabs>
          <w:tab w:pos="567" w:val="left"/>
        </w:tabs>
        <w:ind w:left="567" w:hanging="567"/>
      </w:pPr>
      <w:r>
        <w:t>2.</w:t>
      </w:r>
      <w:r>
        <w:tab/>
      </w:r>
      <w:r>
        <w:t>die empfangenen Handelsbriefe,</w:t>
      </w:r>
    </w:p>
    <w:p>
      <w:pPr>
        <w:tabs>
          <w:tab w:pos="567" w:val="left"/>
        </w:tabs>
        <w:ind w:left="567" w:hanging="567"/>
      </w:pPr>
      <w:r>
        <w:t>3.</w:t>
      </w:r>
      <w:r>
        <w:tab/>
      </w:r>
      <w:r>
        <w:t>Wiedergaben der abgesandten Handelsbriefe,</w:t>
      </w:r>
    </w:p>
    <w:p>
      <w:pPr>
        <w:tabs>
          <w:tab w:pos="567" w:val="left"/>
        </w:tabs>
        <w:ind w:left="567" w:hanging="567"/>
      </w:pPr>
      <w:r>
        <w:t>4.</w:t>
      </w:r>
      <w:r>
        <w:tab/>
      </w:r>
      <w:r>
        <w:t xml:space="preserve">Belege für Buchungen in den von ihm nach </w:t>
      </w:r>
      <w:hyperlink w:anchor="b228" w:history="1">
        <w:r>
          <w:rPr>
            <w:color w:val="0A3A8C"/>
            <w:u w:val="single"/>
          </w:rPr>
          <w:t xml:space="preserve">§ 238</w:t>
        </w:r>
      </w:hyperlink>
      <w:r>
        <w:t xml:space="preserve"> Abs. 1 zu führenden Büchern (Buchungsbelege).</w:t>
      </w:r>
    </w:p>
    <w:p>
      <w:r>
        <w:t>(2) Handelsbriefe sind nur Schriftstücke, die ein Handelsgeschäft betreffen.</w:t>
      </w:r>
    </w:p>
    <w:p>
      <w:r>
        <w:t xml:space="preserve">(3) </w:t>
      </w:r>
      <w:r>
        <w:rPr>
          <w:rStyle w:val="Satznummer"/>
        </w:rPr>
        <w:t>1</w:t>
      </w:r>
      <w:r>
        <w:t>Mit Ausnahme der Eröffnungsbilanzen und Abschlüsse können die in Absatz 1 aufgeführten Unterlagen auch als Wiedergabe auf einem Bildträger oder auf anderen Datenträgern aufbewahrt werden, wenn dies den Grundsätzen ordnungsmäßiger Buchführung entspricht und sichergestellt ist, daß die Wiedergabe oder die Daten</w:t>
      </w:r>
    </w:p>
    <w:p>
      <w:pPr>
        <w:tabs>
          <w:tab w:pos="567" w:val="left"/>
        </w:tabs>
        <w:ind w:left="567" w:hanging="567"/>
      </w:pPr>
      <w:r>
        <w:t>1.</w:t>
      </w:r>
      <w:r>
        <w:tab/>
      </w:r>
      <w:r>
        <w:t>mit den empfangenen Handelsbriefen und den Buchungsbelegen bildlich und mit den anderen Unterlagen inhaltlich übereinstimmen, wenn sie lesbar gemacht werden,</w:t>
      </w:r>
    </w:p>
    <w:p>
      <w:pPr>
        <w:tabs>
          <w:tab w:pos="567" w:val="left"/>
        </w:tabs>
        <w:ind w:left="567" w:hanging="567"/>
      </w:pPr>
      <w:r>
        <w:t>2.</w:t>
      </w:r>
      <w:r>
        <w:tab/>
      </w:r>
      <w:r>
        <w:t>während der Dauer der Aufbewahrungsfrist verfügbar sind und jederzeit innerhalb angemessener Frist lesbar gemacht werden können.</w:t>
      </w:r>
    </w:p>
    <w:p>
      <w:r>
        <w:rPr>
          <w:rStyle w:val="Satznummer"/>
        </w:rPr>
        <w:t>2</w:t>
      </w:r>
      <w:r>
        <w:t xml:space="preserve">Sind Unterlagen auf Grund des </w:t>
      </w:r>
      <w:hyperlink w:anchor="b229" w:history="1">
        <w:r>
          <w:rPr>
            <w:color w:val="0A3A8C"/>
            <w:u w:val="single"/>
          </w:rPr>
          <w:t xml:space="preserve">§ 239</w:t>
        </w:r>
      </w:hyperlink>
      <w:r>
        <w:t xml:space="preserve"> Abs. 4 Satz 1 auf Datenträgern hergestellt worden, können statt des Datenträgers die Daten auch ausgedruckt aufbewahrt werden; die ausgedruckten Unterlagen können auch nach Satz 1 aufbewahrt werden.</w:t>
      </w:r>
    </w:p>
    <w:p>
      <w:r>
        <w:t xml:space="preserve">(4) </w:t>
      </w:r>
      <w:r>
        <w:rPr>
          <w:rStyle w:val="Satznummer"/>
        </w:rPr>
        <w:t>1</w:t>
      </w:r>
      <w:r>
        <w:t xml:space="preserve">Die in Absatz 1 Nummer 1 aufgeführten Unterlagen sind zehn Jahre, die in Absatz 1 Nummer 4 aufgeführten Unterlagen acht Jahre und die sonstigen in Absatz 1 aufgeführten Unterlagen sechs Jahre aufzubewahren. </w:t>
      </w:r>
      <w:r>
        <w:rPr>
          <w:rStyle w:val="Satznummer"/>
        </w:rPr>
        <w:t>2</w:t>
      </w:r>
      <w:r>
        <w:t>Abweichend von Satz 1 sind bei Personen oder Gesellschaften, die</w:t>
      </w:r>
    </w:p>
    <w:p>
      <w:pPr>
        <w:tabs>
          <w:tab w:pos="567" w:val="left"/>
        </w:tabs>
        <w:ind w:left="567" w:hanging="567"/>
      </w:pPr>
      <w:r>
        <w:t>1.</w:t>
      </w:r>
      <w:r>
        <w:tab/>
      </w:r>
      <w:r>
        <w:t>Institute im Sinne des § 1 Absatz 1b des Kreditwesengesetzes sind, einschließlich Zweigstellen nach § 53 des Kreditwesengesetzes,</w:t>
      </w:r>
    </w:p>
    <w:p>
      <w:pPr>
        <w:tabs>
          <w:tab w:pos="567" w:val="left"/>
        </w:tabs>
        <w:ind w:left="567" w:hanging="567"/>
      </w:pPr>
      <w:r>
        <w:t>2.</w:t>
      </w:r>
      <w:r>
        <w:tab/>
      </w:r>
      <w:r>
        <w:t>der Aufsicht nach § 1 Absatz 1 des Versicherungsaufsichtsgesetzes unterliegen oder</w:t>
      </w:r>
    </w:p>
    <w:p>
      <w:pPr>
        <w:tabs>
          <w:tab w:pos="567" w:val="left"/>
        </w:tabs>
        <w:ind w:left="567" w:hanging="567"/>
      </w:pPr>
      <w:r>
        <w:t>3.</w:t>
      </w:r>
      <w:r>
        <w:tab/>
      </w:r>
      <w:r>
        <w:t>Wertpapierinstitute im Sinne des § 2 Absatz 1 des Wertpapierinstitutsgesetzes sind,</w:t>
      </w:r>
    </w:p>
    <w:p>
      <w:r>
        <w:t>die in Absatz 1 Nummer 4 aufgeführten Unterlagen zehn Jahre aufzubewahren.</w:t>
      </w:r>
    </w:p>
    <w:p>
      <w:r>
        <w:t xml:space="preserve">(5) Die Aufbewahrungsfrist beginnt mit dem Schluß des Kalenderjahrs, in dem die letzte Eintragung in das Handelsbuch gemacht, das Inventar aufgestellt, die Eröffnungsbilanz oder der Jahresabschluß festgestellt, der Einzelabschluss nach </w:t>
      </w:r>
      <w:hyperlink w:anchor="b364" w:history="1">
        <w:r>
          <w:rPr>
            <w:color w:val="0A3A8C"/>
            <w:u w:val="single"/>
          </w:rPr>
          <w:t xml:space="preserve">§ 325</w:t>
        </w:r>
      </w:hyperlink>
      <w:r>
        <w:t xml:space="preserve"> Abs. 2a oder der Konzernabschluß aufgestellt, der Handelsbrief empfangen oder abgesandt worden oder der Buchungsbeleg entstanden ist.</w:t>
      </w:r>
    </w:p>
    <w:p>
      <w:pPr>
        <w:pStyle w:val="Heading4"/>
      </w:pPr>
      <w:bookmarkStart w:id="256" w:name="b255"/>
      <w:r>
        <w:t>§ 258 Vorlegung im Rechtsstreit</w:t>
      </w:r>
      <w:r>
        <w:t xml:space="preserve"> </w:t>
      </w:r>
      <w:r>
        <w:rPr>
          <w:rStyle w:val="Suchmarke"/>
        </w:rPr>
        <w:t>#258#</w:t>
      </w:r>
      <w:bookmarkEnd w:id="256"/>
    </w:p>
    <w:p>
      <w:r>
        <w:t>(1) Im Laufe eines Rechtsstreits kann das Gericht auf Antrag oder von Amts wegen die Vorlegung der Handelsbücher einer Partei anordnen.</w:t>
      </w:r>
    </w:p>
    <w:p>
      <w:r>
        <w:t>(2) Die Vorschriften der Zivilprozeßordnung über die Verpflichtung des Prozeßgegners zur Vorlegung von Urkunden bleiben unberührt.</w:t>
      </w:r>
    </w:p>
    <w:p>
      <w:pPr>
        <w:pStyle w:val="Heading4"/>
      </w:pPr>
      <w:bookmarkStart w:id="257" w:name="b256"/>
      <w:r>
        <w:t>§ 259 Auszug bei Vorlegung im Rechtsstreit</w:t>
      </w:r>
      <w:r>
        <w:t xml:space="preserve"> </w:t>
      </w:r>
      <w:r>
        <w:rPr>
          <w:rStyle w:val="Suchmarke"/>
        </w:rPr>
        <w:t>#259#</w:t>
      </w:r>
      <w:bookmarkEnd w:id="257"/>
    </w:p>
    <w:p>
      <w:r>
        <w:rPr>
          <w:rStyle w:val="Satznummer"/>
        </w:rPr>
        <w:t>1</w:t>
      </w:r>
      <w:r>
        <w:t xml:space="preserve">Werden in einem Rechtsstreit Handelsbücher vorgelegt, so ist von ihrem Inhalt, soweit er den Streitpunkt betrifft, unter Zuziehung der Parteien Einsicht zu nehmen und geeignetenfalls ein Auszug zu fertigen. </w:t>
      </w:r>
      <w:r>
        <w:rPr>
          <w:rStyle w:val="Satznummer"/>
        </w:rPr>
        <w:t>2</w:t>
      </w:r>
      <w:r>
        <w:t>Der übrige Inhalt der Bücher ist dem Gericht insoweit offenzulegen, als es zur Prüfung ihrer ordnungsmäßigen Führung notwendig ist.</w:t>
      </w:r>
    </w:p>
    <w:p>
      <w:pPr>
        <w:pStyle w:val="Heading4"/>
      </w:pPr>
      <w:bookmarkStart w:id="258" w:name="b257"/>
      <w:r>
        <w:t>§ 260 Vorlegung bei Auseinandersetzungen</w:t>
      </w:r>
      <w:r>
        <w:t xml:space="preserve"> </w:t>
      </w:r>
      <w:r>
        <w:rPr>
          <w:rStyle w:val="Suchmarke"/>
        </w:rPr>
        <w:t>#260#</w:t>
      </w:r>
      <w:bookmarkEnd w:id="258"/>
    </w:p>
    <w:p>
      <w:r>
        <w:t>Bei Vermögensauseinandersetzungen, insbesondere in Erbschafts-, Gütergemeinschafts- und Gesellschaftsteilungssachen, kann das Gericht die Vorlegung der Handelsbücher zur Kenntnisnahme von ihrem ganzen Inhalt anordnen.</w:t>
      </w:r>
    </w:p>
    <w:p>
      <w:pPr>
        <w:pStyle w:val="Heading4"/>
      </w:pPr>
      <w:bookmarkStart w:id="259" w:name="b258"/>
      <w:r>
        <w:t>§ 261 Vorlegung von Unterlagen auf Bild- oder Datenträgern</w:t>
      </w:r>
      <w:r>
        <w:t xml:space="preserve"> </w:t>
      </w:r>
      <w:r>
        <w:rPr>
          <w:rStyle w:val="Suchmarke"/>
        </w:rPr>
        <w:t>#261#</w:t>
      </w:r>
      <w:bookmarkEnd w:id="259"/>
    </w:p>
    <w:p>
      <w:r>
        <w:t>Wer aufzubewahrende Unterlagen nur in der Form einer Wiedergabe auf einem Bildträger oder auf anderen Datenträgern vorlegen kann, ist verpflichtet, auf seine Kosten diejenigen Hilfsmittel zur Verfügung zu stellen, die erforderlich sind, um die Unterlagen lesbar zu machen; soweit erforderlich, hat er die Unterlagen auf seine Kosten auszudrucken oder ohne Hilfsmittel lesbare Reproduktionen beizubringen.</w:t>
      </w:r>
    </w:p>
    <w:p>
      <w:pPr>
        <w:pStyle w:val="Heading3"/>
      </w:pPr>
      <w:bookmarkStart w:id="260" w:name="b259"/>
      <w:r>
        <w:t>Vierter Unterabschnitt Landesrecht</w:t>
      </w:r>
      <w:bookmarkEnd w:id="260"/>
    </w:p>
    <w:p>
      <w:pPr>
        <w:pStyle w:val="Heading4"/>
      </w:pPr>
      <w:bookmarkStart w:id="261" w:name="b260"/>
      <w:r>
        <w:t>§ 262 (weggefallen)</w:t>
      </w:r>
      <w:r>
        <w:t xml:space="preserve"> </w:t>
      </w:r>
      <w:r>
        <w:rPr>
          <w:rStyle w:val="Suchmarke"/>
        </w:rPr>
        <w:t>#262#</w:t>
      </w:r>
      <w:bookmarkEnd w:id="261"/>
    </w:p>
    <w:p>
      <w:pPr>
        <w:pStyle w:val="Heading4"/>
      </w:pPr>
      <w:bookmarkStart w:id="262" w:name="b261"/>
      <w:r>
        <w:t>§ 263 Vorbehalt landesrechtlicher Vorschriften</w:t>
      </w:r>
      <w:r>
        <w:t xml:space="preserve"> </w:t>
      </w:r>
      <w:r>
        <w:rPr>
          <w:rStyle w:val="Suchmarke"/>
        </w:rPr>
        <w:t>#263#</w:t>
      </w:r>
      <w:bookmarkEnd w:id="262"/>
    </w:p>
    <w:p>
      <w:r>
        <w:t>Unberührt bleiben bei Unternehmen ohne eigene Rechtspersönlichkeit einer Gemeinde, eines Gemeindeverbands oder eines Zweckverbands landesrechtliche Vorschriften, die von den Vorschriften dieses Abschnitts abweichen.</w:t>
      </w:r>
    </w:p>
    <w:p>
      <w:pPr>
        <w:pStyle w:val="Heading2"/>
      </w:pPr>
      <w:bookmarkStart w:id="263" w:name="b262"/>
      <w:r>
        <w:t>Zweiter Abschnitt Ergänzende Vorschriften für Kapitalgesellschaften (Aktiengesellschaften, Kommanditgesellschaften auf Aktien und Gesellschaften mit beschränkter Haftung) sowie bestimmte Personenhandelsgesellschaften</w:t>
      </w:r>
      <w:bookmarkEnd w:id="263"/>
    </w:p>
    <w:p>
      <w:pPr>
        <w:pStyle w:val="Heading3"/>
      </w:pPr>
      <w:bookmarkStart w:id="264" w:name="b263"/>
      <w:r>
        <w:t>Erster Unterabschnitt Jahresabschluß der Kapitalgesellschaft und Lagebericht</w:t>
      </w:r>
      <w:bookmarkEnd w:id="264"/>
    </w:p>
    <w:p>
      <w:pPr>
        <w:pStyle w:val="Heading4"/>
      </w:pPr>
      <w:bookmarkStart w:id="265" w:name="b264"/>
      <w:r>
        <w:t>Erster Titel Allgemeine Vorschriften</w:t>
      </w:r>
      <w:bookmarkEnd w:id="265"/>
    </w:p>
    <w:p>
      <w:pPr>
        <w:pStyle w:val="Heading5"/>
      </w:pPr>
      <w:bookmarkStart w:id="266" w:name="b265"/>
      <w:r>
        <w:t>§ 264 Pflicht zur Aufstellung; Befreiung</w:t>
      </w:r>
      <w:r>
        <w:t xml:space="preserve"> </w:t>
      </w:r>
      <w:r>
        <w:rPr>
          <w:rStyle w:val="Suchmarke"/>
        </w:rPr>
        <w:t>#264#</w:t>
      </w:r>
      <w:bookmarkEnd w:id="266"/>
    </w:p>
    <w:p>
      <w:r>
        <w:t xml:space="preserve">(1) </w:t>
      </w:r>
      <w:r>
        <w:rPr>
          <w:rStyle w:val="Satznummer"/>
        </w:rPr>
        <w:t>1</w:t>
      </w:r>
      <w:r>
        <w:t>Die gesetzlichen Vertreter einer Kapitalgesellschaft haben den Jahresabschluß (</w:t>
      </w:r>
      <w:hyperlink w:anchor="b235" w:history="1">
        <w:r>
          <w:rPr>
            <w:color w:val="0A3A8C"/>
            <w:u w:val="single"/>
          </w:rPr>
          <w:t xml:space="preserve">§ 242</w:t>
        </w:r>
      </w:hyperlink>
      <w:r>
        <w:t xml:space="preserve">) um einen Anhang zu erweitern, der mit der Bilanz und der Gewinn- und Verlustrechnung eine Einheit bildet, sowie einen Lagebericht aufzustellen. </w:t>
      </w:r>
      <w:r>
        <w:rPr>
          <w:rStyle w:val="Satznummer"/>
        </w:rPr>
        <w:t>2</w:t>
      </w:r>
      <w:r>
        <w:t xml:space="preserve">Die gesetzlichen Vertreter einer kapitalmarktorientierten Kapitalgesellschaft, die nicht zur Aufstellung eines Konzernabschlusses verpflichtet ist, haben den Jahresabschluss um eine Kapitalflussrechnung und einen Eigenkapitalspiegel zu erweitern, die mit der Bilanz, Gewinn- und Verlustrechnung und dem Anhang eine Einheit bilden; sie können den Jahresabschluss um eine Segmentberichterstattung erweitern. </w:t>
      </w:r>
      <w:r>
        <w:rPr>
          <w:rStyle w:val="Satznummer"/>
        </w:rPr>
        <w:t>3</w:t>
      </w:r>
      <w:r>
        <w:t xml:space="preserve">Der Jahresabschluß und der Lagebericht sind von den gesetzlichen Vertretern in den ersten drei Monaten des Geschäftsjahrs für das vergangene Geschäftsjahr aufzustellen. </w:t>
      </w:r>
      <w:r>
        <w:rPr>
          <w:rStyle w:val="Satznummer"/>
        </w:rPr>
        <w:t>4</w:t>
      </w:r>
      <w:r>
        <w:t>Kleine Kapitalgesellschaften (</w:t>
      </w:r>
      <w:hyperlink w:anchor="b273" w:history="1">
        <w:r>
          <w:rPr>
            <w:color w:val="0A3A8C"/>
            <w:u w:val="single"/>
          </w:rPr>
          <w:t xml:space="preserve">§ 267</w:t>
        </w:r>
      </w:hyperlink>
      <w:r>
        <w:t xml:space="preserve"> Abs. 1) brauchen den Lagebericht nicht aufzustellen; sie dürfen den Jahresabschluß auch später aufstellen, wenn dies einem ordnungsgemäßen Geschäftsgang entspricht, jedoch innerhalb der ersten sechs Monate des Geschäftsjahres. </w:t>
      </w:r>
      <w:r>
        <w:rPr>
          <w:rStyle w:val="Satznummer"/>
        </w:rPr>
        <w:t>5</w:t>
      </w:r>
      <w:r>
        <w:t>Kleinstkapitalgesellschaften (</w:t>
      </w:r>
      <w:hyperlink w:anchor="b274" w:history="1">
        <w:r>
          <w:rPr>
            <w:color w:val="0A3A8C"/>
            <w:u w:val="single"/>
          </w:rPr>
          <w:t xml:space="preserve">§ 267a</w:t>
        </w:r>
      </w:hyperlink>
      <w:r>
        <w:t>) brauchen den Jahresabschluss nicht um einen Anhang zu erweitern, wenn sie</w:t>
      </w:r>
    </w:p>
    <w:p>
      <w:pPr>
        <w:tabs>
          <w:tab w:pos="567" w:val="left"/>
        </w:tabs>
        <w:ind w:left="567" w:hanging="567"/>
      </w:pPr>
      <w:r>
        <w:t>1.</w:t>
      </w:r>
      <w:r>
        <w:tab/>
      </w:r>
      <w:r>
        <w:t xml:space="preserve">die in </w:t>
      </w:r>
      <w:hyperlink w:anchor="b275" w:history="1">
        <w:r>
          <w:rPr>
            <w:color w:val="0A3A8C"/>
            <w:u w:val="single"/>
          </w:rPr>
          <w:t xml:space="preserve">§ 268</w:t>
        </w:r>
      </w:hyperlink>
      <w:r>
        <w:t xml:space="preserve"> Absatz 7 genannten Angaben,</w:t>
      </w:r>
    </w:p>
    <w:p>
      <w:pPr>
        <w:tabs>
          <w:tab w:pos="567" w:val="left"/>
        </w:tabs>
        <w:ind w:left="567" w:hanging="567"/>
      </w:pPr>
      <w:r>
        <w:t>2.</w:t>
      </w:r>
      <w:r>
        <w:tab/>
      </w:r>
      <w:r>
        <w:t>die in § 285 Nummer 9 Buchstabe c genannten Angaben und</w:t>
      </w:r>
    </w:p>
    <w:p>
      <w:pPr>
        <w:tabs>
          <w:tab w:pos="567" w:val="left"/>
        </w:tabs>
        <w:ind w:left="567" w:hanging="567"/>
      </w:pPr>
      <w:r>
        <w:t>3.</w:t>
      </w:r>
      <w:r>
        <w:tab/>
      </w:r>
      <w:r>
        <w:t>im Falle einer Aktiengesellschaft die in § 160 Absatz 3 Satz 2 des Aktiengesetzes genannten Angaben</w:t>
      </w:r>
    </w:p>
    <w:p>
      <w:r>
        <w:t>unter der Bilanz angeben.</w:t>
      </w:r>
    </w:p>
    <w:p>
      <w:r>
        <w:t xml:space="preserve">(1a) </w:t>
      </w:r>
      <w:r>
        <w:rPr>
          <w:rStyle w:val="Satznummer"/>
        </w:rPr>
        <w:t>1</w:t>
      </w:r>
      <w:r>
        <w:t xml:space="preserve">In dem Jahresabschluss sind die Firma, der Sitz, das Registergericht und die Nummer, unter der die Gesellschaft in das Handelsregister eingetragen ist, anzugeben. </w:t>
      </w:r>
      <w:r>
        <w:rPr>
          <w:rStyle w:val="Satznummer"/>
        </w:rPr>
        <w:t>2</w:t>
      </w:r>
      <w:r>
        <w:t>Befindet sich die Gesellschaft in Liquidation oder Abwicklung, ist auch diese Tatsache anzugeben.</w:t>
      </w:r>
    </w:p>
    <w:p>
      <w:r>
        <w:t xml:space="preserve">(2) </w:t>
      </w:r>
      <w:r>
        <w:rPr>
          <w:rStyle w:val="Satznummer"/>
        </w:rPr>
        <w:t>1</w:t>
      </w:r>
      <w:r>
        <w:t xml:space="preserve">Der Jahresabschluß der Kapitalgesellschaft hat unter Beachtung der Grundsätze ordnungsmäßiger Buchführung ein den tatsächlichen Verhältnissen entsprechendes Bild der Vermögens-, Finanz- und Ertragslage der Kapitalgesellschaft zu vermitteln. </w:t>
      </w:r>
      <w:r>
        <w:rPr>
          <w:rStyle w:val="Satznummer"/>
        </w:rPr>
        <w:t>2</w:t>
      </w:r>
      <w:r>
        <w:t xml:space="preserve">Führen besondere Umstände dazu, daß der Jahresabschluß ein den tatsächlichen Verhältnissen entsprechendes Bild im Sinne des Satzes 1 nicht vermittelt, so sind im Anhang zusätzliche Angaben zu machen. </w:t>
      </w:r>
      <w:r>
        <w:rPr>
          <w:rStyle w:val="Satznummer"/>
        </w:rPr>
        <w:t>3</w:t>
      </w:r>
      <w:r>
        <w:t xml:space="preserve">Die Mitglieder des vertretungsberechtigten Organs einer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haben in einer dem Jahresabschluss beizufügenden schriftlichen Erklärung zu versichern, dass der Jahresabschluss nach bestem Wissen ein den tatsächlichen Verhältnissen entsprechendes Bild im Sinne des Satzes 1 vermittelt oder der Anhang Angaben nach Satz 2 enthält. </w:t>
      </w:r>
      <w:r>
        <w:rPr>
          <w:rStyle w:val="Satznummer"/>
        </w:rPr>
        <w:t>4</w:t>
      </w:r>
      <w:r>
        <w:t xml:space="preserve">Macht eine Kleinstkapitalgesellschaft von der Erleichterung nach Absatz 1 Satz 5 Gebrauch, sind nach Satz 2 erforderliche zusätzliche Angaben unter der Bilanz zu machen. </w:t>
      </w:r>
      <w:r>
        <w:rPr>
          <w:rStyle w:val="Satznummer"/>
        </w:rPr>
        <w:t>5</w:t>
      </w:r>
      <w:r>
        <w:t>Es wird vermutet, dass ein unter Berücksichtigung der Erleichterungen für Kleinstkapitalgesellschaften aufgestellter Jahresabschluss den Erfordernissen des Satzes 1 entspricht.</w:t>
      </w:r>
    </w:p>
    <w:p>
      <w:r>
        <w:t xml:space="preserve">(3) </w:t>
      </w:r>
      <w:r>
        <w:rPr>
          <w:rStyle w:val="Satznummer"/>
        </w:rPr>
        <w:t>1</w:t>
      </w:r>
      <w:r>
        <w:t xml:space="preserve">Eine Kapitalgesellschaft, die nicht im Sinne des </w:t>
      </w:r>
      <w:hyperlink w:anchor="b269" w:history="1">
        <w:r>
          <w:rPr>
            <w:color w:val="0A3A8C"/>
            <w:u w:val="single"/>
          </w:rPr>
          <w:t xml:space="preserve">§ 264d</w:t>
        </w:r>
      </w:hyperlink>
      <w:r>
        <w:t xml:space="preserve"> kapitalmarktorientiert ist und die als Tochterunternehmen in den Konzernabschluss eines Mutterunternehmens mit Sitz in einem Mitgliedstaat der Europäischen Union oder einem anderen Vertragsstaat des Abkommens über den Europäischen Wirtschaftsraum einbezogen ist, braucht die Vorschriften dieses Unterabschnitts und des Dritten und Vierten Unterabschnitts dieses Abschnitts nicht anzuwenden, wenn alle folgenden Voraussetzungen erfüllt sind:</w:t>
      </w:r>
    </w:p>
    <w:p>
      <w:pPr>
        <w:tabs>
          <w:tab w:pos="567" w:val="left"/>
        </w:tabs>
        <w:ind w:left="567" w:hanging="567"/>
      </w:pPr>
      <w:r>
        <w:t>1.</w:t>
      </w:r>
      <w:r>
        <w:tab/>
      </w:r>
      <w:r>
        <w:t>alle Gesellschafter des Tochterunternehmens haben der Befreiung für das jeweilige Geschäftsjahr zugestimmt;</w:t>
      </w:r>
    </w:p>
    <w:p>
      <w:pPr>
        <w:tabs>
          <w:tab w:pos="567" w:val="left"/>
        </w:tabs>
        <w:ind w:left="567" w:hanging="567"/>
      </w:pPr>
      <w:r>
        <w:t>2.</w:t>
      </w:r>
      <w:r>
        <w:tab/>
      </w:r>
      <w:r>
        <w:t>das Mutterunternehmen hat sich bereit erklärt, für die von dem Tochterunternehmen bis zum Abschlussstichtag eingegangenen Verpflichtungen im folgenden Geschäftsjahr einzustehen;</w:t>
      </w:r>
    </w:p>
    <w:p>
      <w:pPr>
        <w:tabs>
          <w:tab w:pos="567" w:val="left"/>
        </w:tabs>
        <w:ind w:left="567" w:hanging="567"/>
      </w:pPr>
      <w:r>
        <w:t>3.</w:t>
      </w:r>
      <w:r>
        <w:tab/>
      </w:r>
      <w:r>
        <w:t>der Konzernabschluss und der Konzernlagebericht des Mutterunternehmens sind nach den Rechtsvorschriften des Staates, in dem das Mutterunternehmen seinen Sitz hat, und im Einklang mit folgenden Richtlinien aufgestellt und geprüft worden:</w:t>
      </w:r>
    </w:p>
    <w:p>
      <w:pPr>
        <w:tabs>
          <w:tab w:pos="1134" w:val="left"/>
        </w:tabs>
        <w:ind w:left="1134" w:hanging="567"/>
      </w:pPr>
      <w:r>
        <w:t>a)</w:t>
      </w:r>
      <w:r>
        <w:tab/>
      </w:r>
      <w:r>
        <w:t>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19), die zuletzt durch die Richtlinie (EU) 2021/2101 (ABl. L 429 vom 1.12.2021, S. 1) geändert worden ist,</w:t>
      </w:r>
    </w:p>
    <w:p>
      <w:pPr>
        <w:tabs>
          <w:tab w:pos="1134" w:val="left"/>
        </w:tabs>
        <w:ind w:left="1134" w:hanging="567"/>
      </w:pPr>
      <w:r>
        <w:t>b)</w:t>
      </w:r>
      <w:r>
        <w:tab/>
      </w:r>
      <w:r>
        <w:t>Richtlinie 2006/43/EG des Europäischen Parlaments und des Rates vom 17. Mai 2006 über Abschlussprüfungen von Jahresabschlüssen und konsolidierten Abschlüssen, zur Änderung der Richtlinien 78/660/EWG und 83/349/EWG des Rates und zur Aufhebung der Richtlinie 84/253/EWG des Rates (ABl. L 157 vom 9.6.2006, S. 87), die zuletzt durch die Richtlinie 2014/56/EU (ABl. L 158 vom 27.5.2014, S. 196) geändert worden ist;</w:t>
      </w:r>
    </w:p>
    <w:p>
      <w:pPr>
        <w:tabs>
          <w:tab w:pos="567" w:val="left"/>
        </w:tabs>
        <w:ind w:left="567" w:hanging="567"/>
      </w:pPr>
      <w:r>
        <w:t>4.</w:t>
      </w:r>
      <w:r>
        <w:tab/>
      </w:r>
      <w:r>
        <w:t>die Befreiung des Tochterunternehmens ist im Anhang des Konzernabschlusses des Mutterunternehmens angegeben und</w:t>
      </w:r>
    </w:p>
    <w:p>
      <w:pPr>
        <w:tabs>
          <w:tab w:pos="567" w:val="left"/>
        </w:tabs>
        <w:ind w:left="567" w:hanging="567"/>
      </w:pPr>
      <w:r>
        <w:t>5.</w:t>
      </w:r>
      <w:r>
        <w:tab/>
      </w:r>
      <w:r>
        <w:t xml:space="preserve">für das Tochterunternehmen sind nach </w:t>
      </w:r>
      <w:hyperlink w:anchor="b364" w:history="1">
        <w:r>
          <w:rPr>
            <w:color w:val="0A3A8C"/>
            <w:u w:val="single"/>
          </w:rPr>
          <w:t xml:space="preserve">§ 325</w:t>
        </w:r>
      </w:hyperlink>
      <w:r>
        <w:t xml:space="preserve"> Absatz 1 bis 1b offengelegt worden:</w:t>
      </w:r>
    </w:p>
    <w:p>
      <w:pPr>
        <w:tabs>
          <w:tab w:pos="1134" w:val="left"/>
        </w:tabs>
        <w:ind w:left="1134" w:hanging="567"/>
      </w:pPr>
      <w:r>
        <w:t>a)</w:t>
      </w:r>
      <w:r>
        <w:tab/>
      </w:r>
      <w:r>
        <w:t>der Beschluss nach Nummer 1,</w:t>
      </w:r>
    </w:p>
    <w:p>
      <w:pPr>
        <w:tabs>
          <w:tab w:pos="1134" w:val="left"/>
        </w:tabs>
        <w:ind w:left="1134" w:hanging="567"/>
      </w:pPr>
      <w:r>
        <w:t>b)</w:t>
      </w:r>
      <w:r>
        <w:tab/>
      </w:r>
      <w:r>
        <w:t>die Erklärung nach Nummer 2,</w:t>
      </w:r>
    </w:p>
    <w:p>
      <w:pPr>
        <w:tabs>
          <w:tab w:pos="1134" w:val="left"/>
        </w:tabs>
        <w:ind w:left="1134" w:hanging="567"/>
      </w:pPr>
      <w:r>
        <w:t>c)</w:t>
      </w:r>
      <w:r>
        <w:tab/>
      </w:r>
      <w:r>
        <w:t>der Konzernabschluss,</w:t>
      </w:r>
    </w:p>
    <w:p>
      <w:pPr>
        <w:tabs>
          <w:tab w:pos="1134" w:val="left"/>
        </w:tabs>
        <w:ind w:left="1134" w:hanging="567"/>
      </w:pPr>
      <w:r>
        <w:t>d)</w:t>
      </w:r>
      <w:r>
        <w:tab/>
      </w:r>
      <w:r>
        <w:t>der Konzernlagebericht und</w:t>
      </w:r>
    </w:p>
    <w:p>
      <w:pPr>
        <w:tabs>
          <w:tab w:pos="1134" w:val="left"/>
        </w:tabs>
        <w:ind w:left="1134" w:hanging="567"/>
      </w:pPr>
      <w:r>
        <w:t>e)</w:t>
      </w:r>
      <w:r>
        <w:tab/>
      </w:r>
      <w:r>
        <w:t>der Bestätigungsvermerk zum Konzernabschluss und Konzernlagebericht des Mutterunternehmens nach Nummer 3.</w:t>
      </w:r>
    </w:p>
    <w:p>
      <w:r>
        <w:rPr>
          <w:rStyle w:val="Satznummer"/>
        </w:rPr>
        <w:t>2</w:t>
      </w:r>
      <w:r>
        <w:t xml:space="preserve">Hat bereits das Mutterunternehmen einzelne oder alle der in Satz 1 Nummer 5 bezeichneten Unterlagen offengelegt, braucht das Tochterunternehmen die betreffenden Unterlagen nicht erneut offenzulegen, wenn sie im Unternehmensregister unter dem Tochterunternehmen auffindbar sind; </w:t>
      </w:r>
      <w:hyperlink w:anchor="b366" w:history="1">
        <w:r>
          <w:rPr>
            <w:color w:val="0A3A8C"/>
            <w:u w:val="single"/>
          </w:rPr>
          <w:t xml:space="preserve">§ 326</w:t>
        </w:r>
      </w:hyperlink>
      <w:r>
        <w:t xml:space="preserve"> Absatz 2 ist auf diese Offenlegung nicht anzuwenden. </w:t>
      </w:r>
      <w:r>
        <w:rPr>
          <w:rStyle w:val="Satznummer"/>
        </w:rPr>
        <w:t>3</w:t>
      </w:r>
      <w:r>
        <w:t xml:space="preserve">Satz 2 gilt nur dann, wenn das Mutterunternehmen die betreffende Unterlage in deutscher oder in englischer Sprache offengelegt hat oder das Tochterunternehmen zusätzlich eine beglaubigte Übersetzung dieser Unterlage in deutscher Sprache nach </w:t>
      </w:r>
      <w:hyperlink w:anchor="b364" w:history="1">
        <w:r>
          <w:rPr>
            <w:color w:val="0A3A8C"/>
            <w:u w:val="single"/>
          </w:rPr>
          <w:t xml:space="preserve">§ 325</w:t>
        </w:r>
      </w:hyperlink>
      <w:r>
        <w:t xml:space="preserve"> Absatz 1 bis 1b offenlegt.</w:t>
      </w:r>
    </w:p>
    <w:p>
      <w:r>
        <w:t xml:space="preserve">(4) Absatz 3 ist nicht anzuwenden, wenn eine Kapitalgesellschaft das Tochterunternehmen eines Mutterunternehmens ist, das einen Konzernabschluss nach den Vorschriften des Publizitätsgesetzes aufgestellt hat, und wenn in diesem Konzernabschluss von dem Wahlrecht des § 13 Absatz 3 Satz 1 des Publizitätsgesetzes Gebrauch gemacht worden ist; </w:t>
      </w:r>
      <w:hyperlink w:anchor="b339" w:history="1">
        <w:r>
          <w:rPr>
            <w:color w:val="0A3A8C"/>
            <w:u w:val="single"/>
          </w:rPr>
          <w:t xml:space="preserve">§ 314</w:t>
        </w:r>
      </w:hyperlink>
      <w:r>
        <w:t xml:space="preserve"> Absatz 3 bleibt unberührt.</w:t>
      </w:r>
    </w:p>
    <w:p>
      <w:pPr>
        <w:pStyle w:val="Heading5"/>
      </w:pPr>
      <w:bookmarkStart w:id="267" w:name="b266"/>
      <w:r>
        <w:t>§ 264a Anwendung auf bestimmte offene Handelsgesellschaften und Kommanditgesellschaften</w:t>
      </w:r>
      <w:r>
        <w:t xml:space="preserve"> </w:t>
      </w:r>
      <w:r>
        <w:rPr>
          <w:rStyle w:val="Suchmarke"/>
        </w:rPr>
        <w:t>#264a#</w:t>
      </w:r>
      <w:bookmarkEnd w:id="267"/>
    </w:p>
    <w:p>
      <w:r>
        <w:t>(1) Die Vorschriften des Ersten bis Fünften Unterabschnitts des Zweiten Abschnitts sind auch anzuwenden auf offene Handelsgesellschaften und Kommanditgesellschaften, bei denen nicht wenigstens ein persönlich haftender Gesellschafter</w:t>
      </w:r>
    </w:p>
    <w:p>
      <w:pPr>
        <w:tabs>
          <w:tab w:pos="567" w:val="left"/>
        </w:tabs>
        <w:ind w:left="567" w:hanging="567"/>
      </w:pPr>
      <w:r>
        <w:t>1.</w:t>
      </w:r>
      <w:r>
        <w:tab/>
      </w:r>
      <w:r>
        <w:t>eine natürliche Person oder</w:t>
      </w:r>
    </w:p>
    <w:p>
      <w:pPr>
        <w:tabs>
          <w:tab w:pos="567" w:val="left"/>
        </w:tabs>
        <w:ind w:left="567" w:hanging="567"/>
      </w:pPr>
      <w:r>
        <w:t>2.</w:t>
      </w:r>
      <w:r>
        <w:tab/>
      </w:r>
      <w:r>
        <w:t>eine offene Handelsgesellschaft, Kommanditgesellschaft oder andere Personengesellschaft mit einer natürlichen Person als persönlich haftendem Gesellschafter</w:t>
      </w:r>
    </w:p>
    <w:p>
      <w:r>
        <w:t>ist oder sich die Verbindung von Gesellschaften in dieser Art fortsetzt.</w:t>
      </w:r>
    </w:p>
    <w:p>
      <w:r>
        <w:t>(2) In den Vorschriften dieses Abschnitts gelten als gesetzliche Vertreter einer offenen Handelsgesellschaft und Kommanditgesellschaft nach Absatz 1 die Mitglieder des vertretungsberechtigten Organs der vertretungsberechtigten Gesellschaften.</w:t>
      </w:r>
    </w:p>
    <w:p>
      <w:pPr>
        <w:pStyle w:val="Heading5"/>
      </w:pPr>
      <w:bookmarkStart w:id="268" w:name="b267"/>
      <w:r>
        <w:t>§ 264b Befreiung der offenen Handelsgesellschaften und Kommanditgesellschaften im Sinne des § 264a von der Anwendung der Vorschriften dieses Abschnitts</w:t>
      </w:r>
      <w:r>
        <w:t xml:space="preserve"> </w:t>
      </w:r>
      <w:r>
        <w:rPr>
          <w:rStyle w:val="Suchmarke"/>
        </w:rPr>
        <w:t>#264b#</w:t>
      </w:r>
      <w:bookmarkEnd w:id="268"/>
    </w:p>
    <w:p>
      <w:r>
        <w:t xml:space="preserve">Eine Personenhandelsgesellschaft im Sinne des </w:t>
      </w:r>
      <w:hyperlink w:anchor="b266" w:history="1">
        <w:r>
          <w:rPr>
            <w:color w:val="0A3A8C"/>
            <w:u w:val="single"/>
          </w:rPr>
          <w:t xml:space="preserve">§ 264a</w:t>
        </w:r>
      </w:hyperlink>
      <w:r>
        <w:t xml:space="preserve"> Absatz 1, die nicht im Sinne des </w:t>
      </w:r>
      <w:hyperlink w:anchor="b269" w:history="1">
        <w:r>
          <w:rPr>
            <w:color w:val="0A3A8C"/>
            <w:u w:val="single"/>
          </w:rPr>
          <w:t xml:space="preserve">§ 264d</w:t>
        </w:r>
      </w:hyperlink>
      <w:r>
        <w:t xml:space="preserve"> kapitalmarktorientiert ist, ist von der Verpflichtung befreit, einen Jahresabschluss und einen Lagebericht nach den Vorschriften dieses Abschnitts aufzustellen, prüfen zu lassen und offenzulegen, wenn alle folgenden Voraussetzungen erfüllt sind:</w:t>
      </w:r>
    </w:p>
    <w:p>
      <w:pPr>
        <w:tabs>
          <w:tab w:pos="567" w:val="left"/>
        </w:tabs>
        <w:ind w:left="567" w:hanging="567"/>
      </w:pPr>
      <w:r>
        <w:t>1.</w:t>
      </w:r>
      <w:r>
        <w:tab/>
      </w:r>
      <w:r>
        <w:t>die betreffende Gesellschaft ist einbezogen in den Konzernabschluss und in den Konzernlagebericht</w:t>
      </w:r>
    </w:p>
    <w:p>
      <w:pPr>
        <w:tabs>
          <w:tab w:pos="1134" w:val="left"/>
        </w:tabs>
        <w:ind w:left="1134" w:hanging="567"/>
      </w:pPr>
      <w:r>
        <w:t>a)</w:t>
      </w:r>
      <w:r>
        <w:tab/>
      </w:r>
      <w:r>
        <w:t>eines persönlich haftenden Gesellschafters der betreffenden Gesellschaft oder</w:t>
      </w:r>
    </w:p>
    <w:p>
      <w:pPr>
        <w:tabs>
          <w:tab w:pos="1134" w:val="left"/>
        </w:tabs>
        <w:ind w:left="1134" w:hanging="567"/>
      </w:pPr>
      <w:r>
        <w:t>b)</w:t>
      </w:r>
      <w:r>
        <w:tab/>
      </w:r>
      <w:r>
        <w:t>eines Mutterunternehmens mit Sitz in einem Mitgliedstaat der Europäischen Union oder einem anderen Vertragsstaat des Abkommens über den Europäischen Wirtschaftsraum, wenn in diesen Konzernabschluss eine größere Gesamtheit von Unternehmen einbezogen ist;</w:t>
      </w:r>
    </w:p>
    <w:p>
      <w:pPr>
        <w:tabs>
          <w:tab w:pos="567" w:val="left"/>
        </w:tabs>
        <w:ind w:left="567" w:hanging="567"/>
      </w:pPr>
      <w:r>
        <w:t>2.</w:t>
      </w:r>
      <w:r>
        <w:tab/>
      </w:r>
      <w:r>
        <w:t xml:space="preserve">die in </w:t>
      </w:r>
      <w:hyperlink w:anchor="b265" w:history="1">
        <w:r>
          <w:rPr>
            <w:color w:val="0A3A8C"/>
            <w:u w:val="single"/>
          </w:rPr>
          <w:t xml:space="preserve">§ 264</w:t>
        </w:r>
      </w:hyperlink>
      <w:r>
        <w:t xml:space="preserve"> Absatz 3 Satz 1 Nummer 3 genannte Voraussetzung ist erfüllt;</w:t>
      </w:r>
    </w:p>
    <w:p>
      <w:pPr>
        <w:tabs>
          <w:tab w:pos="567" w:val="left"/>
        </w:tabs>
        <w:ind w:left="567" w:hanging="567"/>
      </w:pPr>
      <w:r>
        <w:t>3.</w:t>
      </w:r>
      <w:r>
        <w:tab/>
      </w:r>
      <w:r>
        <w:t>die Befreiung der Personenhandelsgesellschaft ist im Anhang des Konzernabschlusses angegeben und</w:t>
      </w:r>
    </w:p>
    <w:p>
      <w:pPr>
        <w:tabs>
          <w:tab w:pos="567" w:val="left"/>
        </w:tabs>
        <w:ind w:left="567" w:hanging="567"/>
      </w:pPr>
      <w:r>
        <w:t>4.</w:t>
      </w:r>
      <w:r>
        <w:tab/>
      </w:r>
      <w:r>
        <w:t xml:space="preserve">für die Personenhandelsgesellschaft sind der Konzernabschluss, der Konzernlagebericht und der Bestätigungsvermerk nach </w:t>
      </w:r>
      <w:hyperlink w:anchor="b364" w:history="1">
        <w:r>
          <w:rPr>
            <w:color w:val="0A3A8C"/>
            <w:u w:val="single"/>
          </w:rPr>
          <w:t xml:space="preserve">§ 325</w:t>
        </w:r>
      </w:hyperlink>
      <w:r>
        <w:t xml:space="preserve"> Absatz 1 bis 1b offengelegt worden; </w:t>
      </w:r>
      <w:hyperlink w:anchor="b265" w:history="1">
        <w:r>
          <w:rPr>
            <w:color w:val="0A3A8C"/>
            <w:u w:val="single"/>
          </w:rPr>
          <w:t xml:space="preserve">§ 264</w:t>
        </w:r>
      </w:hyperlink>
      <w:r>
        <w:t xml:space="preserve"> Absatz 3 Satz 2 und 3 ist entsprechend anzuwenden.</w:t>
      </w:r>
    </w:p>
    <w:p>
      <w:pPr>
        <w:pStyle w:val="Heading5"/>
      </w:pPr>
      <w:bookmarkStart w:id="269" w:name="b268"/>
      <w:r>
        <w:t>§ 264c Besondere Bestimmungen für offene Handelsgesellschaften und Kommanditgesellschaften im Sinne des § 264a</w:t>
      </w:r>
      <w:r>
        <w:t xml:space="preserve"> </w:t>
      </w:r>
      <w:r>
        <w:rPr>
          <w:rStyle w:val="Suchmarke"/>
        </w:rPr>
        <w:t>#264c#</w:t>
      </w:r>
      <w:bookmarkEnd w:id="269"/>
    </w:p>
    <w:p>
      <w:r>
        <w:t xml:space="preserve">(1) </w:t>
      </w:r>
      <w:r>
        <w:rPr>
          <w:rStyle w:val="Satznummer"/>
        </w:rPr>
        <w:t>1</w:t>
      </w:r>
      <w:r>
        <w:t xml:space="preserve">Ausleihungen, Forderungen und Verbindlichkeiten gegenüber Gesellschaftern sind in der Regel als solche jeweils gesondert auszuweisen oder im Anhang anzugeben. </w:t>
      </w:r>
      <w:r>
        <w:rPr>
          <w:rStyle w:val="Satznummer"/>
        </w:rPr>
        <w:t>2</w:t>
      </w:r>
      <w:r>
        <w:t>Werden sie unter anderen Posten ausgewiesen, so muss diese Eigenschaft vermerkt werden.</w:t>
      </w:r>
    </w:p>
    <w:p>
      <w:r>
        <w:t xml:space="preserve">(2) </w:t>
      </w:r>
      <w:r>
        <w:rPr>
          <w:rStyle w:val="Satznummer"/>
        </w:rPr>
        <w:t>1</w:t>
      </w:r>
      <w:r>
        <w:t>§ 266 Abs. 3 Buchstabe A ist mit der Maßgabe anzuwenden, dass als Eigenkapital die folgenden Posten gesondert auszuweisen sind:</w:t>
      </w:r>
    </w:p>
    <w:p>
      <w:pPr>
        <w:tabs>
          <w:tab w:pos="567" w:val="left"/>
        </w:tabs>
        <w:ind w:left="567" w:hanging="567"/>
      </w:pPr>
      <w:r>
        <w:t>I.</w:t>
      </w:r>
      <w:r>
        <w:tab/>
      </w:r>
      <w:r>
        <w:t>Kapitalanteile</w:t>
      </w:r>
    </w:p>
    <w:p>
      <w:pPr>
        <w:tabs>
          <w:tab w:pos="567" w:val="left"/>
        </w:tabs>
        <w:ind w:left="567" w:hanging="567"/>
      </w:pPr>
      <w:r>
        <w:t>II.</w:t>
      </w:r>
      <w:r>
        <w:tab/>
      </w:r>
      <w:r>
        <w:t>Rücklagen</w:t>
      </w:r>
    </w:p>
    <w:p>
      <w:pPr>
        <w:tabs>
          <w:tab w:pos="567" w:val="left"/>
        </w:tabs>
        <w:ind w:left="567" w:hanging="567"/>
      </w:pPr>
      <w:r>
        <w:t>III.</w:t>
      </w:r>
      <w:r>
        <w:tab/>
      </w:r>
      <w:r>
        <w:t>Gewinnvortrag/Verlustvortrag</w:t>
      </w:r>
    </w:p>
    <w:p>
      <w:pPr>
        <w:tabs>
          <w:tab w:pos="567" w:val="left"/>
        </w:tabs>
        <w:ind w:left="567" w:hanging="567"/>
      </w:pPr>
      <w:r>
        <w:t>IV.</w:t>
      </w:r>
      <w:r>
        <w:tab/>
      </w:r>
      <w:r>
        <w:t>Jahresüberschuss/Jahresfehlbetrag.</w:t>
      </w:r>
    </w:p>
    <w:p>
      <w:r>
        <w:rPr>
          <w:rStyle w:val="Satznummer"/>
        </w:rPr>
        <w:t>2</w:t>
      </w:r>
      <w:r>
        <w:t xml:space="preserve">Anstelle des Postens "Gezeichnetes Kapital" sind die Kapitalanteile der persönlich haftenden Gesellschafter auszuweisen; sie dürfen auch zusammengefasst ausgewiesen werden. </w:t>
      </w:r>
      <w:r>
        <w:rPr>
          <w:rStyle w:val="Satznummer"/>
        </w:rPr>
        <w:t>3</w:t>
      </w:r>
      <w:r>
        <w:t xml:space="preserve">Der auf den Kapitalanteil eines persönlich haftenden Gesellschafters für das Geschäftsjahr entfallende Verlust ist von dem Kapitalanteil abzuschreiben. </w:t>
      </w:r>
      <w:r>
        <w:rPr>
          <w:rStyle w:val="Satznummer"/>
        </w:rPr>
        <w:t>4</w:t>
      </w:r>
      <w:r>
        <w:t xml:space="preserve">Soweit der Verlust den Kapitalanteil übersteigt, ist er auf der Aktivseite unter der Bezeichnung "Einzahlungsverpflichtungen persönlich haftender Gesellschafter" unter den Forderungen gesondert auszuweisen, soweit eine Zahlungsverpflichtung besteht. </w:t>
      </w:r>
      <w:r>
        <w:rPr>
          <w:rStyle w:val="Satznummer"/>
        </w:rPr>
        <w:t>5</w:t>
      </w:r>
      <w:r>
        <w:t xml:space="preserve">Besteht keine Zahlungsverpflichtung, so ist der Betrag als "Nicht durch Vermögenseinlagen gedeckter Verlustanteil persönlich haftender Gesellschafter" zu bezeichnen und gemäß </w:t>
      </w:r>
      <w:hyperlink w:anchor="b275" w:history="1">
        <w:r>
          <w:rPr>
            <w:color w:val="0A3A8C"/>
            <w:u w:val="single"/>
          </w:rPr>
          <w:t xml:space="preserve">§ 268</w:t>
        </w:r>
      </w:hyperlink>
      <w:r>
        <w:t xml:space="preserve"> Abs. 3 auszuweisen. </w:t>
      </w:r>
      <w:r>
        <w:rPr>
          <w:rStyle w:val="Satznummer"/>
        </w:rPr>
        <w:t>6</w:t>
      </w:r>
      <w:r>
        <w:t xml:space="preserve">Die Sätze 2 bis 5 sind auf die Einlagen von Kommanditisten entsprechend anzuwenden, wobei diese insgesamt gesondert gegenüber den Kapitalanteilen der persönlich haftenden Gesellschafter auszuweisen sind. </w:t>
      </w:r>
      <w:r>
        <w:rPr>
          <w:rStyle w:val="Satznummer"/>
        </w:rPr>
        <w:t>7</w:t>
      </w:r>
      <w:r>
        <w:t xml:space="preserve">Eine Forderung darf jedoch nur ausgewiesen werden, soweit eine Einzahlungsverpflichtung besteht; dasselbe gilt, wenn ein Kommanditist Gewinnanteile entnimmt, während sein Kapitalanteil durch Verlust unter den Betrag der geleisteten Einlage herabgemindert ist, oder soweit durch die Entnahme der Kapitalanteil unter den bezeichneten Betrag herabgemindert wird. </w:t>
      </w:r>
      <w:r>
        <w:rPr>
          <w:rStyle w:val="Satznummer"/>
        </w:rPr>
        <w:t>8</w:t>
      </w:r>
      <w:r>
        <w:t xml:space="preserve">Als Rücklagen sind nur solche Beträge auszuweisen, die auf Grund einer gesellschaftsrechtlichen Vereinbarung gebildet worden sind. </w:t>
      </w:r>
      <w:r>
        <w:rPr>
          <w:rStyle w:val="Satznummer"/>
        </w:rPr>
        <w:t>9</w:t>
      </w:r>
      <w:r>
        <w:t xml:space="preserve">Im Anhang ist der Betrag der im Handelsregister gemäß </w:t>
      </w:r>
      <w:hyperlink w:anchor="b205" w:history="1">
        <w:r>
          <w:rPr>
            <w:color w:val="0A3A8C"/>
            <w:u w:val="single"/>
          </w:rPr>
          <w:t xml:space="preserve">§ 172</w:t>
        </w:r>
      </w:hyperlink>
      <w:r>
        <w:t xml:space="preserve"> Abs. 1 eingetragenen Haftsummen anzugeben, soweit diese nicht geleistet sind.</w:t>
      </w:r>
    </w:p>
    <w:p>
      <w:r>
        <w:t xml:space="preserve">(3) </w:t>
      </w:r>
      <w:r>
        <w:rPr>
          <w:rStyle w:val="Satznummer"/>
        </w:rPr>
        <w:t>1</w:t>
      </w:r>
      <w:r>
        <w:t xml:space="preserve">Das sonstige Vermögen der Gesellschafter (Privatvermögen) darf nicht in die Bilanz und die auf das Privatvermögen entfallenden Aufwendungen und Erträge dürfen nicht in die Gewinn- und Verlustrechnung aufgenommen werden. </w:t>
      </w:r>
      <w:r>
        <w:rPr>
          <w:rStyle w:val="Satznummer"/>
        </w:rPr>
        <w:t>2</w:t>
      </w:r>
      <w:r>
        <w:t>In der Gewinn- und Verlustrechnung darf jedoch nach dem Posten "Jahresüberschuss/Jahresfehlbetrag" ein dem Steuersatz der Komplementärgesellschaft entsprechender Steueraufwand der Gesellschafter offen abgesetzt oder hinzugerechnet werden.</w:t>
      </w:r>
    </w:p>
    <w:p>
      <w:r>
        <w:t xml:space="preserve">(4) </w:t>
      </w:r>
      <w:r>
        <w:rPr>
          <w:rStyle w:val="Satznummer"/>
        </w:rPr>
        <w:t>1</w:t>
      </w:r>
      <w:r>
        <w:t xml:space="preserve">Anteile an Komplementärgesellschaften sind in der Bilanz auf der Aktivseite unter den Posten A.III.1 oder A.III.3 auszuweisen. </w:t>
      </w:r>
      <w:r>
        <w:rPr>
          <w:rStyle w:val="Satznummer"/>
        </w:rPr>
        <w:t>2</w:t>
      </w:r>
      <w:hyperlink w:anchor="b279" w:history="1">
        <w:r>
          <w:rPr>
            <w:color w:val="0A3A8C"/>
            <w:u w:val="single"/>
          </w:rPr>
          <w:t xml:space="preserve">§ 272</w:t>
        </w:r>
      </w:hyperlink>
      <w:r>
        <w:t xml:space="preserve"> Abs. 4 ist mit der Maßgabe anzuwenden, dass für diese Anteile in Höhe des aktivierten Betrags nach dem Posten "Eigenkapital" ein Sonderposten unter der Bezeichnung "Ausgleichsposten für aktivierte eigene Anteile" zu bilden ist.</w:t>
      </w:r>
    </w:p>
    <w:p>
      <w:r>
        <w:t xml:space="preserve">(5) </w:t>
      </w:r>
      <w:r>
        <w:rPr>
          <w:rStyle w:val="Satznummer"/>
        </w:rPr>
        <w:t>1</w:t>
      </w:r>
      <w:r>
        <w:t xml:space="preserve">Macht die Gesellschaft von einem Wahlrecht nach § 266 Absatz 1 Satz 3 oder Satz 4 Gebrauch, richtet sich die Gliederung der verkürzten Bilanz nach der Ausübung dieses Wahlrechts. </w:t>
      </w:r>
      <w:r>
        <w:rPr>
          <w:rStyle w:val="Satznummer"/>
        </w:rPr>
        <w:t>2</w:t>
      </w:r>
      <w:r>
        <w:t>Die Ermittlung der Bilanzposten nach den vorstehenden Absätzen bleibt unberührt.</w:t>
      </w:r>
    </w:p>
    <w:p>
      <w:pPr>
        <w:pStyle w:val="Heading5"/>
      </w:pPr>
      <w:bookmarkStart w:id="270" w:name="b269"/>
      <w:r>
        <w:t>§ 264d Kapitalmarktorientierte Kapitalgesellschaft</w:t>
      </w:r>
      <w:r>
        <w:t xml:space="preserve"> </w:t>
      </w:r>
      <w:r>
        <w:rPr>
          <w:rStyle w:val="Suchmarke"/>
        </w:rPr>
        <w:t>#264d#</w:t>
      </w:r>
      <w:bookmarkEnd w:id="270"/>
    </w:p>
    <w:p>
      <w:r>
        <w:t>Eine Kapitalgesellschaft ist kapitalmarktorientiert, wenn sie einen organisierten Markt im Sinn des § 2 Absatz 11 des Wertpapierhandelsgesetzes durch von ihr ausgegebene Wertpapiere im Sinn des § 2 Absatz 1 des Wertpapierhandelsgesetzes in Anspruch nimmt oder die Zulassung solcher Wertpapiere zum Handel an einem organisierten Markt beantragt hat.</w:t>
      </w:r>
    </w:p>
    <w:p>
      <w:pPr>
        <w:pStyle w:val="Heading5"/>
      </w:pPr>
      <w:bookmarkStart w:id="271" w:name="b270"/>
      <w:r>
        <w:t>§ 265 Allgemeine Grundsätze für die Gliederung</w:t>
      </w:r>
      <w:r>
        <w:t xml:space="preserve"> </w:t>
      </w:r>
      <w:r>
        <w:rPr>
          <w:rStyle w:val="Suchmarke"/>
        </w:rPr>
        <w:t>#265#</w:t>
      </w:r>
      <w:bookmarkEnd w:id="271"/>
    </w:p>
    <w:p>
      <w:r>
        <w:t xml:space="preserve">(1) </w:t>
      </w:r>
      <w:r>
        <w:rPr>
          <w:rStyle w:val="Satznummer"/>
        </w:rPr>
        <w:t>1</w:t>
      </w:r>
      <w:r>
        <w:t xml:space="preserve">Die Form der Darstellung, insbesondere die Gliederung der aufeinanderfolgenden Bilanzen und Gewinn- und Verlustrechnungen, ist beizubehalten, soweit nicht in Ausnahmefällen wegen besonderer Umstände Abweichungen erforderlich sind. </w:t>
      </w:r>
      <w:r>
        <w:rPr>
          <w:rStyle w:val="Satznummer"/>
        </w:rPr>
        <w:t>2</w:t>
      </w:r>
      <w:r>
        <w:t>Die Abweichungen sind im Anhang anzugeben und zu begründen.</w:t>
      </w:r>
    </w:p>
    <w:p>
      <w:r>
        <w:t xml:space="preserve">(2) </w:t>
      </w:r>
      <w:r>
        <w:rPr>
          <w:rStyle w:val="Satznummer"/>
        </w:rPr>
        <w:t>1</w:t>
      </w:r>
      <w:r>
        <w:t xml:space="preserve">In der Bilanz sowie in der Gewinn- und Verlustrechnung ist zu jedem Posten der entsprechende Betrag des vorhergehenden Geschäftsjahrs anzugeben. </w:t>
      </w:r>
      <w:r>
        <w:rPr>
          <w:rStyle w:val="Satznummer"/>
        </w:rPr>
        <w:t>2</w:t>
      </w:r>
      <w:r>
        <w:t xml:space="preserve">Sind die Beträge nicht vergleichbar, so ist dies im Anhang anzugeben und zu erläutern. </w:t>
      </w:r>
      <w:r>
        <w:rPr>
          <w:rStyle w:val="Satznummer"/>
        </w:rPr>
        <w:t>3</w:t>
      </w:r>
      <w:r>
        <w:t>Wird der Vorjahresbetrag angepaßt, so ist auch dies im Anhang anzugeben und zu erläutern.</w:t>
      </w:r>
    </w:p>
    <w:p>
      <w:r>
        <w:t>(3) Fällt ein Vermögensgegenstand oder eine Schuld unter mehrere Posten der Bilanz, so ist die Mitzugehörigkeit zu anderen Posten bei dem Posten, unter dem der Ausweis erfolgt ist, zu vermerken oder im Anhang anzugeben, wenn dies zur Aufstellung eines klaren und übersichtlichen Jahresabschlusses erforderlich ist.</w:t>
      </w:r>
    </w:p>
    <w:p>
      <w:r>
        <w:t xml:space="preserve">(4) </w:t>
      </w:r>
      <w:r>
        <w:rPr>
          <w:rStyle w:val="Satznummer"/>
        </w:rPr>
        <w:t>1</w:t>
      </w:r>
      <w:r>
        <w:t xml:space="preserve">Sind mehrere Geschäftszweige vorhanden und bedingt dies die Gliederung des Jahresabschlusses nach verschiedenen Gliederungsvorschriften, so ist der Jahresabschluß nach der für einen Geschäftszweig vorgeschriebenen Gliederung aufzustellen und nach der für die anderen Geschäftszweige vorgeschriebenen Gliederung zu ergänzen. </w:t>
      </w:r>
      <w:r>
        <w:rPr>
          <w:rStyle w:val="Satznummer"/>
        </w:rPr>
        <w:t>2</w:t>
      </w:r>
      <w:r>
        <w:t>Die Ergänzung ist im Anhang anzugeben und zu begründen.</w:t>
      </w:r>
    </w:p>
    <w:p>
      <w:r>
        <w:t xml:space="preserve">(5) </w:t>
      </w:r>
      <w:r>
        <w:rPr>
          <w:rStyle w:val="Satznummer"/>
        </w:rPr>
        <w:t>1</w:t>
      </w:r>
      <w:r>
        <w:t xml:space="preserve">Eine weitere Untergliederung der Posten ist zulässig; dabei ist jedoch die vorgeschriebene Gliederung zu beachten. </w:t>
      </w:r>
      <w:r>
        <w:rPr>
          <w:rStyle w:val="Satznummer"/>
        </w:rPr>
        <w:t>2</w:t>
      </w:r>
      <w:r>
        <w:t>Neue Posten und Zwischensummen dürfen hinzugefügt werden, wenn ihr Inhalt nicht von einem vorgeschriebenen Posten gedeckt wird.</w:t>
      </w:r>
    </w:p>
    <w:p>
      <w:r>
        <w:t>(6) Gliederung und Bezeichnung der mit arabischen Zahlen versehenen Posten der Bilanz und der Gewinn- und Verlustrechnung sind zu ändern, wenn dies wegen Besonderheiten der Kapitalgesellschaft zur Aufstellung eines klaren und übersichtlichen Jahresabschlusses erforderlich ist.</w:t>
      </w:r>
    </w:p>
    <w:p>
      <w:r>
        <w:t>(7) Die mit arabischen Zahlen versehenen Posten der Bilanz und der Gewinn- und Verlustrechnung können, wenn nicht besondere Formblätter vorgeschrieben sind, zusammengefaßt ausgewiesen werden, wenn</w:t>
      </w:r>
    </w:p>
    <w:p>
      <w:pPr>
        <w:tabs>
          <w:tab w:pos="567" w:val="left"/>
        </w:tabs>
        <w:ind w:left="567" w:hanging="567"/>
      </w:pPr>
      <w:r>
        <w:t>1.</w:t>
      </w:r>
      <w:r>
        <w:tab/>
      </w:r>
      <w:r>
        <w:t xml:space="preserve">sie einen Betrag enthalten, der für die Vermittlung eines den tatsächlichen Verhältnissen entsprechenden Bildes im Sinne des </w:t>
      </w:r>
      <w:hyperlink w:anchor="b265" w:history="1">
        <w:r>
          <w:rPr>
            <w:color w:val="0A3A8C"/>
            <w:u w:val="single"/>
          </w:rPr>
          <w:t xml:space="preserve">§ 264</w:t>
        </w:r>
      </w:hyperlink>
      <w:r>
        <w:t xml:space="preserve"> Abs. 2 nicht erheblich ist,</w:t>
      </w:r>
    </w:p>
    <w:p>
      <w:pPr>
        <w:ind w:left="567"/>
      </w:pPr>
      <w:r>
        <w:t>oder</w:t>
      </w:r>
    </w:p>
    <w:p>
      <w:pPr>
        <w:tabs>
          <w:tab w:pos="567" w:val="left"/>
        </w:tabs>
        <w:ind w:left="567" w:hanging="567"/>
      </w:pPr>
      <w:r>
        <w:t>2.</w:t>
      </w:r>
      <w:r>
        <w:tab/>
      </w:r>
      <w:r>
        <w:t>dadurch die Klarheit der Darstellung vergrößert wird; in diesem Falle müssen die zusammengefaßten Posten jedoch im Anhang gesondert ausgewiesen werden.</w:t>
      </w:r>
    </w:p>
    <w:p>
      <w:r>
        <w:t>(8) Ein Posten der Bilanz oder der Gewinn- und Verlustrechnung, der keinen Betrag ausweist, braucht nicht aufgeführt zu werden, es sei denn, daß im vorhergehenden Geschäftsjahr unter diesem Posten ein Betrag ausgewiesen wurde.</w:t>
      </w:r>
    </w:p>
    <w:p>
      <w:pPr>
        <w:pStyle w:val="Heading4"/>
      </w:pPr>
      <w:bookmarkStart w:id="272" w:name="b271"/>
      <w:r>
        <w:t>Zweiter Titel Bilanz</w:t>
      </w:r>
      <w:bookmarkEnd w:id="272"/>
    </w:p>
    <w:p>
      <w:pPr>
        <w:pStyle w:val="Heading5"/>
      </w:pPr>
      <w:bookmarkStart w:id="273" w:name="b272"/>
      <w:r>
        <w:t>§ 266 Gliederung der Bilanz</w:t>
      </w:r>
      <w:r>
        <w:t xml:space="preserve"> </w:t>
      </w:r>
      <w:r>
        <w:rPr>
          <w:rStyle w:val="Suchmarke"/>
        </w:rPr>
        <w:t>#266#</w:t>
      </w:r>
      <w:bookmarkEnd w:id="273"/>
    </w:p>
    <w:p>
      <w:r>
        <w:t xml:space="preserve">(1) </w:t>
      </w:r>
      <w:r>
        <w:rPr>
          <w:rStyle w:val="Satznummer"/>
        </w:rPr>
        <w:t>1</w:t>
      </w:r>
      <w:r>
        <w:t xml:space="preserve">Die Bilanz ist in Kontoform aufzustellen. </w:t>
      </w:r>
      <w:r>
        <w:rPr>
          <w:rStyle w:val="Satznummer"/>
        </w:rPr>
        <w:t>2</w:t>
      </w:r>
      <w:r>
        <w:t>Dabei haben mittelgroße und große Kapitalgesellschaften (</w:t>
      </w:r>
      <w:hyperlink w:anchor="b273" w:history="1">
        <w:r>
          <w:rPr>
            <w:color w:val="0A3A8C"/>
            <w:u w:val="single"/>
          </w:rPr>
          <w:t xml:space="preserve">§ 267</w:t>
        </w:r>
      </w:hyperlink>
      <w:r>
        <w:t xml:space="preserve"> Absatz 2 und 3) auf der Aktivseite die in Absatz 2 und auf der Passivseite die in Absatz 3 bezeichneten Posten gesondert und in der vorgeschriebenen Reihenfolge auszuweisen. </w:t>
      </w:r>
      <w:r>
        <w:rPr>
          <w:rStyle w:val="Satznummer"/>
        </w:rPr>
        <w:t>3</w:t>
      </w:r>
      <w:r>
        <w:t>Kleine Kapitalgesellschaften (</w:t>
      </w:r>
      <w:hyperlink w:anchor="b273" w:history="1">
        <w:r>
          <w:rPr>
            <w:color w:val="0A3A8C"/>
            <w:u w:val="single"/>
          </w:rPr>
          <w:t xml:space="preserve">§ 267</w:t>
        </w:r>
      </w:hyperlink>
      <w:r>
        <w:t xml:space="preserve"> Abs. 1) brauchen nur eine verkürzte Bilanz aufzustellen, in die nur die in den Absätzen 2 und 3 mit Buchstaben und römischen Zahlen bezeichneten Posten gesondert und in der vorgeschriebenen Reihenfolge aufgenommen werden. </w:t>
      </w:r>
      <w:r>
        <w:rPr>
          <w:rStyle w:val="Satznummer"/>
        </w:rPr>
        <w:t>4</w:t>
      </w:r>
      <w:r>
        <w:t>Kleinstkapitalgesellschaften (</w:t>
      </w:r>
      <w:hyperlink w:anchor="b274" w:history="1">
        <w:r>
          <w:rPr>
            <w:color w:val="0A3A8C"/>
            <w:u w:val="single"/>
          </w:rPr>
          <w:t xml:space="preserve">§ 267a</w:t>
        </w:r>
      </w:hyperlink>
      <w:r>
        <w:t>) brauchen nur eine verkürzte Bilanz aufzustellen, in die nur die in den Absätzen 2 und 3 mit Buchstaben bezeichneten Posten gesondert und in der vorgeschriebenen Reihenfolge aufgenommen werden.</w:t>
      </w:r>
    </w:p>
    <w:p>
      <w:r>
        <w:t>(2) Aktivseite</w:t>
      </w:r>
    </w:p>
    <w:p>
      <w:pPr>
        <w:tabs>
          <w:tab w:pos="567" w:val="left"/>
        </w:tabs>
        <w:ind w:left="567" w:hanging="567"/>
      </w:pPr>
      <w:r>
        <w:t>A.</w:t>
      </w:r>
      <w:r>
        <w:tab/>
      </w:r>
      <w:r>
        <w:t>Anlagevermögen:</w:t>
      </w:r>
    </w:p>
    <w:p>
      <w:pPr>
        <w:tabs>
          <w:tab w:pos="1134" w:val="left"/>
        </w:tabs>
        <w:ind w:left="1134" w:hanging="567"/>
      </w:pPr>
      <w:r>
        <w:t>I.</w:t>
      </w:r>
      <w:r>
        <w:tab/>
      </w:r>
      <w:r>
        <w:t>Immaterielle Vermögensgegenstände:</w:t>
      </w:r>
    </w:p>
    <w:p>
      <w:pPr>
        <w:tabs>
          <w:tab w:pos="1701" w:val="left"/>
        </w:tabs>
        <w:ind w:left="1701" w:hanging="567"/>
      </w:pPr>
      <w:r>
        <w:t>1.</w:t>
      </w:r>
      <w:r>
        <w:tab/>
      </w:r>
      <w:r>
        <w:t>Selbst geschaffene gewerbliche Schutzrechte und ähnliche Rechte und Werte;</w:t>
      </w:r>
    </w:p>
    <w:p>
      <w:pPr>
        <w:tabs>
          <w:tab w:pos="1701" w:val="left"/>
        </w:tabs>
        <w:ind w:left="1701" w:hanging="567"/>
      </w:pPr>
      <w:r>
        <w:t>2.</w:t>
      </w:r>
      <w:r>
        <w:tab/>
      </w:r>
      <w:r>
        <w:t>entgeltlich erworbene Konzessionen, gewerbliche Schutzrechte und ähnliche Rechte und Werte sowie Lizenzen an solchen Rechten und Werten;</w:t>
      </w:r>
    </w:p>
    <w:p>
      <w:pPr>
        <w:tabs>
          <w:tab w:pos="1701" w:val="left"/>
        </w:tabs>
        <w:ind w:left="1701" w:hanging="567"/>
      </w:pPr>
      <w:r>
        <w:t>3.</w:t>
      </w:r>
      <w:r>
        <w:tab/>
      </w:r>
      <w:r>
        <w:t>Geschäfts- oder Firmenwert;</w:t>
      </w:r>
    </w:p>
    <w:p>
      <w:pPr>
        <w:tabs>
          <w:tab w:pos="1701" w:val="left"/>
        </w:tabs>
        <w:ind w:left="1701" w:hanging="567"/>
      </w:pPr>
      <w:r>
        <w:t>4.</w:t>
      </w:r>
      <w:r>
        <w:tab/>
      </w:r>
      <w:r>
        <w:t>geleistete Anzahlungen;</w:t>
      </w:r>
    </w:p>
    <w:p>
      <w:pPr>
        <w:tabs>
          <w:tab w:pos="1134" w:val="left"/>
        </w:tabs>
        <w:ind w:left="1134" w:hanging="567"/>
      </w:pPr>
      <w:r>
        <w:t>II.</w:t>
      </w:r>
      <w:r>
        <w:tab/>
      </w:r>
      <w:r>
        <w:t>Sachanlagen:</w:t>
      </w:r>
    </w:p>
    <w:p>
      <w:pPr>
        <w:tabs>
          <w:tab w:pos="1701" w:val="left"/>
        </w:tabs>
        <w:ind w:left="1701" w:hanging="567"/>
      </w:pPr>
      <w:r>
        <w:t>1.</w:t>
      </w:r>
      <w:r>
        <w:tab/>
      </w:r>
      <w:r>
        <w:t>Grundstücke, grundstücksgleiche Rechte und Bauten einschließlich der Bauten auf fremden Grundstücken;</w:t>
      </w:r>
    </w:p>
    <w:p>
      <w:pPr>
        <w:tabs>
          <w:tab w:pos="1701" w:val="left"/>
        </w:tabs>
        <w:ind w:left="1701" w:hanging="567"/>
      </w:pPr>
      <w:r>
        <w:t>2.</w:t>
      </w:r>
      <w:r>
        <w:tab/>
      </w:r>
      <w:r>
        <w:t>technische Anlagen und Maschinen;</w:t>
      </w:r>
    </w:p>
    <w:p>
      <w:pPr>
        <w:tabs>
          <w:tab w:pos="1701" w:val="left"/>
        </w:tabs>
        <w:ind w:left="1701" w:hanging="567"/>
      </w:pPr>
      <w:r>
        <w:t>3.</w:t>
      </w:r>
      <w:r>
        <w:tab/>
      </w:r>
      <w:r>
        <w:t>andere Anlagen, Betriebs- und Geschäftsausstattung;</w:t>
      </w:r>
    </w:p>
    <w:p>
      <w:pPr>
        <w:tabs>
          <w:tab w:pos="1701" w:val="left"/>
        </w:tabs>
        <w:ind w:left="1701" w:hanging="567"/>
      </w:pPr>
      <w:r>
        <w:t>4.</w:t>
      </w:r>
      <w:r>
        <w:tab/>
      </w:r>
      <w:r>
        <w:t>geleistete Anzahlungen und Anlagen im Bau;</w:t>
      </w:r>
    </w:p>
    <w:p>
      <w:pPr>
        <w:tabs>
          <w:tab w:pos="1134" w:val="left"/>
        </w:tabs>
        <w:ind w:left="1134" w:hanging="567"/>
      </w:pPr>
      <w:r>
        <w:t>III.</w:t>
      </w:r>
      <w:r>
        <w:tab/>
      </w:r>
      <w:r>
        <w:t>Finanzanlagen:</w:t>
      </w:r>
    </w:p>
    <w:p>
      <w:pPr>
        <w:tabs>
          <w:tab w:pos="1701" w:val="left"/>
        </w:tabs>
        <w:ind w:left="1701" w:hanging="567"/>
      </w:pPr>
      <w:r>
        <w:t>1.</w:t>
      </w:r>
      <w:r>
        <w:tab/>
      </w:r>
      <w:r>
        <w:t>Anteile an verbundenen Unternehmen;</w:t>
      </w:r>
    </w:p>
    <w:p>
      <w:pPr>
        <w:tabs>
          <w:tab w:pos="1701" w:val="left"/>
        </w:tabs>
        <w:ind w:left="1701" w:hanging="567"/>
      </w:pPr>
      <w:r>
        <w:t>2.</w:t>
      </w:r>
      <w:r>
        <w:tab/>
      </w:r>
      <w:r>
        <w:t>Ausleihungen an verbundene Unternehmen;</w:t>
      </w:r>
    </w:p>
    <w:p>
      <w:pPr>
        <w:tabs>
          <w:tab w:pos="1701" w:val="left"/>
        </w:tabs>
        <w:ind w:left="1701" w:hanging="567"/>
      </w:pPr>
      <w:r>
        <w:t>3.</w:t>
      </w:r>
      <w:r>
        <w:tab/>
      </w:r>
      <w:r>
        <w:t>Beteiligungen;</w:t>
      </w:r>
    </w:p>
    <w:p>
      <w:pPr>
        <w:tabs>
          <w:tab w:pos="1701" w:val="left"/>
        </w:tabs>
        <w:ind w:left="1701" w:hanging="567"/>
      </w:pPr>
      <w:r>
        <w:t>4.</w:t>
      </w:r>
      <w:r>
        <w:tab/>
      </w:r>
      <w:r>
        <w:t>Ausleihungen an Unternehmen, mit denen ein Beteiligungsverhältnis besteht;</w:t>
      </w:r>
    </w:p>
    <w:p>
      <w:pPr>
        <w:tabs>
          <w:tab w:pos="1701" w:val="left"/>
        </w:tabs>
        <w:ind w:left="1701" w:hanging="567"/>
      </w:pPr>
      <w:r>
        <w:t>5.</w:t>
      </w:r>
      <w:r>
        <w:tab/>
      </w:r>
      <w:r>
        <w:t>Wertpapiere des Anlagevermögens;</w:t>
      </w:r>
    </w:p>
    <w:p>
      <w:pPr>
        <w:tabs>
          <w:tab w:pos="1701" w:val="left"/>
        </w:tabs>
        <w:ind w:left="1701" w:hanging="567"/>
      </w:pPr>
      <w:r>
        <w:t>6.</w:t>
      </w:r>
      <w:r>
        <w:tab/>
      </w:r>
      <w:r>
        <w:t>sonstige Ausleihungen.</w:t>
      </w:r>
    </w:p>
    <w:p>
      <w:pPr>
        <w:tabs>
          <w:tab w:pos="567" w:val="left"/>
        </w:tabs>
        <w:ind w:left="567" w:hanging="567"/>
      </w:pPr>
      <w:r>
        <w:t>B.</w:t>
      </w:r>
      <w:r>
        <w:tab/>
      </w:r>
      <w:r>
        <w:t>Umlaufvermögen:</w:t>
      </w:r>
    </w:p>
    <w:p>
      <w:pPr>
        <w:tabs>
          <w:tab w:pos="1134" w:val="left"/>
        </w:tabs>
        <w:ind w:left="1134" w:hanging="567"/>
      </w:pPr>
      <w:r>
        <w:t>I.</w:t>
      </w:r>
      <w:r>
        <w:tab/>
      </w:r>
      <w:r>
        <w:t>Vorräte:</w:t>
      </w:r>
    </w:p>
    <w:p>
      <w:pPr>
        <w:tabs>
          <w:tab w:pos="1701" w:val="left"/>
        </w:tabs>
        <w:ind w:left="1701" w:hanging="567"/>
      </w:pPr>
      <w:r>
        <w:t>1.</w:t>
      </w:r>
      <w:r>
        <w:tab/>
      </w:r>
      <w:r>
        <w:t>Roh-, Hilfs- und Betriebsstoffe;</w:t>
      </w:r>
    </w:p>
    <w:p>
      <w:pPr>
        <w:tabs>
          <w:tab w:pos="1701" w:val="left"/>
        </w:tabs>
        <w:ind w:left="1701" w:hanging="567"/>
      </w:pPr>
      <w:r>
        <w:t>2.</w:t>
      </w:r>
      <w:r>
        <w:tab/>
      </w:r>
      <w:r>
        <w:t>unfertige Erzeugnisse, unfertige Leistungen;</w:t>
      </w:r>
    </w:p>
    <w:p>
      <w:pPr>
        <w:tabs>
          <w:tab w:pos="1701" w:val="left"/>
        </w:tabs>
        <w:ind w:left="1701" w:hanging="567"/>
      </w:pPr>
      <w:r>
        <w:t>3.</w:t>
      </w:r>
      <w:r>
        <w:tab/>
      </w:r>
      <w:r>
        <w:t>fertige Erzeugnisse und Waren;</w:t>
      </w:r>
    </w:p>
    <w:p>
      <w:pPr>
        <w:tabs>
          <w:tab w:pos="1701" w:val="left"/>
        </w:tabs>
        <w:ind w:left="1701" w:hanging="567"/>
      </w:pPr>
      <w:r>
        <w:t>4.</w:t>
      </w:r>
      <w:r>
        <w:tab/>
      </w:r>
      <w:r>
        <w:t>geleistete Anzahlungen;</w:t>
      </w:r>
    </w:p>
    <w:p>
      <w:pPr>
        <w:tabs>
          <w:tab w:pos="1134" w:val="left"/>
        </w:tabs>
        <w:ind w:left="1134" w:hanging="567"/>
      </w:pPr>
      <w:r>
        <w:t>II.</w:t>
      </w:r>
      <w:r>
        <w:tab/>
      </w:r>
      <w:r>
        <w:t>Forderungen und sonstige Vermögensgegenstände:</w:t>
      </w:r>
    </w:p>
    <w:p>
      <w:pPr>
        <w:tabs>
          <w:tab w:pos="1701" w:val="left"/>
        </w:tabs>
        <w:ind w:left="1701" w:hanging="567"/>
      </w:pPr>
      <w:r>
        <w:t>1.</w:t>
      </w:r>
      <w:r>
        <w:tab/>
      </w:r>
      <w:r>
        <w:t>Forderungen aus Lieferungen und Leistungen;</w:t>
      </w:r>
    </w:p>
    <w:p>
      <w:pPr>
        <w:tabs>
          <w:tab w:pos="1701" w:val="left"/>
        </w:tabs>
        <w:ind w:left="1701" w:hanging="567"/>
      </w:pPr>
      <w:r>
        <w:t>2.</w:t>
      </w:r>
      <w:r>
        <w:tab/>
      </w:r>
      <w:r>
        <w:t>Forderungen gegen verbundene Unternehmen;</w:t>
      </w:r>
    </w:p>
    <w:p>
      <w:pPr>
        <w:tabs>
          <w:tab w:pos="1701" w:val="left"/>
        </w:tabs>
        <w:ind w:left="1701" w:hanging="567"/>
      </w:pPr>
      <w:r>
        <w:t>3.</w:t>
      </w:r>
      <w:r>
        <w:tab/>
      </w:r>
      <w:r>
        <w:t>Forderungen gegen Unternehmen, mit denen ein Beteiligungsverhältnis besteht;</w:t>
      </w:r>
    </w:p>
    <w:p>
      <w:pPr>
        <w:tabs>
          <w:tab w:pos="1701" w:val="left"/>
        </w:tabs>
        <w:ind w:left="1701" w:hanging="567"/>
      </w:pPr>
      <w:r>
        <w:t>4.</w:t>
      </w:r>
      <w:r>
        <w:tab/>
      </w:r>
      <w:r>
        <w:t>sonstige Vermögensgegenstände;</w:t>
      </w:r>
    </w:p>
    <w:p>
      <w:pPr>
        <w:tabs>
          <w:tab w:pos="1134" w:val="left"/>
        </w:tabs>
        <w:ind w:left="1134" w:hanging="567"/>
      </w:pPr>
      <w:r>
        <w:t>III.</w:t>
      </w:r>
      <w:r>
        <w:tab/>
      </w:r>
      <w:r>
        <w:t>Wertpapiere:</w:t>
      </w:r>
    </w:p>
    <w:p>
      <w:pPr>
        <w:tabs>
          <w:tab w:pos="1701" w:val="left"/>
        </w:tabs>
        <w:ind w:left="1701" w:hanging="567"/>
      </w:pPr>
      <w:r>
        <w:t>1.</w:t>
      </w:r>
      <w:r>
        <w:tab/>
      </w:r>
      <w:r>
        <w:t>Anteile an verbundenen Unternehmen;</w:t>
      </w:r>
    </w:p>
    <w:p>
      <w:pPr>
        <w:tabs>
          <w:tab w:pos="1701" w:val="left"/>
        </w:tabs>
        <w:ind w:left="1701" w:hanging="567"/>
      </w:pPr>
      <w:r>
        <w:t>2.</w:t>
      </w:r>
      <w:r>
        <w:tab/>
      </w:r>
      <w:r>
        <w:t>sonstige Wertpapiere;</w:t>
      </w:r>
    </w:p>
    <w:p>
      <w:pPr>
        <w:tabs>
          <w:tab w:pos="1134" w:val="left"/>
        </w:tabs>
        <w:ind w:left="1134" w:hanging="567"/>
      </w:pPr>
      <w:r>
        <w:t>IV.</w:t>
      </w:r>
      <w:r>
        <w:tab/>
      </w:r>
      <w:r>
        <w:t>Kassenbestand, Bundesbankguthaben, Guthaben bei Kreditinstituten und Schecks.</w:t>
      </w:r>
    </w:p>
    <w:p>
      <w:pPr>
        <w:tabs>
          <w:tab w:pos="567" w:val="left"/>
        </w:tabs>
        <w:ind w:left="567" w:hanging="567"/>
      </w:pPr>
      <w:r>
        <w:t>C.</w:t>
      </w:r>
      <w:r>
        <w:tab/>
      </w:r>
      <w:r>
        <w:t>Rechnungsabgrenzungsposten.</w:t>
      </w:r>
    </w:p>
    <w:p>
      <w:pPr>
        <w:tabs>
          <w:tab w:pos="567" w:val="left"/>
        </w:tabs>
        <w:ind w:left="567" w:hanging="567"/>
      </w:pPr>
      <w:r>
        <w:t>D.</w:t>
      </w:r>
      <w:r>
        <w:tab/>
      </w:r>
      <w:r>
        <w:t>Aktive latente Steuern.</w:t>
      </w:r>
    </w:p>
    <w:p>
      <w:pPr>
        <w:tabs>
          <w:tab w:pos="567" w:val="left"/>
        </w:tabs>
        <w:ind w:left="567" w:hanging="567"/>
      </w:pPr>
      <w:r>
        <w:t>E.</w:t>
      </w:r>
      <w:r>
        <w:tab/>
      </w:r>
      <w:r>
        <w:t>Aktiver Unterschiedsbetrag aus der Vermögensverrechnung.</w:t>
      </w:r>
    </w:p>
    <w:p>
      <w:r>
        <w:t>(3) Passivseite</w:t>
      </w:r>
    </w:p>
    <w:p>
      <w:pPr>
        <w:tabs>
          <w:tab w:pos="567" w:val="left"/>
        </w:tabs>
        <w:ind w:left="567" w:hanging="567"/>
      </w:pPr>
      <w:r>
        <w:t>A.</w:t>
      </w:r>
      <w:r>
        <w:tab/>
      </w:r>
      <w:r>
        <w:t>Eigenkapital:</w:t>
      </w:r>
    </w:p>
    <w:p>
      <w:pPr>
        <w:tabs>
          <w:tab w:pos="1134" w:val="left"/>
        </w:tabs>
        <w:ind w:left="1134" w:hanging="567"/>
      </w:pPr>
      <w:r>
        <w:t>I.</w:t>
      </w:r>
      <w:r>
        <w:tab/>
      </w:r>
      <w:r>
        <w:t>Gezeichnetes Kapital;</w:t>
      </w:r>
    </w:p>
    <w:p>
      <w:pPr>
        <w:tabs>
          <w:tab w:pos="1134" w:val="left"/>
        </w:tabs>
        <w:ind w:left="1134" w:hanging="567"/>
      </w:pPr>
      <w:r>
        <w:t>II.</w:t>
      </w:r>
      <w:r>
        <w:tab/>
      </w:r>
      <w:r>
        <w:t>Kapitalrücklage;</w:t>
      </w:r>
    </w:p>
    <w:p>
      <w:pPr>
        <w:tabs>
          <w:tab w:pos="1134" w:val="left"/>
        </w:tabs>
        <w:ind w:left="1134" w:hanging="567"/>
      </w:pPr>
      <w:r>
        <w:t>III.</w:t>
      </w:r>
      <w:r>
        <w:tab/>
      </w:r>
      <w:r>
        <w:t>Gewinnrücklagen:</w:t>
      </w:r>
    </w:p>
    <w:p>
      <w:pPr>
        <w:tabs>
          <w:tab w:pos="1701" w:val="left"/>
        </w:tabs>
        <w:ind w:left="1701" w:hanging="567"/>
      </w:pPr>
      <w:r>
        <w:t>1.</w:t>
      </w:r>
      <w:r>
        <w:tab/>
      </w:r>
      <w:r>
        <w:t>gesetzliche Rücklage;</w:t>
      </w:r>
    </w:p>
    <w:p>
      <w:pPr>
        <w:tabs>
          <w:tab w:pos="1701" w:val="left"/>
        </w:tabs>
        <w:ind w:left="1701" w:hanging="567"/>
      </w:pPr>
      <w:r>
        <w:t>2.</w:t>
      </w:r>
      <w:r>
        <w:tab/>
      </w:r>
      <w:r>
        <w:t>Rücklage für Anteile an einem herrschenden oder mehrheitlich beteiligten Unternehmen;</w:t>
      </w:r>
    </w:p>
    <w:p>
      <w:pPr>
        <w:tabs>
          <w:tab w:pos="1701" w:val="left"/>
        </w:tabs>
        <w:ind w:left="1701" w:hanging="567"/>
      </w:pPr>
      <w:r>
        <w:t>3.</w:t>
      </w:r>
      <w:r>
        <w:tab/>
      </w:r>
      <w:r>
        <w:t>satzungsmäßige Rücklagen;</w:t>
      </w:r>
    </w:p>
    <w:p>
      <w:pPr>
        <w:tabs>
          <w:tab w:pos="1701" w:val="left"/>
        </w:tabs>
        <w:ind w:left="1701" w:hanging="567"/>
      </w:pPr>
      <w:r>
        <w:t>4.</w:t>
      </w:r>
      <w:r>
        <w:tab/>
      </w:r>
      <w:r>
        <w:t>andere Gewinnrücklagen;</w:t>
      </w:r>
    </w:p>
    <w:p>
      <w:pPr>
        <w:tabs>
          <w:tab w:pos="1134" w:val="left"/>
        </w:tabs>
        <w:ind w:left="1134" w:hanging="567"/>
      </w:pPr>
      <w:r>
        <w:t>IV.</w:t>
      </w:r>
      <w:r>
        <w:tab/>
      </w:r>
      <w:r>
        <w:t>Gewinnvortrag/Verlustvortrag;</w:t>
      </w:r>
    </w:p>
    <w:p>
      <w:pPr>
        <w:tabs>
          <w:tab w:pos="1134" w:val="left"/>
        </w:tabs>
        <w:ind w:left="1134" w:hanging="567"/>
      </w:pPr>
      <w:r>
        <w:t>V.</w:t>
      </w:r>
      <w:r>
        <w:tab/>
      </w:r>
      <w:r>
        <w:t>Jahresüberschuß/Jahresfehlbetrag.</w:t>
      </w:r>
    </w:p>
    <w:p>
      <w:pPr>
        <w:tabs>
          <w:tab w:pos="567" w:val="left"/>
        </w:tabs>
        <w:ind w:left="567" w:hanging="567"/>
      </w:pPr>
      <w:r>
        <w:t>B.</w:t>
      </w:r>
      <w:r>
        <w:tab/>
      </w:r>
      <w:r>
        <w:t>Rückstellungen:</w:t>
      </w:r>
    </w:p>
    <w:p>
      <w:pPr>
        <w:tabs>
          <w:tab w:pos="1134" w:val="left"/>
        </w:tabs>
        <w:ind w:left="1134" w:hanging="567"/>
      </w:pPr>
      <w:r>
        <w:t>1.</w:t>
      </w:r>
      <w:r>
        <w:tab/>
      </w:r>
      <w:r>
        <w:t>Rückstellungen für Pensionen und ähnliche Verpflichtungen;</w:t>
      </w:r>
    </w:p>
    <w:p>
      <w:pPr>
        <w:tabs>
          <w:tab w:pos="1134" w:val="left"/>
        </w:tabs>
        <w:ind w:left="1134" w:hanging="567"/>
      </w:pPr>
      <w:r>
        <w:t>2.</w:t>
      </w:r>
      <w:r>
        <w:tab/>
      </w:r>
      <w:r>
        <w:t>Steuerrückstellungen;</w:t>
      </w:r>
    </w:p>
    <w:p>
      <w:pPr>
        <w:tabs>
          <w:tab w:pos="1134" w:val="left"/>
        </w:tabs>
        <w:ind w:left="1134" w:hanging="567"/>
      </w:pPr>
      <w:r>
        <w:t>3.</w:t>
      </w:r>
      <w:r>
        <w:tab/>
      </w:r>
      <w:r>
        <w:t>sonstige Rückstellungen.</w:t>
      </w:r>
    </w:p>
    <w:p>
      <w:pPr>
        <w:tabs>
          <w:tab w:pos="567" w:val="left"/>
        </w:tabs>
        <w:ind w:left="567" w:hanging="567"/>
      </w:pPr>
      <w:r>
        <w:t>C.</w:t>
      </w:r>
      <w:r>
        <w:tab/>
      </w:r>
      <w:r>
        <w:t>Verbindlichkeiten:</w:t>
      </w:r>
    </w:p>
    <w:p>
      <w:pPr>
        <w:tabs>
          <w:tab w:pos="1134" w:val="left"/>
        </w:tabs>
        <w:ind w:left="1134" w:hanging="567"/>
      </w:pPr>
      <w:r>
        <w:t>1.</w:t>
      </w:r>
      <w:r>
        <w:tab/>
      </w:r>
      <w:r>
        <w:t>Anleihen,</w:t>
      </w:r>
    </w:p>
    <w:p>
      <w:pPr>
        <w:ind w:left="1134"/>
      </w:pPr>
      <w:r>
        <w:t>davon konvertibel;</w:t>
      </w:r>
    </w:p>
    <w:p>
      <w:pPr>
        <w:tabs>
          <w:tab w:pos="1134" w:val="left"/>
        </w:tabs>
        <w:ind w:left="1134" w:hanging="567"/>
      </w:pPr>
      <w:r>
        <w:t>2.</w:t>
      </w:r>
      <w:r>
        <w:tab/>
      </w:r>
      <w:r>
        <w:t>Verbindlichkeiten gegenüber Kreditinstituten;</w:t>
      </w:r>
    </w:p>
    <w:p>
      <w:pPr>
        <w:tabs>
          <w:tab w:pos="1134" w:val="left"/>
        </w:tabs>
        <w:ind w:left="1134" w:hanging="567"/>
      </w:pPr>
      <w:r>
        <w:t>3.</w:t>
      </w:r>
      <w:r>
        <w:tab/>
      </w:r>
      <w:r>
        <w:t>erhaltene Anzahlungen auf Bestellungen;</w:t>
      </w:r>
    </w:p>
    <w:p>
      <w:pPr>
        <w:tabs>
          <w:tab w:pos="1134" w:val="left"/>
        </w:tabs>
        <w:ind w:left="1134" w:hanging="567"/>
      </w:pPr>
      <w:r>
        <w:t>4.</w:t>
      </w:r>
      <w:r>
        <w:tab/>
      </w:r>
      <w:r>
        <w:t>Verbindlichkeiten aus Lieferungen und Leistungen;</w:t>
      </w:r>
    </w:p>
    <w:p>
      <w:pPr>
        <w:tabs>
          <w:tab w:pos="1134" w:val="left"/>
        </w:tabs>
        <w:ind w:left="1134" w:hanging="567"/>
      </w:pPr>
      <w:r>
        <w:t>5.</w:t>
      </w:r>
      <w:r>
        <w:tab/>
      </w:r>
      <w:r>
        <w:t>Verbindlichkeiten aus der Annahme gezogener Wechsel und der Ausstellung eigener Wechsel;</w:t>
      </w:r>
    </w:p>
    <w:p>
      <w:pPr>
        <w:tabs>
          <w:tab w:pos="1134" w:val="left"/>
        </w:tabs>
        <w:ind w:left="1134" w:hanging="567"/>
      </w:pPr>
      <w:r>
        <w:t>6.</w:t>
      </w:r>
      <w:r>
        <w:tab/>
      </w:r>
      <w:r>
        <w:t>Verbindlichkeiten gegenüber verbundenen Unternehmen;</w:t>
      </w:r>
    </w:p>
    <w:p>
      <w:pPr>
        <w:tabs>
          <w:tab w:pos="1134" w:val="left"/>
        </w:tabs>
        <w:ind w:left="1134" w:hanging="567"/>
      </w:pPr>
      <w:r>
        <w:t>7.</w:t>
      </w:r>
      <w:r>
        <w:tab/>
      </w:r>
      <w:r>
        <w:t>Verbindlichkeiten gegenüber Unternehmen, mit denen ein Beteiligungsverhältnis besteht;</w:t>
      </w:r>
    </w:p>
    <w:p>
      <w:pPr>
        <w:tabs>
          <w:tab w:pos="1134" w:val="left"/>
        </w:tabs>
        <w:ind w:left="1134" w:hanging="567"/>
      </w:pPr>
      <w:r>
        <w:t>8.</w:t>
      </w:r>
      <w:r>
        <w:tab/>
      </w:r>
      <w:r>
        <w:t>sonstige Verbindlichkeiten,</w:t>
      </w:r>
    </w:p>
    <w:p>
      <w:pPr>
        <w:ind w:left="1134"/>
      </w:pPr>
      <w:r>
        <w:t>davon aus Steuern,</w:t>
      </w:r>
    </w:p>
    <w:p>
      <w:pPr>
        <w:ind w:left="1134"/>
      </w:pPr>
      <w:r>
        <w:t>davon im Rahmen der sozialen Sicherheit.</w:t>
      </w:r>
    </w:p>
    <w:p>
      <w:pPr>
        <w:tabs>
          <w:tab w:pos="567" w:val="left"/>
        </w:tabs>
        <w:ind w:left="567" w:hanging="567"/>
      </w:pPr>
      <w:r>
        <w:t>D.</w:t>
      </w:r>
      <w:r>
        <w:tab/>
      </w:r>
      <w:r>
        <w:t>Rechnungsabgrenzungsposten.</w:t>
      </w:r>
    </w:p>
    <w:p>
      <w:pPr>
        <w:tabs>
          <w:tab w:pos="567" w:val="left"/>
        </w:tabs>
        <w:ind w:left="567" w:hanging="567"/>
      </w:pPr>
      <w:r>
        <w:t>E.</w:t>
      </w:r>
      <w:r>
        <w:tab/>
      </w:r>
      <w:r>
        <w:t>Passive latente Steuern.</w:t>
      </w:r>
    </w:p>
    <w:p>
      <w:pPr>
        <w:pStyle w:val="Heading5"/>
      </w:pPr>
      <w:bookmarkStart w:id="274" w:name="b273"/>
      <w:r>
        <w:t>§ 267 Umschreibung der Größenklassen</w:t>
      </w:r>
      <w:r>
        <w:t xml:space="preserve"> </w:t>
      </w:r>
      <w:r>
        <w:rPr>
          <w:rStyle w:val="Suchmarke"/>
        </w:rPr>
        <w:t>#267#</w:t>
      </w:r>
      <w:bookmarkEnd w:id="274"/>
    </w:p>
    <w:p>
      <w:r>
        <w:t>(1) Kleine Kapitalgesellschaften sind solche, die mindestens zwei der drei nachstehenden Merkmale nicht überschreiten:</w:t>
      </w:r>
    </w:p>
    <w:p>
      <w:pPr>
        <w:tabs>
          <w:tab w:pos="567" w:val="left"/>
        </w:tabs>
        <w:ind w:left="567" w:hanging="567"/>
      </w:pPr>
      <w:r>
        <w:t>1.</w:t>
      </w:r>
      <w:r>
        <w:tab/>
      </w:r>
      <w:r>
        <w:t>7 500 000 Euro Bilanzsumme.</w:t>
      </w:r>
    </w:p>
    <w:p>
      <w:pPr>
        <w:tabs>
          <w:tab w:pos="567" w:val="left"/>
        </w:tabs>
        <w:ind w:left="567" w:hanging="567"/>
      </w:pPr>
      <w:r>
        <w:t>2.</w:t>
      </w:r>
      <w:r>
        <w:tab/>
      </w:r>
      <w:r>
        <w:t>15 000 000 Euro Umsatzerlöse in den zwölf Monaten vor dem Abschlußstichtag.</w:t>
      </w:r>
    </w:p>
    <w:p>
      <w:pPr>
        <w:tabs>
          <w:tab w:pos="567" w:val="left"/>
        </w:tabs>
        <w:ind w:left="567" w:hanging="567"/>
      </w:pPr>
      <w:r>
        <w:t>3.</w:t>
      </w:r>
      <w:r>
        <w:tab/>
      </w:r>
      <w:r>
        <w:t>Im Jahresdurchschnitt fünfzig Arbeitnehmer.</w:t>
      </w:r>
    </w:p>
    <w:p>
      <w:r>
        <w:t>(2) Mittelgroße Kapitalgesellschaften sind solche, die mindestens zwei der drei in Absatz 1 bezeichneten Merkmale überschreiten und jeweils mindestens zwei der drei nachstehenden Merkmale nicht überschreiten:</w:t>
      </w:r>
    </w:p>
    <w:p>
      <w:pPr>
        <w:tabs>
          <w:tab w:pos="567" w:val="left"/>
        </w:tabs>
        <w:ind w:left="567" w:hanging="567"/>
      </w:pPr>
      <w:r>
        <w:t>1.</w:t>
      </w:r>
      <w:r>
        <w:tab/>
      </w:r>
      <w:r>
        <w:t>25 000 000 Euro Bilanzsumme.</w:t>
      </w:r>
    </w:p>
    <w:p>
      <w:pPr>
        <w:tabs>
          <w:tab w:pos="567" w:val="left"/>
        </w:tabs>
        <w:ind w:left="567" w:hanging="567"/>
      </w:pPr>
      <w:r>
        <w:t>2.</w:t>
      </w:r>
      <w:r>
        <w:tab/>
      </w:r>
      <w:r>
        <w:t>50 000 000 Euro Umsatzerlöse in den zwölf Monaten vor dem Abschlußstichtag.</w:t>
      </w:r>
    </w:p>
    <w:p>
      <w:pPr>
        <w:tabs>
          <w:tab w:pos="567" w:val="left"/>
        </w:tabs>
        <w:ind w:left="567" w:hanging="567"/>
      </w:pPr>
      <w:r>
        <w:t>3.</w:t>
      </w:r>
      <w:r>
        <w:tab/>
      </w:r>
      <w:r>
        <w:t>Im Jahresdurchschnitt zweihundertfünfzig Arbeitnehmer.</w:t>
      </w:r>
    </w:p>
    <w:p>
      <w:r>
        <w:t xml:space="preserve">(3) </w:t>
      </w:r>
      <w:r>
        <w:rPr>
          <w:rStyle w:val="Satznummer"/>
        </w:rPr>
        <w:t>1</w:t>
      </w:r>
      <w:r>
        <w:t xml:space="preserve">Große Kapitalgesellschaften sind solche, die mindestens zwei der drei in Absatz 2 bezeichneten Merkmale überschreiten. </w:t>
      </w:r>
      <w:r>
        <w:rPr>
          <w:rStyle w:val="Satznummer"/>
        </w:rPr>
        <w:t>2</w:t>
      </w:r>
      <w:r>
        <w:t xml:space="preserve">Eine Kapitalgesellschaft im Sinn des </w:t>
      </w:r>
      <w:hyperlink w:anchor="b269" w:history="1">
        <w:r>
          <w:rPr>
            <w:color w:val="0A3A8C"/>
            <w:u w:val="single"/>
          </w:rPr>
          <w:t xml:space="preserve">§ 264d</w:t>
        </w:r>
      </w:hyperlink>
      <w:r>
        <w:t xml:space="preserve"> gilt stets als große.</w:t>
      </w:r>
    </w:p>
    <w:p>
      <w:r>
        <w:t xml:space="preserve">(4) </w:t>
      </w:r>
      <w:r>
        <w:rPr>
          <w:rStyle w:val="Satznummer"/>
        </w:rPr>
        <w:t>1</w:t>
      </w:r>
      <w:r>
        <w:t xml:space="preserve">Die Rechtsfolgen der Merkmale nach den Absätzen 1 bis 3 Satz 1 treten nur ein, wenn sie an den Abschlußstichtagen von zwei aufeinanderfolgenden Geschäftsjahren über- oder unterschritten werden. </w:t>
      </w:r>
      <w:r>
        <w:rPr>
          <w:rStyle w:val="Satznummer"/>
        </w:rPr>
        <w:t>2</w:t>
      </w:r>
      <w:r>
        <w:t xml:space="preserve">Im Falle der Umwandlung oder Neugründung treten die Rechtsfolgen schon ein, wenn die Voraussetzungen des Absatzes 1, 2 oder 3 am ersten Abschlußstichtag nach der Umwandlung oder Neugründung vorliegen. </w:t>
      </w:r>
      <w:r>
        <w:rPr>
          <w:rStyle w:val="Satznummer"/>
        </w:rPr>
        <w:t>3</w:t>
      </w:r>
      <w:r>
        <w:t xml:space="preserve">Satz 2 findet im Falle des Formwechsels keine Anwendung, sofern der formwechselnde Rechtsträger eine Kapitalgesellschaft oder eine Personenhandelsgesellschaft im Sinne des </w:t>
      </w:r>
      <w:hyperlink w:anchor="b266" w:history="1">
        <w:r>
          <w:rPr>
            <w:color w:val="0A3A8C"/>
            <w:u w:val="single"/>
          </w:rPr>
          <w:t xml:space="preserve">§ 264a</w:t>
        </w:r>
      </w:hyperlink>
      <w:r>
        <w:t xml:space="preserve"> Absatz 1 ist.</w:t>
      </w:r>
    </w:p>
    <w:p>
      <w:r>
        <w:t xml:space="preserve">(4a) </w:t>
      </w:r>
      <w:r>
        <w:rPr>
          <w:rStyle w:val="Satznummer"/>
        </w:rPr>
        <w:t>1</w:t>
      </w:r>
      <w:r>
        <w:t xml:space="preserve">Die Bilanzsumme setzt sich aus den Posten zusammen, die in den Buchstaben A bis E des </w:t>
      </w:r>
      <w:hyperlink w:anchor="b272" w:history="1">
        <w:r>
          <w:rPr>
            <w:color w:val="0A3A8C"/>
            <w:u w:val="single"/>
          </w:rPr>
          <w:t xml:space="preserve">§ 266</w:t>
        </w:r>
      </w:hyperlink>
      <w:r>
        <w:t xml:space="preserve"> Absatz 2 aufgeführt sind. </w:t>
      </w:r>
      <w:r>
        <w:rPr>
          <w:rStyle w:val="Satznummer"/>
        </w:rPr>
        <w:t>2</w:t>
      </w:r>
      <w:r>
        <w:t>Ein auf der Aktivseite ausgewiesener Fehlbetrag (</w:t>
      </w:r>
      <w:hyperlink w:anchor="b275" w:history="1">
        <w:r>
          <w:rPr>
            <w:color w:val="0A3A8C"/>
            <w:u w:val="single"/>
          </w:rPr>
          <w:t xml:space="preserve">§ 268</w:t>
        </w:r>
      </w:hyperlink>
      <w:r>
        <w:t xml:space="preserve"> Absatz 3) wird nicht in die Bilanzsumme einbezogen.</w:t>
      </w:r>
    </w:p>
    <w:p>
      <w:r>
        <w:t>(5) Als durchschnittliche Zahl der Arbeitnehmer gilt der vierte Teil der Summe aus den Zahlen der jeweils am 31. März, 30. Juni, 30. September und 31. Dezember beschäftigten Arbeitnehmer einschließlich der im Ausland beschäftigten Arbeitnehmer, jedoch ohne die zu ihrer Berufsausbildung Beschäftigten.</w:t>
      </w:r>
    </w:p>
    <w:p>
      <w:r>
        <w:t>(6) Informations- und Auskunftsrechte der Arbeitnehmervertretungen nach anderen Gesetzen bleiben unberührt.</w:t>
      </w:r>
    </w:p>
    <w:p>
      <w:pPr>
        <w:pStyle w:val="Heading5"/>
      </w:pPr>
      <w:bookmarkStart w:id="275" w:name="b274"/>
      <w:r>
        <w:t>§ 267a Kleinstkapitalgesellschaften</w:t>
      </w:r>
      <w:r>
        <w:t xml:space="preserve"> </w:t>
      </w:r>
      <w:r>
        <w:rPr>
          <w:rStyle w:val="Suchmarke"/>
        </w:rPr>
        <w:t>#267a#</w:t>
      </w:r>
      <w:bookmarkEnd w:id="275"/>
    </w:p>
    <w:p>
      <w:r>
        <w:t xml:space="preserve">(1) </w:t>
      </w:r>
      <w:r>
        <w:rPr>
          <w:rStyle w:val="Satznummer"/>
        </w:rPr>
        <w:t>1</w:t>
      </w:r>
      <w:r>
        <w:t>Kleinstkapitalgesellschaften sind kleine Kapitalgesellschaften, die mindestens zwei der drei nachstehenden Merkmale nicht überschreiten:</w:t>
      </w:r>
    </w:p>
    <w:p>
      <w:pPr>
        <w:tabs>
          <w:tab w:pos="567" w:val="left"/>
        </w:tabs>
        <w:ind w:left="567" w:hanging="567"/>
      </w:pPr>
      <w:r>
        <w:t>1.</w:t>
      </w:r>
      <w:r>
        <w:tab/>
      </w:r>
      <w:r>
        <w:t>450 000 Euro Bilanzsumme;</w:t>
      </w:r>
    </w:p>
    <w:p>
      <w:pPr>
        <w:tabs>
          <w:tab w:pos="567" w:val="left"/>
        </w:tabs>
        <w:ind w:left="567" w:hanging="567"/>
      </w:pPr>
      <w:r>
        <w:t>2.</w:t>
      </w:r>
      <w:r>
        <w:tab/>
      </w:r>
      <w:r>
        <w:t>900 000 Euro Umsatzerlöse in den zwölf Monaten vor dem Abschlussstichtag;</w:t>
      </w:r>
    </w:p>
    <w:p>
      <w:pPr>
        <w:tabs>
          <w:tab w:pos="567" w:val="left"/>
        </w:tabs>
        <w:ind w:left="567" w:hanging="567"/>
      </w:pPr>
      <w:r>
        <w:t>3.</w:t>
      </w:r>
      <w:r>
        <w:tab/>
      </w:r>
      <w:r>
        <w:t>im Jahresdurchschnitt zehn Arbeitnehmer.</w:t>
      </w:r>
    </w:p>
    <w:p>
      <w:r>
        <w:rPr>
          <w:rStyle w:val="Satznummer"/>
        </w:rPr>
        <w:t>2</w:t>
      </w:r>
      <w:hyperlink w:anchor="b273" w:history="1">
        <w:r>
          <w:rPr>
            <w:color w:val="0A3A8C"/>
            <w:u w:val="single"/>
          </w:rPr>
          <w:t xml:space="preserve">§ 267</w:t>
        </w:r>
      </w:hyperlink>
      <w:r>
        <w:t xml:space="preserve"> Absatz 4 bis 6 gilt entsprechend.</w:t>
      </w:r>
    </w:p>
    <w:p>
      <w:r>
        <w:t>(2) Die in diesem Gesetz für kleine Kapitalgesellschaften (</w:t>
      </w:r>
      <w:hyperlink w:anchor="b273" w:history="1">
        <w:r>
          <w:rPr>
            <w:color w:val="0A3A8C"/>
            <w:u w:val="single"/>
          </w:rPr>
          <w:t xml:space="preserve">§ 267</w:t>
        </w:r>
      </w:hyperlink>
      <w:r>
        <w:t xml:space="preserve"> Absatz 1) vorgesehenen besonderen Regelungen gelten für Kleinstkapitalgesellschaften entsprechend, soweit nichts anderes geregelt ist.</w:t>
      </w:r>
    </w:p>
    <w:p>
      <w:r>
        <w:t>(3) Keine Kleinstkapitalgesellschaften sind:</w:t>
      </w:r>
    </w:p>
    <w:p>
      <w:pPr>
        <w:tabs>
          <w:tab w:pos="567" w:val="left"/>
        </w:tabs>
        <w:ind w:left="567" w:hanging="567"/>
      </w:pPr>
      <w:r>
        <w:t>1.</w:t>
      </w:r>
      <w:r>
        <w:tab/>
      </w:r>
      <w:r>
        <w:t>Investmentgesellschaften im Sinne des § 1 Absatz 11 des Kapitalanlagegesetzbuchs,</w:t>
      </w:r>
    </w:p>
    <w:p>
      <w:pPr>
        <w:tabs>
          <w:tab w:pos="567" w:val="left"/>
        </w:tabs>
        <w:ind w:left="567" w:hanging="567"/>
      </w:pPr>
      <w:r>
        <w:t>2.</w:t>
      </w:r>
      <w:r>
        <w:tab/>
      </w:r>
      <w:r>
        <w:t>Unternehmensbeteiligungsgesellschaften im Sinne des § 1a Absatz 1 des Gesetzes über Unternehmensbeteiligungsgesellschaften oder</w:t>
      </w:r>
    </w:p>
    <w:p>
      <w:pPr>
        <w:tabs>
          <w:tab w:pos="567" w:val="left"/>
        </w:tabs>
        <w:ind w:left="567" w:hanging="567"/>
      </w:pPr>
      <w:r>
        <w:t>3.</w:t>
      </w:r>
      <w:r>
        <w:tab/>
      </w:r>
      <w:r>
        <w:t>Unternehmen, deren einziger Zweck darin besteht, Beteiligungen an anderen Unternehmen zu erwerben sowie die Verwaltung und Verwertung dieser Beteiligungen wahrzunehmen, ohne dass sie unmittelbar oder mittelbar in die Verwaltung dieser Unternehmen eingreifen, wobei die Ausübung der ihnen als Aktionär oder Gesellschafter zustehenden Rechte außer Betracht bleibt.</w:t>
      </w:r>
    </w:p>
    <w:p>
      <w:pPr>
        <w:pStyle w:val="Heading5"/>
      </w:pPr>
      <w:bookmarkStart w:id="276" w:name="b275"/>
      <w:r>
        <w:t>§ 268 Vorschriften zu einzelnen Posten der BilanzBilanzvermerke</w:t>
      </w:r>
      <w:r>
        <w:t xml:space="preserve"> </w:t>
      </w:r>
      <w:r>
        <w:rPr>
          <w:rStyle w:val="Suchmarke"/>
        </w:rPr>
        <w:t>#268#</w:t>
      </w:r>
      <w:bookmarkEnd w:id="276"/>
    </w:p>
    <w:p>
      <w:r>
        <w:t xml:space="preserve">(1) </w:t>
      </w:r>
      <w:r>
        <w:rPr>
          <w:rStyle w:val="Satznummer"/>
        </w:rPr>
        <w:t>1</w:t>
      </w:r>
      <w:r>
        <w:t xml:space="preserve">Die Bilanz darf auch unter Berücksichtigung der vollständigen oder teilweisen Verwendung des Jahresergebnisses aufgestellt werden. </w:t>
      </w:r>
      <w:r>
        <w:rPr>
          <w:rStyle w:val="Satznummer"/>
        </w:rPr>
        <w:t>2</w:t>
      </w:r>
      <w:r>
        <w:t xml:space="preserve">Wird die Bilanz unter Berücksichtigung der teilweisen Verwendung des Jahresergebnisses aufgestellt, so tritt an die Stelle der Posten "Jahresüberschuß/Jahresfehlbetrag" und "Gewinnvortrag/Verlustvortrag" der Posten "Bilanzgewinn/Bilanzverlust"; ein vorhandener Gewinn- oder Verlustvortrag ist in den Posten "Bilanzgewinn/Bilanzverlust" einzubeziehen und in der Bilanz gesondert anzugeben. </w:t>
      </w:r>
      <w:r>
        <w:rPr>
          <w:rStyle w:val="Satznummer"/>
        </w:rPr>
        <w:t>3</w:t>
      </w:r>
      <w:r>
        <w:t>Die Angabe kann auch im Anhang gemacht werden.</w:t>
      </w:r>
    </w:p>
    <w:p>
      <w:r>
        <w:t>(2) (weggefallen)</w:t>
      </w:r>
    </w:p>
    <w:p>
      <w:r>
        <w:t>(3) Ist das Eigenkapital durch Verluste aufgebraucht und ergibt sich ein Überschuß der Passivposten über die Aktivposten, so ist dieser Betrag am Schluß der Bilanz auf der Aktivseite gesondert unter der Bezeichnung "Nicht durch Eigenkapital gedeckter Fehlbetrag" auszuweisen.</w:t>
      </w:r>
    </w:p>
    <w:p>
      <w:r>
        <w:t xml:space="preserve">(4) </w:t>
      </w:r>
      <w:r>
        <w:rPr>
          <w:rStyle w:val="Satznummer"/>
        </w:rPr>
        <w:t>1</w:t>
      </w:r>
      <w:r>
        <w:t xml:space="preserve">Der Betrag der Forderungen mit einer Restlaufzeit von mehr als einem Jahr ist bei jedem gesondert ausgewiesenen Posten zu vermerken. </w:t>
      </w:r>
      <w:r>
        <w:rPr>
          <w:rStyle w:val="Satznummer"/>
        </w:rPr>
        <w:t>2</w:t>
      </w:r>
      <w:r>
        <w:t>Werden unter dem Posten "sonstige Vermögensgegenstände" Beträge für Vermögensgegenstände ausgewiesen, die erst nach dem Abschlußstichtag rechtlich entstehen, so müssen Beträge, die einen größeren Umfang haben, im Anhang erläutert werden.</w:t>
      </w:r>
    </w:p>
    <w:p>
      <w:r>
        <w:t xml:space="preserve">(5) </w:t>
      </w:r>
      <w:r>
        <w:rPr>
          <w:rStyle w:val="Satznummer"/>
        </w:rPr>
        <w:t>1</w:t>
      </w:r>
      <w:r>
        <w:t xml:space="preserve">Der Betrag der Verbindlichkeiten mit einer Restlaufzeit bis zu einem Jahr und der Betrag der Verbindlichkeiten mit einer Restlaufzeit von mehr als einem Jahr sind bei jedem gesondert ausgewiesenen Posten zu vermerken. </w:t>
      </w:r>
      <w:r>
        <w:rPr>
          <w:rStyle w:val="Satznummer"/>
        </w:rPr>
        <w:t>2</w:t>
      </w:r>
      <w:r>
        <w:t xml:space="preserve">Erhaltene Anzahlungen auf Bestellungen sind, soweit Anzahlungen auf Vorräte nicht von dem Posten "Vorräte" offen abgesetzt werden, unter den Verbindlichkeiten gesondert auszuweisen. </w:t>
      </w:r>
      <w:r>
        <w:rPr>
          <w:rStyle w:val="Satznummer"/>
        </w:rPr>
        <w:t>3</w:t>
      </w:r>
      <w:r>
        <w:t>Sind unter dem Posten "Verbindlichkeiten" Beträge für Verbindlichkeiten ausgewiesen, die erst nach dem Abschlußstichtag rechtlich entstehen, so müssen Beträge, die einen größeren Umfang haben, im Anhang erläutert werden.</w:t>
      </w:r>
    </w:p>
    <w:p>
      <w:r>
        <w:t>(6) Ein nach § 250 Abs. 3 in den Rechnungsabgrenzungsposten auf der Aktivseite aufgenommener Unterschiedsbetrag ist in der Bilanz gesondert auszuweisen oder im Anhang anzugeben.</w:t>
      </w:r>
    </w:p>
    <w:p>
      <w:r>
        <w:t xml:space="preserve">(7) Für die in </w:t>
      </w:r>
      <w:hyperlink w:anchor="b245" w:history="1">
        <w:r>
          <w:rPr>
            <w:color w:val="0A3A8C"/>
            <w:u w:val="single"/>
          </w:rPr>
          <w:t xml:space="preserve">§ 251</w:t>
        </w:r>
      </w:hyperlink>
      <w:r>
        <w:t xml:space="preserve"> bezeichneten Haftungsverhältnisse sind</w:t>
      </w:r>
    </w:p>
    <w:p>
      <w:pPr>
        <w:tabs>
          <w:tab w:pos="567" w:val="left"/>
        </w:tabs>
        <w:ind w:left="567" w:hanging="567"/>
      </w:pPr>
      <w:r>
        <w:t>1.</w:t>
      </w:r>
      <w:r>
        <w:tab/>
      </w:r>
      <w:r>
        <w:t>die Angaben zu nicht auf der Passivseite auszuweisenden Verbindlichkeiten und Haftungsverhältnissen im Anhang zu machen,</w:t>
      </w:r>
    </w:p>
    <w:p>
      <w:pPr>
        <w:tabs>
          <w:tab w:pos="567" w:val="left"/>
        </w:tabs>
        <w:ind w:left="567" w:hanging="567"/>
      </w:pPr>
      <w:r>
        <w:t>2.</w:t>
      </w:r>
      <w:r>
        <w:tab/>
      </w:r>
      <w:r>
        <w:t>dabei die Haftungsverhältnisse jeweils gesondert unter Angabe der gewährten Pfandrechte und sonstigen Sicherheiten anzugeben und</w:t>
      </w:r>
    </w:p>
    <w:p>
      <w:pPr>
        <w:tabs>
          <w:tab w:pos="567" w:val="left"/>
        </w:tabs>
        <w:ind w:left="567" w:hanging="567"/>
      </w:pPr>
      <w:r>
        <w:t>3.</w:t>
      </w:r>
      <w:r>
        <w:tab/>
      </w:r>
      <w:r>
        <w:t>dabei Verpflichtungen betreffend die Altersversorgung und Verpflichtungen gegenüber verbundenen oder assoziierten Unternehmen jeweils gesondert zu vermerken.</w:t>
      </w:r>
    </w:p>
    <w:p>
      <w:r>
        <w:t xml:space="preserve">(8) </w:t>
      </w:r>
      <w:r>
        <w:rPr>
          <w:rStyle w:val="Satznummer"/>
        </w:rPr>
        <w:t>1</w:t>
      </w:r>
      <w:r>
        <w:t xml:space="preserve">Werden selbst geschaffene immaterielle Vermögensgegenstände des Anlagevermögens in der Bilanz ausgewiesen, so dürfen Gewinne nur ausgeschüttet werden, wenn die nach der Ausschüttung verbleibenden frei verfügbaren Rücklagen zuzüglich eines Gewinnvortrags und abzüglich eines Verlustvortrags mindestens den insgesamt angesetzten Beträgen abzüglich der hierfür gebildeten passiven latenten Steuern entsprechen. </w:t>
      </w:r>
      <w:r>
        <w:rPr>
          <w:rStyle w:val="Satznummer"/>
        </w:rPr>
        <w:t>2</w:t>
      </w:r>
      <w:r>
        <w:t xml:space="preserve">Werden aktive latente Steuern in der Bilanz ausgewiesen, ist Satz 1 auf den Betrag anzuwenden, um den die aktiven latenten Steuern die passiven latenten Steuern übersteigen. </w:t>
      </w:r>
      <w:r>
        <w:rPr>
          <w:rStyle w:val="Satznummer"/>
        </w:rPr>
        <w:t>3</w:t>
      </w:r>
      <w:r>
        <w:t xml:space="preserve">Bei Vermögensgegenständen im Sinn des </w:t>
      </w:r>
      <w:hyperlink w:anchor="b240" w:history="1">
        <w:r>
          <w:rPr>
            <w:color w:val="0A3A8C"/>
            <w:u w:val="single"/>
          </w:rPr>
          <w:t xml:space="preserve">§ 246</w:t>
        </w:r>
      </w:hyperlink>
      <w:r>
        <w:t xml:space="preserve"> Abs. 2 Satz 2 ist Satz 1 auf den Betrag abzüglich der hierfür gebildeten passiven latenten Steuern anzuwenden, der die Anschaffungskosten übersteigt.</w:t>
      </w:r>
    </w:p>
    <w:p>
      <w:pPr>
        <w:pStyle w:val="Heading5"/>
      </w:pPr>
      <w:bookmarkStart w:id="277" w:name="b276"/>
      <w:r>
        <w:t>§ 269 (weggefallen)</w:t>
      </w:r>
      <w:r>
        <w:t xml:space="preserve"> </w:t>
      </w:r>
      <w:r>
        <w:rPr>
          <w:rStyle w:val="Suchmarke"/>
        </w:rPr>
        <w:t>#269#</w:t>
      </w:r>
      <w:bookmarkEnd w:id="277"/>
    </w:p>
    <w:p>
      <w:pPr>
        <w:pStyle w:val="Heading5"/>
      </w:pPr>
      <w:bookmarkStart w:id="278" w:name="b277"/>
      <w:r>
        <w:t>§ 270 Bildung bestimmter Posten</w:t>
      </w:r>
      <w:r>
        <w:t xml:space="preserve"> </w:t>
      </w:r>
      <w:r>
        <w:rPr>
          <w:rStyle w:val="Suchmarke"/>
        </w:rPr>
        <w:t>#270#</w:t>
      </w:r>
      <w:bookmarkEnd w:id="278"/>
    </w:p>
    <w:p>
      <w:r>
        <w:t>(1) Einstellungen in die Kapitalrücklage und deren Auflösung sind bereits bei der Aufstellung der Bilanz vorzunehmen.</w:t>
      </w:r>
    </w:p>
    <w:p>
      <w:r>
        <w:t>(2) Wird die Bilanz unter Berücksichtigung der vollständigen oder teilweisen Verwendung des Jahresergebnisses aufgestellt, so sind Entnahmen aus Gewinnrücklagen sowie Einstellungen in Gewinnrücklagen, die nach Gesetz, Gesellschaftsvertrag oder Satzung vorzunehmen sind oder auf Grund solcher Vorschriften beschlossen worden sind, bereits bei der Aufstellung der Bilanz zu berücksichtigen.</w:t>
      </w:r>
    </w:p>
    <w:p>
      <w:pPr>
        <w:pStyle w:val="Heading5"/>
      </w:pPr>
      <w:bookmarkStart w:id="279" w:name="b278"/>
      <w:r>
        <w:t>§ 271 Beteiligungen. Verbundene Unternehmen</w:t>
      </w:r>
      <w:r>
        <w:t xml:space="preserve"> </w:t>
      </w:r>
      <w:r>
        <w:rPr>
          <w:rStyle w:val="Suchmarke"/>
        </w:rPr>
        <w:t>#271#</w:t>
      </w:r>
      <w:bookmarkEnd w:id="279"/>
    </w:p>
    <w:p>
      <w:r>
        <w:t xml:space="preserve">(1) </w:t>
      </w:r>
      <w:r>
        <w:rPr>
          <w:rStyle w:val="Satznummer"/>
        </w:rPr>
        <w:t>1</w:t>
      </w:r>
      <w:r>
        <w:t xml:space="preserve">Beteiligungen sind Anteile an anderen Unternehmen, die bestimmt sind, dem eigenen Geschäftsbetrieb durch Herstellung einer dauernden Verbindung zu jenen Unternehmen zu dienen. </w:t>
      </w:r>
      <w:r>
        <w:rPr>
          <w:rStyle w:val="Satznummer"/>
        </w:rPr>
        <w:t>2</w:t>
      </w:r>
      <w:r>
        <w:t xml:space="preserve">Dabei ist es unerheblich, ob die Anteile in Wertpapieren verbrieft sind oder nicht. </w:t>
      </w:r>
      <w:r>
        <w:rPr>
          <w:rStyle w:val="Satznummer"/>
        </w:rPr>
        <w:t>3</w:t>
      </w:r>
      <w:r>
        <w:t xml:space="preserve">Eine Beteiligung wird vermutet, wenn die Anteile an einem Unternehmen insgesamt den fünften Teil des Nennkapitals dieses Unternehmens oder, falls ein Nennkapital nicht vorhanden ist, den fünften Teil der Summe aller Kapitalanteile an diesem Unternehmen überschreiten. </w:t>
      </w:r>
      <w:r>
        <w:rPr>
          <w:rStyle w:val="Satznummer"/>
        </w:rPr>
        <w:t>4</w:t>
      </w:r>
      <w:r>
        <w:t xml:space="preserve">Auf die Berechnung ist § 16 Abs. 2 und 4 des Aktiengesetzes entsprechend anzuwenden. </w:t>
      </w:r>
      <w:r>
        <w:rPr>
          <w:rStyle w:val="Satznummer"/>
        </w:rPr>
        <w:t>5</w:t>
      </w:r>
      <w:r>
        <w:t>Die Mitgliedschaft in einer eingetragenen Genossenschaft gilt nicht als Beteiligung im Sinne dieses Buches.</w:t>
      </w:r>
    </w:p>
    <w:p>
      <w:r>
        <w:t xml:space="preserve">(2) Verbundene Unternehmen im Sinne dieses Buches sind unabhängig von ihrer Rechtsform und ihrem Sitz solche, die im Verhältnis zueinander Mutterunternehmen und Tochterunternehmen gemäß </w:t>
      </w:r>
      <w:hyperlink w:anchor="b306" w:history="1">
        <w:r>
          <w:rPr>
            <w:color w:val="0A3A8C"/>
            <w:u w:val="single"/>
          </w:rPr>
          <w:t xml:space="preserve">§ 290</w:t>
        </w:r>
      </w:hyperlink>
      <w:r>
        <w:t xml:space="preserve"> Absatz 1 Satz 1 und Absatz 2 bis 4 sind; alle mit demselben Mutterunternehmen verbundenen Tochterunternehmen sind auch untereinander verbundene Unternehmen.</w:t>
      </w:r>
    </w:p>
    <w:p>
      <w:pPr>
        <w:pStyle w:val="Heading5"/>
      </w:pPr>
      <w:bookmarkStart w:id="280" w:name="b279"/>
      <w:r>
        <w:t>§ 272 Eigenkapital</w:t>
      </w:r>
      <w:r>
        <w:t xml:space="preserve"> </w:t>
      </w:r>
      <w:r>
        <w:rPr>
          <w:rStyle w:val="Suchmarke"/>
        </w:rPr>
        <w:t>#272#</w:t>
      </w:r>
      <w:bookmarkEnd w:id="280"/>
    </w:p>
    <w:p>
      <w:r>
        <w:t xml:space="preserve">(1) </w:t>
      </w:r>
      <w:r>
        <w:rPr>
          <w:rStyle w:val="Satznummer"/>
        </w:rPr>
        <w:t>1</w:t>
      </w:r>
      <w:r>
        <w:t xml:space="preserve">Gezeichnetes Kapital ist mit dem Nennbetrag anzusetzen. </w:t>
      </w:r>
      <w:r>
        <w:rPr>
          <w:rStyle w:val="Satznummer"/>
        </w:rPr>
        <w:t>2</w:t>
      </w:r>
      <w:r>
        <w:t>Die nicht eingeforderten ausstehenden Einlagen auf das gezeichnete Kapital sind von dem Posten „Gezeichnetes Kapital“ offen abzusetzen; der verbleibende Betrag ist als Posten „Eingefordertes Kapital“ in der Hauptspalte der Passivseite auszuweisen; der eingeforderte, aber noch nicht eingezahlte Betrag ist unter den Forderungen gesondert auszuweisen und entsprechend zu bezeichnen.</w:t>
      </w:r>
    </w:p>
    <w:p>
      <w:r>
        <w:t xml:space="preserve">(1a) </w:t>
      </w:r>
      <w:r>
        <w:rPr>
          <w:rStyle w:val="Satznummer"/>
        </w:rPr>
        <w:t>1</w:t>
      </w:r>
      <w:r>
        <w:t xml:space="preserve">Der Nennbetrag oder, falls ein solcher nicht vorhanden ist, der rechnerische Wert von erworbenen eigenen Anteilen ist in der Vorspalte offen von dem Posten „Gezeichnetes Kapital“ abzusetzen. </w:t>
      </w:r>
      <w:r>
        <w:rPr>
          <w:rStyle w:val="Satznummer"/>
        </w:rPr>
        <w:t>2</w:t>
      </w:r>
      <w:r>
        <w:t xml:space="preserve">Der Unterschiedsbetrag zwischen dem Nennbetrag oder dem rechnerischen Wert und den Anschaffungskosten der eigenen Anteile ist mit den frei verfügbaren Rücklagen zu verrechnen. </w:t>
      </w:r>
      <w:r>
        <w:rPr>
          <w:rStyle w:val="Satznummer"/>
        </w:rPr>
        <w:t>3</w:t>
      </w:r>
      <w:r>
        <w:t>Aufwendungen, die Anschaffungsnebenkosten sind, sind Aufwand des Geschäftsjahrs.</w:t>
      </w:r>
    </w:p>
    <w:p>
      <w:r>
        <w:t xml:space="preserve">(1b) </w:t>
      </w:r>
      <w:r>
        <w:rPr>
          <w:rStyle w:val="Satznummer"/>
        </w:rPr>
        <w:t>1</w:t>
      </w:r>
      <w:r>
        <w:t xml:space="preserve">Nach der Veräußerung der eigenen Anteile entfällt der Ausweis nach Absatz 1a Satz 1. </w:t>
      </w:r>
      <w:r>
        <w:rPr>
          <w:rStyle w:val="Satznummer"/>
        </w:rPr>
        <w:t>2</w:t>
      </w:r>
      <w:r>
        <w:t xml:space="preserve">Ein den Nennbetrag oder den rechnerischen Wert übersteigender Differenzbetrag aus dem Veräußerungserlös ist bis zur Höhe des mit den frei verfügbaren Rücklagen verrechneten Betrages in die jeweiligen Rücklagen einzustellen. </w:t>
      </w:r>
      <w:r>
        <w:rPr>
          <w:rStyle w:val="Satznummer"/>
        </w:rPr>
        <w:t>3</w:t>
      </w:r>
      <w:r>
        <w:t xml:space="preserve">Ein darüber hinausgehender Differenzbetrag ist in die Kapitalrücklage gemäß Absatz 2 Nr. 1 einzustellen. </w:t>
      </w:r>
      <w:r>
        <w:rPr>
          <w:rStyle w:val="Satznummer"/>
        </w:rPr>
        <w:t>4</w:t>
      </w:r>
      <w:r>
        <w:t>Die Nebenkosten der Veräußerung sind Aufwand des Geschäftsjahrs.</w:t>
      </w:r>
    </w:p>
    <w:p>
      <w:r>
        <w:t>(2) Als Kapitalrücklage sind auszuweisen</w:t>
      </w:r>
    </w:p>
    <w:p>
      <w:pPr>
        <w:tabs>
          <w:tab w:pos="567" w:val="left"/>
        </w:tabs>
        <w:ind w:left="567" w:hanging="567"/>
      </w:pPr>
      <w:r>
        <w:t>1.</w:t>
      </w:r>
      <w:r>
        <w:tab/>
      </w:r>
      <w:r>
        <w:t>der Betrag, der bei der Ausgabe von Anteilen einschließlich von Bezugsanteilen über den Nennbetrag oder, falls ein Nennbetrag nicht vorhanden ist, über den rechnerischen Wert hinaus erzielt wird;</w:t>
      </w:r>
    </w:p>
    <w:p>
      <w:pPr>
        <w:tabs>
          <w:tab w:pos="567" w:val="left"/>
        </w:tabs>
        <w:ind w:left="567" w:hanging="567"/>
      </w:pPr>
      <w:r>
        <w:t>2.</w:t>
      </w:r>
      <w:r>
        <w:tab/>
      </w:r>
      <w:r>
        <w:t>der Betrag, der bei der Ausgabe von Schuldverschreibungen für Wandlungsrechte und Optionsrechte zum Erwerb von Anteilen erzielt wird;</w:t>
      </w:r>
    </w:p>
    <w:p>
      <w:pPr>
        <w:tabs>
          <w:tab w:pos="567" w:val="left"/>
        </w:tabs>
        <w:ind w:left="567" w:hanging="567"/>
      </w:pPr>
      <w:r>
        <w:t>3.</w:t>
      </w:r>
      <w:r>
        <w:tab/>
      </w:r>
      <w:r>
        <w:t>der Betrag von Zuzahlungen, die Gesellschafter gegen Gewährung eines Vorzugs für ihre Anteile leisten;</w:t>
      </w:r>
    </w:p>
    <w:p>
      <w:pPr>
        <w:tabs>
          <w:tab w:pos="567" w:val="left"/>
        </w:tabs>
        <w:ind w:left="567" w:hanging="567"/>
      </w:pPr>
      <w:r>
        <w:t>4.</w:t>
      </w:r>
      <w:r>
        <w:tab/>
      </w:r>
      <w:r>
        <w:t>der Betrag von anderen Zuzahlungen, die Gesellschafter in das Eigenkapital leisten.</w:t>
      </w:r>
    </w:p>
    <w:p>
      <w:r>
        <w:t xml:space="preserve">(3) </w:t>
      </w:r>
      <w:r>
        <w:rPr>
          <w:rStyle w:val="Satznummer"/>
        </w:rPr>
        <w:t>1</w:t>
      </w:r>
      <w:r>
        <w:t xml:space="preserve">Als Gewinnrücklagen dürfen nur Beträge ausgewiesen werden, die im Geschäftsjahr oder in einem früheren Geschäftsjahr aus dem Ergebnis gebildet worden sind. </w:t>
      </w:r>
      <w:r>
        <w:rPr>
          <w:rStyle w:val="Satznummer"/>
        </w:rPr>
        <w:t>2</w:t>
      </w:r>
      <w:r>
        <w:t>Dazu gehören aus dem Ergebnis zu bildende gesetzliche oder auf Gesellschaftsvertrag oder Satzung beruhende Rücklagen und andere Gewinnrücklagen.</w:t>
      </w:r>
    </w:p>
    <w:p>
      <w:r>
        <w:t xml:space="preserve">(4) </w:t>
      </w:r>
      <w:r>
        <w:rPr>
          <w:rStyle w:val="Satznummer"/>
        </w:rPr>
        <w:t>1</w:t>
      </w:r>
      <w:r>
        <w:t xml:space="preserve">Für Anteile an einem herrschenden oder mit Mehrheit beteiligten Unternehmen ist eine Rücklage zu bilden. </w:t>
      </w:r>
      <w:r>
        <w:rPr>
          <w:rStyle w:val="Satznummer"/>
        </w:rPr>
        <w:t>2</w:t>
      </w:r>
      <w:r>
        <w:t xml:space="preserve">In die Rücklage ist ein Betrag einzustellen, der dem auf der Aktivseite der Bilanz für die Anteile an dem herrschenden oder mit Mehrheit beteiligten Unternehmen angesetzten Betrag entspricht. </w:t>
      </w:r>
      <w:r>
        <w:rPr>
          <w:rStyle w:val="Satznummer"/>
        </w:rPr>
        <w:t>3</w:t>
      </w:r>
      <w:r>
        <w:t xml:space="preserve">Die Rücklage, die bereits bei der Aufstellung der Bilanz zu bilden ist, darf aus vorhandenen frei verfügbaren Rücklagen gebildet werden. </w:t>
      </w:r>
      <w:r>
        <w:rPr>
          <w:rStyle w:val="Satznummer"/>
        </w:rPr>
        <w:t>4</w:t>
      </w:r>
      <w:r>
        <w:t>Die Rücklage ist aufzulösen, soweit die Anteile an dem herrschenden oder mit Mehrheit beteiligten Unternehmen veräußert, ausgegeben oder eingezogen werden oder auf der Aktivseite ein niedrigerer Betrag angesetzt wird.</w:t>
      </w:r>
    </w:p>
    <w:p>
      <w:r>
        <w:t xml:space="preserve">(5) </w:t>
      </w:r>
      <w:r>
        <w:rPr>
          <w:rStyle w:val="Satznummer"/>
        </w:rPr>
        <w:t>1</w:t>
      </w:r>
      <w:r>
        <w:t xml:space="preserve">Übersteigt der auf eine Beteiligung entfallende Teil des Jahresüberschusses in der Gewinn- und Verlustrechnung die Beträge, die als Dividende oder Gewinnanteil eingegangen sind oder auf deren Zahlung die Kapitalgesellschaft einen Anspruch hat, ist der Unterschiedsbetrag in eine Rücklage einzustellen, die nicht ausgeschüttet werden darf. </w:t>
      </w:r>
      <w:r>
        <w:rPr>
          <w:rStyle w:val="Satznummer"/>
        </w:rPr>
        <w:t>2</w:t>
      </w:r>
      <w:r>
        <w:t>Die Rücklage ist aufzulösen, soweit die Kapitalgesellschaft die Beträge vereinnahmt oder einen Anspruch auf ihre Zahlung erwirbt.</w:t>
      </w:r>
    </w:p>
    <w:p>
      <w:pPr>
        <w:pStyle w:val="Heading5"/>
      </w:pPr>
      <w:bookmarkStart w:id="281" w:name="b280"/>
      <w:r>
        <w:t>§ 273 (weggefallen)</w:t>
      </w:r>
      <w:r>
        <w:t xml:space="preserve"> </w:t>
      </w:r>
      <w:r>
        <w:rPr>
          <w:rStyle w:val="Suchmarke"/>
        </w:rPr>
        <w:t>#273#</w:t>
      </w:r>
      <w:bookmarkEnd w:id="281"/>
    </w:p>
    <w:p>
      <w:pPr>
        <w:pStyle w:val="Heading5"/>
      </w:pPr>
      <w:bookmarkStart w:id="282" w:name="b281"/>
      <w:r>
        <w:t>§ 274 Latente Steuern</w:t>
      </w:r>
      <w:r>
        <w:t xml:space="preserve"> </w:t>
      </w:r>
      <w:r>
        <w:rPr>
          <w:rStyle w:val="Suchmarke"/>
        </w:rPr>
        <w:t>#274#</w:t>
      </w:r>
      <w:bookmarkEnd w:id="282"/>
    </w:p>
    <w:p>
      <w:r>
        <w:t xml:space="preserve">(1) </w:t>
      </w:r>
      <w:r>
        <w:rPr>
          <w:rStyle w:val="Satznummer"/>
        </w:rPr>
        <w:t>1</w:t>
      </w:r>
      <w:r>
        <w:t xml:space="preserve">Bestehen zwischen den handelsrechtlichen Wertansätzen von Vermögensgegenständen, Schulden und Rechnungsabgrenzungsposten und ihren steuerlichen Wertansätzen Differenzen, die sich in späteren Geschäftsjahren voraussichtlich abbauen, so ist eine sich daraus insgesamt ergebende Steuerbelastung als passive latente Steuern (§ 266 Abs. 3 E.) in der Bilanz anzusetzen. </w:t>
      </w:r>
      <w:r>
        <w:rPr>
          <w:rStyle w:val="Satznummer"/>
        </w:rPr>
        <w:t>2</w:t>
      </w:r>
      <w:r>
        <w:t xml:space="preserve">Eine sich daraus insgesamt ergebende Steuerentlastung kann als aktive latente Steuern (§ 266 Abs. 2 D.) in der Bilanz angesetzt werden. </w:t>
      </w:r>
      <w:r>
        <w:rPr>
          <w:rStyle w:val="Satznummer"/>
        </w:rPr>
        <w:t>3</w:t>
      </w:r>
      <w:r>
        <w:t xml:space="preserve">Die sich ergebende Steuerbe- und die sich ergebende Steuerentlastung können auch unverrechnet angesetzt werden. </w:t>
      </w:r>
      <w:r>
        <w:rPr>
          <w:rStyle w:val="Satznummer"/>
        </w:rPr>
        <w:t>4</w:t>
      </w:r>
      <w:r>
        <w:t>Steuerliche Verlustvorträge sind bei der Berechnung aktiver latenter Steuern in Höhe der innerhalb der nächsten fünf Jahre zu erwartenden Verlustverrechnung zu berücksichtigen.</w:t>
      </w:r>
    </w:p>
    <w:p>
      <w:r>
        <w:t xml:space="preserve">(2) </w:t>
      </w:r>
      <w:r>
        <w:rPr>
          <w:rStyle w:val="Satznummer"/>
        </w:rPr>
        <w:t>1</w:t>
      </w:r>
      <w:r>
        <w:t xml:space="preserve">Die Beträge der sich ergebenden Steuerbe- und -entlastung sind mit den unternehmensindividuellen Steuersätzen im Zeitpunkt des Abbaus der Differenzen zu bewerten und nicht abzuzinsen. </w:t>
      </w:r>
      <w:r>
        <w:rPr>
          <w:rStyle w:val="Satznummer"/>
        </w:rPr>
        <w:t>2</w:t>
      </w:r>
      <w:r>
        <w:t xml:space="preserve">Die ausgewiesenen Posten sind aufzulösen, sobald die Steuerbe- oder -entlastung eintritt oder mit ihr nicht mehr zu rechnen ist. </w:t>
      </w:r>
      <w:r>
        <w:rPr>
          <w:rStyle w:val="Satznummer"/>
        </w:rPr>
        <w:t>3</w:t>
      </w:r>
      <w:r>
        <w:t>Der Aufwand oder Ertrag aus der Veränderung bilanzierter latenter Steuern ist in der Gewinn- und Verlustrechnung gesondert unter dem Posten „Steuern vom Einkommen und vom Ertrag“ auszuweisen.</w:t>
      </w:r>
    </w:p>
    <w:p>
      <w:r>
        <w:t>(3) Bei dem Ansatz und der Bewertung latenter Steuern sind Differenzen aus der Anwendung folgender Gesetze nicht zu berücksichtigen:</w:t>
      </w:r>
    </w:p>
    <w:p>
      <w:pPr>
        <w:tabs>
          <w:tab w:pos="567" w:val="left"/>
        </w:tabs>
        <w:ind w:left="567" w:hanging="567"/>
      </w:pPr>
      <w:r>
        <w:t>1.</w:t>
      </w:r>
      <w:r>
        <w:tab/>
      </w:r>
      <w:r>
        <w:t>des Mindeststeuergesetzes und</w:t>
      </w:r>
    </w:p>
    <w:p>
      <w:pPr>
        <w:tabs>
          <w:tab w:pos="567" w:val="left"/>
        </w:tabs>
        <w:ind w:left="567" w:hanging="567"/>
      </w:pPr>
      <w:r>
        <w:t>2.</w:t>
      </w:r>
      <w:r>
        <w:tab/>
      </w:r>
      <w:r>
        <w:t>eines ausländischen Mindeststeuergesetzes, das der Umsetzung der Richtlinie (EU) 2022/2523 des Rates vom 15. Dezember 2022 zur Gewährleistung einer globalen Mindestbesteuerung für multinationale Unternehmensgruppen und große inländische Gruppen in der Union (ABl. L 328 vom 22.12.2022, S. 1; L 13 vom 16.1.2023, S. 9) oder der dieser Richtlinie zugrundeliegenden Mustervorschriften der Organisation für wirtschaftliche Zusammenarbeit und Entwicklung für eine globale Mindestbesteuerung dient.</w:t>
      </w:r>
    </w:p>
    <w:p>
      <w:pPr>
        <w:pStyle w:val="Heading5"/>
      </w:pPr>
      <w:bookmarkStart w:id="283" w:name="b282"/>
      <w:r>
        <w:t>§ 274a Größenabhängige Erleichterungen</w:t>
      </w:r>
      <w:r>
        <w:t xml:space="preserve"> </w:t>
      </w:r>
      <w:r>
        <w:rPr>
          <w:rStyle w:val="Suchmarke"/>
        </w:rPr>
        <w:t>#274a#</w:t>
      </w:r>
      <w:bookmarkEnd w:id="283"/>
    </w:p>
    <w:p>
      <w:r>
        <w:t>Kleine Kapitalgesellschaften sind von der Anwendung der folgenden Vorschriften befreit:</w:t>
      </w:r>
    </w:p>
    <w:p>
      <w:pPr>
        <w:tabs>
          <w:tab w:pos="567" w:val="left"/>
        </w:tabs>
        <w:ind w:left="567" w:hanging="567"/>
      </w:pPr>
      <w:r>
        <w:t>1.</w:t>
      </w:r>
      <w:r>
        <w:tab/>
      </w:r>
      <w:hyperlink w:anchor="b275" w:history="1">
        <w:r>
          <w:rPr>
            <w:color w:val="0A3A8C"/>
            <w:u w:val="single"/>
          </w:rPr>
          <w:t xml:space="preserve">§ 268</w:t>
        </w:r>
      </w:hyperlink>
      <w:r>
        <w:t xml:space="preserve"> Abs. 4 Satz 2 über die Pflicht zur Erläuterung bestimmter Forderungen im Anhang,</w:t>
      </w:r>
    </w:p>
    <w:p>
      <w:pPr>
        <w:tabs>
          <w:tab w:pos="567" w:val="left"/>
        </w:tabs>
        <w:ind w:left="567" w:hanging="567"/>
      </w:pPr>
      <w:r>
        <w:t>2.</w:t>
      </w:r>
      <w:r>
        <w:tab/>
      </w:r>
      <w:hyperlink w:anchor="b275" w:history="1">
        <w:r>
          <w:rPr>
            <w:color w:val="0A3A8C"/>
            <w:u w:val="single"/>
          </w:rPr>
          <w:t xml:space="preserve">§ 268</w:t>
        </w:r>
      </w:hyperlink>
      <w:r>
        <w:t xml:space="preserve"> Abs. 5 Satz 3 über die Erläuterung bestimmter Verbindlichkeiten im Anhang,</w:t>
      </w:r>
    </w:p>
    <w:p>
      <w:pPr>
        <w:tabs>
          <w:tab w:pos="567" w:val="left"/>
        </w:tabs>
        <w:ind w:left="567" w:hanging="567"/>
      </w:pPr>
      <w:r>
        <w:t>3.</w:t>
      </w:r>
      <w:r>
        <w:tab/>
      </w:r>
      <w:hyperlink w:anchor="b275" w:history="1">
        <w:r>
          <w:rPr>
            <w:color w:val="0A3A8C"/>
            <w:u w:val="single"/>
          </w:rPr>
          <w:t xml:space="preserve">§ 268</w:t>
        </w:r>
      </w:hyperlink>
      <w:r>
        <w:t xml:space="preserve"> Abs. 6 über den Rechnungsabgrenzungsposten nach </w:t>
      </w:r>
      <w:hyperlink w:anchor="b244" w:history="1">
        <w:r>
          <w:rPr>
            <w:color w:val="0A3A8C"/>
            <w:u w:val="single"/>
          </w:rPr>
          <w:t xml:space="preserve">§ 250</w:t>
        </w:r>
      </w:hyperlink>
      <w:r>
        <w:t xml:space="preserve"> Abs. 3,</w:t>
      </w:r>
    </w:p>
    <w:p>
      <w:pPr>
        <w:tabs>
          <w:tab w:pos="567" w:val="left"/>
        </w:tabs>
        <w:ind w:left="567" w:hanging="567"/>
      </w:pPr>
      <w:r>
        <w:t>4.</w:t>
      </w:r>
      <w:r>
        <w:tab/>
      </w:r>
      <w:hyperlink w:anchor="b281" w:history="1">
        <w:r>
          <w:rPr>
            <w:color w:val="0A3A8C"/>
            <w:u w:val="single"/>
          </w:rPr>
          <w:t xml:space="preserve">§ 274</w:t>
        </w:r>
      </w:hyperlink>
      <w:r>
        <w:t xml:space="preserve"> über die Abgrenzung latenter Steuern.</w:t>
      </w:r>
    </w:p>
    <w:p>
      <w:pPr>
        <w:pStyle w:val="Heading4"/>
      </w:pPr>
      <w:bookmarkStart w:id="284" w:name="b283"/>
      <w:r>
        <w:t>Dritter Titel Gewinn- und Verlustrechnung</w:t>
      </w:r>
      <w:bookmarkEnd w:id="284"/>
    </w:p>
    <w:p>
      <w:pPr>
        <w:pStyle w:val="Heading5"/>
      </w:pPr>
      <w:bookmarkStart w:id="285" w:name="b284"/>
      <w:r>
        <w:t>§ 275 Gliederung</w:t>
      </w:r>
      <w:r>
        <w:t xml:space="preserve"> </w:t>
      </w:r>
      <w:r>
        <w:rPr>
          <w:rStyle w:val="Suchmarke"/>
        </w:rPr>
        <w:t>#275#</w:t>
      </w:r>
      <w:bookmarkEnd w:id="285"/>
    </w:p>
    <w:p>
      <w:r>
        <w:t xml:space="preserve">(1) </w:t>
      </w:r>
      <w:r>
        <w:rPr>
          <w:rStyle w:val="Satznummer"/>
        </w:rPr>
        <w:t>1</w:t>
      </w:r>
      <w:r>
        <w:t xml:space="preserve">Die Gewinn- und Verlustrechnung ist in Staffelform nach dem Gesamtkostenverfahren oder dem Umsatzkostenverfahren aufzustellen. </w:t>
      </w:r>
      <w:r>
        <w:rPr>
          <w:rStyle w:val="Satznummer"/>
        </w:rPr>
        <w:t>2</w:t>
      </w:r>
      <w:r>
        <w:t>Dabei sind die in Absatz 2 oder 3 bezeichneten Posten in der angegebenen Reihenfolge gesondert auszuweisen.</w:t>
      </w:r>
    </w:p>
    <w:p>
      <w:r>
        <w:t>(2) Bei Anwendung des Gesamtkostenverfahrens sind auszuweisen:</w:t>
      </w:r>
    </w:p>
    <w:p>
      <w:pPr>
        <w:tabs>
          <w:tab w:pos="567" w:val="left"/>
        </w:tabs>
        <w:ind w:left="567" w:hanging="567"/>
      </w:pPr>
      <w:r>
        <w:t>1.</w:t>
      </w:r>
      <w:r>
        <w:tab/>
      </w:r>
      <w:r>
        <w:t>Umsatzerlöse</w:t>
      </w:r>
    </w:p>
    <w:p>
      <w:pPr>
        <w:tabs>
          <w:tab w:pos="567" w:val="left"/>
        </w:tabs>
        <w:ind w:left="567" w:hanging="567"/>
      </w:pPr>
      <w:r>
        <w:t>2.</w:t>
      </w:r>
      <w:r>
        <w:tab/>
      </w:r>
      <w:r>
        <w:t>Erhöhung oder Verminderung des Bestands an fertigen und unfertigen Erzeugnissen</w:t>
      </w:r>
    </w:p>
    <w:p>
      <w:pPr>
        <w:tabs>
          <w:tab w:pos="567" w:val="left"/>
        </w:tabs>
        <w:ind w:left="567" w:hanging="567"/>
      </w:pPr>
      <w:r>
        <w:t>3.</w:t>
      </w:r>
      <w:r>
        <w:tab/>
      </w:r>
      <w:r>
        <w:t>andere aktivierte Eigenleistungen</w:t>
      </w:r>
    </w:p>
    <w:p>
      <w:pPr>
        <w:tabs>
          <w:tab w:pos="567" w:val="left"/>
        </w:tabs>
        <w:ind w:left="567" w:hanging="567"/>
      </w:pPr>
      <w:r>
        <w:t>4.</w:t>
      </w:r>
      <w:r>
        <w:tab/>
      </w:r>
      <w:r>
        <w:t>sonstige betriebliche Erträge</w:t>
      </w:r>
    </w:p>
    <w:p>
      <w:pPr>
        <w:tabs>
          <w:tab w:pos="567" w:val="left"/>
        </w:tabs>
        <w:ind w:left="567" w:hanging="567"/>
      </w:pPr>
      <w:r>
        <w:t>5.</w:t>
      </w:r>
      <w:r>
        <w:tab/>
      </w:r>
      <w:r>
        <w:t>Materialaufwand:</w:t>
      </w:r>
    </w:p>
    <w:p>
      <w:pPr>
        <w:tabs>
          <w:tab w:pos="1134" w:val="left"/>
        </w:tabs>
        <w:ind w:left="1134" w:hanging="567"/>
      </w:pPr>
      <w:r>
        <w:t>a)</w:t>
      </w:r>
      <w:r>
        <w:tab/>
      </w:r>
      <w:r>
        <w:t>Aufwendungen für Roh-, Hilfs- und Betriebsstoffe und für bezogene Waren</w:t>
      </w:r>
    </w:p>
    <w:p>
      <w:pPr>
        <w:tabs>
          <w:tab w:pos="1134" w:val="left"/>
        </w:tabs>
        <w:ind w:left="1134" w:hanging="567"/>
      </w:pPr>
      <w:r>
        <w:t>b)</w:t>
      </w:r>
      <w:r>
        <w:tab/>
      </w:r>
      <w:r>
        <w:t>Aufwendungen für bezogene Leistungen</w:t>
      </w:r>
    </w:p>
    <w:p>
      <w:pPr>
        <w:tabs>
          <w:tab w:pos="567" w:val="left"/>
        </w:tabs>
        <w:ind w:left="567" w:hanging="567"/>
      </w:pPr>
      <w:r>
        <w:t>6.</w:t>
      </w:r>
      <w:r>
        <w:tab/>
      </w:r>
      <w:r>
        <w:t>Personalaufwand:</w:t>
      </w:r>
    </w:p>
    <w:p>
      <w:pPr>
        <w:tabs>
          <w:tab w:pos="1134" w:val="left"/>
        </w:tabs>
        <w:ind w:left="1134" w:hanging="567"/>
      </w:pPr>
      <w:r>
        <w:t>a)</w:t>
      </w:r>
      <w:r>
        <w:tab/>
      </w:r>
      <w:r>
        <w:t>Löhne und Gehälter</w:t>
      </w:r>
    </w:p>
    <w:p>
      <w:pPr>
        <w:tabs>
          <w:tab w:pos="1134" w:val="left"/>
        </w:tabs>
        <w:ind w:left="1134" w:hanging="567"/>
      </w:pPr>
      <w:r>
        <w:t>b)</w:t>
      </w:r>
      <w:r>
        <w:tab/>
      </w:r>
      <w:r>
        <w:t>soziale Abgaben und Aufwendungen für Altersversorgung und für Unterstützung,</w:t>
      </w:r>
    </w:p>
    <w:p>
      <w:pPr>
        <w:ind w:left="1134"/>
      </w:pPr>
      <w:r>
        <w:t>davon für Altersversorgung</w:t>
      </w:r>
    </w:p>
    <w:p>
      <w:pPr>
        <w:tabs>
          <w:tab w:pos="567" w:val="left"/>
        </w:tabs>
        <w:ind w:left="567" w:hanging="567"/>
      </w:pPr>
      <w:r>
        <w:t>7.</w:t>
      </w:r>
      <w:r>
        <w:tab/>
      </w:r>
      <w:r>
        <w:t>Abschreibungen:</w:t>
      </w:r>
    </w:p>
    <w:p>
      <w:pPr>
        <w:tabs>
          <w:tab w:pos="1134" w:val="left"/>
        </w:tabs>
        <w:ind w:left="1134" w:hanging="567"/>
      </w:pPr>
      <w:r>
        <w:t>a)</w:t>
      </w:r>
      <w:r>
        <w:tab/>
      </w:r>
      <w:r>
        <w:t>auf immaterielle Vermögensgegenstände des Anlagevermögens und Sachanlagen</w:t>
      </w:r>
    </w:p>
    <w:p>
      <w:pPr>
        <w:tabs>
          <w:tab w:pos="1134" w:val="left"/>
        </w:tabs>
        <w:ind w:left="1134" w:hanging="567"/>
      </w:pPr>
      <w:r>
        <w:t>b)</w:t>
      </w:r>
      <w:r>
        <w:tab/>
      </w:r>
      <w:r>
        <w:t>auf Vermögensgegenstände des Umlaufvermögens, soweit diese die in der Kapitalgesellschaft üblichen Abschreibungen überschreiten</w:t>
      </w:r>
    </w:p>
    <w:p>
      <w:pPr>
        <w:tabs>
          <w:tab w:pos="567" w:val="left"/>
        </w:tabs>
        <w:ind w:left="567" w:hanging="567"/>
      </w:pPr>
      <w:r>
        <w:t>8.</w:t>
      </w:r>
      <w:r>
        <w:tab/>
      </w:r>
      <w:r>
        <w:t>sonstige betriebliche Aufwendungen</w:t>
      </w:r>
    </w:p>
    <w:p>
      <w:pPr>
        <w:tabs>
          <w:tab w:pos="567" w:val="left"/>
        </w:tabs>
        <w:ind w:left="567" w:hanging="567"/>
      </w:pPr>
      <w:r>
        <w:t>9.</w:t>
      </w:r>
      <w:r>
        <w:tab/>
      </w:r>
      <w:r>
        <w:t>Erträge aus Beteiligungen,</w:t>
      </w:r>
    </w:p>
    <w:p>
      <w:pPr>
        <w:ind w:left="567"/>
      </w:pPr>
      <w:r>
        <w:t>davon aus verbundenen Unternehmen</w:t>
      </w:r>
    </w:p>
    <w:p>
      <w:pPr>
        <w:tabs>
          <w:tab w:pos="567" w:val="left"/>
        </w:tabs>
        <w:ind w:left="567" w:hanging="567"/>
      </w:pPr>
      <w:r>
        <w:t>10.</w:t>
      </w:r>
      <w:r>
        <w:tab/>
      </w:r>
      <w:r>
        <w:t>Erträge aus anderen Wertpapieren und Ausleihungen des Finanzanlagevermögens,</w:t>
      </w:r>
    </w:p>
    <w:p>
      <w:pPr>
        <w:ind w:left="567"/>
      </w:pPr>
      <w:r>
        <w:t>davon aus verbundenen Unternehmen</w:t>
      </w:r>
    </w:p>
    <w:p>
      <w:pPr>
        <w:tabs>
          <w:tab w:pos="567" w:val="left"/>
        </w:tabs>
        <w:ind w:left="567" w:hanging="567"/>
      </w:pPr>
      <w:r>
        <w:t>11.</w:t>
      </w:r>
      <w:r>
        <w:tab/>
      </w:r>
      <w:r>
        <w:t>sonstige Zinsen und ähnliche Erträge,</w:t>
      </w:r>
    </w:p>
    <w:p>
      <w:pPr>
        <w:ind w:left="567"/>
      </w:pPr>
      <w:r>
        <w:t>davon aus verbundenen Unternehmen</w:t>
      </w:r>
    </w:p>
    <w:p>
      <w:pPr>
        <w:tabs>
          <w:tab w:pos="567" w:val="left"/>
        </w:tabs>
        <w:ind w:left="567" w:hanging="567"/>
      </w:pPr>
      <w:r>
        <w:t>12.</w:t>
      </w:r>
      <w:r>
        <w:tab/>
      </w:r>
      <w:r>
        <w:t>Abschreibungen auf Finanzanlagen und auf Wertpapiere des Umlaufvermögens</w:t>
      </w:r>
    </w:p>
    <w:p>
      <w:pPr>
        <w:tabs>
          <w:tab w:pos="567" w:val="left"/>
        </w:tabs>
        <w:ind w:left="567" w:hanging="567"/>
      </w:pPr>
      <w:r>
        <w:t>13.</w:t>
      </w:r>
      <w:r>
        <w:tab/>
      </w:r>
      <w:r>
        <w:t>Zinsen und ähnliche Aufwendungen,</w:t>
      </w:r>
    </w:p>
    <w:p>
      <w:pPr>
        <w:ind w:left="567"/>
      </w:pPr>
      <w:r>
        <w:t>davon an verbundene Unternehmen</w:t>
      </w:r>
    </w:p>
    <w:p>
      <w:pPr>
        <w:tabs>
          <w:tab w:pos="567" w:val="left"/>
        </w:tabs>
        <w:ind w:left="567" w:hanging="567"/>
      </w:pPr>
      <w:r>
        <w:t>14.</w:t>
      </w:r>
      <w:r>
        <w:tab/>
      </w:r>
      <w:r>
        <w:t>Steuern vom Einkommen und vom Ertrag</w:t>
      </w:r>
    </w:p>
    <w:p>
      <w:pPr>
        <w:tabs>
          <w:tab w:pos="567" w:val="left"/>
        </w:tabs>
        <w:ind w:left="567" w:hanging="567"/>
      </w:pPr>
      <w:r>
        <w:t>15.</w:t>
      </w:r>
      <w:r>
        <w:tab/>
      </w:r>
      <w:r>
        <w:t>Ergebnis nach Steuern</w:t>
      </w:r>
    </w:p>
    <w:p>
      <w:pPr>
        <w:tabs>
          <w:tab w:pos="567" w:val="left"/>
        </w:tabs>
        <w:ind w:left="567" w:hanging="567"/>
      </w:pPr>
      <w:r>
        <w:t>16.</w:t>
      </w:r>
      <w:r>
        <w:tab/>
      </w:r>
      <w:r>
        <w:t>sonstige Steuern</w:t>
      </w:r>
    </w:p>
    <w:p>
      <w:pPr>
        <w:tabs>
          <w:tab w:pos="567" w:val="left"/>
        </w:tabs>
        <w:ind w:left="567" w:hanging="567"/>
      </w:pPr>
      <w:r>
        <w:t>17.</w:t>
      </w:r>
      <w:r>
        <w:tab/>
      </w:r>
      <w:r>
        <w:t>Jahresüberschuss/Jahresfehlbetrag.</w:t>
      </w:r>
    </w:p>
    <w:p>
      <w:r>
        <w:t>(3) Bei Anwendung des Umsatzkostenverfahrens sind auszuweisen:</w:t>
      </w:r>
    </w:p>
    <w:p>
      <w:pPr>
        <w:tabs>
          <w:tab w:pos="567" w:val="left"/>
        </w:tabs>
        <w:ind w:left="567" w:hanging="567"/>
      </w:pPr>
      <w:r>
        <w:t>1.</w:t>
      </w:r>
      <w:r>
        <w:tab/>
      </w:r>
      <w:r>
        <w:t>Umsatzerlöse</w:t>
      </w:r>
    </w:p>
    <w:p>
      <w:pPr>
        <w:tabs>
          <w:tab w:pos="567" w:val="left"/>
        </w:tabs>
        <w:ind w:left="567" w:hanging="567"/>
      </w:pPr>
      <w:r>
        <w:t>2.</w:t>
      </w:r>
      <w:r>
        <w:tab/>
      </w:r>
      <w:r>
        <w:t>Herstellungskosten der zur Erzielung der Umsatzerlöse erbrachten Leistungen</w:t>
      </w:r>
    </w:p>
    <w:p>
      <w:pPr>
        <w:tabs>
          <w:tab w:pos="567" w:val="left"/>
        </w:tabs>
        <w:ind w:left="567" w:hanging="567"/>
      </w:pPr>
      <w:r>
        <w:t>3.</w:t>
      </w:r>
      <w:r>
        <w:tab/>
      </w:r>
      <w:r>
        <w:t>Bruttoergebnis vom Umsatz</w:t>
      </w:r>
    </w:p>
    <w:p>
      <w:pPr>
        <w:tabs>
          <w:tab w:pos="567" w:val="left"/>
        </w:tabs>
        <w:ind w:left="567" w:hanging="567"/>
      </w:pPr>
      <w:r>
        <w:t>4.</w:t>
      </w:r>
      <w:r>
        <w:tab/>
      </w:r>
      <w:r>
        <w:t>Vertriebskosten</w:t>
      </w:r>
    </w:p>
    <w:p>
      <w:pPr>
        <w:tabs>
          <w:tab w:pos="567" w:val="left"/>
        </w:tabs>
        <w:ind w:left="567" w:hanging="567"/>
      </w:pPr>
      <w:r>
        <w:t>5.</w:t>
      </w:r>
      <w:r>
        <w:tab/>
      </w:r>
      <w:r>
        <w:t>allgemeine Verwaltungskosten</w:t>
      </w:r>
    </w:p>
    <w:p>
      <w:pPr>
        <w:tabs>
          <w:tab w:pos="567" w:val="left"/>
        </w:tabs>
        <w:ind w:left="567" w:hanging="567"/>
      </w:pPr>
      <w:r>
        <w:t>6.</w:t>
      </w:r>
      <w:r>
        <w:tab/>
      </w:r>
      <w:r>
        <w:t>sonstige betriebliche Erträge</w:t>
      </w:r>
    </w:p>
    <w:p>
      <w:pPr>
        <w:tabs>
          <w:tab w:pos="567" w:val="left"/>
        </w:tabs>
        <w:ind w:left="567" w:hanging="567"/>
      </w:pPr>
      <w:r>
        <w:t>7.</w:t>
      </w:r>
      <w:r>
        <w:tab/>
      </w:r>
      <w:r>
        <w:t>sonstige betriebliche Aufwendungen</w:t>
      </w:r>
    </w:p>
    <w:p>
      <w:pPr>
        <w:tabs>
          <w:tab w:pos="567" w:val="left"/>
        </w:tabs>
        <w:ind w:left="567" w:hanging="567"/>
      </w:pPr>
      <w:r>
        <w:t>8.</w:t>
      </w:r>
      <w:r>
        <w:tab/>
      </w:r>
      <w:r>
        <w:t>Erträge aus Beteiligungen,</w:t>
      </w:r>
    </w:p>
    <w:p>
      <w:pPr>
        <w:ind w:left="567"/>
      </w:pPr>
      <w:r>
        <w:t>davon aus verbundenen Unternehmen</w:t>
      </w:r>
    </w:p>
    <w:p>
      <w:pPr>
        <w:tabs>
          <w:tab w:pos="567" w:val="left"/>
        </w:tabs>
        <w:ind w:left="567" w:hanging="567"/>
      </w:pPr>
      <w:r>
        <w:t>9.</w:t>
      </w:r>
      <w:r>
        <w:tab/>
      </w:r>
      <w:r>
        <w:t>Erträge aus anderen Wertpapieren und Ausleihungen des Finanzanlagevermögens,</w:t>
      </w:r>
    </w:p>
    <w:p>
      <w:pPr>
        <w:ind w:left="567"/>
      </w:pPr>
      <w:r>
        <w:t>davon aus verbundenen Unternehmen</w:t>
      </w:r>
    </w:p>
    <w:p>
      <w:pPr>
        <w:tabs>
          <w:tab w:pos="567" w:val="left"/>
        </w:tabs>
        <w:ind w:left="567" w:hanging="567"/>
      </w:pPr>
      <w:r>
        <w:t>10.</w:t>
      </w:r>
      <w:r>
        <w:tab/>
      </w:r>
      <w:r>
        <w:t>sonstige Zinsen und ähnliche Erträge,</w:t>
      </w:r>
    </w:p>
    <w:p>
      <w:pPr>
        <w:ind w:left="567"/>
      </w:pPr>
      <w:r>
        <w:t>davon aus verbundenen Unternehmen</w:t>
      </w:r>
    </w:p>
    <w:p>
      <w:pPr>
        <w:tabs>
          <w:tab w:pos="567" w:val="left"/>
        </w:tabs>
        <w:ind w:left="567" w:hanging="567"/>
      </w:pPr>
      <w:r>
        <w:t>11.</w:t>
      </w:r>
      <w:r>
        <w:tab/>
      </w:r>
      <w:r>
        <w:t>Abschreibungen auf Finanzanlagen und auf Wertpapiere des Umlaufvermögens</w:t>
      </w:r>
    </w:p>
    <w:p>
      <w:pPr>
        <w:tabs>
          <w:tab w:pos="567" w:val="left"/>
        </w:tabs>
        <w:ind w:left="567" w:hanging="567"/>
      </w:pPr>
      <w:r>
        <w:t>12.</w:t>
      </w:r>
      <w:r>
        <w:tab/>
      </w:r>
      <w:r>
        <w:t>Zinsen und ähnliche Aufwendungen,</w:t>
      </w:r>
    </w:p>
    <w:p>
      <w:pPr>
        <w:ind w:left="567"/>
      </w:pPr>
      <w:r>
        <w:t>davon an verbundene Unternehmen</w:t>
      </w:r>
    </w:p>
    <w:p>
      <w:pPr>
        <w:tabs>
          <w:tab w:pos="567" w:val="left"/>
        </w:tabs>
        <w:ind w:left="567" w:hanging="567"/>
      </w:pPr>
      <w:r>
        <w:t>13.</w:t>
      </w:r>
      <w:r>
        <w:tab/>
      </w:r>
      <w:r>
        <w:t>Steuern vom Einkommen und vom Ertrag</w:t>
      </w:r>
    </w:p>
    <w:p>
      <w:pPr>
        <w:tabs>
          <w:tab w:pos="567" w:val="left"/>
        </w:tabs>
        <w:ind w:left="567" w:hanging="567"/>
      </w:pPr>
      <w:r>
        <w:t>14.</w:t>
      </w:r>
      <w:r>
        <w:tab/>
      </w:r>
      <w:r>
        <w:t>Ergebnis nach Steuern</w:t>
      </w:r>
    </w:p>
    <w:p>
      <w:pPr>
        <w:tabs>
          <w:tab w:pos="567" w:val="left"/>
        </w:tabs>
        <w:ind w:left="567" w:hanging="567"/>
      </w:pPr>
      <w:r>
        <w:t>15.</w:t>
      </w:r>
      <w:r>
        <w:tab/>
      </w:r>
      <w:r>
        <w:t>sonstige Steuern</w:t>
      </w:r>
    </w:p>
    <w:p>
      <w:pPr>
        <w:tabs>
          <w:tab w:pos="567" w:val="left"/>
        </w:tabs>
        <w:ind w:left="567" w:hanging="567"/>
      </w:pPr>
      <w:r>
        <w:t>16.</w:t>
      </w:r>
      <w:r>
        <w:tab/>
      </w:r>
      <w:r>
        <w:t>Jahresüberschuss/Jahresfehlbetrag.</w:t>
      </w:r>
    </w:p>
    <w:p>
      <w:r>
        <w:t>(4) Veränderungen der Kapital- und Gewinnrücklagen dürfen in der Gewinn- und Verlustrechnung erst nach dem Posten "Jahresüberschuß/Jahresfehlbetrag" ausgewiesen werden.</w:t>
      </w:r>
    </w:p>
    <w:p>
      <w:r>
        <w:t>(5) Kleinstkapitalgesellschaften (</w:t>
      </w:r>
      <w:hyperlink w:anchor="b274" w:history="1">
        <w:r>
          <w:rPr>
            <w:color w:val="0A3A8C"/>
            <w:u w:val="single"/>
          </w:rPr>
          <w:t xml:space="preserve">§ 267a</w:t>
        </w:r>
      </w:hyperlink>
      <w:r>
        <w:t>) können anstelle der Staffelungen nach den Absätzen 2 und 3 die Gewinn- und Verlustrechnung wie folgt darstellen:</w:t>
      </w:r>
    </w:p>
    <w:p>
      <w:pPr>
        <w:tabs>
          <w:tab w:pos="567" w:val="left"/>
        </w:tabs>
        <w:ind w:left="567" w:hanging="567"/>
      </w:pPr>
      <w:r>
        <w:t>1.</w:t>
      </w:r>
      <w:r>
        <w:tab/>
      </w:r>
      <w:r>
        <w:t>Umsatzerlöse,</w:t>
      </w:r>
    </w:p>
    <w:p>
      <w:pPr>
        <w:tabs>
          <w:tab w:pos="567" w:val="left"/>
        </w:tabs>
        <w:ind w:left="567" w:hanging="567"/>
      </w:pPr>
      <w:r>
        <w:t>2.</w:t>
      </w:r>
      <w:r>
        <w:tab/>
      </w:r>
      <w:r>
        <w:t>sonstige Erträge,</w:t>
      </w:r>
    </w:p>
    <w:p>
      <w:pPr>
        <w:tabs>
          <w:tab w:pos="567" w:val="left"/>
        </w:tabs>
        <w:ind w:left="567" w:hanging="567"/>
      </w:pPr>
      <w:r>
        <w:t>3.</w:t>
      </w:r>
      <w:r>
        <w:tab/>
      </w:r>
      <w:r>
        <w:t>Materialaufwand,</w:t>
      </w:r>
    </w:p>
    <w:p>
      <w:pPr>
        <w:tabs>
          <w:tab w:pos="567" w:val="left"/>
        </w:tabs>
        <w:ind w:left="567" w:hanging="567"/>
      </w:pPr>
      <w:r>
        <w:t>4.</w:t>
      </w:r>
      <w:r>
        <w:tab/>
      </w:r>
      <w:r>
        <w:t>Personalaufwand,</w:t>
      </w:r>
    </w:p>
    <w:p>
      <w:pPr>
        <w:tabs>
          <w:tab w:pos="567" w:val="left"/>
        </w:tabs>
        <w:ind w:left="567" w:hanging="567"/>
      </w:pPr>
      <w:r>
        <w:t>5.</w:t>
      </w:r>
      <w:r>
        <w:tab/>
      </w:r>
      <w:r>
        <w:t>Abschreibungen,</w:t>
      </w:r>
    </w:p>
    <w:p>
      <w:pPr>
        <w:tabs>
          <w:tab w:pos="567" w:val="left"/>
        </w:tabs>
        <w:ind w:left="567" w:hanging="567"/>
      </w:pPr>
      <w:r>
        <w:t>6.</w:t>
      </w:r>
      <w:r>
        <w:tab/>
      </w:r>
      <w:r>
        <w:t>sonstige Aufwendungen,</w:t>
      </w:r>
    </w:p>
    <w:p>
      <w:pPr>
        <w:tabs>
          <w:tab w:pos="567" w:val="left"/>
        </w:tabs>
        <w:ind w:left="567" w:hanging="567"/>
      </w:pPr>
      <w:r>
        <w:t>7.</w:t>
      </w:r>
      <w:r>
        <w:tab/>
      </w:r>
      <w:r>
        <w:t>Steuern,</w:t>
      </w:r>
    </w:p>
    <w:p>
      <w:pPr>
        <w:tabs>
          <w:tab w:pos="567" w:val="left"/>
        </w:tabs>
        <w:ind w:left="567" w:hanging="567"/>
      </w:pPr>
      <w:r>
        <w:t>8.</w:t>
      </w:r>
      <w:r>
        <w:tab/>
      </w:r>
      <w:r>
        <w:t>Jahresüberschuss/Jahresfehlbetrag.</w:t>
      </w:r>
    </w:p>
    <w:p>
      <w:pPr>
        <w:pStyle w:val="Heading5"/>
      </w:pPr>
      <w:bookmarkStart w:id="286" w:name="b285"/>
      <w:r>
        <w:t>§ 276 Größenabhängige Erleichterungen</w:t>
      </w:r>
      <w:r>
        <w:t xml:space="preserve"> </w:t>
      </w:r>
      <w:r>
        <w:rPr>
          <w:rStyle w:val="Suchmarke"/>
        </w:rPr>
        <w:t>#276#</w:t>
      </w:r>
      <w:bookmarkEnd w:id="286"/>
    </w:p>
    <w:p>
      <w:r>
        <w:rPr>
          <w:rStyle w:val="Satznummer"/>
        </w:rPr>
        <w:t>1</w:t>
      </w:r>
      <w:r>
        <w:t>Kleine und mittelgroße Kapitalgesellschaften (</w:t>
      </w:r>
      <w:hyperlink w:anchor="b273" w:history="1">
        <w:r>
          <w:rPr>
            <w:color w:val="0A3A8C"/>
            <w:u w:val="single"/>
          </w:rPr>
          <w:t xml:space="preserve">§ 267</w:t>
        </w:r>
      </w:hyperlink>
      <w:r>
        <w:t xml:space="preserve"> Abs. 1, 2) dürfen die Posten </w:t>
      </w:r>
      <w:hyperlink w:anchor="b284" w:history="1">
        <w:r>
          <w:rPr>
            <w:color w:val="0A3A8C"/>
            <w:u w:val="single"/>
          </w:rPr>
          <w:t xml:space="preserve">§ 275</w:t>
        </w:r>
      </w:hyperlink>
      <w:r>
        <w:t xml:space="preserve"> Abs. 2 Nr. 1 bis 5 oder Abs. 3 Nr. 1 bis 3 und 6 zu einem Posten unter der Bezeichnung "Rohergebnis" zusammenfassen. </w:t>
      </w:r>
      <w:r>
        <w:rPr>
          <w:rStyle w:val="Satznummer"/>
        </w:rPr>
        <w:t>2</w:t>
      </w:r>
      <w:r>
        <w:t>Die Erleichterungen nach Satz 1 gelten nicht für Kleinstkapitalgesellschaften (</w:t>
      </w:r>
      <w:hyperlink w:anchor="b274" w:history="1">
        <w:r>
          <w:rPr>
            <w:color w:val="0A3A8C"/>
            <w:u w:val="single"/>
          </w:rPr>
          <w:t xml:space="preserve">§ 267a</w:t>
        </w:r>
      </w:hyperlink>
      <w:r>
        <w:t>), die von der Regelung des § 275 Absatz 5 Gebrauch machen.</w:t>
      </w:r>
    </w:p>
    <w:p>
      <w:pPr>
        <w:pStyle w:val="Heading5"/>
      </w:pPr>
      <w:bookmarkStart w:id="287" w:name="b286"/>
      <w:r>
        <w:t>§ 277 Vorschriften zu einzelnen Posten der Gewinn- und Verlustrechnung</w:t>
      </w:r>
      <w:r>
        <w:t xml:space="preserve"> </w:t>
      </w:r>
      <w:r>
        <w:rPr>
          <w:rStyle w:val="Suchmarke"/>
        </w:rPr>
        <w:t>#277#</w:t>
      </w:r>
      <w:bookmarkEnd w:id="287"/>
    </w:p>
    <w:p>
      <w:r>
        <w:t>(1) Als Umsatzerlöse sind die Erlöse aus dem Verkauf und der Vermietung oder Verpachtung von Produkten sowie aus der Erbringung von Dienstleistungen der Kapitalgesellschaft nach Abzug von Erlösschmälerungen und der Umsatzsteuer sowie sonstiger direkt mit dem Umsatz verbundener Steuern auszuweisen.</w:t>
      </w:r>
    </w:p>
    <w:p>
      <w:r>
        <w:t>(2) Als Bestandsveränderungen sind sowohl Änderungen der Menge als auch solche des Wertes zu berücksichtigen; Abschreibungen jedoch nur, soweit diese die in der Kapitalgesellschaft sonst üblichen Abschreibungen nicht überschreiten.</w:t>
      </w:r>
    </w:p>
    <w:p>
      <w:r>
        <w:t xml:space="preserve">(3) </w:t>
      </w:r>
      <w:r>
        <w:rPr>
          <w:rStyle w:val="Satznummer"/>
        </w:rPr>
        <w:t>1</w:t>
      </w:r>
      <w:r>
        <w:t xml:space="preserve">Außerplanmäßige Abschreibungen nach </w:t>
      </w:r>
      <w:hyperlink w:anchor="b248" w:history="1">
        <w:r>
          <w:rPr>
            <w:color w:val="0A3A8C"/>
            <w:u w:val="single"/>
          </w:rPr>
          <w:t xml:space="preserve">§ 253</w:t>
        </w:r>
      </w:hyperlink>
      <w:r>
        <w:t xml:space="preserve"> Absatz 3 Satz 5 und 6 sind jeweils gesondert auszuweisen oder im Anhang anzugeben. </w:t>
      </w:r>
      <w:r>
        <w:rPr>
          <w:rStyle w:val="Satznummer"/>
        </w:rPr>
        <w:t>2</w:t>
      </w:r>
      <w:r>
        <w:t>Erträge und Aufwendungen aus Verlustübernahme und auf Grund einer Gewinngemeinschaft, eines Gewinnabführungs- oder eines Teilgewinnabführungsvertrags erhaltene oder abgeführte Gewinne sind jeweils gesondert unter entsprechender Bezeichnung auszuweisen.</w:t>
      </w:r>
    </w:p>
    <w:p>
      <w:r>
        <w:t>(4) (weggefallen)</w:t>
      </w:r>
    </w:p>
    <w:p>
      <w:r>
        <w:t xml:space="preserve">(5) </w:t>
      </w:r>
      <w:r>
        <w:rPr>
          <w:rStyle w:val="Satznummer"/>
        </w:rPr>
        <w:t>1</w:t>
      </w:r>
      <w:r>
        <w:t xml:space="preserve">Erträge aus der Abzinsung sind in der Gewinn- und Verlustrechnung gesondert unter dem Posten „Sonstige Zinsen und ähnliche Erträge“ und Aufwendungen gesondert unter dem Posten „Zinsen und ähnliche Aufwendungen“ auszuweisen. </w:t>
      </w:r>
      <w:r>
        <w:rPr>
          <w:rStyle w:val="Satznummer"/>
        </w:rPr>
        <w:t>2</w:t>
      </w:r>
      <w:r>
        <w:t>Erträge aus der Währungsumrechnung sind in der Gewinn- und Verlustrechnung gesondert unter dem Posten „Sonstige betriebliche Erträge“ und Aufwendungen aus der Währungsumrechnung gesondert unter dem Posten „Sonstige betriebliche Aufwendungen“ auszuweisen.</w:t>
      </w:r>
    </w:p>
    <w:p>
      <w:pPr>
        <w:pStyle w:val="Heading5"/>
      </w:pPr>
      <w:bookmarkStart w:id="288" w:name="b287"/>
      <w:r>
        <w:t>§ 278 (weggefallen)</w:t>
      </w:r>
      <w:r>
        <w:t xml:space="preserve"> </w:t>
      </w:r>
      <w:r>
        <w:rPr>
          <w:rStyle w:val="Suchmarke"/>
        </w:rPr>
        <w:t>#278#</w:t>
      </w:r>
      <w:bookmarkEnd w:id="288"/>
    </w:p>
    <w:p>
      <w:pPr>
        <w:pStyle w:val="Heading4"/>
      </w:pPr>
      <w:bookmarkStart w:id="289" w:name="b288"/>
      <w:r>
        <w:t>Vierter Titel (weggefallen)</w:t>
      </w:r>
      <w:bookmarkEnd w:id="289"/>
    </w:p>
    <w:p>
      <w:pPr>
        <w:pStyle w:val="Heading5"/>
      </w:pPr>
      <w:bookmarkStart w:id="290" w:name="b289"/>
      <w:r>
        <w:t>§§ 279 bis 283 (weggefallen)</w:t>
      </w:r>
      <w:bookmarkEnd w:id="290"/>
    </w:p>
    <w:p>
      <w:pPr>
        <w:pStyle w:val="Heading4"/>
      </w:pPr>
      <w:bookmarkStart w:id="291" w:name="b290"/>
      <w:r>
        <w:t>Fünfter Titel Anhang</w:t>
      </w:r>
      <w:bookmarkEnd w:id="291"/>
    </w:p>
    <w:p>
      <w:pPr>
        <w:pStyle w:val="Heading5"/>
      </w:pPr>
      <w:bookmarkStart w:id="292" w:name="b291"/>
      <w:r>
        <w:t>§ 284 Erläuterung der Bilanz und der Gewinn- und Verlustrechnung</w:t>
      </w:r>
      <w:r>
        <w:t xml:space="preserve"> </w:t>
      </w:r>
      <w:r>
        <w:rPr>
          <w:rStyle w:val="Suchmarke"/>
        </w:rPr>
        <w:t>#284#</w:t>
      </w:r>
      <w:bookmarkEnd w:id="292"/>
    </w:p>
    <w:p>
      <w:r>
        <w:t xml:space="preserve">(1) </w:t>
      </w:r>
      <w:r>
        <w:rPr>
          <w:rStyle w:val="Satznummer"/>
        </w:rPr>
        <w:t>1</w:t>
      </w:r>
      <w:r>
        <w:t xml:space="preserve">In den Anhang sind diejenigen Angaben aufzunehmen, die zu den einzelnen Posten der Bilanz oder der Gewinn- und Verlustrechnung vorgeschrieben sind; sie sind in der Reihenfolge der einzelnen Posten der Bilanz und der Gewinn- und Verlustrechnung darzustellen. </w:t>
      </w:r>
      <w:r>
        <w:rPr>
          <w:rStyle w:val="Satznummer"/>
        </w:rPr>
        <w:t>2</w:t>
      </w:r>
      <w:r>
        <w:t>Im Anhang sind auch die Angaben zu machen, die in Ausübung eines Wahlrechts nicht in die Bilanz oder in die Gewinn- und Verlustrechnung aufgenommen wurden.</w:t>
      </w:r>
    </w:p>
    <w:p>
      <w:r>
        <w:t>(2) Im Anhang müssen</w:t>
      </w:r>
    </w:p>
    <w:p>
      <w:pPr>
        <w:tabs>
          <w:tab w:pos="567" w:val="left"/>
        </w:tabs>
        <w:ind w:left="567" w:hanging="567"/>
      </w:pPr>
      <w:r>
        <w:t>1.</w:t>
      </w:r>
      <w:r>
        <w:tab/>
      </w:r>
      <w:r>
        <w:t>die auf die Posten der Bilanz und der Gewinn- und Verlustrechnung angewandten Bilanzierungs- und Bewertungsmethoden angegeben werden;</w:t>
      </w:r>
    </w:p>
    <w:p>
      <w:pPr>
        <w:tabs>
          <w:tab w:pos="567" w:val="left"/>
        </w:tabs>
        <w:ind w:left="567" w:hanging="567"/>
      </w:pPr>
      <w:r>
        <w:t>2.</w:t>
      </w:r>
      <w:r>
        <w:tab/>
      </w:r>
      <w:r>
        <w:t>Abweichungen von Bilanzierungs- und Bewertungsmethoden angegeben und begründet werden; deren Einfluß auf die Vermögens-, Finanz- und Ertragslage ist gesondert darzustellen;</w:t>
      </w:r>
    </w:p>
    <w:p>
      <w:pPr>
        <w:tabs>
          <w:tab w:pos="567" w:val="left"/>
        </w:tabs>
        <w:ind w:left="567" w:hanging="567"/>
      </w:pPr>
      <w:r>
        <w:t>3.</w:t>
      </w:r>
      <w:r>
        <w:tab/>
      </w:r>
      <w:r>
        <w:t xml:space="preserve">bei Anwendung einer Bewertungsmethode nach </w:t>
      </w:r>
      <w:hyperlink w:anchor="b230" w:history="1">
        <w:r>
          <w:rPr>
            <w:color w:val="0A3A8C"/>
            <w:u w:val="single"/>
          </w:rPr>
          <w:t xml:space="preserve">§ 240</w:t>
        </w:r>
      </w:hyperlink>
      <w:r>
        <w:t xml:space="preserve"> Abs. 4, </w:t>
      </w:r>
      <w:hyperlink w:anchor="b251" w:history="1">
        <w:r>
          <w:rPr>
            <w:color w:val="0A3A8C"/>
            <w:u w:val="single"/>
          </w:rPr>
          <w:t xml:space="preserve">§ 256</w:t>
        </w:r>
      </w:hyperlink>
      <w:r>
        <w:t xml:space="preserve"> Satz 1 die Unterschiedsbeträge pauschal für die jeweilige Gruppe ausgewiesen werden, wenn die Bewertung im Vergleich zu einer Bewertung auf der Grundlage des letzten vor dem Abschlußstichtag bekannten Börsenkurses oder Marktpreises einen erheblichen Unterschied aufweist;</w:t>
      </w:r>
    </w:p>
    <w:p>
      <w:pPr>
        <w:tabs>
          <w:tab w:pos="567" w:val="left"/>
        </w:tabs>
        <w:ind w:left="567" w:hanging="567"/>
      </w:pPr>
      <w:r>
        <w:t>4.</w:t>
      </w:r>
      <w:r>
        <w:tab/>
      </w:r>
      <w:r>
        <w:t>Angaben über die Einbeziehung von Zinsen für Fremdkapital in die Herstellungskosten gemacht werden.</w:t>
      </w:r>
    </w:p>
    <w:p>
      <w:r>
        <w:t xml:space="preserve">(3) </w:t>
      </w:r>
      <w:r>
        <w:rPr>
          <w:rStyle w:val="Satznummer"/>
        </w:rPr>
        <w:t>1</w:t>
      </w:r>
      <w:r>
        <w:t xml:space="preserve">Im Anhang ist die Entwicklung der einzelnen Posten des Anlagevermögens in einer gesonderten Aufgliederung darzustellen. </w:t>
      </w:r>
      <w:r>
        <w:rPr>
          <w:rStyle w:val="Satznummer"/>
        </w:rPr>
        <w:t>2</w:t>
      </w:r>
      <w:r>
        <w:t xml:space="preserve">Dabei sind, ausgehend von den gesamten Anschaffungs- und Herstellungskosten, die Zugänge, Abgänge, Umbuchungen und Zuschreibungen des Geschäftsjahrs sowie die Abschreibungen gesondert aufzuführen. </w:t>
      </w:r>
      <w:r>
        <w:rPr>
          <w:rStyle w:val="Satznummer"/>
        </w:rPr>
        <w:t>3</w:t>
      </w:r>
      <w:r>
        <w:t>Zu den Abschreibungen sind gesondert folgende Angaben zu machen:</w:t>
      </w:r>
    </w:p>
    <w:p>
      <w:pPr>
        <w:tabs>
          <w:tab w:pos="567" w:val="left"/>
        </w:tabs>
        <w:ind w:left="567" w:hanging="567"/>
      </w:pPr>
      <w:r>
        <w:t>1.</w:t>
      </w:r>
      <w:r>
        <w:tab/>
      </w:r>
      <w:r>
        <w:t>die Abschreibungen in ihrer gesamten Höhe zu Beginn und Ende des Geschäftsjahrs,</w:t>
      </w:r>
    </w:p>
    <w:p>
      <w:pPr>
        <w:tabs>
          <w:tab w:pos="567" w:val="left"/>
        </w:tabs>
        <w:ind w:left="567" w:hanging="567"/>
      </w:pPr>
      <w:r>
        <w:t>2.</w:t>
      </w:r>
      <w:r>
        <w:tab/>
      </w:r>
      <w:r>
        <w:t>die im Laufe des Geschäftsjahrs vorgenommenen Abschreibungen und</w:t>
      </w:r>
    </w:p>
    <w:p>
      <w:pPr>
        <w:tabs>
          <w:tab w:pos="567" w:val="left"/>
        </w:tabs>
        <w:ind w:left="567" w:hanging="567"/>
      </w:pPr>
      <w:r>
        <w:t>3.</w:t>
      </w:r>
      <w:r>
        <w:tab/>
      </w:r>
      <w:r>
        <w:t>Änderungen in den Abschreibungen in ihrer gesamten Höhe im Zusammenhang mit Zu- und Abgängen sowie Umbuchungen im Laufe des Geschäftsjahrs.</w:t>
      </w:r>
    </w:p>
    <w:p>
      <w:r>
        <w:rPr>
          <w:rStyle w:val="Satznummer"/>
        </w:rPr>
        <w:t>4</w:t>
      </w:r>
      <w:r>
        <w:t>Sind in die Herstellungskosten Zinsen für Fremdkapital einbezogen worden, ist für jeden Posten des Anlagevermögens anzugeben, welcher Betrag an Zinsen im Geschäftsjahr aktiviert worden ist.</w:t>
      </w:r>
    </w:p>
    <w:p>
      <w:pPr>
        <w:pStyle w:val="Heading5"/>
      </w:pPr>
      <w:bookmarkStart w:id="293" w:name="b292"/>
      <w:r>
        <w:t>§ 285 Sonstige Pflichtangaben</w:t>
      </w:r>
      <w:r>
        <w:t xml:space="preserve"> </w:t>
      </w:r>
      <w:r>
        <w:rPr>
          <w:rStyle w:val="Suchmarke"/>
        </w:rPr>
        <w:t>#285#</w:t>
      </w:r>
      <w:bookmarkEnd w:id="293"/>
    </w:p>
    <w:p>
      <w:r>
        <w:t>Ferner sind im Anhang anzugeben:</w:t>
      </w:r>
    </w:p>
    <w:p>
      <w:pPr>
        <w:tabs>
          <w:tab w:pos="567" w:val="left"/>
        </w:tabs>
        <w:ind w:left="567" w:hanging="567"/>
      </w:pPr>
      <w:r>
        <w:t>1.</w:t>
      </w:r>
      <w:r>
        <w:tab/>
      </w:r>
      <w:r>
        <w:t>zu den in der Bilanz ausgewiesenen Verbindlichkeiten</w:t>
      </w:r>
    </w:p>
    <w:p>
      <w:pPr>
        <w:tabs>
          <w:tab w:pos="1134" w:val="left"/>
        </w:tabs>
        <w:ind w:left="1134" w:hanging="567"/>
      </w:pPr>
      <w:r>
        <w:t>a)</w:t>
      </w:r>
      <w:r>
        <w:tab/>
      </w:r>
      <w:r>
        <w:t>der Gesamtbetrag der Verbindlichkeiten mit einer Restlaufzeit von mehr als fünf Jahren,</w:t>
      </w:r>
    </w:p>
    <w:p>
      <w:pPr>
        <w:tabs>
          <w:tab w:pos="1134" w:val="left"/>
        </w:tabs>
        <w:ind w:left="1134" w:hanging="567"/>
      </w:pPr>
      <w:r>
        <w:t>b)</w:t>
      </w:r>
      <w:r>
        <w:tab/>
      </w:r>
      <w:r>
        <w:t>der Gesamtbetrag der Verbindlichkeiten, die durch Pfandrechte oder ähnliche Rechte gesichert sind, unter Angabe von Art und Form der Sicherheiten;</w:t>
      </w:r>
    </w:p>
    <w:p>
      <w:pPr>
        <w:tabs>
          <w:tab w:pos="567" w:val="left"/>
        </w:tabs>
        <w:ind w:left="567" w:hanging="567"/>
      </w:pPr>
      <w:r>
        <w:t>2.</w:t>
      </w:r>
      <w:r>
        <w:tab/>
      </w:r>
      <w:r>
        <w:t>die Aufgliederung der in Nummer 1 verlangten Angaben für jeden Posten der Verbindlichkeiten nach dem vorgeschriebenen Gliederungsschema;</w:t>
      </w:r>
    </w:p>
    <w:p>
      <w:pPr>
        <w:tabs>
          <w:tab w:pos="567" w:val="left"/>
        </w:tabs>
        <w:ind w:left="567" w:hanging="567"/>
      </w:pPr>
      <w:r>
        <w:t>3.</w:t>
      </w:r>
      <w:r>
        <w:tab/>
      </w:r>
      <w:r>
        <w:t>Art und Zweck sowie Risiken, Vorteile und finanzielle Auswirkungen von nicht in der Bilanz enthaltenen Geschäften, soweit die Risiken und Vorteile wesentlich sind und die Offenlegung für die Beurteilung der Finanzlage des Unternehmens erforderlich ist;</w:t>
      </w:r>
    </w:p>
    <w:p>
      <w:pPr>
        <w:tabs>
          <w:tab w:pos="567" w:val="left"/>
        </w:tabs>
        <w:ind w:left="567" w:hanging="567"/>
      </w:pPr>
      <w:r>
        <w:t>3a.</w:t>
      </w:r>
      <w:r>
        <w:tab/>
      </w:r>
      <w:r>
        <w:t xml:space="preserve">der Gesamtbetrag der sonstigen finanziellen Verpflichtungen, die nicht in der Bilanz enthalten sind und die nicht nach </w:t>
      </w:r>
      <w:hyperlink w:anchor="b275" w:history="1">
        <w:r>
          <w:rPr>
            <w:color w:val="0A3A8C"/>
            <w:u w:val="single"/>
          </w:rPr>
          <w:t xml:space="preserve">§ 268</w:t>
        </w:r>
      </w:hyperlink>
      <w:r>
        <w:t xml:space="preserve"> Absatz 7 oder Nummer 3 anzugeben sind, sofern diese Angabe für die Beurteilung der Finanzlage von Bedeutung ist; davon sind Verpflichtungen betreffend die Altersversorgung und Verpflichtungen gegenüber verbundenen oder assoziierten Unternehmen jeweils gesondert anzugeben;</w:t>
      </w:r>
    </w:p>
    <w:p>
      <w:pPr>
        <w:tabs>
          <w:tab w:pos="567" w:val="left"/>
        </w:tabs>
        <w:ind w:left="567" w:hanging="567"/>
      </w:pPr>
      <w:r>
        <w:t>4.</w:t>
      </w:r>
      <w:r>
        <w:tab/>
      </w:r>
      <w:r>
        <w:t>die Aufgliederung der Umsatzerlöse nach Tätigkeitsbereichen sowie nach geografisch bestimmten Märkten, soweit sich unter Berücksichtigung der Organisation des Verkaufs, der Vermietung oder Verpachtung von Produkten und der Erbringung von Dienstleistungen der Kapitalgesellschaft die Tätigkeitsbereiche und geografisch bestimmten Märkte untereinander erheblich unterscheiden;</w:t>
      </w:r>
    </w:p>
    <w:p>
      <w:pPr>
        <w:tabs>
          <w:tab w:pos="567" w:val="left"/>
        </w:tabs>
        <w:ind w:left="567" w:hanging="567"/>
      </w:pPr>
      <w:r>
        <w:t>5.</w:t>
      </w:r>
      <w:r>
        <w:tab/>
      </w:r>
      <w:r>
        <w:t>(weggefallen)</w:t>
      </w:r>
    </w:p>
    <w:p>
      <w:pPr>
        <w:tabs>
          <w:tab w:pos="567" w:val="left"/>
        </w:tabs>
        <w:ind w:left="567" w:hanging="567"/>
      </w:pPr>
      <w:r>
        <w:t>6.</w:t>
      </w:r>
      <w:r>
        <w:tab/>
      </w:r>
      <w:r>
        <w:t>(weggefallen)</w:t>
      </w:r>
    </w:p>
    <w:p>
      <w:pPr>
        <w:tabs>
          <w:tab w:pos="567" w:val="left"/>
        </w:tabs>
        <w:ind w:left="567" w:hanging="567"/>
      </w:pPr>
      <w:r>
        <w:t>7.</w:t>
      </w:r>
      <w:r>
        <w:tab/>
      </w:r>
      <w:r>
        <w:t>die durchschnittliche Zahl der während des Geschäftsjahrs beschäftigten Arbeitnehmer getrennt nach Gruppen;</w:t>
      </w:r>
    </w:p>
    <w:p>
      <w:pPr>
        <w:tabs>
          <w:tab w:pos="567" w:val="left"/>
        </w:tabs>
        <w:ind w:left="567" w:hanging="567"/>
      </w:pPr>
      <w:r>
        <w:t>8.</w:t>
      </w:r>
      <w:r>
        <w:tab/>
      </w:r>
      <w:r>
        <w:t>bei Anwendung des Umsatzkostenverfahrens (</w:t>
      </w:r>
      <w:hyperlink w:anchor="b284" w:history="1">
        <w:r>
          <w:rPr>
            <w:color w:val="0A3A8C"/>
            <w:u w:val="single"/>
          </w:rPr>
          <w:t xml:space="preserve">§ 275</w:t>
        </w:r>
      </w:hyperlink>
      <w:r>
        <w:t xml:space="preserve"> Abs. 3)</w:t>
      </w:r>
    </w:p>
    <w:p>
      <w:pPr>
        <w:tabs>
          <w:tab w:pos="1134" w:val="left"/>
        </w:tabs>
        <w:ind w:left="1134" w:hanging="567"/>
      </w:pPr>
      <w:r>
        <w:t>a)</w:t>
      </w:r>
      <w:r>
        <w:tab/>
      </w:r>
      <w:r>
        <w:t xml:space="preserve">der Materialaufwand des Geschäftsjahrs, gegliedert nach </w:t>
      </w:r>
      <w:hyperlink w:anchor="b284" w:history="1">
        <w:r>
          <w:rPr>
            <w:color w:val="0A3A8C"/>
            <w:u w:val="single"/>
          </w:rPr>
          <w:t xml:space="preserve">§ 275</w:t>
        </w:r>
      </w:hyperlink>
      <w:r>
        <w:t xml:space="preserve"> Abs. 2 Nr. 5,</w:t>
      </w:r>
    </w:p>
    <w:p>
      <w:pPr>
        <w:tabs>
          <w:tab w:pos="1134" w:val="left"/>
        </w:tabs>
        <w:ind w:left="1134" w:hanging="567"/>
      </w:pPr>
      <w:r>
        <w:t>b)</w:t>
      </w:r>
      <w:r>
        <w:tab/>
      </w:r>
      <w:r>
        <w:t xml:space="preserve">der Personalaufwand des Geschäftsjahrs, gegliedert nach </w:t>
      </w:r>
      <w:hyperlink w:anchor="b284" w:history="1">
        <w:r>
          <w:rPr>
            <w:color w:val="0A3A8C"/>
            <w:u w:val="single"/>
          </w:rPr>
          <w:t xml:space="preserve">§ 275</w:t>
        </w:r>
      </w:hyperlink>
      <w:r>
        <w:t xml:space="preserve"> Abs. 2 Nr. 6;</w:t>
      </w:r>
    </w:p>
    <w:p>
      <w:pPr>
        <w:tabs>
          <w:tab w:pos="567" w:val="left"/>
        </w:tabs>
        <w:ind w:left="567" w:hanging="567"/>
      </w:pPr>
      <w:r>
        <w:t>9.</w:t>
      </w:r>
      <w:r>
        <w:tab/>
      </w:r>
      <w:r>
        <w:t>für die Mitglieder des Geschäftsführungsorgans, eines Aufsichtsrats, eines Beirats oder einer ähnlichen Einrichtung jeweils für jede Personengruppe</w:t>
      </w:r>
    </w:p>
    <w:p>
      <w:pPr>
        <w:tabs>
          <w:tab w:pos="1134" w:val="left"/>
        </w:tabs>
        <w:ind w:left="1134" w:hanging="567"/>
      </w:pPr>
      <w:r>
        <w:t>a)</w:t>
      </w:r>
      <w:r>
        <w:tab/>
      </w:r>
      <w:r>
        <w:t xml:space="preserve">die für die Tätigkeit im Geschäftsjahr gewährten Gesamtbezüge (Gehälter, Gewinnbeteiligungen, Bezugsrechte und sonstige aktienbasierte Vergütungen, Aufwandsentschädigungen, Versicherungsentgelte, Provisionen und Nebenleistungen jeder Art). </w:t>
      </w:r>
      <w:r>
        <w:rPr>
          <w:rStyle w:val="Satznummer"/>
        </w:rPr>
        <w:t>2</w:t>
      </w:r>
      <w:r>
        <w:t xml:space="preserve">In die Gesamtbezüge sind auch Bezüge einzurechnen, die nicht ausgezahlt, sondern in Ansprüche anderer Art umgewandelt oder zur Erhöhung anderer Ansprüche verwendet werden. </w:t>
      </w:r>
      <w:r>
        <w:rPr>
          <w:rStyle w:val="Satznummer"/>
        </w:rPr>
        <w:t>3</w:t>
      </w:r>
      <w:r>
        <w:t xml:space="preserve">Außer den Bezügen für das Geschäftsjahr sind die weiteren Bezüge anzugeben, die im Geschäftsjahr gewährt, bisher aber in keinem Jahresabschluss angegeben worden sind. </w:t>
      </w:r>
      <w:r>
        <w:rPr>
          <w:rStyle w:val="Satznummer"/>
        </w:rPr>
        <w:t>4</w:t>
      </w:r>
      <w:r>
        <w:t>Bezugsrechte und sonstige aktienbasierte Vergütungen sind mit ihrer Anzahl und dem beizulegenden Zeitwert zum Zeitpunkt ihrer Gewährung anzugeben; spätere Wertveränderungen, die auf einer Änderung der Ausübungsbedingungen beruhen, sind zu berücksichtigen;</w:t>
      </w:r>
    </w:p>
    <w:p>
      <w:pPr>
        <w:tabs>
          <w:tab w:pos="1134" w:val="left"/>
        </w:tabs>
        <w:ind w:left="1134" w:hanging="567"/>
      </w:pPr>
      <w:r>
        <w:t>b)</w:t>
      </w:r>
      <w:r>
        <w:tab/>
      </w:r>
      <w:r>
        <w:t xml:space="preserve">die Gesamtbezüge (Abfindungen, Ruhegehälter, Hinterbliebenenbezüge und Leistungen verwandter Art) der früheren Mitglieder der bezeichneten Organe und ihrer Hinterbliebenen. </w:t>
      </w:r>
      <w:r>
        <w:rPr>
          <w:rStyle w:val="Satznummer"/>
        </w:rPr>
        <w:t>2</w:t>
      </w:r>
      <w:r>
        <w:t xml:space="preserve">Buchstabe a Satz 2 und 3 ist entsprechend anzuwenden. </w:t>
      </w:r>
      <w:r>
        <w:rPr>
          <w:rStyle w:val="Satznummer"/>
        </w:rPr>
        <w:t>3</w:t>
      </w:r>
      <w:r>
        <w:t>Ferner ist der Betrag der für diese Personengruppe gebildeten Rückstellungen für laufende Pensionen und Anwartschaften auf Pensionen und der Betrag der für diese Verpflichtungen nicht gebildeten Rückstellungen anzugeben;</w:t>
      </w:r>
    </w:p>
    <w:p>
      <w:pPr>
        <w:tabs>
          <w:tab w:pos="1134" w:val="left"/>
        </w:tabs>
        <w:ind w:left="1134" w:hanging="567"/>
      </w:pPr>
      <w:r>
        <w:t>c)</w:t>
      </w:r>
      <w:r>
        <w:tab/>
      </w:r>
      <w:r>
        <w:t>die gewährten Vorschüsse und Kredite unter Angabe der Zinssätze, der wesentlichen Bedingungen und der gegebenenfalls im Geschäftsjahr zurückgezahlten oder erlassenen Beträge sowie die zugunsten dieser Personen eingegangenen Haftungsverhältnisse;</w:t>
      </w:r>
    </w:p>
    <w:p>
      <w:pPr>
        <w:tabs>
          <w:tab w:pos="567" w:val="left"/>
        </w:tabs>
        <w:ind w:left="567" w:hanging="567"/>
      </w:pPr>
      <w:r>
        <w:t>10.</w:t>
      </w:r>
      <w:r>
        <w:tab/>
      </w:r>
      <w:r>
        <w:t xml:space="preserve">alle Mitglieder des Geschäftsführungsorgans und eines Aufsichtsrats, auch wenn sie im Geschäftsjahr oder später ausgeschieden sind, mit dem Familiennamen und mindestens einem ausgeschriebenen Vornamen, einschließlich des ausgeübten Berufs und bei börsennotierten Gesellschaften auch der Mitgliedschaft in Aufsichtsräten und anderen Kontrollgremien im Sinne des § 125 Abs. 1 Satz 5 des Aktiengesetzes. </w:t>
      </w:r>
      <w:r>
        <w:rPr>
          <w:rStyle w:val="Satznummer"/>
        </w:rPr>
        <w:t>2</w:t>
      </w:r>
      <w:r>
        <w:t>Der Vorsitzende eines Aufsichtsrats, seine Stellvertreter und ein etwaiger Vorsitzender des Geschäftsführungsorgans sind als solche zu bezeichnen;</w:t>
      </w:r>
    </w:p>
    <w:p>
      <w:pPr>
        <w:tabs>
          <w:tab w:pos="567" w:val="left"/>
        </w:tabs>
        <w:ind w:left="567" w:hanging="567"/>
      </w:pPr>
      <w:r>
        <w:t>11.</w:t>
      </w:r>
      <w:r>
        <w:tab/>
      </w:r>
      <w:r>
        <w:t xml:space="preserve">Name und Sitz anderer Unternehmen, die Höhe des Anteils am Kapital, das Eigenkapital und das Ergebnis des letzten Geschäftsjahrs dieser Unternehmen, für das ein Jahresabschluss vorliegt, soweit es sich um Beteiligungen im Sinne des </w:t>
      </w:r>
      <w:hyperlink w:anchor="b278" w:history="1">
        <w:r>
          <w:rPr>
            <w:color w:val="0A3A8C"/>
            <w:u w:val="single"/>
          </w:rPr>
          <w:t xml:space="preserve">§ 271</w:t>
        </w:r>
      </w:hyperlink>
      <w:r>
        <w:t xml:space="preserve"> Absatz 1 handelt oder ein solcher Anteil von einer Person für Rechnung der Kapitalgesellschaft gehalten wird;</w:t>
      </w:r>
    </w:p>
    <w:p>
      <w:pPr>
        <w:tabs>
          <w:tab w:pos="567" w:val="left"/>
        </w:tabs>
        <w:ind w:left="567" w:hanging="567"/>
      </w:pPr>
      <w:r>
        <w:t>11a.</w:t>
      </w:r>
      <w:r>
        <w:tab/>
      </w:r>
      <w:r>
        <w:t>Name, Sitz und Rechtsform der Unternehmen, deren unbeschränkt haftender Gesellschafter die Kapitalgesellschaft ist;</w:t>
      </w:r>
    </w:p>
    <w:p>
      <w:pPr>
        <w:tabs>
          <w:tab w:pos="567" w:val="left"/>
        </w:tabs>
        <w:ind w:left="567" w:hanging="567"/>
      </w:pPr>
      <w:r>
        <w:t>11b.</w:t>
      </w:r>
      <w:r>
        <w:tab/>
      </w:r>
      <w:r>
        <w:t>von börsennotierten Kapitalgesellschaften sind alle Beteiligungen an großen Kapitalgesellschaften anzugeben, die 5 Prozent der Stimmrechte überschreiten;</w:t>
      </w:r>
    </w:p>
    <w:p>
      <w:pPr>
        <w:tabs>
          <w:tab w:pos="567" w:val="left"/>
        </w:tabs>
        <w:ind w:left="567" w:hanging="567"/>
      </w:pPr>
      <w:r>
        <w:t>12.</w:t>
      </w:r>
      <w:r>
        <w:tab/>
      </w:r>
      <w:r>
        <w:t>Rückstellungen, die in der Bilanz unter dem Posten "sonstige Rückstellungen" nicht gesondert ausgewiesen werden, sind zu erläutern, wenn sie einen nicht unerheblichen Umfang haben;</w:t>
      </w:r>
    </w:p>
    <w:p>
      <w:pPr>
        <w:tabs>
          <w:tab w:pos="567" w:val="left"/>
        </w:tabs>
        <w:ind w:left="567" w:hanging="567"/>
      </w:pPr>
      <w:r>
        <w:t>13.</w:t>
      </w:r>
      <w:r>
        <w:tab/>
      </w:r>
      <w:r>
        <w:t>jeweils eine Erläuterung des Zeitraums, über den ein entgeltlich erworbener Geschäfts- oder Firmenwert abgeschrieben wird;</w:t>
      </w:r>
    </w:p>
    <w:p>
      <w:pPr>
        <w:tabs>
          <w:tab w:pos="567" w:val="left"/>
        </w:tabs>
        <w:ind w:left="567" w:hanging="567"/>
      </w:pPr>
      <w:r>
        <w:t>14.</w:t>
      </w:r>
      <w:r>
        <w:tab/>
      </w:r>
      <w:r>
        <w:t>Name und Sitz des Mutterunternehmens der Kapitalgesellschaft, das den Konzernabschluss für den größten Kreis von Unternehmen aufstellt, sowie der Ort, wo der von diesem Mutterunternehmen aufgestellte Konzernabschluss erhältlich ist;</w:t>
      </w:r>
    </w:p>
    <w:p>
      <w:pPr>
        <w:tabs>
          <w:tab w:pos="567" w:val="left"/>
        </w:tabs>
        <w:ind w:left="567" w:hanging="567"/>
      </w:pPr>
      <w:r>
        <w:t>14a.</w:t>
      </w:r>
      <w:r>
        <w:tab/>
      </w:r>
      <w:r>
        <w:t>Name und Sitz des Mutterunternehmens der Kapitalgesellschaft, das den Konzernabschluss für den kleinsten Kreis von Unternehmen aufstellt, sowie der Ort, wo der von diesem Mutterunternehmen aufgestellte Konzernabschluss erhältlich ist;</w:t>
      </w:r>
    </w:p>
    <w:p>
      <w:pPr>
        <w:tabs>
          <w:tab w:pos="567" w:val="left"/>
        </w:tabs>
        <w:ind w:left="567" w:hanging="567"/>
      </w:pPr>
      <w:r>
        <w:t>15.</w:t>
      </w:r>
      <w:r>
        <w:tab/>
      </w:r>
      <w:r>
        <w:t xml:space="preserve">soweit es sich um den Anhang des Jahresabschlusses einer Personenhandelsgesellschaft im Sinne des </w:t>
      </w:r>
      <w:hyperlink w:anchor="b266" w:history="1">
        <w:r>
          <w:rPr>
            <w:color w:val="0A3A8C"/>
            <w:u w:val="single"/>
          </w:rPr>
          <w:t xml:space="preserve">§ 264a</w:t>
        </w:r>
      </w:hyperlink>
      <w:r>
        <w:t xml:space="preserve"> Abs. 1 handelt, Name und Sitz der Gesellschaften, die persönlich haftende Gesellschafter sind, sowie deren gezeichnetes Kapital;</w:t>
      </w:r>
    </w:p>
    <w:p>
      <w:pPr>
        <w:tabs>
          <w:tab w:pos="567" w:val="left"/>
        </w:tabs>
        <w:ind w:left="567" w:hanging="567"/>
      </w:pPr>
      <w:r>
        <w:t>15a.</w:t>
      </w:r>
      <w:r>
        <w:tab/>
      </w:r>
      <w:r>
        <w:t>das Bestehen von Genussscheinen, Genussrechten, Wandelschuldverschreibungen, Optionsscheinen, Optionen, Besserungsscheinen oder vergleichbaren Wertpapieren oder Rechten, unter Angabe der Anzahl und der Rechte, die sie verbriefen;</w:t>
      </w:r>
    </w:p>
    <w:p>
      <w:pPr>
        <w:tabs>
          <w:tab w:pos="567" w:val="left"/>
        </w:tabs>
        <w:ind w:left="567" w:hanging="567"/>
      </w:pPr>
      <w:r>
        <w:t>16.</w:t>
      </w:r>
      <w:r>
        <w:tab/>
      </w:r>
      <w:r>
        <w:t>dass die nach § 161 des Aktiengesetzes vorgeschriebene Erklärung abgegeben und wo sie öffentlich zugänglich gemacht worden ist;</w:t>
      </w:r>
    </w:p>
    <w:p>
      <w:pPr>
        <w:tabs>
          <w:tab w:pos="567" w:val="left"/>
        </w:tabs>
        <w:ind w:left="567" w:hanging="567"/>
      </w:pPr>
      <w:r>
        <w:t>17.</w:t>
      </w:r>
      <w:r>
        <w:tab/>
      </w:r>
      <w:r>
        <w:t>das von dem Abschlussprüfer für das Geschäftsjahr berechnete Gesamthonorar, aufgeschlüsselt in das Honorar für</w:t>
      </w:r>
    </w:p>
    <w:p>
      <w:pPr>
        <w:tabs>
          <w:tab w:pos="1134" w:val="left"/>
        </w:tabs>
        <w:ind w:left="1134" w:hanging="567"/>
      </w:pPr>
      <w:r>
        <w:t>a)</w:t>
      </w:r>
      <w:r>
        <w:tab/>
      </w:r>
      <w:r>
        <w:t>die Abschlussprüfungsleistungen,</w:t>
      </w:r>
    </w:p>
    <w:p>
      <w:pPr>
        <w:tabs>
          <w:tab w:pos="1134" w:val="left"/>
        </w:tabs>
        <w:ind w:left="1134" w:hanging="567"/>
      </w:pPr>
      <w:r>
        <w:t>b)</w:t>
      </w:r>
      <w:r>
        <w:tab/>
      </w:r>
      <w:r>
        <w:t>andere Bestätigungsleistungen,</w:t>
      </w:r>
    </w:p>
    <w:p>
      <w:pPr>
        <w:tabs>
          <w:tab w:pos="1134" w:val="left"/>
        </w:tabs>
        <w:ind w:left="1134" w:hanging="567"/>
      </w:pPr>
      <w:r>
        <w:t>c)</w:t>
      </w:r>
      <w:r>
        <w:tab/>
      </w:r>
      <w:r>
        <w:t>Steuerberatungsleistungen,</w:t>
      </w:r>
    </w:p>
    <w:p>
      <w:pPr>
        <w:tabs>
          <w:tab w:pos="1134" w:val="left"/>
        </w:tabs>
        <w:ind w:left="1134" w:hanging="567"/>
      </w:pPr>
      <w:r>
        <w:t>d)</w:t>
      </w:r>
      <w:r>
        <w:tab/>
      </w:r>
      <w:r>
        <w:t>sonstige Leistungen,</w:t>
      </w:r>
    </w:p>
    <w:p>
      <w:pPr>
        <w:ind w:left="567"/>
      </w:pPr>
      <w:r>
        <w:t>soweit die Angaben nicht in einem das Unternehmen einbeziehenden Konzernabschluss enthalten sind;</w:t>
      </w:r>
    </w:p>
    <w:p>
      <w:pPr>
        <w:tabs>
          <w:tab w:pos="567" w:val="left"/>
        </w:tabs>
        <w:ind w:left="567" w:hanging="567"/>
      </w:pPr>
      <w:r>
        <w:t>18.</w:t>
      </w:r>
      <w:r>
        <w:tab/>
      </w:r>
      <w:r>
        <w:t xml:space="preserve">für zu den Finanzanlagen (§ 266 Abs. 2 A. III.) gehörende Finanzinstrumente, die über ihrem beizulegenden Zeitwert ausgewiesen werden, da eine außerplanmäßige Abschreibung nach </w:t>
      </w:r>
      <w:hyperlink w:anchor="b248" w:history="1">
        <w:r>
          <w:rPr>
            <w:color w:val="0A3A8C"/>
            <w:u w:val="single"/>
          </w:rPr>
          <w:t xml:space="preserve">§ 253</w:t>
        </w:r>
      </w:hyperlink>
      <w:r>
        <w:t xml:space="preserve"> Absatz 3 Satz 6 unterblieben ist,</w:t>
      </w:r>
    </w:p>
    <w:p>
      <w:pPr>
        <w:tabs>
          <w:tab w:pos="1134" w:val="left"/>
        </w:tabs>
        <w:ind w:left="1134" w:hanging="567"/>
      </w:pPr>
      <w:r>
        <w:t>a)</w:t>
      </w:r>
      <w:r>
        <w:tab/>
      </w:r>
      <w:r>
        <w:t>der Buchwert und der beizulegende Zeitwert der einzelnen Vermögensgegenstände oder angemessener Gruppierungen sowie</w:t>
      </w:r>
    </w:p>
    <w:p>
      <w:pPr>
        <w:tabs>
          <w:tab w:pos="1134" w:val="left"/>
        </w:tabs>
        <w:ind w:left="1134" w:hanging="567"/>
      </w:pPr>
      <w:r>
        <w:t>b)</w:t>
      </w:r>
      <w:r>
        <w:tab/>
      </w:r>
      <w:r>
        <w:t>die Gründe für das Unterlassen der Abschreibung einschließlich der Anhaltspunkte, die darauf hindeuten, dass die Wertminderung voraussichtlich nicht von Dauer ist;</w:t>
      </w:r>
    </w:p>
    <w:p>
      <w:pPr>
        <w:tabs>
          <w:tab w:pos="567" w:val="left"/>
        </w:tabs>
        <w:ind w:left="567" w:hanging="567"/>
      </w:pPr>
      <w:r>
        <w:t>19.</w:t>
      </w:r>
      <w:r>
        <w:tab/>
      </w:r>
      <w:r>
        <w:t>für jede Kategorie nicht zum beizulegenden Zeitwert bilanzierter derivativer Finanzinstrumente</w:t>
      </w:r>
    </w:p>
    <w:p>
      <w:pPr>
        <w:tabs>
          <w:tab w:pos="1134" w:val="left"/>
        </w:tabs>
        <w:ind w:left="1134" w:hanging="567"/>
      </w:pPr>
      <w:r>
        <w:t>a)</w:t>
      </w:r>
      <w:r>
        <w:tab/>
      </w:r>
      <w:r>
        <w:t>deren Art und Umfang,</w:t>
      </w:r>
    </w:p>
    <w:p>
      <w:pPr>
        <w:tabs>
          <w:tab w:pos="1134" w:val="left"/>
        </w:tabs>
        <w:ind w:left="1134" w:hanging="567"/>
      </w:pPr>
      <w:r>
        <w:t>b)</w:t>
      </w:r>
      <w:r>
        <w:tab/>
      </w:r>
      <w:r>
        <w:t xml:space="preserve">deren beizulegender Zeitwert, soweit er sich nach </w:t>
      </w:r>
      <w:hyperlink w:anchor="b250" w:history="1">
        <w:r>
          <w:rPr>
            <w:color w:val="0A3A8C"/>
            <w:u w:val="single"/>
          </w:rPr>
          <w:t xml:space="preserve">§ 255</w:t>
        </w:r>
      </w:hyperlink>
      <w:r>
        <w:t xml:space="preserve"> Abs. 4 verlässlich ermitteln lässt, unter Angabe der angewandten Bewertungsmethode,</w:t>
      </w:r>
    </w:p>
    <w:p>
      <w:pPr>
        <w:tabs>
          <w:tab w:pos="1134" w:val="left"/>
        </w:tabs>
        <w:ind w:left="1134" w:hanging="567"/>
      </w:pPr>
      <w:r>
        <w:t>c)</w:t>
      </w:r>
      <w:r>
        <w:tab/>
      </w:r>
      <w:r>
        <w:t>deren Buchwert und der Bilanzposten, in welchem der Buchwert, soweit vorhanden, erfasst ist, sowie</w:t>
      </w:r>
    </w:p>
    <w:p>
      <w:pPr>
        <w:tabs>
          <w:tab w:pos="1134" w:val="left"/>
        </w:tabs>
        <w:ind w:left="1134" w:hanging="567"/>
      </w:pPr>
      <w:r>
        <w:t>d)</w:t>
      </w:r>
      <w:r>
        <w:tab/>
      </w:r>
      <w:r>
        <w:t>die Gründe dafür, warum der beizulegende Zeitwert nicht bestimmt werden kann;</w:t>
      </w:r>
    </w:p>
    <w:p>
      <w:pPr>
        <w:tabs>
          <w:tab w:pos="567" w:val="left"/>
        </w:tabs>
        <w:ind w:left="567" w:hanging="567"/>
      </w:pPr>
      <w:r>
        <w:t>20.</w:t>
      </w:r>
      <w:r>
        <w:tab/>
      </w:r>
      <w:r>
        <w:t>für mit dem beizulegenden Zeitwert bewertete Finanzinstrumente</w:t>
      </w:r>
    </w:p>
    <w:p>
      <w:pPr>
        <w:tabs>
          <w:tab w:pos="1134" w:val="left"/>
        </w:tabs>
        <w:ind w:left="1134" w:hanging="567"/>
      </w:pPr>
      <w:r>
        <w:t>a)</w:t>
      </w:r>
      <w:r>
        <w:tab/>
      </w:r>
      <w:r>
        <w:t>die grundlegenden Annahmen, die der Bestimmung des beizulegenden Zeitwertes mit Hilfe allgemein anerkannter Bewertungsmethoden zugrunde gelegt wurden, sowie</w:t>
      </w:r>
    </w:p>
    <w:p>
      <w:pPr>
        <w:tabs>
          <w:tab w:pos="1134" w:val="left"/>
        </w:tabs>
        <w:ind w:left="1134" w:hanging="567"/>
      </w:pPr>
      <w:r>
        <w:t>b)</w:t>
      </w:r>
      <w:r>
        <w:tab/>
      </w:r>
      <w:r>
        <w:t>Umfang und Art jeder Kategorie derivativer Finanzinstrumente einschließlich der wesentlichen Bedingungen, welche die Höhe, den Zeitpunkt und die Sicherheit künftiger Zahlungsströme beeinflussen können;</w:t>
      </w:r>
    </w:p>
    <w:p>
      <w:pPr>
        <w:tabs>
          <w:tab w:pos="567" w:val="left"/>
        </w:tabs>
        <w:ind w:left="567" w:hanging="567"/>
      </w:pPr>
      <w:r>
        <w:t>21.</w:t>
      </w:r>
      <w:r>
        <w:tab/>
      </w:r>
      <w:r>
        <w:t>zumindest die nicht zu marktüblichen Bedingungen zustande gekommenen Geschäfte, soweit sie wesentlich sind, mit nahe stehenden Unternehmen und Personen, einschließlich Angaben zur Art der Beziehung, zum Wert der Geschäfte sowie weiterer Angaben, die für die Beurteilung der Finanzlage notwendig sind; ausgenommen sind Geschäfte mit und zwischen mittel- oder unmittelbar in 100-prozentigem Anteilsbesitz stehenden in einen Konzernabschluss einbezogenen Unternehmen; Angaben über Geschäfte können nach Geschäftsarten zusammengefasst werden, sofern die getrennte Angabe für die Beurteilung der Auswirkungen auf die Finanzlage nicht notwendig ist;</w:t>
      </w:r>
    </w:p>
    <w:p>
      <w:pPr>
        <w:tabs>
          <w:tab w:pos="567" w:val="left"/>
        </w:tabs>
        <w:ind w:left="567" w:hanging="567"/>
      </w:pPr>
      <w:r>
        <w:t>22.</w:t>
      </w:r>
      <w:r>
        <w:tab/>
      </w:r>
      <w:r>
        <w:t>im Fall der Aktivierung nach § 248 Abs. 2 der Gesamtbetrag der Forschungs- und Entwicklungskosten des Geschäftsjahrs sowie der davon auf die selbst geschaffenen immateriellen Vermögensgegenstände des Anlagevermögens entfallende Betrag;</w:t>
      </w:r>
    </w:p>
    <w:p>
      <w:pPr>
        <w:tabs>
          <w:tab w:pos="567" w:val="left"/>
        </w:tabs>
        <w:ind w:left="567" w:hanging="567"/>
      </w:pPr>
      <w:r>
        <w:t>23.</w:t>
      </w:r>
      <w:r>
        <w:tab/>
      </w:r>
      <w:r>
        <w:t xml:space="preserve">bei Anwendung des </w:t>
      </w:r>
      <w:hyperlink w:anchor="b249" w:history="1">
        <w:r>
          <w:rPr>
            <w:color w:val="0A3A8C"/>
            <w:u w:val="single"/>
          </w:rPr>
          <w:t xml:space="preserve">§ 254</w:t>
        </w:r>
      </w:hyperlink>
      <w:r>
        <w:t>,</w:t>
      </w:r>
    </w:p>
    <w:p>
      <w:pPr>
        <w:tabs>
          <w:tab w:pos="1134" w:val="left"/>
        </w:tabs>
        <w:ind w:left="1134" w:hanging="567"/>
      </w:pPr>
      <w:r>
        <w:t>a)</w:t>
      </w:r>
      <w:r>
        <w:tab/>
      </w:r>
      <w:r>
        <w:t>mit welchem Betrag jeweils Vermögensgegenstände, Schulden, schwebende Geschäfte und mit hoher Wahrscheinlichkeit erwartete Transaktionen zur Absicherung welcher Risiken in welche Arten von Bewertungseinheiten einbezogen sind sowie die Höhe der mit Bewertungseinheiten abgesicherten Risiken,</w:t>
      </w:r>
    </w:p>
    <w:p>
      <w:pPr>
        <w:tabs>
          <w:tab w:pos="1134" w:val="left"/>
        </w:tabs>
        <w:ind w:left="1134" w:hanging="567"/>
      </w:pPr>
      <w:r>
        <w:t>b)</w:t>
      </w:r>
      <w:r>
        <w:tab/>
      </w:r>
      <w:r>
        <w:t>für die jeweils abgesicherten Risiken, warum, in welchem Umfang und für welchen Zeitraum sich die gegenläufigen Wertänderungen oder Zahlungsströme künftig voraussichtlich ausgleichen einschließlich der Methode der Ermittlung,</w:t>
      </w:r>
    </w:p>
    <w:p>
      <w:pPr>
        <w:tabs>
          <w:tab w:pos="1134" w:val="left"/>
        </w:tabs>
        <w:ind w:left="1134" w:hanging="567"/>
      </w:pPr>
      <w:r>
        <w:t>c)</w:t>
      </w:r>
      <w:r>
        <w:tab/>
      </w:r>
      <w:r>
        <w:t>eine Erläuterung der mit hoher Wahrscheinlichkeit erwarteten Transaktionen, die in Bewertungseinheiten einbezogen wurden,</w:t>
      </w:r>
    </w:p>
    <w:p>
      <w:pPr>
        <w:ind w:left="567"/>
      </w:pPr>
      <w:r>
        <w:t>soweit die Angaben nicht im Lagebericht gemacht werden;</w:t>
      </w:r>
    </w:p>
    <w:p>
      <w:pPr>
        <w:tabs>
          <w:tab w:pos="567" w:val="left"/>
        </w:tabs>
        <w:ind w:left="567" w:hanging="567"/>
      </w:pPr>
      <w:r>
        <w:t>24.</w:t>
      </w:r>
      <w:r>
        <w:tab/>
      </w:r>
      <w:r>
        <w:t>zu den Rückstellungen für Pensionen und ähnliche Verpflichtungen das angewandte versicherungsmathematische Berechnungsverfahren sowie die grundlegenden Annahmen der Berechnung, wie Zinssatz, erwartete Lohn- und Gehaltssteigerungen und zugrunde gelegte Sterbetafeln;</w:t>
      </w:r>
    </w:p>
    <w:p>
      <w:pPr>
        <w:tabs>
          <w:tab w:pos="567" w:val="left"/>
        </w:tabs>
        <w:ind w:left="567" w:hanging="567"/>
      </w:pPr>
      <w:r>
        <w:t>25.</w:t>
      </w:r>
      <w:r>
        <w:tab/>
      </w:r>
      <w:r>
        <w:t xml:space="preserve">im Fall der Verrechnung von Vermögensgegenständen und Schulden nach </w:t>
      </w:r>
      <w:hyperlink w:anchor="b240" w:history="1">
        <w:r>
          <w:rPr>
            <w:color w:val="0A3A8C"/>
            <w:u w:val="single"/>
          </w:rPr>
          <w:t xml:space="preserve">§ 246</w:t>
        </w:r>
      </w:hyperlink>
      <w:r>
        <w:t xml:space="preserve"> Abs. 2 Satz 2 die Anschaffungskosten und der beizulegende Zeitwert der verrechneten Vermögensgegenstände, der Erfüllungsbetrag der verrechneten Schulden sowie die verrechneten Aufwendungen und Erträge; Nummer 20 Buchstabe a ist entsprechend anzuwenden;</w:t>
      </w:r>
    </w:p>
    <w:p>
      <w:pPr>
        <w:tabs>
          <w:tab w:pos="567" w:val="left"/>
        </w:tabs>
        <w:ind w:left="567" w:hanging="567"/>
      </w:pPr>
      <w:r>
        <w:t>26.</w:t>
      </w:r>
      <w:r>
        <w:tab/>
      </w:r>
      <w:r>
        <w:t xml:space="preserve">zu Anteilen an Sondervermögen im Sinn des § 1 Absatz 10 des Kapitalanlagegesetzbuchs oder Anlageaktien an Investmentaktiengesellschaften mit veränderlichem Kapital im Sinn der §§ 108 bis 123 des Kapitalanlagegesetzbuchs oder vergleichbaren EU-Investmentvermögen oder vergleichbaren ausländischen Investmentvermögen von mehr als dem zehnten Teil, aufgegliedert nach Anlagezielen, deren Wert im Sinne der §§ 168, 278 oder 286 Absatz 1 des Kapitalanlagegesetzbuchs oder vergleichbarer ausländischer Vorschriften über die Ermittlung des Marktwertes, die Differenz zum Buchwert und die für das Geschäftsjahr erfolgte Ausschüttung sowie Beschränkungen in der Möglichkeit der täglichen Rückgabe; darüber hinaus die Gründe dafür, dass eine Abschreibung gemäß </w:t>
      </w:r>
      <w:hyperlink w:anchor="b248" w:history="1">
        <w:r>
          <w:rPr>
            <w:color w:val="0A3A8C"/>
            <w:u w:val="single"/>
          </w:rPr>
          <w:t xml:space="preserve">§ 253</w:t>
        </w:r>
      </w:hyperlink>
      <w:r>
        <w:t xml:space="preserve"> Absatz 3 Satz 6 unterblieben ist, einschließlich der Anhaltspunkte, die darauf hindeuten, dass die Wertminderung voraussichtlich nicht von Dauer ist; Nummer 18 ist insoweit nicht anzuwenden;</w:t>
      </w:r>
    </w:p>
    <w:p>
      <w:pPr>
        <w:tabs>
          <w:tab w:pos="567" w:val="left"/>
        </w:tabs>
        <w:ind w:left="567" w:hanging="567"/>
      </w:pPr>
      <w:r>
        <w:t>27.</w:t>
      </w:r>
      <w:r>
        <w:tab/>
      </w:r>
      <w:r>
        <w:t>für nach § 268 Abs. 7 im Anhang ausgewiesene Verbindlichkeiten und Haftungsverhältnisse die Gründe der Einschätzung des Risikos der Inanspruchnahme;</w:t>
      </w:r>
    </w:p>
    <w:p>
      <w:pPr>
        <w:tabs>
          <w:tab w:pos="567" w:val="left"/>
        </w:tabs>
        <w:ind w:left="567" w:hanging="567"/>
      </w:pPr>
      <w:r>
        <w:t>28.</w:t>
      </w:r>
      <w:r>
        <w:tab/>
      </w:r>
      <w:r>
        <w:t xml:space="preserve">der Gesamtbetrag der Beträge im Sinn des </w:t>
      </w:r>
      <w:hyperlink w:anchor="b275" w:history="1">
        <w:r>
          <w:rPr>
            <w:color w:val="0A3A8C"/>
            <w:u w:val="single"/>
          </w:rPr>
          <w:t xml:space="preserve">§ 268</w:t>
        </w:r>
      </w:hyperlink>
      <w:r>
        <w:t xml:space="preserve"> Abs. 8, aufgegliedert in Beträge aus der Aktivierung selbst geschaffener immaterieller Vermögensgegenstände des Anlagevermögens, Beträge aus der Aktivierung latenter Steuern und aus der Aktivierung von Vermögensgegenständen zum beizulegenden Zeitwert;</w:t>
      </w:r>
    </w:p>
    <w:p>
      <w:pPr>
        <w:tabs>
          <w:tab w:pos="567" w:val="left"/>
        </w:tabs>
        <w:ind w:left="567" w:hanging="567"/>
      </w:pPr>
      <w:r>
        <w:t>29.</w:t>
      </w:r>
      <w:r>
        <w:tab/>
      </w:r>
      <w:r>
        <w:t>auf welchen Differenzen oder steuerlichen Verlustvorträgen die latenten Steuern beruhen und mit welchen Steuersätzen die Bewertung erfolgt ist;</w:t>
      </w:r>
    </w:p>
    <w:p>
      <w:pPr>
        <w:tabs>
          <w:tab w:pos="567" w:val="left"/>
        </w:tabs>
        <w:ind w:left="567" w:hanging="567"/>
      </w:pPr>
      <w:r>
        <w:t>30.</w:t>
      </w:r>
      <w:r>
        <w:tab/>
      </w:r>
      <w:r>
        <w:t>wenn latente Steuerschulden in der Bilanz angesetzt werden, die latenten Steuersalden am Ende des Geschäftsjahrs und die im Laufe des Geschäftsjahrs erfolgten Änderungen dieser Salden;</w:t>
      </w:r>
    </w:p>
    <w:p>
      <w:pPr>
        <w:tabs>
          <w:tab w:pos="567" w:val="left"/>
        </w:tabs>
        <w:ind w:left="567" w:hanging="567"/>
      </w:pPr>
      <w:r>
        <w:t>30a.</w:t>
      </w:r>
      <w:r>
        <w:tab/>
      </w:r>
      <w:r>
        <w:t xml:space="preserve">der tatsächliche Steueraufwand oder Steuerertrag, der sich nach dem Mindeststeuergesetz und ausländischen Mindeststeuergesetzen nach </w:t>
      </w:r>
      <w:hyperlink w:anchor="b281" w:history="1">
        <w:r>
          <w:rPr>
            <w:color w:val="0A3A8C"/>
            <w:u w:val="single"/>
          </w:rPr>
          <w:t xml:space="preserve">§ 274</w:t>
        </w:r>
      </w:hyperlink>
      <w:r>
        <w:t xml:space="preserve"> Absatz 3 Nummer 2 für das Geschäftsjahr ergibt, oder, wenn diese Gesetze noch nicht in Kraft getreten sind, eine Erläuterung, welche Auswirkungen auf die Kapitalgesellschaft bei der Anwendung dieser Gesetze zu erwarten sind;</w:t>
      </w:r>
    </w:p>
    <w:p>
      <w:pPr>
        <w:tabs>
          <w:tab w:pos="567" w:val="left"/>
        </w:tabs>
        <w:ind w:left="567" w:hanging="567"/>
      </w:pPr>
      <w:r>
        <w:t>31.</w:t>
      </w:r>
      <w:r>
        <w:tab/>
      </w:r>
      <w:r>
        <w:t>jeweils der Betrag und die Art der einzelnen Erträge und Aufwendungen von außergewöhnlicher Größenordnung oder außergewöhnlicher Bedeutung, soweit die Beträge nicht von untergeordneter Bedeutung sind;</w:t>
      </w:r>
    </w:p>
    <w:p>
      <w:pPr>
        <w:tabs>
          <w:tab w:pos="567" w:val="left"/>
        </w:tabs>
        <w:ind w:left="567" w:hanging="567"/>
      </w:pPr>
      <w:r>
        <w:t>32.</w:t>
      </w:r>
      <w:r>
        <w:tab/>
      </w:r>
      <w:r>
        <w:t>eine Erläuterung der einzelnen Erträge und Aufwendungen hinsichtlich ihres Betrags und ihrer Art, die einem anderen Geschäftsjahr zuzurechnen sind, soweit die Beträge nicht von untergeordneter Bedeutung sind;</w:t>
      </w:r>
    </w:p>
    <w:p>
      <w:pPr>
        <w:tabs>
          <w:tab w:pos="567" w:val="left"/>
        </w:tabs>
        <w:ind w:left="567" w:hanging="567"/>
      </w:pPr>
      <w:r>
        <w:t>33.</w:t>
      </w:r>
      <w:r>
        <w:tab/>
      </w:r>
      <w:r>
        <w:t>Vorgänge von besonderer Bedeutung, die nach dem Schluss des Geschäftsjahrs eingetreten und weder in der Gewinn- und Verlustrechnung noch in der Bilanz berücksichtigt sind, unter Angabe ihrer Art und ihrer finanziellen Auswirkungen;</w:t>
      </w:r>
    </w:p>
    <w:p>
      <w:pPr>
        <w:tabs>
          <w:tab w:pos="567" w:val="left"/>
        </w:tabs>
        <w:ind w:left="567" w:hanging="567"/>
      </w:pPr>
      <w:r>
        <w:t>34.</w:t>
      </w:r>
      <w:r>
        <w:tab/>
      </w:r>
      <w:r>
        <w:t>der Vorschlag für die Verwendung des Ergebnisses oder der Beschluss über seine Verwendung.</w:t>
      </w:r>
    </w:p>
    <w:p>
      <w:pPr>
        <w:pStyle w:val="Heading5"/>
      </w:pPr>
      <w:bookmarkStart w:id="294" w:name="b293"/>
      <w:r>
        <w:t>§ 286 Unterlassen von Angaben</w:t>
      </w:r>
      <w:r>
        <w:t xml:space="preserve"> </w:t>
      </w:r>
      <w:r>
        <w:rPr>
          <w:rStyle w:val="Suchmarke"/>
        </w:rPr>
        <w:t>#286#</w:t>
      </w:r>
      <w:bookmarkEnd w:id="294"/>
    </w:p>
    <w:p>
      <w:r>
        <w:t>(1) Die Berichterstattung hat insoweit zu unterbleiben, als es für das Wohl der Bundesrepublik Deutschland oder eines ihrer Länder erforderlich ist.</w:t>
      </w:r>
    </w:p>
    <w:p>
      <w:r>
        <w:t xml:space="preserve">(2) Die Aufgliederung der Umsatzerlöse nach </w:t>
      </w:r>
      <w:hyperlink w:anchor="b292" w:history="1">
        <w:r>
          <w:rPr>
            <w:color w:val="0A3A8C"/>
            <w:u w:val="single"/>
          </w:rPr>
          <w:t xml:space="preserve">§ 285</w:t>
        </w:r>
      </w:hyperlink>
      <w:r>
        <w:t xml:space="preserve"> Nr. 4 kann unterbleiben, soweit die Aufgliederung nach vernünftiger kaufmännischer Beurteilung geeignet ist, der Kapitalgesellschaft einen erheblichen Nachteil zuzufügen; die Anwendung der Ausnahmeregelung ist im Anhang anzugeben.</w:t>
      </w:r>
    </w:p>
    <w:p>
      <w:r>
        <w:t xml:space="preserve">(3) </w:t>
      </w:r>
      <w:r>
        <w:rPr>
          <w:rStyle w:val="Satznummer"/>
        </w:rPr>
        <w:t>1</w:t>
      </w:r>
      <w:r>
        <w:t xml:space="preserve">Die Angaben nach </w:t>
      </w:r>
      <w:hyperlink w:anchor="b292" w:history="1">
        <w:r>
          <w:rPr>
            <w:color w:val="0A3A8C"/>
            <w:u w:val="single"/>
          </w:rPr>
          <w:t xml:space="preserve">§ 285</w:t>
        </w:r>
      </w:hyperlink>
      <w:r>
        <w:t xml:space="preserve"> Nr. 11 und 11b können unterbleiben, soweit sie</w:t>
      </w:r>
    </w:p>
    <w:p>
      <w:pPr>
        <w:tabs>
          <w:tab w:pos="567" w:val="left"/>
        </w:tabs>
        <w:ind w:left="567" w:hanging="567"/>
      </w:pPr>
      <w:r>
        <w:t>1.</w:t>
      </w:r>
      <w:r>
        <w:tab/>
      </w:r>
      <w:r>
        <w:t>für die Darstellung der Vermögens-, Finanz- und Ertragslage der Kapitalgesellschaft nach § 264 Abs. 2 von untergeordneter Bedeutung sind oder</w:t>
      </w:r>
    </w:p>
    <w:p>
      <w:pPr>
        <w:tabs>
          <w:tab w:pos="567" w:val="left"/>
        </w:tabs>
        <w:ind w:left="567" w:hanging="567"/>
      </w:pPr>
      <w:r>
        <w:t>2.</w:t>
      </w:r>
      <w:r>
        <w:tab/>
      </w:r>
      <w:r>
        <w:t>nach vernünftiger kaufmännischer Beurteilung geeignet sind, der Kapitalgesellschaft oder dem anderen Unternehmen einen erheblichen Nachteil zuzufügen.</w:t>
      </w:r>
    </w:p>
    <w:p>
      <w:r>
        <w:rPr>
          <w:rStyle w:val="Satznummer"/>
        </w:rPr>
        <w:t>2</w:t>
      </w:r>
      <w:r>
        <w:t xml:space="preserve">Die Angabe des Eigenkapitals und des Jahresergebnisses kann unterbleiben, wenn das Unternehmen, über das zu berichten ist, seinen Jahresabschluß nicht offenzulegen hat und die berichtende Kapitalgesellschaft keinen beherrschenden Einfluss auf das betreffende Unternehmen ausüben kann. </w:t>
      </w:r>
      <w:r>
        <w:rPr>
          <w:rStyle w:val="Satznummer"/>
        </w:rPr>
        <w:t>3</w:t>
      </w:r>
      <w:r>
        <w:t>Satz 1 Nr. 2 ist nicht anzuwenden, wenn die Kapitalgesellschaft oder eines ihrer Tochterunternehmen (</w:t>
      </w:r>
      <w:hyperlink w:anchor="b306" w:history="1">
        <w:r>
          <w:rPr>
            <w:color w:val="0A3A8C"/>
            <w:u w:val="single"/>
          </w:rPr>
          <w:t xml:space="preserve">§ 290</w:t>
        </w:r>
      </w:hyperlink>
      <w:r>
        <w:t xml:space="preserve"> Abs. 1 und 2) am Abschlussstichtag kapitalmarktorientiert im Sinn des </w:t>
      </w:r>
      <w:hyperlink w:anchor="b269" w:history="1">
        <w:r>
          <w:rPr>
            <w:color w:val="0A3A8C"/>
            <w:u w:val="single"/>
          </w:rPr>
          <w:t xml:space="preserve">§ 264d</w:t>
        </w:r>
      </w:hyperlink>
      <w:r>
        <w:t xml:space="preserve"> ist. </w:t>
      </w:r>
      <w:r>
        <w:rPr>
          <w:rStyle w:val="Satznummer"/>
        </w:rPr>
        <w:t>4</w:t>
      </w:r>
      <w:r>
        <w:t>Im Übrigen ist die Anwendung der Ausnahmeregelung nach Satz 1 Nr. 2 im Anhang anzugeben.</w:t>
      </w:r>
    </w:p>
    <w:p>
      <w:r>
        <w:t>(4) Bei Gesellschaften, die keine börsennotierten Aktiengesellschaften sind, können die in § 285 Nr. 9 Buchstabe a und b verlangten Angaben über die Gesamtbezüge der dort bezeichneten Personen unterbleiben, wenn sich anhand dieser Angaben die Bezüge eines Mitglieds dieser Organe feststellen lassen.</w:t>
      </w:r>
    </w:p>
    <w:p>
      <w:r>
        <w:t>(5) (weggefallen)</w:t>
      </w:r>
    </w:p>
    <w:p>
      <w:pPr>
        <w:pStyle w:val="Heading5"/>
      </w:pPr>
      <w:bookmarkStart w:id="295" w:name="b294"/>
      <w:r>
        <w:t>§ 287 (weggefallen)</w:t>
      </w:r>
      <w:r>
        <w:t xml:space="preserve"> </w:t>
      </w:r>
      <w:r>
        <w:rPr>
          <w:rStyle w:val="Suchmarke"/>
        </w:rPr>
        <w:t>#287#</w:t>
      </w:r>
      <w:bookmarkEnd w:id="295"/>
    </w:p>
    <w:p>
      <w:pPr>
        <w:pStyle w:val="Heading5"/>
      </w:pPr>
      <w:bookmarkStart w:id="296" w:name="b295"/>
      <w:r>
        <w:t>§ 288 Größenabhängige Erleichterungen</w:t>
      </w:r>
      <w:r>
        <w:t xml:space="preserve"> </w:t>
      </w:r>
      <w:r>
        <w:rPr>
          <w:rStyle w:val="Suchmarke"/>
        </w:rPr>
        <w:t>#288#</w:t>
      </w:r>
      <w:bookmarkEnd w:id="296"/>
    </w:p>
    <w:p>
      <w:r>
        <w:t>(1) Kleine Kapitalgesellschaften (</w:t>
      </w:r>
      <w:hyperlink w:anchor="b273" w:history="1">
        <w:r>
          <w:rPr>
            <w:color w:val="0A3A8C"/>
            <w:u w:val="single"/>
          </w:rPr>
          <w:t xml:space="preserve">§ 267</w:t>
        </w:r>
      </w:hyperlink>
      <w:r>
        <w:t xml:space="preserve"> Absatz 1) brauchen nicht</w:t>
      </w:r>
    </w:p>
    <w:p>
      <w:pPr>
        <w:tabs>
          <w:tab w:pos="567" w:val="left"/>
        </w:tabs>
        <w:ind w:left="567" w:hanging="567"/>
      </w:pPr>
      <w:r>
        <w:t>1.</w:t>
      </w:r>
      <w:r>
        <w:tab/>
      </w:r>
      <w:r>
        <w:t>die Angaben nach § 264c Absatz 2 Satz 9, § 265 Absatz 4 Satz 2, § 284 Absatz 2 Nummer 3, Absatz 3, § 285 Nummer 2, 3, 4, 8, 9 Buchstabe a und b, Nummer 10 bis 12, 14, 15, 15a, 17 bis 19, 21, 22, 24, 26 bis 30a, 32 bis 34 zu machen;</w:t>
      </w:r>
    </w:p>
    <w:p>
      <w:pPr>
        <w:tabs>
          <w:tab w:pos="567" w:val="left"/>
        </w:tabs>
        <w:ind w:left="567" w:hanging="567"/>
      </w:pPr>
      <w:r>
        <w:t>2.</w:t>
      </w:r>
      <w:r>
        <w:tab/>
      </w:r>
      <w:r>
        <w:t xml:space="preserve">eine Trennung nach Gruppen bei der Angabe nach </w:t>
      </w:r>
      <w:hyperlink w:anchor="b292" w:history="1">
        <w:r>
          <w:rPr>
            <w:color w:val="0A3A8C"/>
            <w:u w:val="single"/>
          </w:rPr>
          <w:t xml:space="preserve">§ 285</w:t>
        </w:r>
      </w:hyperlink>
      <w:r>
        <w:t xml:space="preserve"> Nummer 7 vorzunehmen;</w:t>
      </w:r>
    </w:p>
    <w:p>
      <w:pPr>
        <w:tabs>
          <w:tab w:pos="567" w:val="left"/>
        </w:tabs>
        <w:ind w:left="567" w:hanging="567"/>
      </w:pPr>
      <w:r>
        <w:t>3.</w:t>
      </w:r>
      <w:r>
        <w:tab/>
      </w:r>
      <w:r>
        <w:t>bei der Angabe nach § 285 Nummer 14a den Ort anzugeben, wo der vom Mutterunternehmen aufgestellte Konzernabschluss erhältlich ist.</w:t>
      </w:r>
    </w:p>
    <w:p>
      <w:r>
        <w:t xml:space="preserve">(2) </w:t>
      </w:r>
      <w:r>
        <w:rPr>
          <w:rStyle w:val="Satznummer"/>
        </w:rPr>
        <w:t>1</w:t>
      </w:r>
      <w:r>
        <w:t>Mittelgroße Kapitalgesellschaften (</w:t>
      </w:r>
      <w:hyperlink w:anchor="b273" w:history="1">
        <w:r>
          <w:rPr>
            <w:color w:val="0A3A8C"/>
            <w:u w:val="single"/>
          </w:rPr>
          <w:t xml:space="preserve">§ 267</w:t>
        </w:r>
      </w:hyperlink>
      <w:r>
        <w:t xml:space="preserve"> Absatz 2) brauchen die Angabe nach </w:t>
      </w:r>
      <w:hyperlink w:anchor="b292" w:history="1">
        <w:r>
          <w:rPr>
            <w:color w:val="0A3A8C"/>
            <w:u w:val="single"/>
          </w:rPr>
          <w:t xml:space="preserve">§ 285</w:t>
        </w:r>
      </w:hyperlink>
      <w:r>
        <w:t xml:space="preserve"> Nummer 4, 29 und 32 nicht zu machen. </w:t>
      </w:r>
      <w:r>
        <w:rPr>
          <w:rStyle w:val="Satznummer"/>
        </w:rPr>
        <w:t>2</w:t>
      </w:r>
      <w:r>
        <w:t xml:space="preserve">Wenn sie die Angabe nach </w:t>
      </w:r>
      <w:hyperlink w:anchor="b292" w:history="1">
        <w:r>
          <w:rPr>
            <w:color w:val="0A3A8C"/>
            <w:u w:val="single"/>
          </w:rPr>
          <w:t xml:space="preserve">§ 285</w:t>
        </w:r>
      </w:hyperlink>
      <w:r>
        <w:t xml:space="preserve"> Nummer 17 nicht machen, sind sie verpflichtet, diese der Wirtschaftsprüferkammer auf deren schriftliche Anforderung zu übermitteln. </w:t>
      </w:r>
      <w:r>
        <w:rPr>
          <w:rStyle w:val="Satznummer"/>
        </w:rPr>
        <w:t>3</w:t>
      </w:r>
      <w:r>
        <w:t xml:space="preserve">Sie brauchen die Angaben nach </w:t>
      </w:r>
      <w:hyperlink w:anchor="b292" w:history="1">
        <w:r>
          <w:rPr>
            <w:color w:val="0A3A8C"/>
            <w:u w:val="single"/>
          </w:rPr>
          <w:t xml:space="preserve">§ 285</w:t>
        </w:r>
      </w:hyperlink>
      <w:r>
        <w:t xml:space="preserve"> Nummer 21 nur zu machen, sofern die Geschäfte direkt oder indirekt mit einem Gesellschafter, Unternehmen, an denen die Gesellschaft selbst eine Beteiligung hält, oder Mitgliedern des Geschäftsführungs-, Aufsichts- oder Verwaltungsorgans abgeschlossen wurden.</w:t>
      </w:r>
    </w:p>
    <w:p>
      <w:pPr>
        <w:pStyle w:val="Heading4"/>
      </w:pPr>
      <w:bookmarkStart w:id="297" w:name="b296"/>
      <w:r>
        <w:t>Sechster Titel Lagebericht</w:t>
      </w:r>
      <w:bookmarkEnd w:id="297"/>
    </w:p>
    <w:p>
      <w:pPr>
        <w:pStyle w:val="Heading5"/>
      </w:pPr>
      <w:bookmarkStart w:id="298" w:name="b297"/>
      <w:r>
        <w:t>§ 289 Inhalt des Lageberichts</w:t>
      </w:r>
      <w:r>
        <w:t xml:space="preserve"> </w:t>
      </w:r>
      <w:r>
        <w:rPr>
          <w:rStyle w:val="Suchmarke"/>
        </w:rPr>
        <w:t>#289#</w:t>
      </w:r>
      <w:bookmarkEnd w:id="298"/>
    </w:p>
    <w:p>
      <w:r>
        <w:t xml:space="preserve">(1) </w:t>
      </w:r>
      <w:r>
        <w:rPr>
          <w:rStyle w:val="Satznummer"/>
        </w:rPr>
        <w:t>1</w:t>
      </w:r>
      <w:r>
        <w:t xml:space="preserve">Im Lagebericht sind der Geschäftsverlauf einschließlich des Geschäftsergebnisses und die Lage der Kapitalgesellschaft so darzustellen, dass ein den tatsächlichen Verhältnissen entsprechendes Bild vermittelt wird. </w:t>
      </w:r>
      <w:r>
        <w:rPr>
          <w:rStyle w:val="Satznummer"/>
        </w:rPr>
        <w:t>2</w:t>
      </w:r>
      <w:r>
        <w:t xml:space="preserve">Er hat eine ausgewogene und umfassende, dem Umfang und der Komplexität der Geschäftstätigkeit entsprechende Analyse des Geschäftsverlaufs und der Lage der Gesellschaft zu enthalten. </w:t>
      </w:r>
      <w:r>
        <w:rPr>
          <w:rStyle w:val="Satznummer"/>
        </w:rPr>
        <w:t>3</w:t>
      </w:r>
      <w:r>
        <w:t xml:space="preserve">In die Analyse sind die für die Geschäftstätigkeit bedeutsamsten finanziellen Leistungsindikatoren einzubeziehen und unter Bezugnahme auf die im Jahresabschluss ausgewiesenen Beträge und Angaben zu erläutern. </w:t>
      </w:r>
      <w:r>
        <w:rPr>
          <w:rStyle w:val="Satznummer"/>
        </w:rPr>
        <w:t>4</w:t>
      </w:r>
      <w:r>
        <w:t xml:space="preserve">Ferner ist im Lagebericht die voraussichtliche Entwicklung mit ihren wesentlichen Chancen und Risiken zu beurteilen und zu erläutern; zugrunde liegende Annahmen sind anzugeben. </w:t>
      </w:r>
      <w:r>
        <w:rPr>
          <w:rStyle w:val="Satznummer"/>
        </w:rPr>
        <w:t>5</w:t>
      </w:r>
      <w:r>
        <w:t xml:space="preserve">Die Mitglieder des vertretungsberechtigten Organs einer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haben in einer dem Lagebericht beizufügenden schriftlichen Erklärung zu versichern, dass im Lagebericht nach bestem Wissen der Geschäftsverlauf einschließlich des Geschäftsergebnisses und die Lage der Kapitalgesellschaft so dargestellt sind, dass ein den tatsächlichen Verhältnissen entsprechendes Bild vermittelt wird und dass die wesentlichen Chancen und Risiken im Sinne des Satzes 4 beschrieben sind.</w:t>
      </w:r>
    </w:p>
    <w:p>
      <w:r>
        <w:t xml:space="preserve">(2) </w:t>
      </w:r>
      <w:r>
        <w:rPr>
          <w:rStyle w:val="Satznummer"/>
        </w:rPr>
        <w:t>1</w:t>
      </w:r>
      <w:r>
        <w:t>Im Lagebericht ist auch einzugehen auf:</w:t>
      </w:r>
    </w:p>
    <w:p>
      <w:pPr>
        <w:tabs>
          <w:tab w:pos="567" w:val="left"/>
        </w:tabs>
        <w:ind w:left="567" w:hanging="567"/>
      </w:pPr>
      <w:r>
        <w:t>1.</w:t>
      </w:r>
      <w:r>
        <w:tab/>
      </w:r>
    </w:p>
    <w:p>
      <w:pPr>
        <w:tabs>
          <w:tab w:pos="1134" w:val="left"/>
        </w:tabs>
        <w:ind w:left="1134" w:hanging="567"/>
      </w:pPr>
      <w:r>
        <w:t>a)</w:t>
      </w:r>
      <w:r>
        <w:tab/>
      </w:r>
      <w:r>
        <w:t>die Risikomanagementziele und -methoden der Gesellschaft einschließlich ihrer Methoden zur Absicherung aller wichtigen Arten von Transaktionen, die im Rahmen der Bilanzierung von Sicherungsgeschäften erfasst werden, sowie</w:t>
      </w:r>
    </w:p>
    <w:p>
      <w:pPr>
        <w:tabs>
          <w:tab w:pos="1134" w:val="left"/>
        </w:tabs>
        <w:ind w:left="1134" w:hanging="567"/>
      </w:pPr>
      <w:r>
        <w:t>b)</w:t>
      </w:r>
      <w:r>
        <w:tab/>
      </w:r>
      <w:r>
        <w:t>die Preisänderungs-, Ausfall- und Liquiditätsrisiken sowie die Risiken aus Zahlungsstromschwankungen, denen die Gesellschaft ausgesetzt ist,</w:t>
      </w:r>
    </w:p>
    <w:p>
      <w:pPr>
        <w:ind w:left="567"/>
      </w:pPr>
      <w:r>
        <w:t>jeweils in Bezug auf die Verwendung von Finanzinstrumenten durch die Gesellschaft und sofern dies für die Beurteilung der Lage oder der voraussichtlichen Entwicklung von Belang ist;</w:t>
      </w:r>
    </w:p>
    <w:p>
      <w:pPr>
        <w:tabs>
          <w:tab w:pos="567" w:val="left"/>
        </w:tabs>
        <w:ind w:left="567" w:hanging="567"/>
      </w:pPr>
      <w:r>
        <w:t>2.</w:t>
      </w:r>
      <w:r>
        <w:tab/>
      </w:r>
      <w:r>
        <w:t>den Bereich Forschung und Entwicklung sowie</w:t>
      </w:r>
    </w:p>
    <w:p>
      <w:pPr>
        <w:tabs>
          <w:tab w:pos="567" w:val="left"/>
        </w:tabs>
        <w:ind w:left="567" w:hanging="567"/>
      </w:pPr>
      <w:r>
        <w:t>3.</w:t>
      </w:r>
      <w:r>
        <w:tab/>
      </w:r>
      <w:r>
        <w:t>bestehende Zweigniederlassungen der Gesellschaft.</w:t>
      </w:r>
    </w:p>
    <w:p>
      <w:pPr>
        <w:tabs>
          <w:tab w:pos="567" w:val="left"/>
        </w:tabs>
        <w:ind w:left="567" w:hanging="567"/>
      </w:pPr>
      <w:r>
        <w:t>4.</w:t>
      </w:r>
      <w:r>
        <w:tab/>
      </w:r>
      <w:r>
        <w:t>(weggefallen)</w:t>
      </w:r>
    </w:p>
    <w:p>
      <w:r>
        <w:rPr>
          <w:rStyle w:val="Satznummer"/>
        </w:rPr>
        <w:t>2</w:t>
      </w:r>
      <w:r>
        <w:t>Sind im Anhang Angaben nach § 160 Absatz 1 Nummer 2 des Aktiengesetzes zu machen, ist im Lagebericht darauf zu verweisen.</w:t>
      </w:r>
    </w:p>
    <w:p>
      <w:r>
        <w:t>(3) Bei einer großen Kapitalgesellschaft (</w:t>
      </w:r>
      <w:hyperlink w:anchor="b273" w:history="1">
        <w:r>
          <w:rPr>
            <w:color w:val="0A3A8C"/>
            <w:u w:val="single"/>
          </w:rPr>
          <w:t xml:space="preserve">§ 267</w:t>
        </w:r>
      </w:hyperlink>
      <w:r>
        <w:t xml:space="preserve"> Abs. 3) gilt Absatz 1 Satz 3 entsprechend für nichtfinanzielle Leistungsindikatoren, wie Informationen über Umwelt- und Arbeitnehmerbelange, soweit sie für das Verständnis des Geschäftsverlaufs oder der Lage von Bedeutung sind.</w:t>
      </w:r>
    </w:p>
    <w:p>
      <w:r>
        <w:t xml:space="preserve">(4) Kapitalgesellschaften im Sinn des </w:t>
      </w:r>
      <w:hyperlink w:anchor="b269" w:history="1">
        <w:r>
          <w:rPr>
            <w:color w:val="0A3A8C"/>
            <w:u w:val="single"/>
          </w:rPr>
          <w:t xml:space="preserve">§ 264d</w:t>
        </w:r>
      </w:hyperlink>
      <w:r>
        <w:t xml:space="preserve"> haben im Lagebericht die wesentlichen Merkmale des internen Kontroll- und des Risikomanagementsystems im Hinblick auf den Rechnungslegungsprozess zu beschreiben.</w:t>
      </w:r>
    </w:p>
    <w:p>
      <w:pPr>
        <w:pStyle w:val="Heading5"/>
      </w:pPr>
      <w:bookmarkStart w:id="299" w:name="b298"/>
      <w:r>
        <w:t>§ 289a Ergänzende Vorgaben für bestimmte Aktiengesellschaften und Kommanditgesellschaften auf Aktien</w:t>
      </w:r>
      <w:r>
        <w:t xml:space="preserve"> </w:t>
      </w:r>
      <w:r>
        <w:rPr>
          <w:rStyle w:val="Suchmarke"/>
        </w:rPr>
        <w:t>#289a#</w:t>
      </w:r>
      <w:bookmarkEnd w:id="299"/>
    </w:p>
    <w:p>
      <w:r>
        <w:rPr>
          <w:rStyle w:val="Satznummer"/>
        </w:rPr>
        <w:t>1</w:t>
      </w:r>
      <w:r>
        <w:t>Aktiengesellschaften und Kommanditgesellschaften auf Aktien, die einen organisierten Markt im Sinne des § 2 Absatz 7 des Wertpapiererwerbs- und Übernahmegesetzes durch von ihnen ausgegebene stimmberechtigte Aktien in Anspruch nehmen, haben im Lagebericht außerdem anzugeben:</w:t>
      </w:r>
    </w:p>
    <w:p>
      <w:pPr>
        <w:tabs>
          <w:tab w:pos="567" w:val="left"/>
        </w:tabs>
        <w:ind w:left="567" w:hanging="567"/>
      </w:pPr>
      <w:r>
        <w:t>1.</w:t>
      </w:r>
      <w:r>
        <w:tab/>
      </w:r>
      <w:r>
        <w:t>die Zusammensetzung des gezeichneten Kapitals unter gesondertem Ausweis der mit jeder Gattung verbundenen Rechte und Pflichten und des Anteils am Gesellschaftskapital;</w:t>
      </w:r>
    </w:p>
    <w:p>
      <w:pPr>
        <w:tabs>
          <w:tab w:pos="567" w:val="left"/>
        </w:tabs>
        <w:ind w:left="567" w:hanging="567"/>
      </w:pPr>
      <w:r>
        <w:t>2.</w:t>
      </w:r>
      <w:r>
        <w:tab/>
      </w:r>
      <w:r>
        <w:t>Beschränkungen, die Stimmrechte oder die Übertragung von Aktien betreffen, auch wenn sie sich aus Vereinbarungen zwischen Gesellschaftern ergeben können, soweit sie dem Vorstand der Gesellschaft bekannt sind;</w:t>
      </w:r>
    </w:p>
    <w:p>
      <w:pPr>
        <w:tabs>
          <w:tab w:pos="567" w:val="left"/>
        </w:tabs>
        <w:ind w:left="567" w:hanging="567"/>
      </w:pPr>
      <w:r>
        <w:t>3.</w:t>
      </w:r>
      <w:r>
        <w:tab/>
      </w:r>
      <w:r>
        <w:t>direkte oder indirekte Beteiligungen am Kapital, die 10 Prozent der Stimmrechte überschreiten;</w:t>
      </w:r>
    </w:p>
    <w:p>
      <w:pPr>
        <w:tabs>
          <w:tab w:pos="567" w:val="left"/>
        </w:tabs>
        <w:ind w:left="567" w:hanging="567"/>
      </w:pPr>
      <w:r>
        <w:t>4.</w:t>
      </w:r>
      <w:r>
        <w:tab/>
      </w:r>
      <w:r>
        <w:t>die Inhaber von Aktien mit Sonderrechten, die Kontrollbefugnisse verleihen, und eine Beschreibung dieser Sonderrechte;</w:t>
      </w:r>
    </w:p>
    <w:p>
      <w:pPr>
        <w:tabs>
          <w:tab w:pos="567" w:val="left"/>
        </w:tabs>
        <w:ind w:left="567" w:hanging="567"/>
      </w:pPr>
      <w:r>
        <w:t>5.</w:t>
      </w:r>
      <w:r>
        <w:tab/>
      </w:r>
      <w:r>
        <w:t>die Art der Stimmrechtskontrolle, wenn Arbeitnehmer am Kapital beteiligt sind und ihre Kontrollrechte nicht unmittelbar ausüben;</w:t>
      </w:r>
    </w:p>
    <w:p>
      <w:pPr>
        <w:tabs>
          <w:tab w:pos="567" w:val="left"/>
        </w:tabs>
        <w:ind w:left="567" w:hanging="567"/>
      </w:pPr>
      <w:r>
        <w:t>6.</w:t>
      </w:r>
      <w:r>
        <w:tab/>
      </w:r>
      <w:r>
        <w:t>die gesetzlichen Vorschriften und Bestimmungen der Satzung über die Ernennung und Abberufung der Mitglieder des Vorstands und über die Änderung der Satzung;</w:t>
      </w:r>
    </w:p>
    <w:p>
      <w:pPr>
        <w:tabs>
          <w:tab w:pos="567" w:val="left"/>
        </w:tabs>
        <w:ind w:left="567" w:hanging="567"/>
      </w:pPr>
      <w:r>
        <w:t>7.</w:t>
      </w:r>
      <w:r>
        <w:tab/>
      </w:r>
      <w:r>
        <w:t>die Befugnisse des Vorstands insbesondere hinsichtlich der Möglichkeit, Aktien auszugeben oder zurückzukaufen;</w:t>
      </w:r>
    </w:p>
    <w:p>
      <w:pPr>
        <w:tabs>
          <w:tab w:pos="567" w:val="left"/>
        </w:tabs>
        <w:ind w:left="567" w:hanging="567"/>
      </w:pPr>
      <w:r>
        <w:t>8.</w:t>
      </w:r>
      <w:r>
        <w:tab/>
      </w:r>
      <w:r>
        <w:t>wesentliche Vereinbarungen der Gesellschaft, die unter der Bedingung eines Kontrollwechsels infolge eines Übernahmeangebots stehen, und die hieraus folgenden Wirkungen;</w:t>
      </w:r>
    </w:p>
    <w:p>
      <w:pPr>
        <w:tabs>
          <w:tab w:pos="567" w:val="left"/>
        </w:tabs>
        <w:ind w:left="567" w:hanging="567"/>
      </w:pPr>
      <w:r>
        <w:t>9.</w:t>
      </w:r>
      <w:r>
        <w:tab/>
      </w:r>
      <w:r>
        <w:t>Entschädigungsvereinbarungen der Gesellschaft, die für den Fall eines Übernahmeangebots mit den Mitgliedern des Vorstands oder mit Arbeitnehmern getroffen sind.</w:t>
      </w:r>
    </w:p>
    <w:p>
      <w:r>
        <w:rPr>
          <w:rStyle w:val="Satznummer"/>
        </w:rPr>
        <w:t>2</w:t>
      </w:r>
      <w:r>
        <w:t xml:space="preserve">Die Angaben nach Satz 1 Nummer 1, 3 und 9 können unterbleiben, soweit sie im Anhang zu machen sind. </w:t>
      </w:r>
      <w:r>
        <w:rPr>
          <w:rStyle w:val="Satznummer"/>
        </w:rPr>
        <w:t>3</w:t>
      </w:r>
      <w:r>
        <w:t xml:space="preserve">Sind Angaben nach Satz 1 im Anhang zu machen, ist im Lagebericht darauf zu verweisen. </w:t>
      </w:r>
      <w:r>
        <w:rPr>
          <w:rStyle w:val="Satznummer"/>
        </w:rPr>
        <w:t>4</w:t>
      </w:r>
      <w:r>
        <w:t>Die Angaben nach Satz 1 Nummer 8 können unterbleiben, soweit sie geeignet sind, der Gesellschaft einen erheblichen Nachteil zuzufügen; die Angabepflicht nach anderen gesetzlichen Vorschriften bleibt unberührt.</w:t>
      </w:r>
    </w:p>
    <w:p>
      <w:pPr>
        <w:pStyle w:val="Heading5"/>
      </w:pPr>
      <w:bookmarkStart w:id="300" w:name="b299"/>
      <w:r>
        <w:t>§ 289b Pflicht zur nichtfinanziellen Erklärung; Befreiungen</w:t>
      </w:r>
      <w:r>
        <w:t xml:space="preserve"> </w:t>
      </w:r>
      <w:r>
        <w:rPr>
          <w:rStyle w:val="Suchmarke"/>
        </w:rPr>
        <w:t>#289b#</w:t>
      </w:r>
      <w:bookmarkEnd w:id="300"/>
    </w:p>
    <w:p>
      <w:r>
        <w:t xml:space="preserve">(1) </w:t>
      </w:r>
      <w:r>
        <w:rPr>
          <w:rStyle w:val="Satznummer"/>
        </w:rPr>
        <w:t>1</w:t>
      </w:r>
      <w:r>
        <w:t>Eine Kapitalgesellschaft hat ihren Lagebericht um eine nichtfinanzielle Erklärung zu erweitern, wenn sie die folgenden Merkmale erfüllt:</w:t>
      </w:r>
    </w:p>
    <w:p>
      <w:pPr>
        <w:tabs>
          <w:tab w:pos="567" w:val="left"/>
        </w:tabs>
        <w:ind w:left="567" w:hanging="567"/>
      </w:pPr>
      <w:r>
        <w:t>1.</w:t>
      </w:r>
      <w:r>
        <w:tab/>
      </w:r>
      <w:r>
        <w:t xml:space="preserve">die Kapitalgesellschaft erfüllt die Voraussetzungen des </w:t>
      </w:r>
      <w:hyperlink w:anchor="b273" w:history="1">
        <w:r>
          <w:rPr>
            <w:color w:val="0A3A8C"/>
            <w:u w:val="single"/>
          </w:rPr>
          <w:t xml:space="preserve">§ 267</w:t>
        </w:r>
      </w:hyperlink>
      <w:r>
        <w:t xml:space="preserve"> Absatz 3 Satz 1,</w:t>
      </w:r>
    </w:p>
    <w:p>
      <w:pPr>
        <w:tabs>
          <w:tab w:pos="567" w:val="left"/>
        </w:tabs>
        <w:ind w:left="567" w:hanging="567"/>
      </w:pPr>
      <w:r>
        <w:t>2.</w:t>
      </w:r>
      <w:r>
        <w:tab/>
      </w:r>
      <w:r>
        <w:t xml:space="preserve">die Kapitalgesellschaft ist kapitalmarktorientiert im Sinne des </w:t>
      </w:r>
      <w:hyperlink w:anchor="b269" w:history="1">
        <w:r>
          <w:rPr>
            <w:color w:val="0A3A8C"/>
            <w:u w:val="single"/>
          </w:rPr>
          <w:t xml:space="preserve">§ 264d</w:t>
        </w:r>
      </w:hyperlink>
      <w:r>
        <w:t xml:space="preserve"> und</w:t>
      </w:r>
    </w:p>
    <w:p>
      <w:pPr>
        <w:tabs>
          <w:tab w:pos="567" w:val="left"/>
        </w:tabs>
        <w:ind w:left="567" w:hanging="567"/>
      </w:pPr>
      <w:r>
        <w:t>3.</w:t>
      </w:r>
      <w:r>
        <w:tab/>
      </w:r>
      <w:r>
        <w:t>die Kapitalgesellschaft hat im Jahresdurchschnitt mehr als 500 Arbeitnehmer beschäftigt.</w:t>
      </w:r>
    </w:p>
    <w:p>
      <w:r>
        <w:rPr>
          <w:rStyle w:val="Satznummer"/>
        </w:rPr>
        <w:t>2</w:t>
      </w:r>
      <w:hyperlink w:anchor="b273" w:history="1">
        <w:r>
          <w:rPr>
            <w:color w:val="0A3A8C"/>
            <w:u w:val="single"/>
          </w:rPr>
          <w:t xml:space="preserve">§ 267</w:t>
        </w:r>
      </w:hyperlink>
      <w:r>
        <w:t xml:space="preserve"> Absatz 4 bis 5 ist entsprechend anzuwenden. </w:t>
      </w:r>
      <w:r>
        <w:rPr>
          <w:rStyle w:val="Satznummer"/>
        </w:rPr>
        <w:t>3</w:t>
      </w:r>
      <w:r>
        <w:t>Wenn die nichtfinanzielle Erklärung einen besonderen Abschnitt des Lageberichts bildet, darf die Kapitalgesellschaft auf die an anderer Stelle im Lagebericht enthaltenen nichtfinanziellen Angaben verweisen.</w:t>
      </w:r>
    </w:p>
    <w:p>
      <w:r>
        <w:t xml:space="preserve">(2) </w:t>
      </w:r>
      <w:r>
        <w:rPr>
          <w:rStyle w:val="Satznummer"/>
        </w:rPr>
        <w:t>1</w:t>
      </w:r>
      <w:r>
        <w:t>Eine Kapitalgesellschaft im Sinne des Absatzes 1 ist unbeschadet anderer Befreiungsvorschriften von der Pflicht zur Erweiterung des Lageberichts um eine nichtfinanzielle Erklärung befreit, wenn</w:t>
      </w:r>
    </w:p>
    <w:p>
      <w:pPr>
        <w:tabs>
          <w:tab w:pos="567" w:val="left"/>
        </w:tabs>
        <w:ind w:left="567" w:hanging="567"/>
      </w:pPr>
      <w:r>
        <w:t>1.</w:t>
      </w:r>
      <w:r>
        <w:tab/>
      </w:r>
      <w:r>
        <w:t>die Kapitalgesellschaft in den Konzernlagebericht eines Mutterunternehmens einbezogen ist und</w:t>
      </w:r>
    </w:p>
    <w:p>
      <w:pPr>
        <w:tabs>
          <w:tab w:pos="567" w:val="left"/>
        </w:tabs>
        <w:ind w:left="567" w:hanging="567"/>
      </w:pPr>
      <w:r>
        <w:t>2.</w:t>
      </w:r>
      <w:r>
        <w:tab/>
      </w:r>
      <w:r>
        <w:t>der Konzernlagebericht nach Nummer 1 nach Maßgabe des nationalen Rechts eines Mitgliedstaats der Europäischen Union oder eines anderen Vertragsstaats des Abkommens über den Europäischen Wirtschaftsraum im Einklang mit der Richtlinie 2013/34/EU aufgestellt wird und eine nichtfinanzielle Konzernerklärung enthält.</w:t>
      </w:r>
    </w:p>
    <w:p>
      <w:r>
        <w:rPr>
          <w:rStyle w:val="Satznummer"/>
        </w:rPr>
        <w:t>2</w:t>
      </w:r>
      <w:r>
        <w:t xml:space="preserve">Satz 1 gilt entsprechend, wenn das Mutterunternehmen im Sinne von Satz 1 einen gesonderten nichtfinanziellen Konzernbericht nach </w:t>
      </w:r>
      <w:hyperlink w:anchor="b343" w:history="1">
        <w:r>
          <w:rPr>
            <w:color w:val="0A3A8C"/>
            <w:u w:val="single"/>
          </w:rPr>
          <w:t xml:space="preserve">§ 315b</w:t>
        </w:r>
      </w:hyperlink>
      <w:r>
        <w:t xml:space="preserve"> Absatz 3 oder nach Maßgabe des nationalen Rechts eines Mitgliedstaats der Europäischen Union oder eines anderen Vertragsstaats des Abkommens über den Europäischen Wirtschaftsraum im Einklang mit der Richtlinie 2013/34/EU erstellt und öffentlich zugänglich macht. </w:t>
      </w:r>
      <w:r>
        <w:rPr>
          <w:rStyle w:val="Satznummer"/>
        </w:rPr>
        <w:t>3</w:t>
      </w:r>
      <w:r>
        <w:t>Ist eine Kapitalgesellschaft nach Satz 1 oder 2 von der Pflicht zur Erstellung einer nichtfinanziellen Erklärung befreit, hat sie dies in ihrem Lagebericht mit einer Erläuterung anzugeben, welches Mutterunternehmen den Konzernlagebericht oder den gesonderten nichtfinanziellen Konzernbericht öffentlich zugänglich macht und wo der Bericht in deutscher oder englischer Sprache offengelegt oder veröffentlicht ist.</w:t>
      </w:r>
    </w:p>
    <w:p>
      <w:r>
        <w:t xml:space="preserve">(3) </w:t>
      </w:r>
      <w:r>
        <w:rPr>
          <w:rStyle w:val="Satznummer"/>
        </w:rPr>
        <w:t>1</w:t>
      </w:r>
      <w:r>
        <w:t>Eine Kapitalgesellschaft im Sinne des Absatzes 1 ist auch dann von der Pflicht zur Erweiterung des Lageberichts um eine nichtfinanzielle Erklärung befreit, wenn die Kapitalgesellschaft für dasselbe Geschäftsjahr einen gesonderten nichtfinanziellen Bericht außerhalb des Lageberichts erstellt und folgende Voraussetzungen erfüllt sind:</w:t>
      </w:r>
    </w:p>
    <w:p>
      <w:pPr>
        <w:tabs>
          <w:tab w:pos="567" w:val="left"/>
        </w:tabs>
        <w:ind w:left="567" w:hanging="567"/>
      </w:pPr>
      <w:r>
        <w:t>1.</w:t>
      </w:r>
      <w:r>
        <w:tab/>
      </w:r>
      <w:r>
        <w:t xml:space="preserve">der gesonderte nichtfinanzielle Bericht erfüllt zumindest die inhaltlichen Vorgaben nach </w:t>
      </w:r>
      <w:hyperlink w:anchor="b300" w:history="1">
        <w:r>
          <w:rPr>
            <w:color w:val="0A3A8C"/>
            <w:u w:val="single"/>
          </w:rPr>
          <w:t xml:space="preserve">§ 289c</w:t>
        </w:r>
      </w:hyperlink>
      <w:r>
        <w:t xml:space="preserve"> und</w:t>
      </w:r>
    </w:p>
    <w:p>
      <w:pPr>
        <w:tabs>
          <w:tab w:pos="567" w:val="left"/>
        </w:tabs>
        <w:ind w:left="567" w:hanging="567"/>
      </w:pPr>
      <w:r>
        <w:t>2.</w:t>
      </w:r>
      <w:r>
        <w:tab/>
      </w:r>
      <w:r>
        <w:t>die Kapitalgesellschaft macht den gesonderten nichtfinanziellen Bericht öffentlich zugänglich durch</w:t>
      </w:r>
    </w:p>
    <w:p>
      <w:pPr>
        <w:tabs>
          <w:tab w:pos="1134" w:val="left"/>
        </w:tabs>
        <w:ind w:left="1134" w:hanging="567"/>
      </w:pPr>
      <w:r>
        <w:t>a)</w:t>
      </w:r>
      <w:r>
        <w:tab/>
      </w:r>
      <w:r>
        <w:t xml:space="preserve">Offenlegung zusammen mit dem Lagebericht nach </w:t>
      </w:r>
      <w:hyperlink w:anchor="b364" w:history="1">
        <w:r>
          <w:rPr>
            <w:color w:val="0A3A8C"/>
            <w:u w:val="single"/>
          </w:rPr>
          <w:t xml:space="preserve">§ 325</w:t>
        </w:r>
      </w:hyperlink>
      <w:r>
        <w:t xml:space="preserve"> oder</w:t>
      </w:r>
    </w:p>
    <w:p>
      <w:pPr>
        <w:tabs>
          <w:tab w:pos="1134" w:val="left"/>
        </w:tabs>
        <w:ind w:left="1134" w:hanging="567"/>
      </w:pPr>
      <w:r>
        <w:t>b)</w:t>
      </w:r>
      <w:r>
        <w:tab/>
      </w:r>
      <w:r>
        <w:t>Veröffentlichung auf der Internetseite der Kapitalgesellschaft spätestens vier Monate nach dem Abschlussstichtag und mindestens für zehn Jahre, sofern der Lagebericht auf diese Veröffentlichung unter Angabe der Internetseite Bezug nimmt.</w:t>
      </w:r>
    </w:p>
    <w:p>
      <w:r>
        <w:rPr>
          <w:rStyle w:val="Satznummer"/>
        </w:rPr>
        <w:t>2</w:t>
      </w:r>
      <w:r>
        <w:t xml:space="preserve">Absatz 1 Satz 3 und die </w:t>
      </w:r>
      <w:hyperlink w:anchor="b301" w:history="1">
        <w:r>
          <w:rPr>
            <w:color w:val="0A3A8C"/>
            <w:u w:val="single"/>
          </w:rPr>
          <w:t xml:space="preserve">§§ 289d</w:t>
        </w:r>
      </w:hyperlink>
      <w:r>
        <w:t xml:space="preserve"> und </w:t>
      </w:r>
      <w:hyperlink w:anchor="b302" w:history="1">
        <w:r>
          <w:rPr>
            <w:color w:val="0A3A8C"/>
            <w:u w:val="single"/>
          </w:rPr>
          <w:t xml:space="preserve">289e</w:t>
        </w:r>
      </w:hyperlink>
      <w:r>
        <w:t xml:space="preserve"> sind auf den gesonderten nichtfinanziellen Bericht entsprechend anzuwenden.</w:t>
      </w:r>
    </w:p>
    <w:p>
      <w:r>
        <w:t>(4) Ist die nichtfinanzielle Erklärung oder der gesonderte nichtfinanzielle Bericht inhaltlich überprüft worden, ist auch die Beurteilung des Prüfungsergebnisses in gleicher Weise wie die nichtfinanzielle Erklärung oder der gesonderte nichtfinanzielle Bericht öffentlich zugänglich zu machen.</w:t>
      </w:r>
    </w:p>
    <w:p>
      <w:pPr>
        <w:pStyle w:val="Heading5"/>
      </w:pPr>
      <w:bookmarkStart w:id="301" w:name="b300"/>
      <w:r>
        <w:t>§ 289c Inhalt der nichtfinanziellen Erklärung</w:t>
      </w:r>
      <w:r>
        <w:t xml:space="preserve"> </w:t>
      </w:r>
      <w:r>
        <w:rPr>
          <w:rStyle w:val="Suchmarke"/>
        </w:rPr>
        <w:t>#289c#</w:t>
      </w:r>
      <w:bookmarkEnd w:id="301"/>
    </w:p>
    <w:p>
      <w:r>
        <w:t xml:space="preserve">(1) In der nichtfinanziellen Erklärung im Sinne des </w:t>
      </w:r>
      <w:hyperlink w:anchor="b299" w:history="1">
        <w:r>
          <w:rPr>
            <w:color w:val="0A3A8C"/>
            <w:u w:val="single"/>
          </w:rPr>
          <w:t xml:space="preserve">§ 289b</w:t>
        </w:r>
      </w:hyperlink>
      <w:r>
        <w:t xml:space="preserve"> ist das Geschäftsmodell der Kapitalgesellschaft kurz zu beschreiben.</w:t>
      </w:r>
    </w:p>
    <w:p>
      <w:r>
        <w:t>(2) Die nichtfinanzielle Erklärung bezieht sich darüber hinaus zumindest auf folgende Aspekte:</w:t>
      </w:r>
    </w:p>
    <w:p>
      <w:pPr>
        <w:tabs>
          <w:tab w:pos="567" w:val="left"/>
        </w:tabs>
        <w:ind w:left="567" w:hanging="567"/>
      </w:pPr>
      <w:r>
        <w:t>1.</w:t>
      </w:r>
      <w:r>
        <w:tab/>
      </w:r>
      <w:r>
        <w:t>Umweltbelange, wobei sich die Angaben beispielsweise auf Treibhausgasemissionen, den Wasserverbrauch, die Luftverschmutzung, die Nutzung von erneuerbaren und nicht erneuerbaren Energien oder den Schutz der biologischen Vielfalt beziehen können,</w:t>
      </w:r>
    </w:p>
    <w:p>
      <w:pPr>
        <w:tabs>
          <w:tab w:pos="567" w:val="left"/>
        </w:tabs>
        <w:ind w:left="567" w:hanging="567"/>
      </w:pPr>
      <w:r>
        <w:t>2.</w:t>
      </w:r>
      <w:r>
        <w:tab/>
      </w:r>
      <w:r>
        <w:t>Arbeitnehmerbelange, wobei sich die Angaben beispielsweise auf die Maßnahmen, die zur Gewährleistung der Geschlechtergleichstellung ergriffen wurden, die Arbeitsbedingungen, die Umsetzung der grundlegenden Übereinkommen der Internationalen Arbeitsorganisation, die Achtung der Rechte der Arbeitnehmerinnen und Arbeitnehmer, informiert und konsultiert zu werden, den sozialen Dialog, die Achtung der Rechte der Gewerkschaften, den Gesundheitsschutz oder die Sicherheit am Arbeitsplatz beziehen können,</w:t>
      </w:r>
    </w:p>
    <w:p>
      <w:pPr>
        <w:tabs>
          <w:tab w:pos="567" w:val="left"/>
        </w:tabs>
        <w:ind w:left="567" w:hanging="567"/>
      </w:pPr>
      <w:r>
        <w:t>3.</w:t>
      </w:r>
      <w:r>
        <w:tab/>
      </w:r>
      <w:r>
        <w:t>Sozialbelange, wobei sich die Angaben beispielsweise auf den Dialog auf kommunaler oder regionaler Ebene oder auf die zur Sicherstellung des Schutzes und der Entwicklung lokaler Gemeinschaften ergriffenen Maßnahmen beziehen können,</w:t>
      </w:r>
    </w:p>
    <w:p>
      <w:pPr>
        <w:tabs>
          <w:tab w:pos="567" w:val="left"/>
        </w:tabs>
        <w:ind w:left="567" w:hanging="567"/>
      </w:pPr>
      <w:r>
        <w:t>4.</w:t>
      </w:r>
      <w:r>
        <w:tab/>
      </w:r>
      <w:r>
        <w:t>die Achtung der Menschenrechte, wobei sich die Angaben beispielsweise auf die Vermeidung von Menschenrechtsverletzungen beziehen können, und</w:t>
      </w:r>
    </w:p>
    <w:p>
      <w:pPr>
        <w:tabs>
          <w:tab w:pos="567" w:val="left"/>
        </w:tabs>
        <w:ind w:left="567" w:hanging="567"/>
      </w:pPr>
      <w:r>
        <w:t>5.</w:t>
      </w:r>
      <w:r>
        <w:tab/>
      </w:r>
      <w:r>
        <w:t>die Bekämpfung von Korruption und Bestechung, wobei sich die Angaben beispielsweise auf die bestehenden Instrumente zur Bekämpfung von Korruption und Bestechung beziehen können.</w:t>
      </w:r>
    </w:p>
    <w:p>
      <w:r>
        <w:t>(3) Zu den in Absatz 2 genannten Aspekten sind in der nichtfinanziellen Erklärung jeweils diejenigen Angaben zu machen, die für das Verständnis des Geschäftsverlaufs, des Geschäftsergebnisses, der Lage der Kapitalgesellschaft sowie der Auswirkungen ihrer Tätigkeit auf die in Absatz 2 genannten Aspekte erforderlich sind, einschließlich</w:t>
      </w:r>
    </w:p>
    <w:p>
      <w:pPr>
        <w:tabs>
          <w:tab w:pos="567" w:val="left"/>
        </w:tabs>
        <w:ind w:left="567" w:hanging="567"/>
      </w:pPr>
      <w:r>
        <w:t>1.</w:t>
      </w:r>
      <w:r>
        <w:tab/>
      </w:r>
      <w:r>
        <w:t>einer Beschreibung der von der Kapitalgesellschaft verfolgten Konzepte, einschließlich der von der Kapitalgesellschaft angewandten Due-Diligence-Prozesse,</w:t>
      </w:r>
    </w:p>
    <w:p>
      <w:pPr>
        <w:tabs>
          <w:tab w:pos="567" w:val="left"/>
        </w:tabs>
        <w:ind w:left="567" w:hanging="567"/>
      </w:pPr>
      <w:r>
        <w:t>2.</w:t>
      </w:r>
      <w:r>
        <w:tab/>
      </w:r>
      <w:r>
        <w:t>der Ergebnisse der Konzepte nach Nummer 1,</w:t>
      </w:r>
    </w:p>
    <w:p>
      <w:pPr>
        <w:tabs>
          <w:tab w:pos="567" w:val="left"/>
        </w:tabs>
        <w:ind w:left="567" w:hanging="567"/>
      </w:pPr>
      <w:r>
        <w:t>3.</w:t>
      </w:r>
      <w:r>
        <w:tab/>
      </w:r>
      <w:r>
        <w:t>der wesentlichen Risiken, die mit der eigenen Geschäftstätigkeit der Kapitalgesellschaft verknüpft sind und die sehr wahrscheinlich schwerwiegende negative Auswirkungen auf die in Absatz 2 genannten Aspekte haben oder haben werden, sowie die Handhabung dieser Risiken durch die Kapitalgesellschaft,</w:t>
      </w:r>
    </w:p>
    <w:p>
      <w:pPr>
        <w:tabs>
          <w:tab w:pos="567" w:val="left"/>
        </w:tabs>
        <w:ind w:left="567" w:hanging="567"/>
      </w:pPr>
      <w:r>
        <w:t>4.</w:t>
      </w:r>
      <w:r>
        <w:tab/>
      </w:r>
      <w:r>
        <w:t>der wesentlichen Risiken, die mit den Geschäftsbeziehungen der Kapitalgesellschaft, ihren Produkten und Dienstleistungen verknüpft sind und die sehr wahrscheinlich schwerwiegende negative Auswirkungen auf die in Absatz 2 genannten Aspekte haben oder haben werden, soweit die Angaben von Bedeutung sind und die Berichterstattung über diese Risiken verhältnismäßig ist, sowie die Handhabung dieser Risiken durch die Kapitalgesellschaft,</w:t>
      </w:r>
    </w:p>
    <w:p>
      <w:pPr>
        <w:tabs>
          <w:tab w:pos="567" w:val="left"/>
        </w:tabs>
        <w:ind w:left="567" w:hanging="567"/>
      </w:pPr>
      <w:r>
        <w:t>5.</w:t>
      </w:r>
      <w:r>
        <w:tab/>
      </w:r>
      <w:r>
        <w:t>der bedeutsamsten nichtfinanziellen Leistungsindikatoren, die für die Geschäftstätigkeit der Kapitalgesellschaft von Bedeutung sind,</w:t>
      </w:r>
    </w:p>
    <w:p>
      <w:pPr>
        <w:tabs>
          <w:tab w:pos="567" w:val="left"/>
        </w:tabs>
        <w:ind w:left="567" w:hanging="567"/>
      </w:pPr>
      <w:r>
        <w:t>6.</w:t>
      </w:r>
      <w:r>
        <w:tab/>
      </w:r>
      <w:r>
        <w:t>soweit es für das Verständnis erforderlich ist, Hinweisen auf im Jahresabschluss ausgewiesene Beträge und zusätzliche Erläuterungen dazu.</w:t>
      </w:r>
    </w:p>
    <w:p>
      <w:r>
        <w:t>(4) Wenn die Kapitalgesellschaft in Bezug auf einen oder mehrere der in Absatz 2 genannten Aspekte kein Konzept verfolgt, hat sie dies anstelle der auf den jeweiligen Aspekt bezogenen Angaben nach Absatz 3 Nummer 1 und 2 in der nichtfinanziellen Erklärung klar und begründet zu erläutern.</w:t>
      </w:r>
    </w:p>
    <w:p>
      <w:pPr>
        <w:pStyle w:val="Heading5"/>
      </w:pPr>
      <w:bookmarkStart w:id="302" w:name="b301"/>
      <w:r>
        <w:t>§ 289d Nutzung von Rahmenwerken</w:t>
      </w:r>
      <w:r>
        <w:t xml:space="preserve"> </w:t>
      </w:r>
      <w:r>
        <w:rPr>
          <w:rStyle w:val="Suchmarke"/>
        </w:rPr>
        <w:t>#289d#</w:t>
      </w:r>
      <w:bookmarkEnd w:id="302"/>
    </w:p>
    <w:p>
      <w:r>
        <w:rPr>
          <w:rStyle w:val="Satznummer"/>
        </w:rPr>
        <w:t>1</w:t>
      </w:r>
      <w:r>
        <w:t xml:space="preserve">Die Kapitalgesellschaft kann für die Erstellung der nichtfinanziellen Erklärung nationale, europäische oder internationale Rahmenwerke nutzen. </w:t>
      </w:r>
      <w:r>
        <w:rPr>
          <w:rStyle w:val="Satznummer"/>
        </w:rPr>
        <w:t>2</w:t>
      </w:r>
      <w:r>
        <w:t>In der Erklärung ist anzugeben, ob die Kapitalgesellschaft für die Erstellung der nichtfinanziellen Erklärung ein Rahmenwerk genutzt hat und, wenn dies der Fall ist, welches Rahmenwerk genutzt wurde, sowie andernfalls, warum kein Rahmenwerk genutzt wurde.</w:t>
      </w:r>
    </w:p>
    <w:p>
      <w:pPr>
        <w:pStyle w:val="Heading5"/>
      </w:pPr>
      <w:bookmarkStart w:id="303" w:name="b302"/>
      <w:r>
        <w:t>§ 289e Weglassen nachteiliger Angaben</w:t>
      </w:r>
      <w:r>
        <w:t xml:space="preserve"> </w:t>
      </w:r>
      <w:r>
        <w:rPr>
          <w:rStyle w:val="Suchmarke"/>
        </w:rPr>
        <w:t>#289e#</w:t>
      </w:r>
      <w:bookmarkEnd w:id="303"/>
    </w:p>
    <w:p>
      <w:r>
        <w:t>(1) Die Kapitalgesellschaft muss in die nichtfinanzielle Erklärung ausnahmsweise keine Angaben zu künftigen Entwicklungen oder Belangen, über die Verhandlungen geführt werden, aufnehmen, wenn</w:t>
      </w:r>
    </w:p>
    <w:p>
      <w:pPr>
        <w:tabs>
          <w:tab w:pos="567" w:val="left"/>
        </w:tabs>
        <w:ind w:left="567" w:hanging="567"/>
      </w:pPr>
      <w:r>
        <w:t>1.</w:t>
      </w:r>
      <w:r>
        <w:tab/>
      </w:r>
      <w:r>
        <w:t>die Angaben nach vernünftiger kaufmännischer Beurteilung der Mitglieder des vertretungsberechtigten Organs der Kapitalgesellschaft geeignet sind, der Kapitalgesellschaft einen erheblichen Nachteil zuzufügen, und</w:t>
      </w:r>
    </w:p>
    <w:p>
      <w:pPr>
        <w:tabs>
          <w:tab w:pos="567" w:val="left"/>
        </w:tabs>
        <w:ind w:left="567" w:hanging="567"/>
      </w:pPr>
      <w:r>
        <w:t>2.</w:t>
      </w:r>
      <w:r>
        <w:tab/>
      </w:r>
      <w:r>
        <w:t>das Weglassen der Angaben ein den tatsächlichen Verhältnissen entsprechendes und ausgewogenes Verständnis des Geschäftsverlaufs, des Geschäftsergebnisses, der Lage der Kapitalgesellschaft und der Auswirkungen ihrer Tätigkeit nicht verhindert.</w:t>
      </w:r>
    </w:p>
    <w:p>
      <w:r>
        <w:t>(2) Macht eine Kapitalgesellschaft von Absatz 1 Gebrauch und entfallen die Gründe für die Nichtaufnahme der Angaben nach der Veröffentlichung der nichtfinanziellen Erklärung, sind die Angaben in die darauf folgende nichtfinanzielle Erklärung aufzunehmen.</w:t>
      </w:r>
    </w:p>
    <w:p>
      <w:pPr>
        <w:pStyle w:val="Heading5"/>
      </w:pPr>
      <w:bookmarkStart w:id="304" w:name="b303"/>
      <w:r>
        <w:t>§ 289f Erklärung zur Unternehmensführung</w:t>
      </w:r>
      <w:r>
        <w:t xml:space="preserve"> </w:t>
      </w:r>
      <w:r>
        <w:rPr>
          <w:rStyle w:val="Suchmarke"/>
        </w:rPr>
        <w:t>#289f#</w:t>
      </w:r>
      <w:bookmarkEnd w:id="304"/>
    </w:p>
    <w:p>
      <w:r>
        <w:t xml:space="preserve">(1) </w:t>
      </w:r>
      <w:r>
        <w:rPr>
          <w:rStyle w:val="Satznummer"/>
        </w:rPr>
        <w:t>1</w:t>
      </w:r>
      <w:r>
        <w:t xml:space="preserve">Börsennotierte Aktiengesellschaften sowie Aktiengesellschaften, die ausschließlich andere Wertpapiere als Aktien zum Handel an einem organisierten Markt im Sinn des § 2 Absatz 11 des Wertpapierhandelsgesetzes ausgegeben haben und deren ausgegebene Aktien auf eigene Veranlassung über ein multilaterales Handelssystem im Sinn des § 2 Absatz 8 Satz 1 Nummer 8 des Wertpapierhandelsgesetzes gehandelt werden, haben eine Erklärung zur Unternehmensführung in ihren Lagebericht aufzunehmen, die dort einen gesonderten Abschnitt bildet. </w:t>
      </w:r>
      <w:r>
        <w:rPr>
          <w:rStyle w:val="Satznummer"/>
        </w:rPr>
        <w:t>2</w:t>
      </w:r>
      <w:r>
        <w:t xml:space="preserve">Sie kann auch auf der Internetseite der Gesellschaft öffentlich zugänglich gemacht werden. </w:t>
      </w:r>
      <w:r>
        <w:rPr>
          <w:rStyle w:val="Satznummer"/>
        </w:rPr>
        <w:t>3</w:t>
      </w:r>
      <w:r>
        <w:t>In diesem Fall ist in den Lagebericht eine Bezugnahme aufzunehmen, welche die Angabe der Internetseite enthält.</w:t>
      </w:r>
    </w:p>
    <w:p>
      <w:r>
        <w:t>(2) In die Erklärung zur Unternehmensführung sind aufzunehmen</w:t>
      </w:r>
    </w:p>
    <w:p>
      <w:pPr>
        <w:tabs>
          <w:tab w:pos="567" w:val="left"/>
        </w:tabs>
        <w:ind w:left="567" w:hanging="567"/>
      </w:pPr>
      <w:r>
        <w:t>1.</w:t>
      </w:r>
      <w:r>
        <w:tab/>
      </w:r>
      <w:r>
        <w:t>die Erklärung gemäß § 161 des Aktiengesetzes;</w:t>
      </w:r>
    </w:p>
    <w:p>
      <w:pPr>
        <w:tabs>
          <w:tab w:pos="567" w:val="left"/>
        </w:tabs>
        <w:ind w:left="567" w:hanging="567"/>
      </w:pPr>
      <w:r>
        <w:t>1a.</w:t>
      </w:r>
      <w:r>
        <w:tab/>
      </w:r>
      <w:r>
        <w:t>eine Bezugnahme auf die Internetseite der Gesellschaft, auf der der Vergütungsbericht über das letzte Geschäftsjahr und der Vermerk des Abschlussprüfers gemäß § 162 des Aktiengesetzes, das geltende Vergütungssystem gemäß § 87a Absatz 1 und 2 Satz 1 des Aktiengesetzes und der letzte Vergütungsbeschluss gemäß § 113 Absatz 3 des Aktiengesetzes öffentlich zugänglich gemacht werden;</w:t>
      </w:r>
    </w:p>
    <w:p>
      <w:pPr>
        <w:tabs>
          <w:tab w:pos="567" w:val="left"/>
        </w:tabs>
        <w:ind w:left="567" w:hanging="567"/>
      </w:pPr>
      <w:r>
        <w:t>2.</w:t>
      </w:r>
      <w:r>
        <w:tab/>
      </w:r>
      <w:r>
        <w:t>relevante Angaben zu Unternehmensführungspraktiken, die über die gesetzlichen Anforderungen hinaus angewandt werden, nebst Hinweis, wo sie öffentlich zugänglich sind;</w:t>
      </w:r>
    </w:p>
    <w:p>
      <w:pPr>
        <w:tabs>
          <w:tab w:pos="567" w:val="left"/>
        </w:tabs>
        <w:ind w:left="567" w:hanging="567"/>
      </w:pPr>
      <w:r>
        <w:t>3.</w:t>
      </w:r>
      <w:r>
        <w:tab/>
      </w:r>
      <w:r>
        <w:t>eine Beschreibung der Arbeitsweise von Vorstand und Aufsichtsrat sowie der Zusammensetzung und Arbeitsweise von deren Ausschüssen; sind die Informationen auf der Internetseite der Gesellschaft öffentlich zugänglich, kann darauf verwiesen werden;</w:t>
      </w:r>
    </w:p>
    <w:p>
      <w:pPr>
        <w:tabs>
          <w:tab w:pos="567" w:val="left"/>
        </w:tabs>
        <w:ind w:left="567" w:hanging="567"/>
      </w:pPr>
      <w:r>
        <w:t>4.</w:t>
      </w:r>
      <w:r>
        <w:tab/>
      </w:r>
      <w:r>
        <w:t>bei Aktiengesellschaften im Sinne des Absatzes 1, die nach § 76 Absatz 4 und § 111 Absatz 5 des Aktiengesetzes verpflichtet sind, Zielgrößen für den Frauenanteil und Fristen für deren Erreichung festzulegen und die Festlegung der Zielgröße Null zu begründen, die vorgeschriebenen Festlegungen und Begründungen und die Angabe, ob die festgelegten Zielgrößen während des Bezugszeitraums erreicht worden sind, und, wenn nicht, Angaben zu den Gründen;</w:t>
      </w:r>
    </w:p>
    <w:p>
      <w:pPr>
        <w:tabs>
          <w:tab w:pos="567" w:val="left"/>
        </w:tabs>
        <w:ind w:left="567" w:hanging="567"/>
      </w:pPr>
      <w:r>
        <w:t>5.</w:t>
      </w:r>
      <w:r>
        <w:tab/>
      </w:r>
      <w:r>
        <w:t>bei börsennotierten Aktiengesellschaften, die nach § 96 Absatz 2 und 3 des Aktiengesetzes bei der Besetzung des Aufsichtsrats jeweils einen Mindestanteil an Frauen und Männern einzuhalten haben, die Angabe, ob die Gesellschaft im Bezugszeitraum den Mindestanteil eingehalten hat, und, wenn nicht, Angaben zu den Gründen; bei börsennotierten Europäischen Gesellschaften (SE) tritt an die Stelle des § 96 Absatz 2 und 3 des Aktiengesetzes § 17 Absatz 2 oder § 24 Absatz 3 des SE-Ausführungsgesetzes;</w:t>
      </w:r>
    </w:p>
    <w:p>
      <w:pPr>
        <w:tabs>
          <w:tab w:pos="567" w:val="left"/>
        </w:tabs>
        <w:ind w:left="567" w:hanging="567"/>
      </w:pPr>
      <w:r>
        <w:t>5a.</w:t>
      </w:r>
      <w:r>
        <w:tab/>
      </w:r>
      <w:r>
        <w:t>bei börsennotierten Aktiengesellschaften, die nach § 76 Absatz 3a des Aktiengesetzes mindestens eine Frau und mindestens einen Mann als Vorstandsmitglied bestellen müssen, die Angabe, ob die Gesellschaft im Bezugszeitraum diese Vorgabe eingehalten hat, und, wenn nicht, Angaben zu den Gründen; bei börsennotierten Europäischen Gesellschaften (SE) tritt an die Stelle des § 76 Absatz 3a des Aktiengesetzes § 16 Absatz 2 oder § 40 Absatz 1a des SE-Ausführungsgesetzes;</w:t>
      </w:r>
    </w:p>
    <w:p>
      <w:pPr>
        <w:tabs>
          <w:tab w:pos="567" w:val="left"/>
        </w:tabs>
        <w:ind w:left="567" w:hanging="567"/>
      </w:pPr>
      <w:r>
        <w:t>6.</w:t>
      </w:r>
      <w:r>
        <w:tab/>
      </w:r>
      <w:r>
        <w:t xml:space="preserve">bei Aktiengesellschaften im Sinne des Absatzes 1, die nach </w:t>
      </w:r>
      <w:hyperlink w:anchor="b273" w:history="1">
        <w:r>
          <w:rPr>
            <w:color w:val="0A3A8C"/>
            <w:u w:val="single"/>
          </w:rPr>
          <w:t xml:space="preserve">§ 267</w:t>
        </w:r>
      </w:hyperlink>
      <w:r>
        <w:t xml:space="preserve"> Absatz 3 Satz 1 und Absatz 4 bis 5 große Kapitalgesellschaften sind, eine Beschreibung des Diversitätskonzepts, das im Hinblick auf die Zusammensetzung des vertretungsberechtigten Organs und des Aufsichtsrats in Bezug auf Aspekte wie beispielsweise Alter, Geschlecht, Bildungs- oder Berufshintergrund verfolgt wird, sowie der Ziele dieses Diversitätskonzepts, der Art und Weise seiner Umsetzung und der im Geschäftsjahr erreichten Ergebnisse.</w:t>
      </w:r>
    </w:p>
    <w:p>
      <w:r>
        <w:t>(3) Auf börsennotierte Kommanditgesellschaften auf Aktien sind die Absätze 1 und 2 entsprechend anzuwenden.</w:t>
      </w:r>
    </w:p>
    <w:p>
      <w:r>
        <w:t xml:space="preserve">(4) </w:t>
      </w:r>
      <w:r>
        <w:rPr>
          <w:rStyle w:val="Satznummer"/>
        </w:rPr>
        <w:t>1</w:t>
      </w:r>
      <w:r>
        <w:t xml:space="preserve">Andere Kapitalgesellschaften haben in ihren Lagebericht als gesonderten Abschnitt eine Erklärung zur Unternehmensführung mit den Festlegungen, Begründungen und Angaben nach Absatz 2 Nummer 4 aufzunehmen, wenn sie nach § 76 Absatz 4 oder § 111 Absatz 5 des Aktiengesetzes oder nach § 36 oder § 52 Absatz 2 des Gesetzes betreffend die Gesellschaften mit beschränkter Haftung verpflichtet sind, Zielgrößen für den Frauenanteil und Fristen für deren Erreichung festzulegen und die Festlegung der Zielgröße Null zu begründen. </w:t>
      </w:r>
      <w:r>
        <w:rPr>
          <w:rStyle w:val="Satznummer"/>
        </w:rPr>
        <w:t>2</w:t>
      </w:r>
      <w:r>
        <w:t xml:space="preserve">Absatz 1 Satz 2 und 3 gilt entsprechend. </w:t>
      </w:r>
      <w:r>
        <w:rPr>
          <w:rStyle w:val="Satznummer"/>
        </w:rPr>
        <w:t>3</w:t>
      </w:r>
      <w:r>
        <w:t xml:space="preserve">Kapitalgesellschaften, die nicht zur Aufstellung eines Lageberichts verpflichtet sind, haben eine Erklärung mit den Festlegungen, Begründungen und Angaben des Satzes 1 zu erstellen und auf der Internetseite der Gesellschaft zu veröffentlichen. </w:t>
      </w:r>
      <w:r>
        <w:rPr>
          <w:rStyle w:val="Satznummer"/>
        </w:rPr>
        <w:t>4</w:t>
      </w:r>
      <w:r>
        <w:t>Sie können diese Pflicht auch durch Offenlegung eines unter Berücksichtigung von Satz 1 aufgestellten Lageberichts erfüllen.</w:t>
      </w:r>
    </w:p>
    <w:p>
      <w:r>
        <w:t>(5) Wenn eine Gesellschaft nach Absatz 2 Nummer 6, auch in Verbindung mit Absatz 3, kein Diversitätskonzept verfolgt, hat sie dies in der Erklärung zur Unternehmensführung zu erläutern.</w:t>
      </w:r>
    </w:p>
    <w:p>
      <w:pPr>
        <w:pStyle w:val="Heading3"/>
      </w:pPr>
      <w:bookmarkStart w:id="305" w:name="b304"/>
      <w:r>
        <w:t>Zweiter Unterabschnitt Konzernabschluß und Konzernlagebericht</w:t>
      </w:r>
      <w:bookmarkEnd w:id="305"/>
    </w:p>
    <w:p>
      <w:pPr>
        <w:pStyle w:val="Heading4"/>
      </w:pPr>
      <w:bookmarkStart w:id="306" w:name="b305"/>
      <w:r>
        <w:t>Erster Titel Anwendungsbereich</w:t>
      </w:r>
      <w:bookmarkEnd w:id="306"/>
    </w:p>
    <w:p>
      <w:pPr>
        <w:pStyle w:val="Heading5"/>
      </w:pPr>
      <w:bookmarkStart w:id="307" w:name="b306"/>
      <w:r>
        <w:t>§ 290 Pflicht zur Aufstellung</w:t>
      </w:r>
      <w:r>
        <w:t xml:space="preserve"> </w:t>
      </w:r>
      <w:r>
        <w:rPr>
          <w:rStyle w:val="Suchmarke"/>
        </w:rPr>
        <w:t>#290#</w:t>
      </w:r>
      <w:bookmarkEnd w:id="307"/>
    </w:p>
    <w:p>
      <w:r>
        <w:t xml:space="preserve">(1) </w:t>
      </w:r>
      <w:r>
        <w:rPr>
          <w:rStyle w:val="Satznummer"/>
        </w:rPr>
        <w:t>1</w:t>
      </w:r>
      <w:r>
        <w:t xml:space="preserve">Die gesetzlichen Vertreter einer Kapitalgesellschaft (Mutterunternehmen) mit Sitz im Inland haben in den ersten fünf Monaten des Konzerngeschäftsjahrs für das vergangene Konzerngeschäftsjahr einen Konzernabschluss und einen Konzernlagebericht aufzustellen, wenn diese auf ein anderes Unternehmen (Tochterunternehmen) unmittel- oder mittelbar einen beherrschenden Einfluss ausüben kann. </w:t>
      </w:r>
      <w:r>
        <w:rPr>
          <w:rStyle w:val="Satznummer"/>
        </w:rPr>
        <w:t>2</w:t>
      </w:r>
      <w:r>
        <w:t xml:space="preserve">Ist das Mutterunternehmen eine Kapitalgesellschaft im Sinn des </w:t>
      </w:r>
      <w:hyperlink w:anchor="b364" w:history="1">
        <w:r>
          <w:rPr>
            <w:color w:val="0A3A8C"/>
            <w:u w:val="single"/>
          </w:rPr>
          <w:t xml:space="preserve">§ 325</w:t>
        </w:r>
      </w:hyperlink>
      <w:r>
        <w:t xml:space="preserve"> Abs. 4 Satz 1, sind der Konzernabschluss sowie der Konzernlagebericht in den ersten vier Monaten des Konzerngeschäftsjahrs für das vergangene Konzerngeschäftsjahr aufzustellen.</w:t>
      </w:r>
    </w:p>
    <w:p>
      <w:r>
        <w:t>(2) Beherrschender Einfluss eines Mutterunternehmens besteht stets, wenn</w:t>
      </w:r>
    </w:p>
    <w:p>
      <w:pPr>
        <w:tabs>
          <w:tab w:pos="567" w:val="left"/>
        </w:tabs>
        <w:ind w:left="567" w:hanging="567"/>
      </w:pPr>
      <w:r>
        <w:t>1.</w:t>
      </w:r>
      <w:r>
        <w:tab/>
      </w:r>
      <w:r>
        <w:t>ihm bei einem anderen Unternehmen die Mehrheit der Stimmrechte der Gesellschafter zusteht;</w:t>
      </w:r>
    </w:p>
    <w:p>
      <w:pPr>
        <w:tabs>
          <w:tab w:pos="567" w:val="left"/>
        </w:tabs>
        <w:ind w:left="567" w:hanging="567"/>
      </w:pPr>
      <w:r>
        <w:t>2.</w:t>
      </w:r>
      <w:r>
        <w:tab/>
      </w:r>
      <w:r>
        <w:t>ihm bei einem anderen Unternehmen das Recht zusteht, die Mehrheit der Mitglieder des die Finanz- und Geschäftspolitik bestimmenden Verwaltungs-, Leitungs- oder Aufsichtsorgans zu bestellen oder abzuberufen, und es gleichzeitig Gesellschafter ist;</w:t>
      </w:r>
    </w:p>
    <w:p>
      <w:pPr>
        <w:tabs>
          <w:tab w:pos="567" w:val="left"/>
        </w:tabs>
        <w:ind w:left="567" w:hanging="567"/>
      </w:pPr>
      <w:r>
        <w:t>3.</w:t>
      </w:r>
      <w:r>
        <w:tab/>
      </w:r>
      <w:r>
        <w:t>ihm das Recht zusteht, die Finanz- und Geschäftspolitik auf Grund eines mit einem anderen Unternehmen geschlossenen Beherrschungsvertrages oder auf Grund einer Bestimmung in der Satzung des anderen Unternehmens zu bestimmen, oder</w:t>
      </w:r>
    </w:p>
    <w:p>
      <w:pPr>
        <w:tabs>
          <w:tab w:pos="567" w:val="left"/>
        </w:tabs>
        <w:ind w:left="567" w:hanging="567"/>
      </w:pPr>
      <w:r>
        <w:t>4.</w:t>
      </w:r>
      <w:r>
        <w:tab/>
      </w:r>
      <w:r>
        <w:t xml:space="preserve">es bei wirtschaftlicher Betrachtung die Mehrheit der Risiken und Chancen eines Unternehmens trägt, das zur Erreichung eines eng begrenzten und genau definierten Ziels des Mutterunternehmens dient (Zweckgesellschaft). </w:t>
      </w:r>
      <w:r>
        <w:rPr>
          <w:rStyle w:val="Satznummer"/>
        </w:rPr>
        <w:t>2</w:t>
      </w:r>
      <w:r>
        <w:t>Neben Unternehmen können Zweckgesellschaften auch sonstige juristische Personen des Privatrechts oder unselbständige Sondervermögen des Privatrechts sein, ausgenommen als Sondervermögen aufgelegte offene inländische Spezial-AIF mit festen Anlagebedingungen im Sinn des § 284 des Kapitalanlagegesetzbuchs oder vergleichbare EU-Investmentvermögen oder ausländische Investmentvermögen, die den als Sondervermögen aufgelegten offenen inländischen Spezial-AIF mit festen Anlagebedingungen im Sinn des § 284 des Kapitalanlagegesetzbuchs vergleichbar sind, oder als Sondervermögen aufgelegte geschlossene inländische Spezial-AIF oder vergleichbare EU-Investmentvermögen oder ausländische Investmentvermögen, die den als Sondervermögen aufgelegten geschlossenen inländischen Spezial-AIF vergleichbar sind.</w:t>
      </w:r>
    </w:p>
    <w:p>
      <w:r>
        <w:t xml:space="preserve">(3) </w:t>
      </w:r>
      <w:r>
        <w:rPr>
          <w:rStyle w:val="Satznummer"/>
        </w:rPr>
        <w:t>1</w:t>
      </w:r>
      <w:r>
        <w:t xml:space="preserve">Als Rechte, die einem Mutterunternehmen nach Absatz 2 zustehen, gelten auch die einem anderen Tochterunternehmen zustehenden Rechte und die den für Rechnung des Mutterunternehmens oder von Tochterunternehmen handelnden Personen zustehenden Rechte. </w:t>
      </w:r>
      <w:r>
        <w:rPr>
          <w:rStyle w:val="Satznummer"/>
        </w:rPr>
        <w:t>2</w:t>
      </w:r>
      <w:r>
        <w:t xml:space="preserve">Den einem Mutterunternehmen an einem anderen Unternehmen zustehenden Rechten werden die Rechte hinzugerechnet, über die es selbst oder eines seiner Tochterunternehmen auf Grund einer Vereinbarung mit anderen Gesellschaftern dieses Unternehmens verfügen kann. </w:t>
      </w:r>
      <w:r>
        <w:rPr>
          <w:rStyle w:val="Satznummer"/>
        </w:rPr>
        <w:t>3</w:t>
      </w:r>
      <w:r>
        <w:t>Abzuziehen sind Rechte, die</w:t>
      </w:r>
    </w:p>
    <w:p>
      <w:pPr>
        <w:tabs>
          <w:tab w:pos="567" w:val="left"/>
        </w:tabs>
        <w:ind w:left="567" w:hanging="567"/>
      </w:pPr>
      <w:r>
        <w:t>1.</w:t>
      </w:r>
      <w:r>
        <w:tab/>
      </w:r>
      <w:r>
        <w:t>mit Anteilen verbunden sind, die von dem Mutterunternehmen oder von dessen Tochterunternehmen für Rechnung einer anderen Person gehalten werden, oder</w:t>
      </w:r>
    </w:p>
    <w:p>
      <w:pPr>
        <w:tabs>
          <w:tab w:pos="567" w:val="left"/>
        </w:tabs>
        <w:ind w:left="567" w:hanging="567"/>
      </w:pPr>
      <w:r>
        <w:t>2.</w:t>
      </w:r>
      <w:r>
        <w:tab/>
      </w:r>
      <w:r>
        <w:t>mit Anteilen verbunden sind, die als Sicherheit gehalten werden, sofern diese Rechte nach Weisung des Sicherungsgebers oder, wenn ein Kreditinstitut die Anteile als Sicherheit für ein Darlehen hält, im Interesse des Sicherungsgebers ausgeübt werden.</w:t>
      </w:r>
    </w:p>
    <w:p>
      <w:r>
        <w:t xml:space="preserve">(4) </w:t>
      </w:r>
      <w:r>
        <w:rPr>
          <w:rStyle w:val="Satznummer"/>
        </w:rPr>
        <w:t>1</w:t>
      </w:r>
      <w:r>
        <w:t xml:space="preserve">Welcher Teil der Stimmrechte einem Unternehmen zusteht, bestimmt sich für die Berechnung der Mehrheit nach Absatz 2 Nr. 1 nach dem Verhältnis der Zahl der Stimmrechte, die es aus den ihm gehörenden Anteilen ausüben kann, zur Gesamtzahl aller Stimmrechte. </w:t>
      </w:r>
      <w:r>
        <w:rPr>
          <w:rStyle w:val="Satznummer"/>
        </w:rPr>
        <w:t>2</w:t>
      </w:r>
      <w:r>
        <w:t>Von der Gesamtzahl aller Stimmrechte sind die Stimmrechte aus eigenen Anteilen abzuziehen, die dem Tochterunternehmen selbst, einem seiner Tochterunternehmen oder einer anderen Person für Rechnung dieser Unternehmen gehören.</w:t>
      </w:r>
    </w:p>
    <w:p>
      <w:r>
        <w:t xml:space="preserve">(5) Ein Mutterunternehmen ist von der Pflicht, einen Konzernabschluss und einen Konzernlagebericht aufzustellen, befreit, wenn es nur Tochterunternehmen hat, die gemäß </w:t>
      </w:r>
      <w:hyperlink w:anchor="b314" w:history="1">
        <w:r>
          <w:rPr>
            <w:color w:val="0A3A8C"/>
            <w:u w:val="single"/>
          </w:rPr>
          <w:t xml:space="preserve">§ 296</w:t>
        </w:r>
      </w:hyperlink>
      <w:r>
        <w:t xml:space="preserve"> nicht in den Konzernabschluss einbezogen werden brauchen.</w:t>
      </w:r>
    </w:p>
    <w:p>
      <w:pPr>
        <w:pStyle w:val="Heading5"/>
      </w:pPr>
      <w:bookmarkStart w:id="308" w:name="b307"/>
      <w:r>
        <w:t>§ 291 Befreiende Wirkung von EU/EWR-Konzernabschlüssen</w:t>
      </w:r>
      <w:r>
        <w:t xml:space="preserve"> </w:t>
      </w:r>
      <w:r>
        <w:rPr>
          <w:rStyle w:val="Suchmarke"/>
        </w:rPr>
        <w:t>#291#</w:t>
      </w:r>
      <w:bookmarkEnd w:id="308"/>
    </w:p>
    <w:p>
      <w:r>
        <w:t xml:space="preserve">(1) </w:t>
      </w:r>
      <w:r>
        <w:rPr>
          <w:rStyle w:val="Satznummer"/>
        </w:rPr>
        <w:t>1</w:t>
      </w:r>
      <w:r>
        <w:t xml:space="preserve">Ein Mutterunternehmen, das zugleich Tochterunternehmen eines Mutterunternehmens mit Sitz in einem Mitgliedstaat der Europäischen Union oder in einem anderen Vertragsstaat des Abkommens über den Europäischen Wirtschaftsraum ist, braucht einen Konzernabschluß und einen Konzernlagebericht nicht aufzustellen, wenn ein den Anforderungen des Absatzes 2 entsprechender Konzernabschluß und Konzernlagebericht seines Mutterunternehmens einschließlich des Bestätigungsvermerks oder des Vermerks über dessen Versagung nach den für den entfallenden Konzernabschluß und Konzernlagebericht maßgeblichen Vorschriften in deutscher oder englischer Sprache offengelegt wird. </w:t>
      </w:r>
      <w:r>
        <w:rPr>
          <w:rStyle w:val="Satznummer"/>
        </w:rPr>
        <w:t>2</w:t>
      </w:r>
      <w:r>
        <w:t>Ein befreiender Konzernabschluß und ein befreiender Konzernlagebericht können von jedem Unternehmen unabhängig von seiner Rechtsform und Größe aufgestellt werden, wenn das Unternehmen als Kapitalgesellschaft mit Sitz in einem Mitgliedstaat der Europäischen Union oder in einem anderen Vertragsstaat des Abkommens über den Europäischen Wirtschaftsraum zur Aufstellung eines Konzernabschlusses unter Einbeziehung des zu befreienden Mutterunternehmens und seiner Tochterunternehmen verpflichtet wäre.</w:t>
      </w:r>
    </w:p>
    <w:p>
      <w:r>
        <w:t xml:space="preserve">(2) </w:t>
      </w:r>
      <w:r>
        <w:rPr>
          <w:rStyle w:val="Satznummer"/>
        </w:rPr>
        <w:t>1</w:t>
      </w:r>
      <w:r>
        <w:t>Der Konzernabschluß und Konzernlagebericht eines Mutterunternehmens mit Sitz in einem Mitgliedstaat der Europäischen Union oder in einem anderen Vertragsstaat des Abkommens über den Europäischen Wirtschaftsraum haben befreiende Wirkung, wenn</w:t>
      </w:r>
    </w:p>
    <w:p>
      <w:pPr>
        <w:tabs>
          <w:tab w:pos="567" w:val="left"/>
        </w:tabs>
        <w:ind w:left="567" w:hanging="567"/>
      </w:pPr>
      <w:r>
        <w:t>1.</w:t>
      </w:r>
      <w:r>
        <w:tab/>
      </w:r>
      <w:r>
        <w:t xml:space="preserve">das zu befreiende Mutterunternehmen und seine Tochterunternehmen in den befreienden Konzernabschluß unbeschadet des </w:t>
      </w:r>
      <w:hyperlink w:anchor="b314" w:history="1">
        <w:r>
          <w:rPr>
            <w:color w:val="0A3A8C"/>
            <w:u w:val="single"/>
          </w:rPr>
          <w:t xml:space="preserve">§ 296</w:t>
        </w:r>
      </w:hyperlink>
      <w:r>
        <w:t xml:space="preserve"> einbezogen worden sind,</w:t>
      </w:r>
    </w:p>
    <w:p>
      <w:pPr>
        <w:tabs>
          <w:tab w:pos="567" w:val="left"/>
        </w:tabs>
        <w:ind w:left="567" w:hanging="567"/>
      </w:pPr>
      <w:r>
        <w:t>2.</w:t>
      </w:r>
      <w:r>
        <w:tab/>
      </w:r>
      <w:r>
        <w:t xml:space="preserve">der befreiende Konzernabschluss nach dem auf das Mutterunternehmen anwendbaren Recht im Einklang mit der Richtlinie 2013/34/EU oder im Einklang mit den in </w:t>
      </w:r>
      <w:hyperlink w:anchor="b347" w:history="1">
        <w:r>
          <w:rPr>
            <w:color w:val="0A3A8C"/>
            <w:u w:val="single"/>
          </w:rPr>
          <w:t xml:space="preserve">§ 315e</w:t>
        </w:r>
      </w:hyperlink>
      <w:r>
        <w:t xml:space="preserve"> Absatz 1 bezeichneten internationalen Rechnungslegungsstandards aufgestellt und im Einklang mit der Richtlinie 2006/43/EG geprüft worden ist,</w:t>
      </w:r>
    </w:p>
    <w:p>
      <w:pPr>
        <w:tabs>
          <w:tab w:pos="567" w:val="left"/>
        </w:tabs>
        <w:ind w:left="567" w:hanging="567"/>
      </w:pPr>
      <w:r>
        <w:t>3.</w:t>
      </w:r>
      <w:r>
        <w:tab/>
      </w:r>
      <w:r>
        <w:t>der befreiende Konzernlagebericht nach dem auf das Mutterunternehmen anwendbaren Recht im Einklang mit der Richtlinie 2013/34/EU aufgestellt und im Einklang mit der Richtlinie 2006/43/EG geprüft worden ist,</w:t>
      </w:r>
    </w:p>
    <w:p>
      <w:pPr>
        <w:tabs>
          <w:tab w:pos="567" w:val="left"/>
        </w:tabs>
        <w:ind w:left="567" w:hanging="567"/>
      </w:pPr>
      <w:r>
        <w:t>4.</w:t>
      </w:r>
      <w:r>
        <w:tab/>
      </w:r>
      <w:r>
        <w:t>der Anhang des Jahresabschlusses des zu befreienden Unternehmens folgende Angaben enthält:</w:t>
      </w:r>
    </w:p>
    <w:p>
      <w:pPr>
        <w:tabs>
          <w:tab w:pos="1134" w:val="left"/>
        </w:tabs>
        <w:ind w:left="1134" w:hanging="567"/>
      </w:pPr>
      <w:r>
        <w:t>a)</w:t>
      </w:r>
      <w:r>
        <w:tab/>
      </w:r>
      <w:r>
        <w:t>Name und Sitz des Mutterunternehmens, das den befreienden Konzernabschluß und Konzernlagebericht aufstellt,</w:t>
      </w:r>
    </w:p>
    <w:p>
      <w:pPr>
        <w:tabs>
          <w:tab w:pos="1134" w:val="left"/>
        </w:tabs>
        <w:ind w:left="1134" w:hanging="567"/>
      </w:pPr>
      <w:r>
        <w:t>b)</w:t>
      </w:r>
      <w:r>
        <w:tab/>
      </w:r>
      <w:r>
        <w:t>einen Hinweis auf die Befreiung von der Verpflichtung, einen Konzernabschluß und einen Konzernlagebericht aufzustellen, und</w:t>
      </w:r>
    </w:p>
    <w:p>
      <w:pPr>
        <w:tabs>
          <w:tab w:pos="1134" w:val="left"/>
        </w:tabs>
        <w:ind w:left="1134" w:hanging="567"/>
      </w:pPr>
      <w:r>
        <w:t>c)</w:t>
      </w:r>
      <w:r>
        <w:tab/>
      </w:r>
      <w:r>
        <w:t>eine Erläuterung der im befreienden Konzernabschluß vom deutschen Recht abweichend angewandten Bilanzierungs-, Bewertungs- und Konsolidierungsmethoden.</w:t>
      </w:r>
    </w:p>
    <w:p>
      <w:r>
        <w:rPr>
          <w:rStyle w:val="Satznummer"/>
        </w:rPr>
        <w:t>2</w:t>
      </w:r>
      <w:r>
        <w:t>Satz 1 gilt für Kreditinstitute und Versicherungsunternehmen entsprechend; unbeschadet der übrigen Voraussetzungen in Satz 1 hat die Aufstellung des befreienden Konzernabschlusses und des befreienden Konzernlageberichts bei Kreditinstituten im Einklang mit der Richtlinie 86/635/EWG des Rates vom 8. Dezember 1986 über den Jahresabschluß und den konsolidierten Abschluß von Banken und anderen Finanzinstituten (ABl. L 372 vom 31.12.1986, S. 1; L 316 vom 23.11.1988, S. 51), die zuletzt durch die Richtlinie 2006/46/EG (ABl. L 224 vom 16.8.2006, S. 1) geändert worden ist, und bei Versicherungsunternehmen im Einklang mit der Richtlinie 91/674/EWG des Rates vom 19. Dezember 1991 über den Jahresabschluß und den konsolidierten Abschluß von Versicherungsunternehmen (ABl. L 374 vom 31.12.1991, S. 7), die zuletzt durch die Richtlinie 2006/46/EG (ABl. L 224 vom 16.8.2006, S. 1) geändert worden ist, zu erfolgen.</w:t>
      </w:r>
    </w:p>
    <w:p>
      <w:r>
        <w:t>(3) Die Befreiung nach Absatz 1 kann trotz Vorliegens der Voraussetzungen nach Absatz 2 von einem Mutterunternehmen nicht in Anspruch genommen werden, wenn</w:t>
      </w:r>
    </w:p>
    <w:p>
      <w:pPr>
        <w:tabs>
          <w:tab w:pos="567" w:val="left"/>
        </w:tabs>
        <w:ind w:left="567" w:hanging="567"/>
      </w:pPr>
      <w:r>
        <w:t>1.</w:t>
      </w:r>
      <w:r>
        <w:tab/>
      </w:r>
      <w:r>
        <w:t>das zu befreiende Mutterunternehmen einen organisierten Markt im Sinn des § 2 Absatz 11 des Wertpapierhandelsgesetzes durch von ihm ausgegebene Wertpapiere im Sinn des § 2 Absatz 1 des Wertpapierhandelsgesetzes in Anspruch nimmt,</w:t>
      </w:r>
    </w:p>
    <w:p>
      <w:pPr>
        <w:tabs>
          <w:tab w:pos="567" w:val="left"/>
        </w:tabs>
        <w:ind w:left="567" w:hanging="567"/>
      </w:pPr>
      <w:r>
        <w:t>2.</w:t>
      </w:r>
      <w:r>
        <w:tab/>
      </w:r>
      <w:r>
        <w:t>Gesellschafter, denen bei Aktiengesellschaften und Kommanditgesellschaften auf Aktien mindestens 10 vom Hundert und bei Gesellschaften mit beschränkter Haftung mindestens 20 vom Hundert der Anteile an dem zu befreienden Mutterunternehmen gehören, spätestens sechs Monate vor dem Ablauf des Konzerngeschäftsjahrs die Aufstellung eines Konzernabschlusses und eines Konzernlageberichts beantragt haben.</w:t>
      </w:r>
    </w:p>
    <w:p>
      <w:pPr>
        <w:pStyle w:val="Heading5"/>
      </w:pPr>
      <w:bookmarkStart w:id="309" w:name="b308"/>
      <w:r>
        <w:t>§ 292 Befreiende Wirkung von Konzernabschlüssen aus Drittstaaten</w:t>
      </w:r>
      <w:r>
        <w:t xml:space="preserve"> </w:t>
      </w:r>
      <w:r>
        <w:rPr>
          <w:rStyle w:val="Suchmarke"/>
        </w:rPr>
        <w:t>#292#</w:t>
      </w:r>
      <w:bookmarkEnd w:id="309"/>
    </w:p>
    <w:p>
      <w:r>
        <w:t xml:space="preserve">(1) Ein Mutterunternehmen, das zugleich Tochterunternehmen eines Mutterunternehmens mit Sitz in einem Staat ist, der nicht Mitglied der Europäischen Union und auch nicht Vertragsstaat des Abkommens über den Europäischen Wirtschaftsraum ist, braucht einen Konzernabschluss und einen Konzernlagebericht nicht aufzustellen, wenn dieses andere Mutterunternehmen einen dem </w:t>
      </w:r>
      <w:hyperlink w:anchor="b307" w:history="1">
        <w:r>
          <w:rPr>
            <w:color w:val="0A3A8C"/>
            <w:u w:val="single"/>
          </w:rPr>
          <w:t xml:space="preserve">§ 291</w:t>
        </w:r>
      </w:hyperlink>
      <w:r>
        <w:t xml:space="preserve"> Absatz 2 Nummer 1 entsprechenden Konzernabschluss (befreiender Konzernabschluss) und Konzernlagebericht (befreiender Konzernlagebericht) aufstellt sowie außerdem alle folgenden Voraussetzungen erfüllt sind:</w:t>
      </w:r>
    </w:p>
    <w:p>
      <w:pPr>
        <w:tabs>
          <w:tab w:pos="567" w:val="left"/>
        </w:tabs>
        <w:ind w:left="567" w:hanging="567"/>
      </w:pPr>
      <w:r>
        <w:t>1.</w:t>
      </w:r>
      <w:r>
        <w:tab/>
      </w:r>
      <w:r>
        <w:t>der befreiende Konzernabschluss wird wie folgt aufgestellt:</w:t>
      </w:r>
    </w:p>
    <w:p>
      <w:pPr>
        <w:tabs>
          <w:tab w:pos="1134" w:val="left"/>
        </w:tabs>
        <w:ind w:left="1134" w:hanging="567"/>
      </w:pPr>
      <w:r>
        <w:t>a)</w:t>
      </w:r>
      <w:r>
        <w:tab/>
      </w:r>
      <w:r>
        <w:t>nach Maßgabe des Rechts eines Mitgliedstaats der Europäischen Union oder eines anderen Vertragsstaats des Abkommens über den Europäischen Wirtschaftsraum im Einklang mit der Richtlinie 2013/34/EU,</w:t>
      </w:r>
    </w:p>
    <w:p>
      <w:pPr>
        <w:tabs>
          <w:tab w:pos="1134" w:val="left"/>
        </w:tabs>
        <w:ind w:left="1134" w:hanging="567"/>
      </w:pPr>
      <w:r>
        <w:t>b)</w:t>
      </w:r>
      <w:r>
        <w:tab/>
      </w:r>
      <w:r>
        <w:t xml:space="preserve">im Einklang mit den in </w:t>
      </w:r>
      <w:hyperlink w:anchor="b347" w:history="1">
        <w:r>
          <w:rPr>
            <w:color w:val="0A3A8C"/>
            <w:u w:val="single"/>
          </w:rPr>
          <w:t xml:space="preserve">§ 315e</w:t>
        </w:r>
      </w:hyperlink>
      <w:r>
        <w:t xml:space="preserve"> Absatz 1 bezeichneten internationalen Rechnungslegungsstandards,</w:t>
      </w:r>
    </w:p>
    <w:p>
      <w:pPr>
        <w:tabs>
          <w:tab w:pos="1134" w:val="left"/>
        </w:tabs>
        <w:ind w:left="1134" w:hanging="567"/>
      </w:pPr>
      <w:r>
        <w:t>c)</w:t>
      </w:r>
      <w:r>
        <w:tab/>
      </w:r>
      <w:r>
        <w:t>derart, dass er einem nach den in Buchstabe a bezeichneten Vorgaben erstellten Konzernabschluss gleichwertig ist, oder</w:t>
      </w:r>
    </w:p>
    <w:p>
      <w:pPr>
        <w:tabs>
          <w:tab w:pos="1134" w:val="left"/>
        </w:tabs>
        <w:ind w:left="1134" w:hanging="567"/>
      </w:pPr>
      <w:r>
        <w:t>d)</w:t>
      </w:r>
      <w:r>
        <w:tab/>
      </w:r>
      <w:r>
        <w:t>derart, dass er internationalen Rechnungslegungsstandards entspricht, die gemäß der Verordnung (EG) Nr. 1569/2007 der Kommission vom 21. Dezember 2007 über die Einrichtung eines Mechanismus zur Festlegung der Gleichwertigkeit der von Drittstaatemittenten angewandten Rechnungslegungsgrundsätze gemäß den Richtlinien 2003/71/EG und 2004/109/EG des Europäischen Parlaments und des Rates (ABl. L 340 vom 22.12.2007, S. 66), die durch die Delegierte Verordnung (EU) Nr. 310/2012 (ABl. L 103 vom 13.4.2012, S. 11) geändert worden ist, in ihrer jeweils geltenden Fassung festgelegt wurden;</w:t>
      </w:r>
    </w:p>
    <w:p>
      <w:pPr>
        <w:tabs>
          <w:tab w:pos="567" w:val="left"/>
        </w:tabs>
        <w:ind w:left="567" w:hanging="567"/>
      </w:pPr>
      <w:r>
        <w:t>2.</w:t>
      </w:r>
      <w:r>
        <w:tab/>
      </w:r>
      <w:r>
        <w:t>der befreiende Konzernlagebericht wird nach Maßgabe der in Nummer 1 Buchstabe a genannten Vorgaben aufgestellt oder ist einem nach diesen Vorgaben aufgestellten Konzernlagebericht gleichwertig;</w:t>
      </w:r>
    </w:p>
    <w:p>
      <w:pPr>
        <w:tabs>
          <w:tab w:pos="567" w:val="left"/>
        </w:tabs>
        <w:ind w:left="567" w:hanging="567"/>
      </w:pPr>
      <w:r>
        <w:t>3.</w:t>
      </w:r>
      <w:r>
        <w:tab/>
      </w:r>
      <w:r>
        <w:t>der befreiende Konzernabschluss ist von einem oder mehreren Abschlussprüfern oder einer oder mehreren Prüfungsgesellschaften geprüft worden, die auf Grund der einzelstaatlichen Rechtsvorschriften, denen das Unternehmen unterliegt, das diesen Abschluss aufgestellt hat, zur Prüfung von Jahresabschlüssen zugelassen sind;</w:t>
      </w:r>
    </w:p>
    <w:p>
      <w:pPr>
        <w:tabs>
          <w:tab w:pos="567" w:val="left"/>
        </w:tabs>
        <w:ind w:left="567" w:hanging="567"/>
      </w:pPr>
      <w:r>
        <w:t>4.</w:t>
      </w:r>
      <w:r>
        <w:tab/>
      </w:r>
      <w:r>
        <w:t>der befreiende Konzernabschluss, der befreiende Konzernlagebericht und der Bestätigungsvermerk sind nach den für den entfallenden Konzernabschluss und Konzernlagebericht maßgeblichen Vorschriften in deutscher oder englischer Sprache offengelegt worden.</w:t>
      </w:r>
    </w:p>
    <w:p>
      <w:r>
        <w:t xml:space="preserve">(2) </w:t>
      </w:r>
      <w:r>
        <w:rPr>
          <w:rStyle w:val="Satznummer"/>
        </w:rPr>
        <w:t>1</w:t>
      </w:r>
      <w:r>
        <w:t xml:space="preserve">Die befreiende Wirkung tritt nur ein, wenn im Anhang des Jahresabschlusses des zu befreienden Unternehmens die in </w:t>
      </w:r>
      <w:hyperlink w:anchor="b307" w:history="1">
        <w:r>
          <w:rPr>
            <w:color w:val="0A3A8C"/>
            <w:u w:val="single"/>
          </w:rPr>
          <w:t xml:space="preserve">§ 291</w:t>
        </w:r>
      </w:hyperlink>
      <w:r>
        <w:t xml:space="preserve"> Absatz 2 Satz 1 Nummer 4 genannten Angaben gemacht werden und zusätzlich angegeben wird, nach welchen der in Absatz 1 Nummer 1 genannten Vorgaben sowie gegebenenfalls nach dem Recht welchen Staates der befreiende Konzernabschluss und der befreiende Konzernlagebericht aufgestellt worden sind. </w:t>
      </w:r>
      <w:r>
        <w:rPr>
          <w:rStyle w:val="Satznummer"/>
        </w:rPr>
        <w:t>2</w:t>
      </w:r>
      <w:r>
        <w:t xml:space="preserve">Im Übrigen ist </w:t>
      </w:r>
      <w:hyperlink w:anchor="b307" w:history="1">
        <w:r>
          <w:rPr>
            <w:color w:val="0A3A8C"/>
            <w:u w:val="single"/>
          </w:rPr>
          <w:t xml:space="preserve">§ 291</w:t>
        </w:r>
      </w:hyperlink>
      <w:r>
        <w:t xml:space="preserve"> Absatz 2 Satz 2 und Absatz 3 entsprechend anzuwenden.</w:t>
      </w:r>
    </w:p>
    <w:p>
      <w:r>
        <w:t xml:space="preserve">(3) </w:t>
      </w:r>
      <w:r>
        <w:rPr>
          <w:rStyle w:val="Satznummer"/>
        </w:rPr>
        <w:t>1</w:t>
      </w:r>
      <w:r>
        <w:t xml:space="preserve">Ist ein nach Absatz 1 zugelassener Konzernabschluß nicht von einem in Übereinstimmung mit den Vorschriften der Richtlinie 2006/43/EG zugelassenen Abschlußprüfer geprüft worden, so kommt ihm befreiende Wirkung nur zu, wenn der Abschlußprüfer eine den Anforderungen dieser Richtlinie gleichwertige Befähigung hat und der Konzernabschluß in einer den Anforderungen des Dritten Unterabschnitts entsprechenden Weise geprüft worden ist. </w:t>
      </w:r>
      <w:r>
        <w:rPr>
          <w:rStyle w:val="Satznummer"/>
        </w:rPr>
        <w:t>2</w:t>
      </w:r>
      <w:r>
        <w:t xml:space="preserve">Nicht in Übereinstimmung mit den Vorschriften der Richtlinie 2006/43/EG zugelassene Abschlussprüfer von Unternehmen mit Sitz in einem Drittstaat im Sinn des § 3 Abs. 1 Satz 1 der Wirtschaftsprüferordnung, deren Wertpapiere im Sinn des § 2 Absatz 1 des Wertpapierhandelsgesetzes an einer inländischen Börse zum Handel am regulierten Markt zugelassen sind, haben nur dann eine den Anforderungen der Richtlinie gleichwertige Befähigung, wenn sie bei der Wirtschaftsprüferkammer gemäß § 134 Abs. 1 der Wirtschaftsprüferordnung eingetragen sind oder die Gleichwertigkeit gemäß § 134 Abs. 4 der Wirtschaftsprüferordnung anerkannt ist. </w:t>
      </w:r>
      <w:r>
        <w:rPr>
          <w:rStyle w:val="Satznummer"/>
        </w:rPr>
        <w:t>3</w:t>
      </w:r>
      <w:r>
        <w:t>Satz 2 ist nicht anzuwenden, soweit ausschließlich Schuldtitel im Sinne des § 2 Absatz 1 Nummer 3 des Wertpapierhandelsgesetzes</w:t>
      </w:r>
    </w:p>
    <w:p>
      <w:pPr>
        <w:tabs>
          <w:tab w:pos="567" w:val="left"/>
        </w:tabs>
        <w:ind w:left="567" w:hanging="567"/>
      </w:pPr>
      <w:r>
        <w:t>1.</w:t>
      </w:r>
      <w:r>
        <w:tab/>
      </w:r>
      <w:r>
        <w:t>mit einer Mindeststückelung zu je 100 000 Euro oder einem entsprechenden Betrag anderer Währung an einer inländischen Börse zum Handel am regulierten Markt zugelassen sind oder</w:t>
      </w:r>
    </w:p>
    <w:p>
      <w:pPr>
        <w:tabs>
          <w:tab w:pos="567" w:val="left"/>
        </w:tabs>
        <w:ind w:left="567" w:hanging="567"/>
      </w:pPr>
      <w:r>
        <w:t>2.</w:t>
      </w:r>
      <w:r>
        <w:tab/>
      </w:r>
      <w:r>
        <w:t>mit einer Mindeststückelung zu je 50 000 Euro oder einem entsprechenden Betrag anderer Währung an einer inländischen Börse zum Handel am regulierten Markt zugelassen sind und diese Schuldtitel vor dem 31. Dezember 2010 begeben worden sind.</w:t>
      </w:r>
    </w:p>
    <w:p>
      <w:r>
        <w:rPr>
          <w:rStyle w:val="Satznummer"/>
        </w:rPr>
        <w:t>4</w:t>
      </w:r>
      <w:r>
        <w:t>Im Falle des Satzes 2 ist mit dem Bestätigungsvermerk nach Absatz 1 Nummer 4 auch eine Bescheinigung der Wirtschaftsprüferkammer gemäß § 134 Absatz 2a der Wirtschaftsprüferordnung über die Eintragung des Abschlussprüfers oder eine Bestätigung der Wirtschaftsprüferkammer gemäß § 134 Absatz 4 Satz 8 der Wirtschaftsprüferordnung über die Befreiung von der Eintragungsverpflichtung offenzulegen.</w:t>
      </w:r>
    </w:p>
    <w:p>
      <w:pPr>
        <w:pStyle w:val="Heading5"/>
      </w:pPr>
      <w:bookmarkStart w:id="310" w:name="b309"/>
      <w:r>
        <w:t>§ 292a (weggefallen)</w:t>
      </w:r>
      <w:r>
        <w:t xml:space="preserve"> </w:t>
      </w:r>
      <w:r>
        <w:rPr>
          <w:rStyle w:val="Suchmarke"/>
        </w:rPr>
        <w:t>#292a#</w:t>
      </w:r>
      <w:bookmarkEnd w:id="310"/>
    </w:p>
    <w:p>
      <w:pPr>
        <w:pStyle w:val="Heading5"/>
      </w:pPr>
      <w:bookmarkStart w:id="311" w:name="b310"/>
      <w:r>
        <w:t>§ 293 Größenabhängige Befreiungen</w:t>
      </w:r>
      <w:r>
        <w:t xml:space="preserve"> </w:t>
      </w:r>
      <w:r>
        <w:rPr>
          <w:rStyle w:val="Suchmarke"/>
        </w:rPr>
        <w:t>#293#</w:t>
      </w:r>
      <w:bookmarkEnd w:id="311"/>
    </w:p>
    <w:p>
      <w:r>
        <w:t xml:space="preserve">(1) </w:t>
      </w:r>
      <w:r>
        <w:rPr>
          <w:rStyle w:val="Satznummer"/>
        </w:rPr>
        <w:t>1</w:t>
      </w:r>
      <w:r>
        <w:t>Ein Mutterunternehmen ist von der Pflicht, einen Konzernabschluß und einen Konzernlagebericht aufzustellen, befreit, wenn</w:t>
      </w:r>
    </w:p>
    <w:p>
      <w:pPr>
        <w:tabs>
          <w:tab w:pos="567" w:val="left"/>
        </w:tabs>
        <w:ind w:left="567" w:hanging="567"/>
      </w:pPr>
      <w:r>
        <w:t>1.</w:t>
      </w:r>
      <w:r>
        <w:tab/>
      </w:r>
      <w:r>
        <w:t>am Abschlußstichtag seines Jahresabschlusses und am vorhergehenden Abschlußstichtag mindestens zwei der drei nachstehenden Merkmale zutreffen:</w:t>
      </w:r>
    </w:p>
    <w:p>
      <w:pPr>
        <w:tabs>
          <w:tab w:pos="1134" w:val="left"/>
        </w:tabs>
        <w:ind w:left="1134" w:hanging="567"/>
      </w:pPr>
      <w:r>
        <w:t>a)</w:t>
      </w:r>
      <w:r>
        <w:tab/>
      </w:r>
      <w:r>
        <w:t>Die Bilanzsummen in den Bilanzen des Mutterunternehmens und der Tochterunternehmen, die in den Konzernabschluß einzubeziehen wären, übersteigen insgesamt nicht 30 000 000 Euro.</w:t>
      </w:r>
    </w:p>
    <w:p>
      <w:pPr>
        <w:tabs>
          <w:tab w:pos="1134" w:val="left"/>
        </w:tabs>
        <w:ind w:left="1134" w:hanging="567"/>
      </w:pPr>
      <w:r>
        <w:t>b)</w:t>
      </w:r>
      <w:r>
        <w:tab/>
      </w:r>
      <w:r>
        <w:t>Die Umsatzerlöse des Mutterunternehmens und der Tochterunternehmen, die in den Konzernabschluß einzubeziehen wären, übersteigen in den zwölf Monaten vor dem Abschlußstichtag insgesamt nicht 60 000 000 Euro.</w:t>
      </w:r>
    </w:p>
    <w:p>
      <w:pPr>
        <w:tabs>
          <w:tab w:pos="1134" w:val="left"/>
        </w:tabs>
        <w:ind w:left="1134" w:hanging="567"/>
      </w:pPr>
      <w:r>
        <w:t>c)</w:t>
      </w:r>
      <w:r>
        <w:tab/>
      </w:r>
      <w:r>
        <w:t>Das Mutterunternehmen und die Tochterunternehmen, die in den Konzernabschluß einzubeziehen wären, haben in den zwölf Monaten vor dem Abschlußstichtag im Jahresdurchschnitt nicht mehr als 250 Arbeitnehmer beschäftigt;</w:t>
      </w:r>
    </w:p>
    <w:p>
      <w:pPr>
        <w:ind w:left="1134"/>
      </w:pPr>
      <w:r>
        <w:t>oder</w:t>
      </w:r>
    </w:p>
    <w:p>
      <w:pPr>
        <w:tabs>
          <w:tab w:pos="567" w:val="left"/>
        </w:tabs>
        <w:ind w:left="567" w:hanging="567"/>
      </w:pPr>
      <w:r>
        <w:t>2.</w:t>
      </w:r>
      <w:r>
        <w:tab/>
      </w:r>
      <w:r>
        <w:t>am Abschlußstichtag eines von ihm aufzustellenden Konzernabschlusses und am vorhergehenden Abschlußstichtag mindestens zwei der drei nachstehenden Merkmale zutreffen:</w:t>
      </w:r>
    </w:p>
    <w:p>
      <w:pPr>
        <w:tabs>
          <w:tab w:pos="1134" w:val="left"/>
        </w:tabs>
        <w:ind w:left="1134" w:hanging="567"/>
      </w:pPr>
      <w:r>
        <w:t>a)</w:t>
      </w:r>
      <w:r>
        <w:tab/>
      </w:r>
      <w:r>
        <w:t>Die Bilanzsumme übersteigt nicht 25 000 000 Euro.</w:t>
      </w:r>
    </w:p>
    <w:p>
      <w:pPr>
        <w:tabs>
          <w:tab w:pos="1134" w:val="left"/>
        </w:tabs>
        <w:ind w:left="1134" w:hanging="567"/>
      </w:pPr>
      <w:r>
        <w:t>b)</w:t>
      </w:r>
      <w:r>
        <w:tab/>
      </w:r>
      <w:r>
        <w:t>Die Umsatzerlöse in den zwölf Monaten vor dem Abschlußstichtag übersteigen nicht 50 000 000 Euro.</w:t>
      </w:r>
    </w:p>
    <w:p>
      <w:pPr>
        <w:tabs>
          <w:tab w:pos="1134" w:val="left"/>
        </w:tabs>
        <w:ind w:left="1134" w:hanging="567"/>
      </w:pPr>
      <w:r>
        <w:t>c)</w:t>
      </w:r>
      <w:r>
        <w:tab/>
      </w:r>
      <w:r>
        <w:t>Das Mutterunternehmen und die in den Konzernabschluß einbezogenen Tochterunternehmen haben in den zwölf Monaten vor dem Abschlußstichtag im Jahresdurchschnitt nicht mehr als 250 Arbeitnehmer beschäftigt.</w:t>
      </w:r>
    </w:p>
    <w:p>
      <w:r>
        <w:rPr>
          <w:rStyle w:val="Satznummer"/>
        </w:rPr>
        <w:t>2</w:t>
      </w:r>
      <w:r>
        <w:t xml:space="preserve">Auf die Ermittlung der durchschnittlichen Zahl der Arbeitnehmer ist </w:t>
      </w:r>
      <w:hyperlink w:anchor="b273" w:history="1">
        <w:r>
          <w:rPr>
            <w:color w:val="0A3A8C"/>
            <w:u w:val="single"/>
          </w:rPr>
          <w:t xml:space="preserve">§ 267</w:t>
        </w:r>
      </w:hyperlink>
      <w:r>
        <w:t xml:space="preserve"> Abs. 5 anzuwenden.</w:t>
      </w:r>
    </w:p>
    <w:p>
      <w:r>
        <w:t xml:space="preserve">(2) Auf die Ermittlung der Bilanzsumme ist </w:t>
      </w:r>
      <w:hyperlink w:anchor="b273" w:history="1">
        <w:r>
          <w:rPr>
            <w:color w:val="0A3A8C"/>
            <w:u w:val="single"/>
          </w:rPr>
          <w:t xml:space="preserve">§ 267</w:t>
        </w:r>
      </w:hyperlink>
      <w:r>
        <w:t xml:space="preserve"> Absatz 4a entsprechend anzuwenden.</w:t>
      </w:r>
    </w:p>
    <w:p>
      <w:r>
        <w:t>(3) (weggefallen)</w:t>
      </w:r>
    </w:p>
    <w:p>
      <w:r>
        <w:t xml:space="preserve">(4) </w:t>
      </w:r>
      <w:r>
        <w:rPr>
          <w:rStyle w:val="Satznummer"/>
        </w:rPr>
        <w:t>1</w:t>
      </w:r>
      <w:r>
        <w:t xml:space="preserve">Außer in den Fällen des Absatzes 1 ist ein Mutterunternehmen von der Pflicht zur Aufstellung des Konzernabschlusses und des Konzernlageberichts befreit, wenn die Voraussetzungen des Absatzes 1 nur am Abschlußstichtag oder nur am vorhergehenden Abschlußstichtag erfüllt sind und das Mutterunternehmen am vorhergehenden Abschlußstichtag von der Pflicht zur Aufstellung des Konzernabschlusses und des Konzernlageberichts befreit war. </w:t>
      </w:r>
      <w:r>
        <w:rPr>
          <w:rStyle w:val="Satznummer"/>
        </w:rPr>
        <w:t>2</w:t>
      </w:r>
      <w:hyperlink w:anchor="b273" w:history="1">
        <w:r>
          <w:rPr>
            <w:color w:val="0A3A8C"/>
            <w:u w:val="single"/>
          </w:rPr>
          <w:t xml:space="preserve">§ 267</w:t>
        </w:r>
      </w:hyperlink>
      <w:r>
        <w:t xml:space="preserve"> Abs. 4 Satz 2 und 3 ist entsprechend anzuwenden.</w:t>
      </w:r>
    </w:p>
    <w:p>
      <w:r>
        <w:t xml:space="preserve">(5) Die Absätze 1 und 4 sind nicht anzuwenden, wenn das Mutterunternehmen oder ein in dessen Konzernabschluss einbezogenes Tochterunternehmen am Abschlussstichtag kapitalmarktorientiert im Sinn des </w:t>
      </w:r>
      <w:hyperlink w:anchor="b269" w:history="1">
        <w:r>
          <w:rPr>
            <w:color w:val="0A3A8C"/>
            <w:u w:val="single"/>
          </w:rPr>
          <w:t xml:space="preserve">§ 264d</w:t>
        </w:r>
      </w:hyperlink>
      <w:r>
        <w:t xml:space="preserve"> ist oder es den Vorschriften des Ersten oder Zweiten Unterabschnitts des Vierten Abschnitts unterworfen ist.</w:t>
      </w:r>
    </w:p>
    <w:p>
      <w:pPr>
        <w:pStyle w:val="Heading4"/>
      </w:pPr>
      <w:bookmarkStart w:id="312" w:name="b311"/>
      <w:r>
        <w:t>Zweiter Titel Konsolidierungskreis</w:t>
      </w:r>
      <w:bookmarkEnd w:id="312"/>
    </w:p>
    <w:p>
      <w:pPr>
        <w:pStyle w:val="Heading5"/>
      </w:pPr>
      <w:bookmarkStart w:id="313" w:name="b312"/>
      <w:r>
        <w:t>§ 294 Einzubeziehende Unternehmen Vorlage- und Auskunftspflichten</w:t>
      </w:r>
      <w:r>
        <w:t xml:space="preserve"> </w:t>
      </w:r>
      <w:r>
        <w:rPr>
          <w:rStyle w:val="Suchmarke"/>
        </w:rPr>
        <w:t>#294#</w:t>
      </w:r>
      <w:bookmarkEnd w:id="313"/>
    </w:p>
    <w:p>
      <w:r>
        <w:t xml:space="preserve">(1) In den Konzernabschluß sind das Mutterunternehmen und alle Tochterunternehmen ohne Rücksicht auf den Sitz und die Rechtsform der Tochterunternehmen einzubeziehen, sofern die Einbeziehung nicht nach </w:t>
      </w:r>
      <w:hyperlink w:anchor="b314" w:history="1">
        <w:r>
          <w:rPr>
            <w:color w:val="0A3A8C"/>
            <w:u w:val="single"/>
          </w:rPr>
          <w:t xml:space="preserve">§ 296</w:t>
        </w:r>
      </w:hyperlink>
      <w:r>
        <w:t xml:space="preserve"> unterbleibt.</w:t>
      </w:r>
    </w:p>
    <w:p>
      <w:r>
        <w:t>(2) Hat sich die Zusammensetzung der in den Konzernabschluß einbezogenen Unternehmen im Laufe des Geschäftsjahrs wesentlich geändert, so sind in den Konzernabschluß Angaben aufzunehmen, die es ermöglichen, die aufeinanderfolgenden Konzernabschlüsse sinnvoll zu vergleichen.</w:t>
      </w:r>
    </w:p>
    <w:p>
      <w:r>
        <w:t xml:space="preserve">(3) </w:t>
      </w:r>
      <w:r>
        <w:rPr>
          <w:rStyle w:val="Satznummer"/>
        </w:rPr>
        <w:t>1</w:t>
      </w:r>
      <w:r>
        <w:t xml:space="preserve">Die Tochterunternehmen haben dem Mutterunternehmen ihre Jahresabschlüsse, Einzelabschlüsse nach </w:t>
      </w:r>
      <w:hyperlink w:anchor="b364" w:history="1">
        <w:r>
          <w:rPr>
            <w:color w:val="0A3A8C"/>
            <w:u w:val="single"/>
          </w:rPr>
          <w:t xml:space="preserve">§ 325</w:t>
        </w:r>
      </w:hyperlink>
      <w:r>
        <w:t xml:space="preserve"> Abs. 2a, Lageberichte, gesonderten nichtfinanziellen Berichte, Konzernabschlüsse, Konzernlageberichte, gesonderten nichtfinanziellen Konzernberichte und, wenn eine Abschlussprüfung stattgefunden hat, die Prüfungsberichte sowie, wenn ein Zwischenabschluß aufzustellen ist, einen auf den Stichtag des Konzernabschlusses aufgestellten Abschluß unverzüglich einzureichen. </w:t>
      </w:r>
      <w:r>
        <w:rPr>
          <w:rStyle w:val="Satznummer"/>
        </w:rPr>
        <w:t>2</w:t>
      </w:r>
      <w:r>
        <w:t>Das Mutterunternehmen kann von jedem Tochterunternehmen alle Aufklärungen und Nachweise verlangen, welche die Aufstellung des Konzernabschlusses, des Konzernlageberichts und des gesonderten nichtfinanziellen Konzernberichts erfordert.</w:t>
      </w:r>
    </w:p>
    <w:p>
      <w:pPr>
        <w:pStyle w:val="Heading5"/>
      </w:pPr>
      <w:bookmarkStart w:id="314" w:name="b313"/>
      <w:r>
        <w:t>§ 295 (weggefallen)</w:t>
      </w:r>
      <w:r>
        <w:t xml:space="preserve"> </w:t>
      </w:r>
      <w:r>
        <w:rPr>
          <w:rStyle w:val="Suchmarke"/>
        </w:rPr>
        <w:t>#295#</w:t>
      </w:r>
      <w:bookmarkEnd w:id="314"/>
    </w:p>
    <w:p>
      <w:pPr>
        <w:pStyle w:val="Heading5"/>
      </w:pPr>
      <w:bookmarkStart w:id="315" w:name="b314"/>
      <w:r>
        <w:t>§ 296 Verzicht auf die Einbeziehung</w:t>
      </w:r>
      <w:r>
        <w:t xml:space="preserve"> </w:t>
      </w:r>
      <w:r>
        <w:rPr>
          <w:rStyle w:val="Suchmarke"/>
        </w:rPr>
        <w:t>#296#</w:t>
      </w:r>
      <w:bookmarkEnd w:id="315"/>
    </w:p>
    <w:p>
      <w:r>
        <w:t>(1) Ein Tochterunternehmen braucht in den Konzernabschluß nicht einbezogen zu werden, wenn</w:t>
      </w:r>
    </w:p>
    <w:p>
      <w:pPr>
        <w:tabs>
          <w:tab w:pos="567" w:val="left"/>
        </w:tabs>
        <w:ind w:left="567" w:hanging="567"/>
      </w:pPr>
      <w:r>
        <w:t>1.</w:t>
      </w:r>
      <w:r>
        <w:tab/>
      </w:r>
      <w:r>
        <w:t>erhebliche und andauernde Beschränkungen die Ausübung der Rechte des Mutterunternehmens in bezug auf das Vermögen oder die Geschäftsführung dieses Unternehmens nachhaltig beeinträchtigen,</w:t>
      </w:r>
    </w:p>
    <w:p>
      <w:pPr>
        <w:tabs>
          <w:tab w:pos="567" w:val="left"/>
        </w:tabs>
        <w:ind w:left="567" w:hanging="567"/>
      </w:pPr>
      <w:r>
        <w:t>2.</w:t>
      </w:r>
      <w:r>
        <w:tab/>
      </w:r>
      <w:r>
        <w:t>die für die Aufstellung des Konzernabschlusses erforderlichen Angaben nicht ohne unverhältnismäßig hohe Kosten oder unangemessene Verzögerungen zu erhalten sind oder</w:t>
      </w:r>
    </w:p>
    <w:p>
      <w:pPr>
        <w:tabs>
          <w:tab w:pos="567" w:val="left"/>
        </w:tabs>
        <w:ind w:left="567" w:hanging="567"/>
      </w:pPr>
      <w:r>
        <w:t>3.</w:t>
      </w:r>
      <w:r>
        <w:tab/>
      </w:r>
      <w:r>
        <w:t>die Anteile des Tochterunternehmens ausschließlich zum Zwecke ihrer Weiterveräußerung gehalten werden.</w:t>
      </w:r>
    </w:p>
    <w:p>
      <w:r>
        <w:t xml:space="preserve">(2) </w:t>
      </w:r>
      <w:r>
        <w:rPr>
          <w:rStyle w:val="Satznummer"/>
        </w:rPr>
        <w:t>1</w:t>
      </w:r>
      <w:r>
        <w:t xml:space="preserve">Ein Tochterunternehmen braucht in den Konzernabschluß nicht einbezogen zu werden, wenn es für die Verpflichtung, ein den tatsächlichen Verhältnissen entsprechendes Bild der Vermögens-, Finanz- und Ertragslage des Konzerns zu vermitteln, von untergeordneter Bedeutung ist. </w:t>
      </w:r>
      <w:r>
        <w:rPr>
          <w:rStyle w:val="Satznummer"/>
        </w:rPr>
        <w:t>2</w:t>
      </w:r>
      <w:r>
        <w:t>Entsprechen mehrere Tochterunternehmen der Voraussetzung des Satzes 1, so sind diese Unternehmen in den Konzernabschluß einzubeziehen, wenn sie zusammen nicht von untergeordneter Bedeutung sind.</w:t>
      </w:r>
    </w:p>
    <w:p>
      <w:r>
        <w:t>(3) Die Anwendung der Absätze 1 und 2 ist im Konzernanhang zu begründen.</w:t>
      </w:r>
    </w:p>
    <w:p>
      <w:pPr>
        <w:pStyle w:val="Heading4"/>
      </w:pPr>
      <w:bookmarkStart w:id="316" w:name="b315"/>
      <w:r>
        <w:t>Dritter Titel Inhalt und Form des Konzernabschlusses</w:t>
      </w:r>
      <w:bookmarkEnd w:id="316"/>
    </w:p>
    <w:p>
      <w:pPr>
        <w:pStyle w:val="Heading5"/>
      </w:pPr>
      <w:bookmarkStart w:id="317" w:name="b316"/>
      <w:r>
        <w:t>§ 297 Inhalt</w:t>
      </w:r>
      <w:r>
        <w:t xml:space="preserve"> </w:t>
      </w:r>
      <w:r>
        <w:rPr>
          <w:rStyle w:val="Suchmarke"/>
        </w:rPr>
        <w:t>#297#</w:t>
      </w:r>
      <w:bookmarkEnd w:id="317"/>
    </w:p>
    <w:p>
      <w:r>
        <w:t xml:space="preserve">(1) </w:t>
      </w:r>
      <w:r>
        <w:rPr>
          <w:rStyle w:val="Satznummer"/>
        </w:rPr>
        <w:t>1</w:t>
      </w:r>
      <w:r>
        <w:t xml:space="preserve">Der Konzernabschluss besteht aus der Konzernbilanz, der Konzern-Gewinn- und Verlustrechnung, dem Konzernanhang, der Kapitalflussrechnung und dem Eigenkapitalspiegel. </w:t>
      </w:r>
      <w:r>
        <w:rPr>
          <w:rStyle w:val="Satznummer"/>
        </w:rPr>
        <w:t>2</w:t>
      </w:r>
      <w:r>
        <w:t>Er kann um eine Segmentberichterstattung erweitert werden.</w:t>
      </w:r>
    </w:p>
    <w:p>
      <w:r>
        <w:t xml:space="preserve">(1a) </w:t>
      </w:r>
      <w:r>
        <w:rPr>
          <w:rStyle w:val="Satznummer"/>
        </w:rPr>
        <w:t>1</w:t>
      </w:r>
      <w:r>
        <w:t xml:space="preserve">Im Konzernabschluss sind die Firma, der Sitz, das Registergericht und die Nummer, unter der das Mutterunternehmen in das Handelsregister eingetragen ist, anzugeben. </w:t>
      </w:r>
      <w:r>
        <w:rPr>
          <w:rStyle w:val="Satznummer"/>
        </w:rPr>
        <w:t>2</w:t>
      </w:r>
      <w:r>
        <w:t>Befindet sich das Mutterunternehmen in Liquidation oder Abwicklung, ist auch diese Tatsache anzugeben.</w:t>
      </w:r>
    </w:p>
    <w:p>
      <w:r>
        <w:t xml:space="preserve">(2) </w:t>
      </w:r>
      <w:r>
        <w:rPr>
          <w:rStyle w:val="Satznummer"/>
        </w:rPr>
        <w:t>1</w:t>
      </w:r>
      <w:r>
        <w:t xml:space="preserve">Der Konzernabschluß ist klar und übersichtlich aufzustellen. </w:t>
      </w:r>
      <w:r>
        <w:rPr>
          <w:rStyle w:val="Satznummer"/>
        </w:rPr>
        <w:t>2</w:t>
      </w:r>
      <w:r>
        <w:t xml:space="preserve">Er hat unter Beachtung der Grundsätze ordnungsmäßiger Buchführung ein den tatsächlichen Verhältnissen entsprechendes Bild der Vermögens-, Finanz- und Ertragslage des Konzerns zu vermitteln. </w:t>
      </w:r>
      <w:r>
        <w:rPr>
          <w:rStyle w:val="Satznummer"/>
        </w:rPr>
        <w:t>3</w:t>
      </w:r>
      <w:r>
        <w:t xml:space="preserve">Führen besondere Umstände dazu, daß der Konzernabschluß ein den tatsächlichen Verhältnissen entsprechendes Bild im Sinne des Satzes 2 nicht vermittelt, so sind im Konzernanhang zusätzliche Angaben zu machen. </w:t>
      </w:r>
      <w:r>
        <w:rPr>
          <w:rStyle w:val="Satznummer"/>
        </w:rPr>
        <w:t>4</w:t>
      </w:r>
      <w:r>
        <w:t xml:space="preserve">Die Mitglieder des vertretungsberechtigten Organs eines Mutterunternehmens, das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haben in einer dem Konzernabschluss beizufügenden schriftlichen Erklärung zu versichern, dass der Konzernabschluss nach bestem Wissen ein den tatsächlichen Verhältnissen entsprechendes Bild im Sinne des Satzes 2 vermittelt oder der Konzernanhang Angaben nach Satz 3 enthält.</w:t>
      </w:r>
    </w:p>
    <w:p>
      <w:r>
        <w:t xml:space="preserve">(3) </w:t>
      </w:r>
      <w:r>
        <w:rPr>
          <w:rStyle w:val="Satznummer"/>
        </w:rPr>
        <w:t>1</w:t>
      </w:r>
      <w:r>
        <w:t xml:space="preserve">Im Konzernabschluß ist die Vermögens-, Finanz- und Ertragslage der einbezogenen Unternehmen so darzustellen, als ob diese Unternehmen insgesamt ein einziges Unternehmen wären. </w:t>
      </w:r>
      <w:r>
        <w:rPr>
          <w:rStyle w:val="Satznummer"/>
        </w:rPr>
        <w:t>2</w:t>
      </w:r>
      <w:r>
        <w:t xml:space="preserve">Die auf den vorhergehenden Konzernabschluß angewandten Konsolidierungsmethoden sind beizubehalten. </w:t>
      </w:r>
      <w:r>
        <w:rPr>
          <w:rStyle w:val="Satznummer"/>
        </w:rPr>
        <w:t>3</w:t>
      </w:r>
      <w:r>
        <w:t xml:space="preserve">Abweichungen von Satz 2 sind in Ausnahmefällen zulässig. </w:t>
      </w:r>
      <w:r>
        <w:rPr>
          <w:rStyle w:val="Satznummer"/>
        </w:rPr>
        <w:t>4</w:t>
      </w:r>
      <w:r>
        <w:t xml:space="preserve">Sie sind im Konzernanhang anzugeben und zu begründen. </w:t>
      </w:r>
      <w:r>
        <w:rPr>
          <w:rStyle w:val="Satznummer"/>
        </w:rPr>
        <w:t>5</w:t>
      </w:r>
      <w:r>
        <w:t>Ihr Einfluß auf die Vermögens-, Finanz- und Ertragslage des Konzerns ist anzugeben.</w:t>
      </w:r>
    </w:p>
    <w:p>
      <w:pPr>
        <w:pStyle w:val="Heading5"/>
      </w:pPr>
      <w:bookmarkStart w:id="318" w:name="b317"/>
      <w:r>
        <w:t>§ 298 Anzuwendende VorschriftenErleichterungen</w:t>
      </w:r>
      <w:r>
        <w:t xml:space="preserve"> </w:t>
      </w:r>
      <w:r>
        <w:rPr>
          <w:rStyle w:val="Suchmarke"/>
        </w:rPr>
        <w:t>#298#</w:t>
      </w:r>
      <w:bookmarkEnd w:id="318"/>
    </w:p>
    <w:p>
      <w:r>
        <w:t xml:space="preserve">(1) Auf den Konzernabschluß sind, soweit seine Eigenart keine Abweichung bedingt oder in den folgenden Vorschriften nichts anderes bestimmt ist, die </w:t>
      </w:r>
      <w:hyperlink w:anchor="b237" w:history="1">
        <w:r>
          <w:rPr>
            <w:color w:val="0A3A8C"/>
            <w:u w:val="single"/>
          </w:rPr>
          <w:t xml:space="preserve">§§ 244</w:t>
        </w:r>
      </w:hyperlink>
      <w:r>
        <w:t xml:space="preserve"> bis </w:t>
      </w:r>
      <w:hyperlink w:anchor="b252" w:history="1">
        <w:r>
          <w:rPr>
            <w:color w:val="0A3A8C"/>
            <w:u w:val="single"/>
          </w:rPr>
          <w:t xml:space="preserve">256a</w:t>
        </w:r>
      </w:hyperlink>
      <w:r>
        <w:t xml:space="preserve">, </w:t>
      </w:r>
      <w:hyperlink w:anchor="b268" w:history="1">
        <w:r>
          <w:rPr>
            <w:color w:val="0A3A8C"/>
            <w:u w:val="single"/>
          </w:rPr>
          <w:t xml:space="preserve">264c</w:t>
        </w:r>
      </w:hyperlink>
      <w:r>
        <w:t xml:space="preserve">, </w:t>
      </w:r>
      <w:hyperlink w:anchor="b270" w:history="1">
        <w:r>
          <w:rPr>
            <w:color w:val="0A3A8C"/>
            <w:u w:val="single"/>
          </w:rPr>
          <w:t xml:space="preserve">265</w:t>
        </w:r>
      </w:hyperlink>
      <w:r>
        <w:t xml:space="preserve">, </w:t>
      </w:r>
      <w:hyperlink w:anchor="b272" w:history="1">
        <w:r>
          <w:rPr>
            <w:color w:val="0A3A8C"/>
            <w:u w:val="single"/>
          </w:rPr>
          <w:t xml:space="preserve">266</w:t>
        </w:r>
      </w:hyperlink>
      <w:r>
        <w:t xml:space="preserve">, </w:t>
      </w:r>
      <w:hyperlink w:anchor="b275" w:history="1">
        <w:r>
          <w:rPr>
            <w:color w:val="0A3A8C"/>
            <w:u w:val="single"/>
          </w:rPr>
          <w:t xml:space="preserve">268</w:t>
        </w:r>
      </w:hyperlink>
      <w:r>
        <w:t xml:space="preserve"> Absatz 1 bis 7, die </w:t>
      </w:r>
      <w:hyperlink w:anchor="b277" w:history="1">
        <w:r>
          <w:rPr>
            <w:color w:val="0A3A8C"/>
            <w:u w:val="single"/>
          </w:rPr>
          <w:t xml:space="preserve">§§ 270</w:t>
        </w:r>
      </w:hyperlink>
      <w:r>
        <w:t xml:space="preserve">, </w:t>
      </w:r>
      <w:hyperlink w:anchor="b278" w:history="1">
        <w:r>
          <w:rPr>
            <w:color w:val="0A3A8C"/>
            <w:u w:val="single"/>
          </w:rPr>
          <w:t xml:space="preserve">271</w:t>
        </w:r>
      </w:hyperlink>
      <w:r>
        <w:t xml:space="preserve">, </w:t>
      </w:r>
      <w:hyperlink w:anchor="b279" w:history="1">
        <w:r>
          <w:rPr>
            <w:color w:val="0A3A8C"/>
            <w:u w:val="single"/>
          </w:rPr>
          <w:t xml:space="preserve">272</w:t>
        </w:r>
      </w:hyperlink>
      <w:r>
        <w:t xml:space="preserve"> Absatz 1 bis 4, die </w:t>
      </w:r>
      <w:hyperlink w:anchor="b281" w:history="1">
        <w:r>
          <w:rPr>
            <w:color w:val="0A3A8C"/>
            <w:u w:val="single"/>
          </w:rPr>
          <w:t xml:space="preserve">§§ 274</w:t>
        </w:r>
      </w:hyperlink>
      <w:r>
        <w:t xml:space="preserve">, </w:t>
      </w:r>
      <w:hyperlink w:anchor="b284" w:history="1">
        <w:r>
          <w:rPr>
            <w:color w:val="0A3A8C"/>
            <w:u w:val="single"/>
          </w:rPr>
          <w:t xml:space="preserve">275</w:t>
        </w:r>
      </w:hyperlink>
      <w:r>
        <w:t xml:space="preserve"> und </w:t>
      </w:r>
      <w:hyperlink w:anchor="b286" w:history="1">
        <w:r>
          <w:rPr>
            <w:color w:val="0A3A8C"/>
            <w:u w:val="single"/>
          </w:rPr>
          <w:t xml:space="preserve">277</w:t>
        </w:r>
      </w:hyperlink>
      <w:r>
        <w:t xml:space="preserve"> über den Jahresabschluß und die für die Rechtsform und den Geschäftszweig der in den Konzernabschluß einbezogenen Unternehmen mit Sitz im Geltungsbereich dieses Gesetzes geltenden Vorschriften, soweit sie für große Kapitalgesellschaften gelten, entsprechend anzuwenden.</w:t>
      </w:r>
    </w:p>
    <w:p>
      <w:r>
        <w:t xml:space="preserve">(2) </w:t>
      </w:r>
      <w:r>
        <w:rPr>
          <w:rStyle w:val="Satznummer"/>
        </w:rPr>
        <w:t>1</w:t>
      </w:r>
      <w:r>
        <w:t xml:space="preserve">Der Konzernanhang und der Anhang des Jahresabschlusses des Mutterunternehmens dürfen zusammengefaßt werden. </w:t>
      </w:r>
      <w:r>
        <w:rPr>
          <w:rStyle w:val="Satznummer"/>
        </w:rPr>
        <w:t>2</w:t>
      </w:r>
      <w:r>
        <w:t xml:space="preserve">In diesem Falle müssen der Konzernabschluß und der Jahresabschluß des Mutterunternehmens gemeinsam offengelegt werden. </w:t>
      </w:r>
      <w:r>
        <w:rPr>
          <w:rStyle w:val="Satznummer"/>
        </w:rPr>
        <w:t>3</w:t>
      </w:r>
      <w:r>
        <w:t>Aus dem zusammengefassten Anhang muss hervorgehen, welche Angaben sich auf den Konzern und welche Angaben sich nur auf das Mutterunternehmen beziehen.</w:t>
      </w:r>
    </w:p>
    <w:p>
      <w:pPr>
        <w:pStyle w:val="Heading5"/>
      </w:pPr>
      <w:bookmarkStart w:id="319" w:name="b318"/>
      <w:r>
        <w:t>§ 299 Stichtag für die Aufstellung</w:t>
      </w:r>
      <w:r>
        <w:t xml:space="preserve"> </w:t>
      </w:r>
      <w:r>
        <w:rPr>
          <w:rStyle w:val="Suchmarke"/>
        </w:rPr>
        <w:t>#299#</w:t>
      </w:r>
      <w:bookmarkEnd w:id="319"/>
    </w:p>
    <w:p>
      <w:r>
        <w:t>(1) Der Konzernabschluss ist auf den Stichtag des Jahresabschlusses des Mutterunternehmens aufzustellen.</w:t>
      </w:r>
    </w:p>
    <w:p>
      <w:r>
        <w:t xml:space="preserve">(2) </w:t>
      </w:r>
      <w:r>
        <w:rPr>
          <w:rStyle w:val="Satznummer"/>
        </w:rPr>
        <w:t>1</w:t>
      </w:r>
      <w:r>
        <w:t xml:space="preserve">Die Jahresabschlüsse der in den Konzernabschluß einbezogenen Unternehmen sollen auf den Stichtag des Konzernabschlusses aufgestellt werden. </w:t>
      </w:r>
      <w:r>
        <w:rPr>
          <w:rStyle w:val="Satznummer"/>
        </w:rPr>
        <w:t>2</w:t>
      </w:r>
      <w:r>
        <w:t>Liegt der Abschlußstichtag eines Unternehmens um mehr als drei Monate vor dem Stichtag des Konzernabschlusses, so ist dieses Unternehmen auf Grund eines auf den Stichtag und den Zeitraum des Konzernabschlusses aufgestellten Zwischenabschlusses in den Konzernabschluß einzubeziehen.</w:t>
      </w:r>
    </w:p>
    <w:p>
      <w:r>
        <w:t>(3) Wird bei abweichenden Abschlußstichtagen ein Unternehmen nicht auf der Grundlage eines auf den Stichtag und den Zeitraum des Konzernabschlusses aufgestellten Zwischenabschlusses in den Konzernabschluß einbezogen, so sind Vorgänge von besonderer Bedeutung für die Vermögens-, Finanz- und Ertragslage eines in den Konzernabschluß einbezogenen Unternehmens, die zwischen dem Abschlußstichtag dieses Unternehmens und dem Abschlußstichtag des Konzernabschlusses eingetreten sind, in der Konzernbilanz und der Konzern-Gewinn- und Verlustrechnung zu berücksichtigen oder im Konzernanhang anzugeben.</w:t>
      </w:r>
    </w:p>
    <w:p>
      <w:pPr>
        <w:pStyle w:val="Heading4"/>
      </w:pPr>
      <w:bookmarkStart w:id="320" w:name="b319"/>
      <w:r>
        <w:t>Vierter Titel Vollkonsolidierung</w:t>
      </w:r>
      <w:bookmarkEnd w:id="320"/>
    </w:p>
    <w:p>
      <w:pPr>
        <w:pStyle w:val="Heading5"/>
      </w:pPr>
      <w:bookmarkStart w:id="321" w:name="b320"/>
      <w:r>
        <w:t>§ 300 KonsolidierungsgrundsätzeVollständigkeitsgebot</w:t>
      </w:r>
      <w:r>
        <w:t xml:space="preserve"> </w:t>
      </w:r>
      <w:r>
        <w:rPr>
          <w:rStyle w:val="Suchmarke"/>
        </w:rPr>
        <w:t>#300#</w:t>
      </w:r>
      <w:bookmarkEnd w:id="321"/>
    </w:p>
    <w:p>
      <w:r>
        <w:t xml:space="preserve">(1) </w:t>
      </w:r>
      <w:r>
        <w:rPr>
          <w:rStyle w:val="Satznummer"/>
        </w:rPr>
        <w:t>1</w:t>
      </w:r>
      <w:r>
        <w:t xml:space="preserve">In dem Konzernabschluß ist der Jahresabschluß des Mutterunternehmens mit den Jahresabschlüssen der Tochterunternehmen zusammenzufassen. </w:t>
      </w:r>
      <w:r>
        <w:rPr>
          <w:rStyle w:val="Satznummer"/>
        </w:rPr>
        <w:t>2</w:t>
      </w:r>
      <w:r>
        <w:t>An die Stelle der dem Mutterunternehmen gehörenden Anteile an den einbezogenen Tochterunternehmen treten die Vermögensgegenstände, Schulden, Rechnungsabgrenzungsposten und Sonderposten der Tochterunternehmen, soweit sie nach dem Recht des Mutterunternehmens bilanzierungsfähig sind und die Eigenart des Konzernabschlusses keine Abweichungen bedingt oder in den folgenden Vorschriften nichts anderes bestimmt ist.</w:t>
      </w:r>
    </w:p>
    <w:p>
      <w:r>
        <w:t xml:space="preserve">(2) </w:t>
      </w:r>
      <w:r>
        <w:rPr>
          <w:rStyle w:val="Satznummer"/>
        </w:rPr>
        <w:t>1</w:t>
      </w:r>
      <w:r>
        <w:t xml:space="preserve">Die Vermögensgegenstände, Schulden und Rechnungsabgrenzungsposten sowie die Erträge und Aufwendungen der in den Konzernabschluß einbezogenen Unternehmen sind unabhängig von ihrer Berücksichtigung in den Jahresabschlüssen dieser Unternehmen vollständig aufzunehmen, soweit nach dem Recht des Mutterunternehmens nicht ein Bilanzierungsverbot oder ein Bilanzierungswahlrecht besteht. </w:t>
      </w:r>
      <w:r>
        <w:rPr>
          <w:rStyle w:val="Satznummer"/>
        </w:rPr>
        <w:t>2</w:t>
      </w:r>
      <w:r>
        <w:t xml:space="preserve">Nach dem Recht des Mutterunternehmens zulässige Bilanzierungswahlrechte dürfen im Konzernabschluß unabhängig von ihrer Ausübung in den Jahresabschlüssen der in den Konzernabschluß einbezogenen Unternehmen ausgeübt werden. </w:t>
      </w:r>
      <w:r>
        <w:rPr>
          <w:rStyle w:val="Satznummer"/>
        </w:rPr>
        <w:t>3</w:t>
      </w:r>
      <w:r>
        <w:t>Ansätze, die auf der Anwendung von für Kreditinstitute oder Versicherungsunternehmen wegen der Besonderheiten des Geschäftszweigs geltenden Vorschriften beruhen, dürfen beibehalten werden; auf die Anwendung dieser Ausnahme ist im Konzernanhang hinzuweisen.</w:t>
      </w:r>
    </w:p>
    <w:p>
      <w:pPr>
        <w:pStyle w:val="Heading5"/>
      </w:pPr>
      <w:bookmarkStart w:id="322" w:name="b321"/>
      <w:r>
        <w:t>§ 301 Kapitalkonsolidierung</w:t>
      </w:r>
      <w:r>
        <w:t xml:space="preserve"> </w:t>
      </w:r>
      <w:r>
        <w:rPr>
          <w:rStyle w:val="Suchmarke"/>
        </w:rPr>
        <w:t>#301#</w:t>
      </w:r>
      <w:bookmarkEnd w:id="322"/>
    </w:p>
    <w:p>
      <w:r>
        <w:t xml:space="preserve">(1) </w:t>
      </w:r>
      <w:r>
        <w:rPr>
          <w:rStyle w:val="Satznummer"/>
        </w:rPr>
        <w:t>1</w:t>
      </w:r>
      <w:r>
        <w:t xml:space="preserve">Der Wertansatz der dem Mutterunternehmen gehörenden Anteile an einem in den Konzernabschluß einbezogenen Tochterunternehmen wird mit dem auf diese Anteile entfallenden Betrag des Eigenkapitals des Tochterunternehmens verrechnet. </w:t>
      </w:r>
      <w:r>
        <w:rPr>
          <w:rStyle w:val="Satznummer"/>
        </w:rPr>
        <w:t>2</w:t>
      </w:r>
      <w:r>
        <w:t xml:space="preserve">Das Eigenkapital ist mit dem Betrag anzusetzen, der dem Zeitwert der in den Konzernabschluss aufzunehmenden Vermögensgegenstände, Schulden, Rechnungsabgrenzungsposten und Sonderposten entspricht, der diesen an dem für die Verrechnung nach Absatz 2 maßgeblichen Zeitpunkt beizulegen ist. </w:t>
      </w:r>
      <w:r>
        <w:rPr>
          <w:rStyle w:val="Satznummer"/>
        </w:rPr>
        <w:t>3</w:t>
      </w:r>
      <w:r>
        <w:t xml:space="preserve">Rückstellungen sind nach </w:t>
      </w:r>
      <w:hyperlink w:anchor="b248" w:history="1">
        <w:r>
          <w:rPr>
            <w:color w:val="0A3A8C"/>
            <w:u w:val="single"/>
          </w:rPr>
          <w:t xml:space="preserve">§ 253</w:t>
        </w:r>
      </w:hyperlink>
      <w:r>
        <w:t xml:space="preserve"> Abs. 1 Satz 2 und 3, Abs. 2 und latente Steuern nach </w:t>
      </w:r>
      <w:hyperlink w:anchor="b281" w:history="1">
        <w:r>
          <w:rPr>
            <w:color w:val="0A3A8C"/>
            <w:u w:val="single"/>
          </w:rPr>
          <w:t xml:space="preserve">§ 274</w:t>
        </w:r>
      </w:hyperlink>
      <w:r>
        <w:t xml:space="preserve"> Abs. 2 zu bewerten.</w:t>
      </w:r>
    </w:p>
    <w:p>
      <w:r>
        <w:t xml:space="preserve">(2) </w:t>
      </w:r>
      <w:r>
        <w:rPr>
          <w:rStyle w:val="Satznummer"/>
        </w:rPr>
        <w:t>1</w:t>
      </w:r>
      <w:r>
        <w:t xml:space="preserve">Die Verrechnung nach Absatz 1 ist auf Grundlage der Wertansätze zu dem Zeitpunkt durchzuführen, zu dem das Unternehmen Tochterunternehmen geworden ist. </w:t>
      </w:r>
      <w:r>
        <w:rPr>
          <w:rStyle w:val="Satznummer"/>
        </w:rPr>
        <w:t>2</w:t>
      </w:r>
      <w:r>
        <w:t xml:space="preserve">Können die Wertansätze zu diesem Zeitpunkt nicht endgültig ermittelt werden, sind sie innerhalb der darauf folgenden zwölf Monate anzupassen. </w:t>
      </w:r>
      <w:r>
        <w:rPr>
          <w:rStyle w:val="Satznummer"/>
        </w:rPr>
        <w:t>3</w:t>
      </w:r>
      <w:r>
        <w:t xml:space="preserve">Stellt ein Mutterunternehmen erstmalig einen Konzernabschluss auf, sind die Wertansätze zum Zeitpunkt der Einbeziehung des Tochterunternehmens in den Konzernabschluss zugrunde zu legen, soweit das Tochterunternehmen nicht in dem Jahr Tochterunternehmen geworden ist, für das der Konzernabschluss aufgestellt wird. </w:t>
      </w:r>
      <w:r>
        <w:rPr>
          <w:rStyle w:val="Satznummer"/>
        </w:rPr>
        <w:t>4</w:t>
      </w:r>
      <w:r>
        <w:t xml:space="preserve">Das Gleiche gilt für die erstmalige Einbeziehung eines Tochterunternehmens, auf die bisher gemäß </w:t>
      </w:r>
      <w:hyperlink w:anchor="b314" w:history="1">
        <w:r>
          <w:rPr>
            <w:color w:val="0A3A8C"/>
            <w:u w:val="single"/>
          </w:rPr>
          <w:t xml:space="preserve">§ 296</w:t>
        </w:r>
      </w:hyperlink>
      <w:r>
        <w:t xml:space="preserve"> verzichtet wurde. </w:t>
      </w:r>
      <w:r>
        <w:rPr>
          <w:rStyle w:val="Satznummer"/>
        </w:rPr>
        <w:t>5</w:t>
      </w:r>
      <w:r>
        <w:t>In Ausnahmefällen dürfen die Wertansätze nach Satz 1 auch in den Fällen der Sätze 3 und 4 zugrunde gelegt werden; dies ist im Konzernanhang anzugeben und zu begründen.</w:t>
      </w:r>
    </w:p>
    <w:p>
      <w:r>
        <w:t xml:space="preserve">(3) </w:t>
      </w:r>
      <w:r>
        <w:rPr>
          <w:rStyle w:val="Satznummer"/>
        </w:rPr>
        <w:t>1</w:t>
      </w:r>
      <w:r>
        <w:t xml:space="preserve">Ein nach der Verrechnung verbleibender Unterschiedsbetrag ist in der Konzernbilanz, wenn er auf der Aktivseite entsteht, als Geschäfts- oder Firmenwert und, wenn er auf der Passivseite entsteht, unter dem Posten „Unterschiedsbetrag aus der Kapitalkonsolidierung“ nach dem Eigenkapital auszuweisen. </w:t>
      </w:r>
      <w:r>
        <w:rPr>
          <w:rStyle w:val="Satznummer"/>
        </w:rPr>
        <w:t>2</w:t>
      </w:r>
      <w:r>
        <w:t>Der Posten und wesentliche Änderungen gegenüber dem Vorjahr sind im Konzernanhang zu erläutern.</w:t>
      </w:r>
    </w:p>
    <w:p>
      <w:r>
        <w:t>(4) Anteile an dem Mutterunternehmen, die einem in den Konzernabschluss einbezogenen Tochterunternehmen gehören, sind in der Konzernbilanz als eigene Anteile des Mutterunternehmens mit ihrem Nennwert oder, falls ein solcher nicht vorhanden ist, mit ihrem rechnerischen Wert, in der Vorspalte offen von dem Posten „Gezeichnetes Kapital“ abzusetzen.</w:t>
      </w:r>
    </w:p>
    <w:p>
      <w:pPr>
        <w:pStyle w:val="Heading5"/>
      </w:pPr>
      <w:bookmarkStart w:id="323" w:name="b322"/>
      <w:r>
        <w:t>§ 302 (weggefallen)</w:t>
      </w:r>
      <w:r>
        <w:t xml:space="preserve"> </w:t>
      </w:r>
      <w:r>
        <w:rPr>
          <w:rStyle w:val="Suchmarke"/>
        </w:rPr>
        <w:t>#302#</w:t>
      </w:r>
      <w:bookmarkEnd w:id="323"/>
    </w:p>
    <w:p>
      <w:pPr>
        <w:pStyle w:val="Heading5"/>
      </w:pPr>
      <w:bookmarkStart w:id="324" w:name="b323"/>
      <w:r>
        <w:t>§ 303 Schuldenkonsolidierung</w:t>
      </w:r>
      <w:r>
        <w:t xml:space="preserve"> </w:t>
      </w:r>
      <w:r>
        <w:rPr>
          <w:rStyle w:val="Suchmarke"/>
        </w:rPr>
        <w:t>#303#</w:t>
      </w:r>
      <w:bookmarkEnd w:id="324"/>
    </w:p>
    <w:p>
      <w:r>
        <w:t>(1) Ausleihungen und andere Forderungen, Rückstellungen und Verbindlichkeiten zwischen den in den Konzernabschluß einbezogenen Unternehmen sowie entsprechende Rechnungsabgrenzungsposten sind wegzulassen.</w:t>
      </w:r>
    </w:p>
    <w:p>
      <w:r>
        <w:t>(2) Absatz 1 braucht nicht angewendet zu werden, wenn die wegzulassenden Beträge für die Vermittlung eines den tatsächlichen Verhältnissen entsprechenden Bildes der Vermögens-, Finanz- und Ertragslage des Konzerns nur von untergeordneter Bedeutung sind.</w:t>
      </w:r>
    </w:p>
    <w:p>
      <w:pPr>
        <w:pStyle w:val="Heading5"/>
      </w:pPr>
      <w:bookmarkStart w:id="325" w:name="b324"/>
      <w:r>
        <w:t>§ 304 Behandlung der Zwischenergebnisse</w:t>
      </w:r>
      <w:r>
        <w:t xml:space="preserve"> </w:t>
      </w:r>
      <w:r>
        <w:rPr>
          <w:rStyle w:val="Suchmarke"/>
        </w:rPr>
        <w:t>#304#</w:t>
      </w:r>
      <w:bookmarkEnd w:id="325"/>
    </w:p>
    <w:p>
      <w:r>
        <w:t>(1) In den Konzernabschluß zu übernehmende Vermögensgegenstände, die ganz oder teilweise auf Lieferungen oder Leistungen zwischen in den Konzernabschluß einbezogenen Unternehmen beruhen, sind in der Konzernbilanz mit einem Betrag anzusetzen, zu dem sie in der auf den Stichtag des Konzernabschlusses aufgestellten Jahresbilanz dieses Unternehmens angesetzt werden könnten, wenn die in den Konzernabschluß einbezogenen Unternehmen auch rechtlich ein einziges Unternehmen bilden würden.</w:t>
      </w:r>
    </w:p>
    <w:p>
      <w:r>
        <w:t>(2) Absatz 1 braucht nicht angewendet zu werden, wenn die Behandlung der Zwischenergebnisse nach Absatz 1 für die Vermittlung eines den tatsächlichen Verhältnissen entsprechenden Bildes der Vermögens-, Finanz- und Ertragslage des Konzerns nur von untergeordneter Bedeutung ist.</w:t>
      </w:r>
    </w:p>
    <w:p>
      <w:pPr>
        <w:pStyle w:val="Heading5"/>
      </w:pPr>
      <w:bookmarkStart w:id="326" w:name="b325"/>
      <w:r>
        <w:t>§ 305 Aufwands- und Ertragskonsolidierung</w:t>
      </w:r>
      <w:r>
        <w:t xml:space="preserve"> </w:t>
      </w:r>
      <w:r>
        <w:rPr>
          <w:rStyle w:val="Suchmarke"/>
        </w:rPr>
        <w:t>#305#</w:t>
      </w:r>
      <w:bookmarkEnd w:id="326"/>
    </w:p>
    <w:p>
      <w:r>
        <w:t>(1) In der Konzern-Gewinn- und Verlustrechnung sind</w:t>
      </w:r>
    </w:p>
    <w:p>
      <w:pPr>
        <w:tabs>
          <w:tab w:pos="567" w:val="left"/>
        </w:tabs>
        <w:ind w:left="567" w:hanging="567"/>
      </w:pPr>
      <w:r>
        <w:t>1.</w:t>
      </w:r>
      <w:r>
        <w:tab/>
      </w:r>
      <w:r>
        <w:t>bei den Umsatzerlösen die Erlöse aus Lieferungen und Leistungen zwischen den in den Konzernabschluß einbezogenen Unternehmen mit den auf sie entfallenden Aufwendungen zu verrechnen, soweit sie nicht als Erhöhung des Bestands an fertigen und unfertigen Erzeugnissen oder als andere aktivierte Eigenleistungen auszuweisen sind,</w:t>
      </w:r>
    </w:p>
    <w:p>
      <w:pPr>
        <w:tabs>
          <w:tab w:pos="567" w:val="left"/>
        </w:tabs>
        <w:ind w:left="567" w:hanging="567"/>
      </w:pPr>
      <w:r>
        <w:t>2.</w:t>
      </w:r>
      <w:r>
        <w:tab/>
      </w:r>
      <w:r>
        <w:t>andere Erträge aus Lieferungen und Leistungen zwischen den in den Konzernabschluß einbezogenen Unternehmen mit den auf sie entfallenden Aufwendungen zu verrechnen, soweit sie nicht als andere aktivierte Eigenleistungen auszuweisen sind.</w:t>
      </w:r>
    </w:p>
    <w:p>
      <w:r>
        <w:t>(2) Aufwendungen und Erträge brauchen nach Absatz 1 nicht weggelassen zu werden, wenn die wegzulassenden Beträge für die Vermittlung eines den tatsächlichen Verhältnissen entsprechenden Bildes der Vermögens-, Finanz- und Ertragslage des Konzerns nur von untergeordneter Bedeutung sind.</w:t>
      </w:r>
    </w:p>
    <w:p>
      <w:pPr>
        <w:pStyle w:val="Heading5"/>
      </w:pPr>
      <w:bookmarkStart w:id="327" w:name="b326"/>
      <w:r>
        <w:t>§ 306 Latente Steuern</w:t>
      </w:r>
      <w:r>
        <w:t xml:space="preserve"> </w:t>
      </w:r>
      <w:r>
        <w:rPr>
          <w:rStyle w:val="Suchmarke"/>
        </w:rPr>
        <w:t>#306#</w:t>
      </w:r>
      <w:bookmarkEnd w:id="327"/>
    </w:p>
    <w:p>
      <w:r>
        <w:rPr>
          <w:rStyle w:val="Satznummer"/>
        </w:rPr>
        <w:t>1</w:t>
      </w:r>
      <w:r>
        <w:t xml:space="preserve">Führen Maßnahmen, die nach den Vorschriften dieses Titels durchgeführt worden sind, zu Differenzen zwischen den handelsrechtlichen Wertansätzen der Vermögensgegenstände, Schulden oder Rechnungsabgrenzungsposten und deren steuerlichen Wertansätzen und bauen sich diese Differenzen in späteren Geschäftsjahren voraussichtlich wieder ab, so ist eine sich insgesamt ergebende Steuerbelastung als passive latente Steuern und eine sich insgesamt ergebende Steuerentlastung als aktive latente Steuern in der Konzernbilanz anzusetzen. </w:t>
      </w:r>
      <w:r>
        <w:rPr>
          <w:rStyle w:val="Satznummer"/>
        </w:rPr>
        <w:t>2</w:t>
      </w:r>
      <w:r>
        <w:t xml:space="preserve">Die sich ergebende Steuerbe- und die sich ergebende Steuerentlastung können auch unverrechnet angesetzt werden. </w:t>
      </w:r>
      <w:r>
        <w:rPr>
          <w:rStyle w:val="Satznummer"/>
        </w:rPr>
        <w:t>3</w:t>
      </w:r>
      <w:r>
        <w:t xml:space="preserve">Differenzen aus dem erstmaligen Ansatz eines nach </w:t>
      </w:r>
      <w:hyperlink w:anchor="b321" w:history="1">
        <w:r>
          <w:rPr>
            <w:color w:val="0A3A8C"/>
            <w:u w:val="single"/>
          </w:rPr>
          <w:t xml:space="preserve">§ 301</w:t>
        </w:r>
      </w:hyperlink>
      <w:r>
        <w:t xml:space="preserve"> Abs. 3 verbleibenden Unterschiedsbetrages bleiben unberücksichtigt. </w:t>
      </w:r>
      <w:r>
        <w:rPr>
          <w:rStyle w:val="Satznummer"/>
        </w:rPr>
        <w:t>4</w:t>
      </w:r>
      <w:r>
        <w:t xml:space="preserve">Das Gleiche gilt für Differenzen, die sich zwischen dem steuerlichen Wertansatz einer Beteiligung an einem Tochterunternehmen, assoziierten Unternehmen oder einem Gemeinschaftsunternehmen im Sinn des </w:t>
      </w:r>
      <w:hyperlink w:anchor="b333" w:history="1">
        <w:r>
          <w:rPr>
            <w:color w:val="0A3A8C"/>
            <w:u w:val="single"/>
          </w:rPr>
          <w:t xml:space="preserve">§ 310</w:t>
        </w:r>
      </w:hyperlink>
      <w:r>
        <w:t xml:space="preserve"> Abs. 1 und dem handelsrechtlichen Wertansatz des im Konzernabschluss angesetzten Nettovermögens ergeben. </w:t>
      </w:r>
      <w:r>
        <w:rPr>
          <w:rStyle w:val="Satznummer"/>
        </w:rPr>
        <w:t>5</w:t>
      </w:r>
      <w:hyperlink w:anchor="b281" w:history="1">
        <w:r>
          <w:rPr>
            <w:color w:val="0A3A8C"/>
            <w:u w:val="single"/>
          </w:rPr>
          <w:t xml:space="preserve">§ 274</w:t>
        </w:r>
      </w:hyperlink>
      <w:r>
        <w:t xml:space="preserve"> Absatz 2 und 3 ist entsprechend anzuwenden. </w:t>
      </w:r>
      <w:r>
        <w:rPr>
          <w:rStyle w:val="Satznummer"/>
        </w:rPr>
        <w:t>6</w:t>
      </w:r>
      <w:r>
        <w:t xml:space="preserve">Die Posten dürfen mit den Posten nach </w:t>
      </w:r>
      <w:hyperlink w:anchor="b281" w:history="1">
        <w:r>
          <w:rPr>
            <w:color w:val="0A3A8C"/>
            <w:u w:val="single"/>
          </w:rPr>
          <w:t xml:space="preserve">§ 274</w:t>
        </w:r>
      </w:hyperlink>
      <w:r>
        <w:t xml:space="preserve"> zusammengefasst werden.</w:t>
      </w:r>
    </w:p>
    <w:p>
      <w:pPr>
        <w:pStyle w:val="Heading5"/>
      </w:pPr>
      <w:bookmarkStart w:id="328" w:name="b327"/>
      <w:r>
        <w:t>§ 307 Anteile anderer Gesellschafter</w:t>
      </w:r>
      <w:r>
        <w:t xml:space="preserve"> </w:t>
      </w:r>
      <w:r>
        <w:rPr>
          <w:rStyle w:val="Suchmarke"/>
        </w:rPr>
        <w:t>#307#</w:t>
      </w:r>
      <w:bookmarkEnd w:id="328"/>
    </w:p>
    <w:p>
      <w:r>
        <w:t>(1) In der Konzernbilanz ist für nicht dem Mutterunternehmen gehörende Anteile an in den Konzernabschluß einbezogenen Tochterunternehmen ein Ausgleichsposten für die Anteile der anderen Gesellschafter in Höhe ihres Anteils am Eigenkapital unter dem Posten „nicht beherrschende Anteile“ innerhalb des Eigenkapitals gesondert auszuweisen.</w:t>
      </w:r>
    </w:p>
    <w:p>
      <w:r>
        <w:t>(2) In der Konzern-Gewinn- und Verlustrechnung ist der im Jahresergebnis enthaltene, anderen Gesellschaftern zustehende Gewinn und der auf sie entfallende Verlust nach dem Posten "Jahresüberschuß/Jahresfehlbetrag" unter dem Posten „nicht beherrschende Anteile“ gesondert auszuweisen.</w:t>
      </w:r>
    </w:p>
    <w:p>
      <w:pPr>
        <w:pStyle w:val="Heading4"/>
      </w:pPr>
      <w:bookmarkStart w:id="329" w:name="b328"/>
      <w:r>
        <w:t>Fünfter Titel Bewertungsvorschriften</w:t>
      </w:r>
      <w:bookmarkEnd w:id="329"/>
    </w:p>
    <w:p>
      <w:pPr>
        <w:pStyle w:val="Heading5"/>
      </w:pPr>
      <w:bookmarkStart w:id="330" w:name="b329"/>
      <w:r>
        <w:t>§ 308 Einheitliche Bewertung</w:t>
      </w:r>
      <w:r>
        <w:t xml:space="preserve"> </w:t>
      </w:r>
      <w:r>
        <w:rPr>
          <w:rStyle w:val="Suchmarke"/>
        </w:rPr>
        <w:t>#308#</w:t>
      </w:r>
      <w:bookmarkEnd w:id="330"/>
    </w:p>
    <w:p>
      <w:r>
        <w:t xml:space="preserve">(1) </w:t>
      </w:r>
      <w:r>
        <w:rPr>
          <w:rStyle w:val="Satznummer"/>
        </w:rPr>
        <w:t>1</w:t>
      </w:r>
      <w:r>
        <w:t xml:space="preserve">Die in den Konzernabschluß nach </w:t>
      </w:r>
      <w:hyperlink w:anchor="b320" w:history="1">
        <w:r>
          <w:rPr>
            <w:color w:val="0A3A8C"/>
            <w:u w:val="single"/>
          </w:rPr>
          <w:t xml:space="preserve">§ 300</w:t>
        </w:r>
      </w:hyperlink>
      <w:r>
        <w:t xml:space="preserve"> Abs. 2 übernommenen Vermögensgegenstände und Schulden der in den Konzernabschluß einbezogenen Unternehmen sind nach den auf den Jahresabschluß des Mutterunternehmens anwendbaren Bewertungsmethoden einheitlich zu bewerten. </w:t>
      </w:r>
      <w:r>
        <w:rPr>
          <w:rStyle w:val="Satznummer"/>
        </w:rPr>
        <w:t>2</w:t>
      </w:r>
      <w:r>
        <w:t xml:space="preserve">Nach dem Recht des Mutterunternehmens zulässige Bewertungswahlrechte können im Konzernabschluß unabhängig von ihrer Ausübung in den Jahresabschlüssen der in den Konzernabschluß einbezogenen Unternehmen ausgeübt werden. </w:t>
      </w:r>
      <w:r>
        <w:rPr>
          <w:rStyle w:val="Satznummer"/>
        </w:rPr>
        <w:t>3</w:t>
      </w:r>
      <w:r>
        <w:t>Abweichungen von den auf den Jahresabschluß des Mutterunternehmens angewandten Bewertungsmethoden sind im Konzernanhang anzugeben und zu begründen.</w:t>
      </w:r>
    </w:p>
    <w:p>
      <w:r>
        <w:t xml:space="preserve">(2) </w:t>
      </w:r>
      <w:r>
        <w:rPr>
          <w:rStyle w:val="Satznummer"/>
        </w:rPr>
        <w:t>1</w:t>
      </w:r>
      <w:r>
        <w:t xml:space="preserve">Sind in den Konzernabschluß aufzunehmende Vermögensgegenstände oder Schulden des Mutterunternehmens oder der Tochterunternehmen in den Jahresabschlüssen dieser Unternehmen nach Methoden bewertet worden, die sich von denen unterscheiden, die auf den Konzernabschluß anzuwenden sind oder die von den gesetzlichen Vertretern des Mutterunternehmens in Ausübung von Bewertungswahlrechten auf den Konzernabschluß angewendet werden, so sind die abweichend bewerteten Vermögensgegenstände oder Schulden nach den auf den Konzernabschluß angewandten Bewertungsmethoden neu zu bewerten und mit den neuen Wertansätzen in den Konzernabschluß zu übernehmen. </w:t>
      </w:r>
      <w:r>
        <w:rPr>
          <w:rStyle w:val="Satznummer"/>
        </w:rPr>
        <w:t>2</w:t>
      </w:r>
      <w:r>
        <w:t xml:space="preserve">Wertansätze, die auf der Anwendung von für Kreditinstitute oder Versicherungsunternehmen wegen der Besonderheiten des Geschäftszweigs geltenden Vorschriften beruhen, dürfen beibehalten werden; auf die Anwendung dieser Ausnahme ist im Konzernanhang hinzuweisen. </w:t>
      </w:r>
      <w:r>
        <w:rPr>
          <w:rStyle w:val="Satznummer"/>
        </w:rPr>
        <w:t>3</w:t>
      </w:r>
      <w:r>
        <w:t xml:space="preserve">Eine einheitliche Bewertung nach Satz 1 braucht nicht vorgenommen zu werden, wenn ihre Auswirkungen für die Vermittlung eines den tatsächlichen Verhältnissen entsprechenden Bildes der Vermögens-, Finanz- und Ertragslage des Konzerns nur von untergeordneter Bedeutung sind. </w:t>
      </w:r>
      <w:r>
        <w:rPr>
          <w:rStyle w:val="Satznummer"/>
        </w:rPr>
        <w:t>4</w:t>
      </w:r>
      <w:r>
        <w:t>Darüber hinaus sind Abweichungen in Ausnahmefällen zulässig; sie sind im Konzernanhang anzugeben und zu begründen.</w:t>
      </w:r>
    </w:p>
    <w:p>
      <w:r>
        <w:t>(3) (weggefallen)</w:t>
      </w:r>
    </w:p>
    <w:p>
      <w:pPr>
        <w:pStyle w:val="Heading5"/>
      </w:pPr>
      <w:bookmarkStart w:id="331" w:name="b330"/>
      <w:r>
        <w:t>§ 308a Umrechnung von auf fremde Währung lautenden Abschlüssen</w:t>
      </w:r>
      <w:r>
        <w:t xml:space="preserve"> </w:t>
      </w:r>
      <w:r>
        <w:rPr>
          <w:rStyle w:val="Suchmarke"/>
        </w:rPr>
        <w:t>#308a#</w:t>
      </w:r>
      <w:bookmarkEnd w:id="331"/>
    </w:p>
    <w:p>
      <w:r>
        <w:rPr>
          <w:rStyle w:val="Satznummer"/>
        </w:rPr>
        <w:t>1</w:t>
      </w:r>
      <w:r>
        <w:t xml:space="preserve">Die Aktiv- und Passivposten einer auf fremde Währung lautenden Bilanz sind, mit Ausnahme des Eigenkapitals, das zum historischen Kurs in Euro umzurechnen ist, zum Devisenkassamittelkurs am Abschlussstichtag in Euro umzurechnen. </w:t>
      </w:r>
      <w:r>
        <w:rPr>
          <w:rStyle w:val="Satznummer"/>
        </w:rPr>
        <w:t>2</w:t>
      </w:r>
      <w:r>
        <w:t xml:space="preserve">Die Posten der Gewinn- und Verlustrechnung sind zum Durchschnittskurs in Euro umzurechnen. </w:t>
      </w:r>
      <w:r>
        <w:rPr>
          <w:rStyle w:val="Satznummer"/>
        </w:rPr>
        <w:t>3</w:t>
      </w:r>
      <w:r>
        <w:t xml:space="preserve">Eine sich ergebende Umrechnungsdifferenz ist innerhalb des Konzerneigenkapitals nach den Rücklagen unter dem Posten „Eigenkapitaldifferenz aus Währungsumrechnung“ auszuweisen. </w:t>
      </w:r>
      <w:r>
        <w:rPr>
          <w:rStyle w:val="Satznummer"/>
        </w:rPr>
        <w:t>4</w:t>
      </w:r>
      <w:r>
        <w:t>Bei teilweisem oder vollständigem Ausscheiden des Tochterunternehmens ist der Posten in entsprechender Höhe erfolgswirksam aufzulösen.</w:t>
      </w:r>
    </w:p>
    <w:p>
      <w:pPr>
        <w:pStyle w:val="Heading5"/>
      </w:pPr>
      <w:bookmarkStart w:id="332" w:name="b331"/>
      <w:r>
        <w:t>§ 309 Behandlung des Unterschiedsbetrags</w:t>
      </w:r>
      <w:r>
        <w:t xml:space="preserve"> </w:t>
      </w:r>
      <w:r>
        <w:rPr>
          <w:rStyle w:val="Suchmarke"/>
        </w:rPr>
        <w:t>#309#</w:t>
      </w:r>
      <w:bookmarkEnd w:id="332"/>
    </w:p>
    <w:p>
      <w:r>
        <w:t xml:space="preserve">(1) Die Abschreibung eines nach </w:t>
      </w:r>
      <w:hyperlink w:anchor="b321" w:history="1">
        <w:r>
          <w:rPr>
            <w:color w:val="0A3A8C"/>
            <w:u w:val="single"/>
          </w:rPr>
          <w:t xml:space="preserve">§ 301</w:t>
        </w:r>
      </w:hyperlink>
      <w:r>
        <w:t xml:space="preserve"> Abs. 3 auszuweisenden Geschäfts- oder Firmenwertes bestimmt sich nach den Vorschriften des Ersten Abschnitts.</w:t>
      </w:r>
    </w:p>
    <w:p>
      <w:r>
        <w:t xml:space="preserve">(2) Ein nach </w:t>
      </w:r>
      <w:hyperlink w:anchor="b321" w:history="1">
        <w:r>
          <w:rPr>
            <w:color w:val="0A3A8C"/>
            <w:u w:val="single"/>
          </w:rPr>
          <w:t xml:space="preserve">§ 301</w:t>
        </w:r>
      </w:hyperlink>
      <w:r>
        <w:t xml:space="preserve"> Absatz 3 auf der Passivseite auszuweisender Unterschiedsbetrag kann ergebniswirksam aufgelöst werden, soweit ein solches Vorgehen den Grundsätzen der </w:t>
      </w:r>
      <w:hyperlink w:anchor="b316" w:history="1">
        <w:r>
          <w:rPr>
            <w:color w:val="0A3A8C"/>
            <w:u w:val="single"/>
          </w:rPr>
          <w:t xml:space="preserve">§§ 297</w:t>
        </w:r>
      </w:hyperlink>
      <w:r>
        <w:t xml:space="preserve"> und </w:t>
      </w:r>
      <w:hyperlink w:anchor="b317" w:history="1">
        <w:r>
          <w:rPr>
            <w:color w:val="0A3A8C"/>
            <w:u w:val="single"/>
          </w:rPr>
          <w:t xml:space="preserve">298</w:t>
        </w:r>
      </w:hyperlink>
      <w:r>
        <w:t xml:space="preserve"> in Verbindung mit den Vorschriften des Ersten Abschnitts entspricht.</w:t>
      </w:r>
    </w:p>
    <w:p>
      <w:pPr>
        <w:pStyle w:val="Heading4"/>
      </w:pPr>
      <w:bookmarkStart w:id="333" w:name="b332"/>
      <w:r>
        <w:t>Sechster Titel Anteilmäßige Konsolidierung</w:t>
      </w:r>
      <w:bookmarkEnd w:id="333"/>
    </w:p>
    <w:p>
      <w:pPr>
        <w:pStyle w:val="Heading5"/>
      </w:pPr>
      <w:bookmarkStart w:id="334" w:name="b333"/>
      <w:r>
        <w:t>§ 310 Anteilmäßige Konsolidierung</w:t>
      </w:r>
      <w:r>
        <w:t xml:space="preserve"> </w:t>
      </w:r>
      <w:r>
        <w:rPr>
          <w:rStyle w:val="Suchmarke"/>
        </w:rPr>
        <w:t>#310#</w:t>
      </w:r>
      <w:bookmarkEnd w:id="334"/>
    </w:p>
    <w:p>
      <w:r>
        <w:t>(1) Führt ein in einen Konzernabschluß einbezogenes Mutter- oder Tochterunternehmen ein anderes Unternehmen gemeinsam mit einem oder mehreren nicht in den Konzernabschluß einbezogenen Unternehmen, so darf das andere Unternehmen in den Konzernabschluß entsprechend den Anteilen am Kapital einbezogen werden, die dem Mutterunternehmen gehören.</w:t>
      </w:r>
    </w:p>
    <w:p>
      <w:r>
        <w:t xml:space="preserve">(2) Auf die anteilmäßige Konsolidierung sind die </w:t>
      </w:r>
      <w:hyperlink w:anchor="b316" w:history="1">
        <w:r>
          <w:rPr>
            <w:color w:val="0A3A8C"/>
            <w:u w:val="single"/>
          </w:rPr>
          <w:t xml:space="preserve">§§ 297</w:t>
        </w:r>
      </w:hyperlink>
      <w:r>
        <w:t xml:space="preserve"> bis </w:t>
      </w:r>
      <w:hyperlink w:anchor="b321" w:history="1">
        <w:r>
          <w:rPr>
            <w:color w:val="0A3A8C"/>
            <w:u w:val="single"/>
          </w:rPr>
          <w:t xml:space="preserve">301</w:t>
        </w:r>
      </w:hyperlink>
      <w:r>
        <w:t xml:space="preserve">, </w:t>
      </w:r>
      <w:hyperlink w:anchor="b323" w:history="1">
        <w:r>
          <w:rPr>
            <w:color w:val="0A3A8C"/>
            <w:u w:val="single"/>
          </w:rPr>
          <w:t xml:space="preserve">§§ 303</w:t>
        </w:r>
      </w:hyperlink>
      <w:r>
        <w:t xml:space="preserve"> bis </w:t>
      </w:r>
      <w:hyperlink w:anchor="b326" w:history="1">
        <w:r>
          <w:rPr>
            <w:color w:val="0A3A8C"/>
            <w:u w:val="single"/>
          </w:rPr>
          <w:t xml:space="preserve">306</w:t>
        </w:r>
      </w:hyperlink>
      <w:r>
        <w:t xml:space="preserve">, </w:t>
      </w:r>
      <w:hyperlink w:anchor="b329" w:history="1">
        <w:r>
          <w:rPr>
            <w:color w:val="0A3A8C"/>
            <w:u w:val="single"/>
          </w:rPr>
          <w:t xml:space="preserve">308</w:t>
        </w:r>
      </w:hyperlink>
      <w:r>
        <w:t xml:space="preserve">, </w:t>
      </w:r>
      <w:hyperlink w:anchor="b330" w:history="1">
        <w:r>
          <w:rPr>
            <w:color w:val="0A3A8C"/>
            <w:u w:val="single"/>
          </w:rPr>
          <w:t xml:space="preserve">308a</w:t>
        </w:r>
      </w:hyperlink>
      <w:r>
        <w:t xml:space="preserve">, </w:t>
      </w:r>
      <w:hyperlink w:anchor="b331" w:history="1">
        <w:r>
          <w:rPr>
            <w:color w:val="0A3A8C"/>
            <w:u w:val="single"/>
          </w:rPr>
          <w:t xml:space="preserve">309</w:t>
        </w:r>
      </w:hyperlink>
      <w:r>
        <w:t xml:space="preserve"> entsprechend anzuwenden.</w:t>
      </w:r>
    </w:p>
    <w:p>
      <w:pPr>
        <w:pStyle w:val="Heading4"/>
      </w:pPr>
      <w:bookmarkStart w:id="335" w:name="b334"/>
      <w:r>
        <w:t>Siebenter Titel Assoziierte Unternehmen</w:t>
      </w:r>
      <w:bookmarkEnd w:id="335"/>
    </w:p>
    <w:p>
      <w:pPr>
        <w:pStyle w:val="Heading5"/>
      </w:pPr>
      <w:bookmarkStart w:id="336" w:name="b335"/>
      <w:r>
        <w:t>§ 311 Definition. Befreiung</w:t>
      </w:r>
      <w:r>
        <w:t xml:space="preserve"> </w:t>
      </w:r>
      <w:r>
        <w:rPr>
          <w:rStyle w:val="Suchmarke"/>
        </w:rPr>
        <w:t>#311#</w:t>
      </w:r>
      <w:bookmarkEnd w:id="336"/>
    </w:p>
    <w:p>
      <w:r>
        <w:t xml:space="preserve">(1) </w:t>
      </w:r>
      <w:r>
        <w:rPr>
          <w:rStyle w:val="Satznummer"/>
        </w:rPr>
        <w:t>1</w:t>
      </w:r>
      <w:r>
        <w:t xml:space="preserve">Wird von einem in den Konzernabschluß einbezogenen Unternehmen ein maßgeblicher Einfluß auf die Geschäfts- und Finanzpolitik eines nicht einbezogenen Unternehmens, an dem das Unternehmen nach </w:t>
      </w:r>
      <w:hyperlink w:anchor="b278" w:history="1">
        <w:r>
          <w:rPr>
            <w:color w:val="0A3A8C"/>
            <w:u w:val="single"/>
          </w:rPr>
          <w:t xml:space="preserve">§ 271</w:t>
        </w:r>
      </w:hyperlink>
      <w:r>
        <w:t xml:space="preserve"> Abs. 1 beteiligt ist, ausgeübt (assoziiertes Unternehmen), so ist diese Beteiligung in der Konzernbilanz unter einem besonderen Posten mit entsprechender Bezeichnung auszuweisen. </w:t>
      </w:r>
      <w:r>
        <w:rPr>
          <w:rStyle w:val="Satznummer"/>
        </w:rPr>
        <w:t>2</w:t>
      </w:r>
      <w:r>
        <w:t>Ein maßgeblicher Einfluß wird vermutet, wenn ein Unternehmen bei einem anderen Unternehmen mindestens den fünften Teil der Stimmrechte der Gesellschafter innehat.</w:t>
      </w:r>
    </w:p>
    <w:p>
      <w:r>
        <w:t xml:space="preserve">(2) Auf eine Beteiligung an einem assoziierten Unternehmen brauchen Absatz 1 und </w:t>
      </w:r>
      <w:hyperlink w:anchor="b336" w:history="1">
        <w:r>
          <w:rPr>
            <w:color w:val="0A3A8C"/>
            <w:u w:val="single"/>
          </w:rPr>
          <w:t xml:space="preserve">§ 312</w:t>
        </w:r>
      </w:hyperlink>
      <w:r>
        <w:t xml:space="preserve"> nicht angewendet zu werden, wenn die Beteiligung für die Vermittlung eines den tatsächlichen Verhältnissen entsprechenden Bildes der Vermögens-, Finanz- und Ertragslage des Konzerns von untergeordneter Bedeutung ist.</w:t>
      </w:r>
    </w:p>
    <w:p>
      <w:pPr>
        <w:pStyle w:val="Heading5"/>
      </w:pPr>
      <w:bookmarkStart w:id="337" w:name="b336"/>
      <w:r>
        <w:t>§ 312 Wertansatz der Beteiligung und Behandlung des Unterschiedsbetrags</w:t>
      </w:r>
      <w:r>
        <w:t xml:space="preserve"> </w:t>
      </w:r>
      <w:r>
        <w:rPr>
          <w:rStyle w:val="Suchmarke"/>
        </w:rPr>
        <w:t>#312#</w:t>
      </w:r>
      <w:bookmarkEnd w:id="337"/>
    </w:p>
    <w:p>
      <w:r>
        <w:t xml:space="preserve">(1) </w:t>
      </w:r>
      <w:r>
        <w:rPr>
          <w:rStyle w:val="Satznummer"/>
        </w:rPr>
        <w:t>1</w:t>
      </w:r>
      <w:r>
        <w:t xml:space="preserve">Eine Beteiligung an einem assoziierten Unternehmen ist in der Konzernbilanz mit dem Buchwert anzusetzen. </w:t>
      </w:r>
      <w:r>
        <w:rPr>
          <w:rStyle w:val="Satznummer"/>
        </w:rPr>
        <w:t>2</w:t>
      </w:r>
      <w:r>
        <w:t>Der Unterschiedsbetrag zwischen dem Buchwert und dem anteiligen Eigenkapital des assoziierten Unternehmens sowie ein darin enthaltener Geschäfts- oder Firmenwert oder passiver Unterschiedsbetrag sind im Konzernanhang anzugeben.</w:t>
      </w:r>
    </w:p>
    <w:p>
      <w:r>
        <w:t xml:space="preserve">(2) </w:t>
      </w:r>
      <w:r>
        <w:rPr>
          <w:rStyle w:val="Satznummer"/>
        </w:rPr>
        <w:t>1</w:t>
      </w:r>
      <w:r>
        <w:t xml:space="preserve">Der Unterschiedsbetrag nach Absatz 1 Satz 2 ist den Wertansätzen der Vermögensgegenstände, Schulden, Rechnungsabgrenzungsposten und Sonderposten des assoziierten Unternehmens insoweit zuzuordnen, als deren beizulegender Zeitwert höher oder niedriger ist als ihr Buchwert. </w:t>
      </w:r>
      <w:r>
        <w:rPr>
          <w:rStyle w:val="Satznummer"/>
        </w:rPr>
        <w:t>2</w:t>
      </w:r>
      <w:r>
        <w:t xml:space="preserve">Der nach Satz 1 zugeordnete Unterschiedsbetrag ist entsprechend der Behandlung der Wertansätze dieser Vermögensgegenstände, Schulden, Rechnungsabgrenzungsposten und Sonderposten im Jahresabschluss des assoziierten Unternehmens im Konzernabschluss fortzuführen, abzuschreiben oder aufzulösen. </w:t>
      </w:r>
      <w:r>
        <w:rPr>
          <w:rStyle w:val="Satznummer"/>
        </w:rPr>
        <w:t>3</w:t>
      </w:r>
      <w:r>
        <w:t xml:space="preserve">Auf einen nach Zuordnung nach Satz 1 verbleibenden Geschäfts- oder Firmenwert oder passiven Unterschiedsbetrag ist </w:t>
      </w:r>
      <w:hyperlink w:anchor="b331" w:history="1">
        <w:r>
          <w:rPr>
            <w:color w:val="0A3A8C"/>
            <w:u w:val="single"/>
          </w:rPr>
          <w:t xml:space="preserve">§ 309</w:t>
        </w:r>
      </w:hyperlink>
      <w:r>
        <w:t xml:space="preserve"> entsprechend anzuwenden. </w:t>
      </w:r>
      <w:r>
        <w:rPr>
          <w:rStyle w:val="Satznummer"/>
        </w:rPr>
        <w:t>4</w:t>
      </w:r>
      <w:hyperlink w:anchor="b321" w:history="1">
        <w:r>
          <w:rPr>
            <w:color w:val="0A3A8C"/>
            <w:u w:val="single"/>
          </w:rPr>
          <w:t xml:space="preserve">§ 301</w:t>
        </w:r>
      </w:hyperlink>
      <w:r>
        <w:t xml:space="preserve"> Abs. 1 Satz 3 ist entsprechend anzuwenden.</w:t>
      </w:r>
    </w:p>
    <w:p>
      <w:r>
        <w:t xml:space="preserve">(3) </w:t>
      </w:r>
      <w:r>
        <w:rPr>
          <w:rStyle w:val="Satznummer"/>
        </w:rPr>
        <w:t>1</w:t>
      </w:r>
      <w:r>
        <w:t xml:space="preserve">Der Wertansatz der Beteiligung und der Unterschiedsbetrag sind auf der Grundlage der Wertansätze zu dem Zeitpunkt zu ermitteln, zu dem das Unternehmen assoziiertes Unternehmen geworden ist. </w:t>
      </w:r>
      <w:r>
        <w:rPr>
          <w:rStyle w:val="Satznummer"/>
        </w:rPr>
        <w:t>2</w:t>
      </w:r>
      <w:r>
        <w:t xml:space="preserve">Können die Wertansätze zu diesem Zeitpunkt nicht endgültig ermittelt werden, sind sie innerhalb der darauf folgenden zwölf Monate anzupassen. </w:t>
      </w:r>
      <w:r>
        <w:rPr>
          <w:rStyle w:val="Satznummer"/>
        </w:rPr>
        <w:t>3</w:t>
      </w:r>
      <w:hyperlink w:anchor="b321" w:history="1">
        <w:r>
          <w:rPr>
            <w:color w:val="0A3A8C"/>
            <w:u w:val="single"/>
          </w:rPr>
          <w:t xml:space="preserve">§ 301</w:t>
        </w:r>
      </w:hyperlink>
      <w:r>
        <w:t xml:space="preserve"> Absatz 2 Satz 3 bis 5 gilt entsprechend.</w:t>
      </w:r>
    </w:p>
    <w:p>
      <w:r>
        <w:t xml:space="preserve">(4) </w:t>
      </w:r>
      <w:r>
        <w:rPr>
          <w:rStyle w:val="Satznummer"/>
        </w:rPr>
        <w:t>1</w:t>
      </w:r>
      <w:r>
        <w:t xml:space="preserve">Der nach Absatz 1 ermittelte Wertansatz einer Beteiligung ist in den Folgejahren um den Betrag der Eigenkapitalveränderungen, die den dem Mutterunternehmen gehörenden Anteilen am Kapital des assoziierten Unternehmens entsprechen, zu erhöhen oder zu vermindern; auf die Beteiligung entfallende Gewinnausschüttungen sind abzusetzen. </w:t>
      </w:r>
      <w:r>
        <w:rPr>
          <w:rStyle w:val="Satznummer"/>
        </w:rPr>
        <w:t>2</w:t>
      </w:r>
      <w:r>
        <w:t>In der Konzern-Gewinn- und Verlustrechnung ist das auf assoziierte Beteiligungen entfallende Ergebnis unter einem gesonderten Posten auszuweisen.</w:t>
      </w:r>
    </w:p>
    <w:p>
      <w:r>
        <w:t xml:space="preserve">(5) </w:t>
      </w:r>
      <w:r>
        <w:rPr>
          <w:rStyle w:val="Satznummer"/>
        </w:rPr>
        <w:t>1</w:t>
      </w:r>
      <w:r>
        <w:t xml:space="preserve">Wendet das assoziierte Unternehmen in seinem Jahresabschluß vom Konzernabschluß abweichende Bewertungsmethoden an, so können abweichend bewertete Vermögensgegenstände oder Schulden für die Zwecke der Absätze 1 bis 4 nach den auf den Konzernabschluß angewandten Bewertungsmethoden bewertet werden. </w:t>
      </w:r>
      <w:r>
        <w:rPr>
          <w:rStyle w:val="Satznummer"/>
        </w:rPr>
        <w:t>2</w:t>
      </w:r>
      <w:r>
        <w:t xml:space="preserve">Wird die Bewertung nicht angepaßt, so ist dies im Konzernanhang anzugeben. </w:t>
      </w:r>
      <w:r>
        <w:rPr>
          <w:rStyle w:val="Satznummer"/>
        </w:rPr>
        <w:t>3</w:t>
      </w:r>
      <w:r>
        <w:t xml:space="preserve">Die </w:t>
      </w:r>
      <w:hyperlink w:anchor="b324" w:history="1">
        <w:r>
          <w:rPr>
            <w:color w:val="0A3A8C"/>
            <w:u w:val="single"/>
          </w:rPr>
          <w:t xml:space="preserve">§§ 304</w:t>
        </w:r>
      </w:hyperlink>
      <w:r>
        <w:t xml:space="preserve"> und </w:t>
      </w:r>
      <w:hyperlink w:anchor="b326" w:history="1">
        <w:r>
          <w:rPr>
            <w:color w:val="0A3A8C"/>
            <w:u w:val="single"/>
          </w:rPr>
          <w:t xml:space="preserve">306</w:t>
        </w:r>
      </w:hyperlink>
      <w:r>
        <w:t xml:space="preserve"> sind entsprechend anzuwenden, soweit die für die Beurteilung maßgeblichen Sachverhalte bekannt oder zugänglich sind.</w:t>
      </w:r>
    </w:p>
    <w:p>
      <w:r>
        <w:t xml:space="preserve">(6) </w:t>
      </w:r>
      <w:r>
        <w:rPr>
          <w:rStyle w:val="Satznummer"/>
        </w:rPr>
        <w:t>1</w:t>
      </w:r>
      <w:r>
        <w:t xml:space="preserve">Es ist jeweils der letzte Jahresabschluß des assoziierten Unternehmens zugrunde zu legen. </w:t>
      </w:r>
      <w:r>
        <w:rPr>
          <w:rStyle w:val="Satznummer"/>
        </w:rPr>
        <w:t>2</w:t>
      </w:r>
      <w:r>
        <w:t>Stellt das assoziierte Unternehmen einen Konzernabschluß auf, so ist von diesem und nicht vom Jahresabschluß des assoziierten Unternehmens auszugehen.</w:t>
      </w:r>
    </w:p>
    <w:p>
      <w:pPr>
        <w:pStyle w:val="Heading4"/>
      </w:pPr>
      <w:bookmarkStart w:id="338" w:name="b337"/>
      <w:r>
        <w:t>Achter Titel Konzernanhang</w:t>
      </w:r>
      <w:bookmarkEnd w:id="338"/>
    </w:p>
    <w:p>
      <w:pPr>
        <w:pStyle w:val="Heading5"/>
      </w:pPr>
      <w:bookmarkStart w:id="339" w:name="b338"/>
      <w:r>
        <w:t>§ 313 Erläuterung der Konzernbilanz und der Konzern-Gewinn- und Verlustrechnung. Angaben zum Beteiligungsbesitz.</w:t>
      </w:r>
      <w:r>
        <w:t xml:space="preserve"> </w:t>
      </w:r>
      <w:r>
        <w:rPr>
          <w:rStyle w:val="Suchmarke"/>
        </w:rPr>
        <w:t>#313#</w:t>
      </w:r>
      <w:bookmarkEnd w:id="339"/>
    </w:p>
    <w:p>
      <w:r>
        <w:t xml:space="preserve">(1) </w:t>
      </w:r>
      <w:r>
        <w:rPr>
          <w:rStyle w:val="Satznummer"/>
        </w:rPr>
        <w:t>1</w:t>
      </w:r>
      <w:r>
        <w:t xml:space="preserve">In den Konzernanhang sind diejenigen Angaben aufzunehmen, die zu einzelnen Posten der Konzernbilanz oder der Konzern-Gewinn- und Verlustrechnung vorgeschrieben sind; diese Angaben sind in der Reihenfolge der einzelnen Posten der Konzernbilanz und der Konzern-Gewinn- und Verlustrechnung darzustellen. </w:t>
      </w:r>
      <w:r>
        <w:rPr>
          <w:rStyle w:val="Satznummer"/>
        </w:rPr>
        <w:t>2</w:t>
      </w:r>
      <w:r>
        <w:t xml:space="preserve">Im Konzernanhang sind auch die Angaben zu machen, die in Ausübung eines Wahlrechts nicht in die Konzernbilanz oder in die Konzern-Gewinn- und Verlustrechnung aufgenommen wurden. </w:t>
      </w:r>
      <w:r>
        <w:rPr>
          <w:rStyle w:val="Satznummer"/>
        </w:rPr>
        <w:t>3</w:t>
      </w:r>
      <w:r>
        <w:t>Im Konzernanhang müssen</w:t>
      </w:r>
    </w:p>
    <w:p>
      <w:pPr>
        <w:tabs>
          <w:tab w:pos="567" w:val="left"/>
        </w:tabs>
        <w:ind w:left="567" w:hanging="567"/>
      </w:pPr>
      <w:r>
        <w:t>1.</w:t>
      </w:r>
      <w:r>
        <w:tab/>
      </w:r>
      <w:r>
        <w:t>die auf die Posten der Konzernbilanz und der Konzern-Gewinn- und Verlustrechnung angewandten Bilanzierungs- und Bewertungsmethoden angegeben werden;</w:t>
      </w:r>
    </w:p>
    <w:p>
      <w:pPr>
        <w:tabs>
          <w:tab w:pos="567" w:val="left"/>
        </w:tabs>
        <w:ind w:left="567" w:hanging="567"/>
      </w:pPr>
      <w:r>
        <w:t>2.</w:t>
      </w:r>
      <w:r>
        <w:tab/>
      </w:r>
      <w:r>
        <w:t>Abweichungen von Bilanzierungs-, Bewertungs- und Konsolidierungsmethoden angegeben und begründet werden; deren Einfluß auf die Vermögens-, Finanz- und Ertragslage des Konzerns ist gesondert darzustellen.</w:t>
      </w:r>
    </w:p>
    <w:p>
      <w:r>
        <w:t>(2) Im Konzernanhang sind außerdem anzugeben:</w:t>
      </w:r>
    </w:p>
    <w:p>
      <w:pPr>
        <w:tabs>
          <w:tab w:pos="567" w:val="left"/>
        </w:tabs>
        <w:ind w:left="567" w:hanging="567"/>
      </w:pPr>
      <w:r>
        <w:t>1.</w:t>
      </w:r>
      <w:r>
        <w:tab/>
      </w:r>
      <w:r>
        <w:t xml:space="preserve">Name und Sitz der in den Konzernabschluß einbezogenen Unternehmen, der Anteil am Kapital der Tochterunternehmen, der dem Mutterunternehmen und den in den Konzernabschluß einbezogenen Tochterunternehmen gehört oder von einer für Rechnung dieser Unternehmen handelnden Person gehalten wird, sowie der zur Einbeziehung in den Konzernabschluß verpflichtende Sachverhalt, sofern die Einbeziehung nicht auf einer der Kapitalbeteiligung entsprechenden Mehrheit der Stimmrechte beruht. </w:t>
      </w:r>
      <w:r>
        <w:rPr>
          <w:rStyle w:val="Satznummer"/>
        </w:rPr>
        <w:t>2</w:t>
      </w:r>
      <w:r>
        <w:t xml:space="preserve">Diese Angaben sind auch für Tochterunternehmen zu machen, die nach </w:t>
      </w:r>
      <w:hyperlink w:anchor="b314" w:history="1">
        <w:r>
          <w:rPr>
            <w:color w:val="0A3A8C"/>
            <w:u w:val="single"/>
          </w:rPr>
          <w:t xml:space="preserve">§ 296</w:t>
        </w:r>
      </w:hyperlink>
      <w:r>
        <w:t xml:space="preserve"> nicht einbezogen worden sind;</w:t>
      </w:r>
    </w:p>
    <w:p>
      <w:pPr>
        <w:tabs>
          <w:tab w:pos="567" w:val="left"/>
        </w:tabs>
        <w:ind w:left="567" w:hanging="567"/>
      </w:pPr>
      <w:r>
        <w:t>2.</w:t>
      </w:r>
      <w:r>
        <w:tab/>
      </w:r>
      <w:r>
        <w:t xml:space="preserve">Name und Sitz der assoziierten Unternehmen, der Anteil am Kapital der assoziierten Unternehmen, der dem Mutterunternehmen und den in den Konzernabschluß einbezogenen Tochterunternehmen gehört oder von einer für Rechnung dieser Unternehmen handelnden Person gehalten wird. </w:t>
      </w:r>
      <w:r>
        <w:rPr>
          <w:rStyle w:val="Satznummer"/>
        </w:rPr>
        <w:t>2</w:t>
      </w:r>
      <w:r>
        <w:t xml:space="preserve">Die Anwendung des </w:t>
      </w:r>
      <w:hyperlink w:anchor="b335" w:history="1">
        <w:r>
          <w:rPr>
            <w:color w:val="0A3A8C"/>
            <w:u w:val="single"/>
          </w:rPr>
          <w:t xml:space="preserve">§ 311</w:t>
        </w:r>
      </w:hyperlink>
      <w:r>
        <w:t xml:space="preserve"> Abs. 2 ist jeweils anzugeben und zu begründen;</w:t>
      </w:r>
    </w:p>
    <w:p>
      <w:pPr>
        <w:tabs>
          <w:tab w:pos="567" w:val="left"/>
        </w:tabs>
        <w:ind w:left="567" w:hanging="567"/>
      </w:pPr>
      <w:r>
        <w:t>3.</w:t>
      </w:r>
      <w:r>
        <w:tab/>
      </w:r>
      <w:r>
        <w:t xml:space="preserve">Name und Sitz der Unternehmen, die nach </w:t>
      </w:r>
      <w:hyperlink w:anchor="b333" w:history="1">
        <w:r>
          <w:rPr>
            <w:color w:val="0A3A8C"/>
            <w:u w:val="single"/>
          </w:rPr>
          <w:t xml:space="preserve">§ 310</w:t>
        </w:r>
      </w:hyperlink>
      <w:r>
        <w:t xml:space="preserve"> nur anteilmäßig in den Konzernabschluß einbezogen worden sind, der Tatbestand, aus dem sich die Anwendung dieser Vorschrift ergibt, sowie der Anteil am Kapital dieser Unternehmen, der dem Mutterunternehmen und den in den Konzernabschluß einbezogenen Tochterunternehmen gehört oder von einer für Rechnung dieser Unternehmen handelnden Person gehalten wird;</w:t>
      </w:r>
    </w:p>
    <w:p>
      <w:pPr>
        <w:tabs>
          <w:tab w:pos="567" w:val="left"/>
        </w:tabs>
        <w:ind w:left="567" w:hanging="567"/>
      </w:pPr>
      <w:r>
        <w:t>4.</w:t>
      </w:r>
      <w:r>
        <w:tab/>
      </w:r>
      <w:r>
        <w:t xml:space="preserve">Name und Sitz anderer Unternehmen, die Höhe des Anteils am Kapital, das Eigenkapital und das Ergebnis des letzten Geschäftsjahrs dieser Unternehmen, für das ein Jahresabschluss vorliegt, soweit es sich um Beteiligungen im Sinne des </w:t>
      </w:r>
      <w:hyperlink w:anchor="b278" w:history="1">
        <w:r>
          <w:rPr>
            <w:color w:val="0A3A8C"/>
            <w:u w:val="single"/>
          </w:rPr>
          <w:t xml:space="preserve">§ 271</w:t>
        </w:r>
      </w:hyperlink>
      <w:r>
        <w:t xml:space="preserve"> Absatz 1 handelt oder ein solcher Anteil von einer Person für Rechnung des Mutterunternehmens oder eines anderen in den Konzernabschluss einbezogenen Unternehmens gehalten wird;</w:t>
      </w:r>
    </w:p>
    <w:p>
      <w:pPr>
        <w:tabs>
          <w:tab w:pos="567" w:val="left"/>
        </w:tabs>
        <w:ind w:left="567" w:hanging="567"/>
      </w:pPr>
      <w:r>
        <w:t>5.</w:t>
      </w:r>
      <w:r>
        <w:tab/>
      </w:r>
      <w:r>
        <w:t>alle nicht nach den Nummern 1 bis 4 aufzuführenden Beteiligungen an großen Kapitalgesellschaften, die 5 Prozent der Stimmrechte überschreiten, wenn sie von einem börsennotierten Mutterunternehmen, börsennotierten Tochterunternehmen oder von einer für Rechnung eines dieser Unternehmen handelnden Person gehalten werden;</w:t>
      </w:r>
    </w:p>
    <w:p>
      <w:pPr>
        <w:tabs>
          <w:tab w:pos="567" w:val="left"/>
        </w:tabs>
        <w:ind w:left="567" w:hanging="567"/>
      </w:pPr>
      <w:r>
        <w:t>6.</w:t>
      </w:r>
      <w:r>
        <w:tab/>
      </w:r>
      <w:r>
        <w:t>Name, Sitz und Rechtsform der Unternehmen, deren unbeschränkt haftender Gesellschafter das Mutterunternehmen oder ein anderes in den Konzernabschluss einbezogenes Unternehmen ist;</w:t>
      </w:r>
    </w:p>
    <w:p>
      <w:pPr>
        <w:tabs>
          <w:tab w:pos="567" w:val="left"/>
        </w:tabs>
        <w:ind w:left="567" w:hanging="567"/>
      </w:pPr>
      <w:r>
        <w:t>7.</w:t>
      </w:r>
      <w:r>
        <w:tab/>
      </w:r>
      <w:r>
        <w:t>Name und Sitz des Unternehmens, das den Konzernabschluss für den größten Kreis von Unternehmen aufstellt, dem das Mutterunternehmen als Tochterunternehmen angehört, und im Falle der Offenlegung des von diesem anderen Mutterunternehmen aufgestellten Konzernabschlusses der Ort, wo dieser erhältlich ist;</w:t>
      </w:r>
    </w:p>
    <w:p>
      <w:pPr>
        <w:tabs>
          <w:tab w:pos="567" w:val="left"/>
        </w:tabs>
        <w:ind w:left="567" w:hanging="567"/>
      </w:pPr>
      <w:r>
        <w:t>8.</w:t>
      </w:r>
      <w:r>
        <w:tab/>
      </w:r>
      <w:r>
        <w:t>Name und Sitz des Unternehmens, das den Konzernabschluss für den kleinsten Kreis von Unternehmen aufstellt, dem das Mutterunternehmen als Tochterunternehmen angehört, und im Falle der Offenlegung des von diesem anderen Mutterunternehmen aufgestellten Konzernabschlusses der Ort, wo dieser erhältlich ist.</w:t>
      </w:r>
    </w:p>
    <w:p>
      <w:r>
        <w:t xml:space="preserve">(3) </w:t>
      </w:r>
      <w:r>
        <w:rPr>
          <w:rStyle w:val="Satznummer"/>
        </w:rPr>
        <w:t>1</w:t>
      </w:r>
      <w:r>
        <w:t xml:space="preserve">Die in Absatz 2 verlangten Angaben brauchen insoweit nicht gemacht zu werden, als nach vernünftiger kaufmännischer Beurteilung damit gerechnet werden muß, daß durch die Angaben dem Mutterunternehmen, einem Tochterunternehmen oder einem anderen in Absatz 2 bezeichneten Unternehmen erhebliche Nachteile entstehen können. </w:t>
      </w:r>
      <w:r>
        <w:rPr>
          <w:rStyle w:val="Satznummer"/>
        </w:rPr>
        <w:t>2</w:t>
      </w:r>
      <w:r>
        <w:t xml:space="preserve">Die Anwendung der Ausnahmeregelung ist im Konzernanhang anzugeben. </w:t>
      </w:r>
      <w:r>
        <w:rPr>
          <w:rStyle w:val="Satznummer"/>
        </w:rPr>
        <w:t>3</w:t>
      </w:r>
      <w:r>
        <w:t xml:space="preserve">Satz 1 gilt nicht, wenn ein Mutterunternehmen oder eines seiner Tochterunternehmen kapitalmarktorientiert im Sinn des </w:t>
      </w:r>
      <w:hyperlink w:anchor="b269" w:history="1">
        <w:r>
          <w:rPr>
            <w:color w:val="0A3A8C"/>
            <w:u w:val="single"/>
          </w:rPr>
          <w:t xml:space="preserve">§ 264d</w:t>
        </w:r>
      </w:hyperlink>
      <w:r>
        <w:t xml:space="preserve"> ist. </w:t>
      </w:r>
      <w:r>
        <w:rPr>
          <w:rStyle w:val="Satznummer"/>
        </w:rPr>
        <w:t>4</w:t>
      </w:r>
      <w:r>
        <w:t xml:space="preserve">Die Angaben nach Absatz 2 Nummer 4 und 5 brauchen nicht gemacht zu werden, wenn sie für die Vermittlung eines den tatsächlichen Verhältnissen entsprechenden Bilds der Vermögens-, Finanz- und Ertragslage des Konzerns von untergeordneter Bedeutung sind. </w:t>
      </w:r>
      <w:r>
        <w:rPr>
          <w:rStyle w:val="Satznummer"/>
        </w:rPr>
        <w:t>5</w:t>
      </w:r>
      <w:r>
        <w:t>Die Pflicht zur Angabe von Eigenkapital und Ergebnis nach Absatz 2 Nummer 4 braucht auch dann nicht erfüllt zu werden, wenn das in Anteilsbesitz stehende Unternehmen seinen Jahresabschluss nicht offenlegt.</w:t>
      </w:r>
    </w:p>
    <w:p>
      <w:r>
        <w:t xml:space="preserve">(4) </w:t>
      </w:r>
      <w:hyperlink w:anchor="b291" w:history="1">
        <w:r>
          <w:rPr>
            <w:color w:val="0A3A8C"/>
            <w:u w:val="single"/>
          </w:rPr>
          <w:t xml:space="preserve">§ 284</w:t>
        </w:r>
      </w:hyperlink>
      <w:r>
        <w:t xml:space="preserve"> Absatz 2 Nummer 4 und Absatz 3 ist entsprechend anzuwenden.</w:t>
      </w:r>
    </w:p>
    <w:p>
      <w:pPr>
        <w:pStyle w:val="Heading5"/>
      </w:pPr>
      <w:bookmarkStart w:id="340" w:name="b339"/>
      <w:r>
        <w:t>§ 314 Sonstige Pflichtangaben</w:t>
      </w:r>
      <w:r>
        <w:t xml:space="preserve"> </w:t>
      </w:r>
      <w:r>
        <w:rPr>
          <w:rStyle w:val="Suchmarke"/>
        </w:rPr>
        <w:t>#314#</w:t>
      </w:r>
      <w:bookmarkEnd w:id="340"/>
    </w:p>
    <w:p>
      <w:r>
        <w:t>(1) Im Konzernanhang sind ferner anzugeben:</w:t>
      </w:r>
    </w:p>
    <w:p>
      <w:pPr>
        <w:tabs>
          <w:tab w:pos="567" w:val="left"/>
        </w:tabs>
        <w:ind w:left="567" w:hanging="567"/>
      </w:pPr>
      <w:r>
        <w:t>1.</w:t>
      </w:r>
      <w:r>
        <w:tab/>
      </w:r>
      <w:r>
        <w:t>der Gesamtbetrag der in der Konzernbilanz ausgewiesenen Verbindlichkeiten mit einer Restlaufzeit von mehr als fünf Jahren sowie der Gesamtbetrag der in der Konzernbilanz ausgewiesenen Verbindlichkeiten, die von in den Konzernabschluß einbezogenen Unternehmen durch Pfandrechte oder ähnliche Rechte gesichert sind, unter Angabe von Art und Form der Sicherheiten;</w:t>
      </w:r>
    </w:p>
    <w:p>
      <w:pPr>
        <w:tabs>
          <w:tab w:pos="567" w:val="left"/>
        </w:tabs>
        <w:ind w:left="567" w:hanging="567"/>
      </w:pPr>
      <w:r>
        <w:t>2.</w:t>
      </w:r>
      <w:r>
        <w:tab/>
      </w:r>
      <w:r>
        <w:t>Art und Zweck sowie Risiken, Vorteile und finanzielle Auswirkungen von nicht in der Konzernbilanz enthaltenen Geschäften des Mutterunternehmens und der in den Konzernabschluss einbezogenen Tochterunternehmen, soweit die Risiken und Vorteile wesentlich sind und die Offenlegung für die Beurteilung der Finanzlage des Konzerns erforderlich ist;</w:t>
      </w:r>
    </w:p>
    <w:p>
      <w:pPr>
        <w:tabs>
          <w:tab w:pos="567" w:val="left"/>
        </w:tabs>
        <w:ind w:left="567" w:hanging="567"/>
      </w:pPr>
      <w:r>
        <w:t>2a.</w:t>
      </w:r>
      <w:r>
        <w:tab/>
      </w:r>
      <w:r>
        <w:t xml:space="preserve">der Gesamtbetrag der sonstigen finanziellen Verpflichtungen, die nicht in der Konzernbilanz enthalten sind und die nicht nach </w:t>
      </w:r>
      <w:hyperlink w:anchor="b317" w:history="1">
        <w:r>
          <w:rPr>
            <w:color w:val="0A3A8C"/>
            <w:u w:val="single"/>
          </w:rPr>
          <w:t xml:space="preserve">§ 298</w:t>
        </w:r>
      </w:hyperlink>
      <w:r>
        <w:t xml:space="preserve"> Absatz 1 in Verbindung mit </w:t>
      </w:r>
      <w:hyperlink w:anchor="b275" w:history="1">
        <w:r>
          <w:rPr>
            <w:color w:val="0A3A8C"/>
            <w:u w:val="single"/>
          </w:rPr>
          <w:t xml:space="preserve">§ 268</w:t>
        </w:r>
      </w:hyperlink>
      <w:r>
        <w:t xml:space="preserve"> Absatz 7 oder nach Nummer 2 anzugeben sind, sofern diese Angabe für die Beurteilung der Finanzlage des Konzerns von Bedeutung ist; davon sind Verpflichtungen betreffend die Altersversorgung sowie Verpflichtungen gegenüber Tochterunternehmen, die nicht in den Konzernabschluss einbezogen werden, oder gegenüber assoziierten Unternehmen jeweils gesondert anzugeben;</w:t>
      </w:r>
    </w:p>
    <w:p>
      <w:pPr>
        <w:tabs>
          <w:tab w:pos="567" w:val="left"/>
        </w:tabs>
        <w:ind w:left="567" w:hanging="567"/>
      </w:pPr>
      <w:r>
        <w:t>3.</w:t>
      </w:r>
      <w:r>
        <w:tab/>
      </w:r>
      <w:r>
        <w:t>die Aufgliederung der Umsatzerlöse des Konzerns nach Tätigkeitsbereichen sowie nach geografisch bestimmten Märkten, soweit sich unter Berücksichtigung der Organisation des Verkaufs, der Vermietung oder Verpachtung von Produkten und der Erbringung von Dienstleistungen des Konzerns die Tätigkeitsbereiche und geografisch bestimmten Märkte untereinander erheblich unterscheiden;</w:t>
      </w:r>
    </w:p>
    <w:p>
      <w:pPr>
        <w:tabs>
          <w:tab w:pos="567" w:val="left"/>
        </w:tabs>
        <w:ind w:left="567" w:hanging="567"/>
      </w:pPr>
      <w:r>
        <w:t>4.</w:t>
      </w:r>
      <w:r>
        <w:tab/>
      </w:r>
      <w:r>
        <w:t xml:space="preserve">die durchschnittliche Zahl der Arbeitnehmer der in den Konzernabschluss einbezogenen Unternehmen während des Geschäftsjahrs, getrennt nach Gruppen und gesondert für die nach </w:t>
      </w:r>
      <w:hyperlink w:anchor="b333" w:history="1">
        <w:r>
          <w:rPr>
            <w:color w:val="0A3A8C"/>
            <w:u w:val="single"/>
          </w:rPr>
          <w:t xml:space="preserve">§ 310</w:t>
        </w:r>
      </w:hyperlink>
      <w:r>
        <w:t xml:space="preserve"> nur anteilmäßig konsolidierten Unternehmen, sowie, falls er nicht gesondert in der Konzern-Gewinn- und Verlustrechnung ausgewiesen ist, der in dem Geschäftsjahr entstandene gesamte Personalaufwand, aufgeschlüsselt nach Löhnen und Gehältern, Kosten der sozialen Sicherheit und Kosten der Altersversorgung;</w:t>
      </w:r>
    </w:p>
    <w:p>
      <w:pPr>
        <w:tabs>
          <w:tab w:pos="567" w:val="left"/>
        </w:tabs>
        <w:ind w:left="567" w:hanging="567"/>
      </w:pPr>
      <w:r>
        <w:t>5.</w:t>
      </w:r>
      <w:r>
        <w:tab/>
      </w:r>
      <w:r>
        <w:t>(weggefallen)</w:t>
      </w:r>
    </w:p>
    <w:p>
      <w:pPr>
        <w:tabs>
          <w:tab w:pos="567" w:val="left"/>
        </w:tabs>
        <w:ind w:left="567" w:hanging="567"/>
      </w:pPr>
      <w:r>
        <w:t>6.</w:t>
      </w:r>
      <w:r>
        <w:tab/>
      </w:r>
      <w:r>
        <w:t>für die Mitglieder des Geschäftsführungsorgans, eines Aufsichtsrats, eines Beirats oder einer ähnlichen Einrichtung des Mutterunternehmens, jeweils für jede Personengruppe:</w:t>
      </w:r>
    </w:p>
    <w:p>
      <w:pPr>
        <w:tabs>
          <w:tab w:pos="1134" w:val="left"/>
        </w:tabs>
        <w:ind w:left="1134" w:hanging="567"/>
      </w:pPr>
      <w:r>
        <w:t>a)</w:t>
      </w:r>
      <w:r>
        <w:tab/>
      </w:r>
      <w:r>
        <w:t xml:space="preserve">die für die Wahrnehmung ihrer Aufgaben im Mutterunternehmen und den Tochterunternehmen im Geschäftsjahr gewährten Gesamtbezüge (Gehälter, Gewinnbeteiligungen, Bezugsrechte und sonstige aktienbasierte Vergütungen, Aufwandsentschädigungen, Versicherungsentgelte, Provisionen und Nebenleistungen jeder Art). </w:t>
      </w:r>
      <w:r>
        <w:rPr>
          <w:rStyle w:val="Satznummer"/>
        </w:rPr>
        <w:t>2</w:t>
      </w:r>
      <w:r>
        <w:t xml:space="preserve">In die Gesamtbezüge sind auch Bezüge einzurechnen, die nicht ausgezahlt, sondern in Ansprüche anderer Art umgewandelt oder zur Erhöhung anderer Ansprüche verwendet werden. </w:t>
      </w:r>
      <w:r>
        <w:rPr>
          <w:rStyle w:val="Satznummer"/>
        </w:rPr>
        <w:t>3</w:t>
      </w:r>
      <w:r>
        <w:t xml:space="preserve">Außer den Bezügen für das Geschäftsjahr sind die weiteren Bezüge anzugeben, die im Geschäftsjahr gewährt, bisher aber in keinem Konzernabschluss angegeben worden sind. </w:t>
      </w:r>
      <w:r>
        <w:rPr>
          <w:rStyle w:val="Satznummer"/>
        </w:rPr>
        <w:t>4</w:t>
      </w:r>
      <w:r>
        <w:t>Bezugsrechte und sonstige aktienbasierte Vergütungen sind mit ihrer Anzahl und dem beizulegenden Zeitwert zum Zeitpunkt ihrer Gewährung anzugeben; spätere Wertveränderungen, die auf einer Änderung der Ausübungsbedingungen beruhen, sind zu berücksichtigen;</w:t>
      </w:r>
    </w:p>
    <w:p>
      <w:pPr>
        <w:tabs>
          <w:tab w:pos="1134" w:val="left"/>
        </w:tabs>
        <w:ind w:left="1134" w:hanging="567"/>
      </w:pPr>
      <w:r>
        <w:t>b)</w:t>
      </w:r>
      <w:r>
        <w:tab/>
      </w:r>
      <w:r>
        <w:t xml:space="preserve">die für die Wahrnehmung ihrer Aufgaben im Mutterunternehmen und den Tochterunternehmen gewährten Gesamtbezüge (Abfindungen, Ruhegehälter, Hinterbliebenenbezüge und Leistungen verwandter Art) der früheren Mitglieder der bezeichneten Organe und ihrer Hinterbliebenen; Buchstabe a Satz 2 und 3 ist entsprechend anzuwenden. </w:t>
      </w:r>
      <w:r>
        <w:rPr>
          <w:rStyle w:val="Satznummer"/>
        </w:rPr>
        <w:t>2</w:t>
      </w:r>
      <w:r>
        <w:t>Ferner ist der Betrag der für diese Personengruppe gebildeten Rückstellungen für laufende Pensionen und Anwartschaften auf Pensionen und der Betrag der für diese Verpflichtungen nicht gebildeten Rückstellungen anzugeben;</w:t>
      </w:r>
    </w:p>
    <w:p>
      <w:pPr>
        <w:tabs>
          <w:tab w:pos="1134" w:val="left"/>
        </w:tabs>
        <w:ind w:left="1134" w:hanging="567"/>
      </w:pPr>
      <w:r>
        <w:t>c)</w:t>
      </w:r>
      <w:r>
        <w:tab/>
      </w:r>
      <w:r>
        <w:t>die vom Mutterunternehmen und den Tochterunternehmen gewährten Vorschüsse und Kredite unter Angabe der gegebenenfalls im Geschäftsjahr zurückgezahlten oder erlassenen Beträge sowie die zugunsten dieser Personen eingegangenen Haftungsverhältnisse;</w:t>
      </w:r>
    </w:p>
    <w:p>
      <w:pPr>
        <w:tabs>
          <w:tab w:pos="567" w:val="left"/>
        </w:tabs>
        <w:ind w:left="567" w:hanging="567"/>
      </w:pPr>
      <w:r>
        <w:t>7.</w:t>
      </w:r>
      <w:r>
        <w:tab/>
      </w:r>
      <w:r>
        <w:t>der Bestand an Anteilen an dem Mutterunternehmen, die das Mutterunternehmen oder ein Tochterunternehmen oder ein anderer für Rechnung eines in den Konzernabschluß einbezogenen Unternehmens erworben oder als Pfand genommen hat; dabei sind die Zahl und der Nennbetrag oder rechnerische Wert dieser Anteile sowie deren Anteil am Kapital anzugeben;</w:t>
      </w:r>
    </w:p>
    <w:p>
      <w:pPr>
        <w:tabs>
          <w:tab w:pos="567" w:val="left"/>
        </w:tabs>
        <w:ind w:left="567" w:hanging="567"/>
      </w:pPr>
      <w:r>
        <w:t>7a.</w:t>
      </w:r>
      <w:r>
        <w:tab/>
      </w:r>
      <w:r>
        <w:t>die Zahl der Aktien jeder Gattung der während des Geschäftsjahrs im Rahmen des genehmigten Kapitals gezeichneten Aktien des Mutterunternehmens, wobei zu Nennbetragsaktien der Nennbetrag und zu Stückaktien der rechnerische Wert für jede von ihnen anzugeben ist;</w:t>
      </w:r>
    </w:p>
    <w:p>
      <w:pPr>
        <w:tabs>
          <w:tab w:pos="567" w:val="left"/>
        </w:tabs>
        <w:ind w:left="567" w:hanging="567"/>
      </w:pPr>
      <w:r>
        <w:t>7b.</w:t>
      </w:r>
      <w:r>
        <w:tab/>
      </w:r>
      <w:r>
        <w:t>das Bestehen von Genussscheinen, Wandelschuldverschreibungen, Optionsscheinen, Optionen oder vergleichbaren Wertpapieren oder Rechten, aus denen das Mutterunternehmen verpflichtet ist, unter Angabe der Anzahl und der Rechte, die sie verbriefen;</w:t>
      </w:r>
    </w:p>
    <w:p>
      <w:pPr>
        <w:tabs>
          <w:tab w:pos="567" w:val="left"/>
        </w:tabs>
        <w:ind w:left="567" w:hanging="567"/>
      </w:pPr>
      <w:r>
        <w:t>8.</w:t>
      </w:r>
      <w:r>
        <w:tab/>
      </w:r>
      <w:r>
        <w:t>für jedes in den Konzernabschluss einbezogene börsennotierte Unternehmen, dass die nach § 161 des Aktiengesetzes vorgeschriebene Erklärung abgegeben und wo sie öffentlich zugänglich gemacht worden ist;</w:t>
      </w:r>
    </w:p>
    <w:p>
      <w:pPr>
        <w:tabs>
          <w:tab w:pos="567" w:val="left"/>
        </w:tabs>
        <w:ind w:left="567" w:hanging="567"/>
      </w:pPr>
      <w:r>
        <w:t>9.</w:t>
      </w:r>
      <w:r>
        <w:tab/>
      </w:r>
      <w:r>
        <w:t>das von dem Abschlussprüfer des Konzernabschlusses für das Geschäftsjahr berechnete Gesamthonorar, aufgeschlüsselt in das Honorar für</w:t>
      </w:r>
    </w:p>
    <w:p>
      <w:pPr>
        <w:tabs>
          <w:tab w:pos="1134" w:val="left"/>
        </w:tabs>
        <w:ind w:left="1134" w:hanging="567"/>
      </w:pPr>
      <w:r>
        <w:t>a)</w:t>
      </w:r>
      <w:r>
        <w:tab/>
      </w:r>
      <w:r>
        <w:t>die Abschlussprüfungsleistungen,</w:t>
      </w:r>
    </w:p>
    <w:p>
      <w:pPr>
        <w:tabs>
          <w:tab w:pos="1134" w:val="left"/>
        </w:tabs>
        <w:ind w:left="1134" w:hanging="567"/>
      </w:pPr>
      <w:r>
        <w:t>b)</w:t>
      </w:r>
      <w:r>
        <w:tab/>
      </w:r>
      <w:r>
        <w:t>andere Bestätigungsleistungen,</w:t>
      </w:r>
    </w:p>
    <w:p>
      <w:pPr>
        <w:tabs>
          <w:tab w:pos="1134" w:val="left"/>
        </w:tabs>
        <w:ind w:left="1134" w:hanging="567"/>
      </w:pPr>
      <w:r>
        <w:t>c)</w:t>
      </w:r>
      <w:r>
        <w:tab/>
      </w:r>
      <w:r>
        <w:t>Steuerberatungsleistungen,</w:t>
      </w:r>
    </w:p>
    <w:p>
      <w:pPr>
        <w:tabs>
          <w:tab w:pos="1134" w:val="left"/>
        </w:tabs>
        <w:ind w:left="1134" w:hanging="567"/>
      </w:pPr>
      <w:r>
        <w:t>d)</w:t>
      </w:r>
      <w:r>
        <w:tab/>
      </w:r>
      <w:r>
        <w:t>sonstige Leistungen;</w:t>
      </w:r>
    </w:p>
    <w:p>
      <w:pPr>
        <w:tabs>
          <w:tab w:pos="567" w:val="left"/>
        </w:tabs>
        <w:ind w:left="567" w:hanging="567"/>
      </w:pPr>
      <w:r>
        <w:t>10.</w:t>
      </w:r>
      <w:r>
        <w:tab/>
      </w:r>
      <w:r>
        <w:t xml:space="preserve">für zu den Finanzanlagen (§ 266 Abs. 2 A. III.) gehörende Finanzinstrumente, die in der Konzernbilanz über ihrem beizulegenden Zeitwert ausgewiesen werden, da eine außerplanmäßige Abschreibung gemäß </w:t>
      </w:r>
      <w:hyperlink w:anchor="b248" w:history="1">
        <w:r>
          <w:rPr>
            <w:color w:val="0A3A8C"/>
            <w:u w:val="single"/>
          </w:rPr>
          <w:t xml:space="preserve">§ 253</w:t>
        </w:r>
      </w:hyperlink>
      <w:r>
        <w:t xml:space="preserve"> Absatz 3 Satz 6 unterblieben ist,</w:t>
      </w:r>
    </w:p>
    <w:p>
      <w:pPr>
        <w:tabs>
          <w:tab w:pos="1134" w:val="left"/>
        </w:tabs>
        <w:ind w:left="1134" w:hanging="567"/>
      </w:pPr>
      <w:r>
        <w:t>a)</w:t>
      </w:r>
      <w:r>
        <w:tab/>
      </w:r>
      <w:r>
        <w:t>der Buchwert und der beizulegende Zeitwert der einzelnen Vermögensgegenstände oder angemessener Gruppierungen sowie</w:t>
      </w:r>
    </w:p>
    <w:p>
      <w:pPr>
        <w:tabs>
          <w:tab w:pos="1134" w:val="left"/>
        </w:tabs>
        <w:ind w:left="1134" w:hanging="567"/>
      </w:pPr>
      <w:r>
        <w:t>b)</w:t>
      </w:r>
      <w:r>
        <w:tab/>
      </w:r>
      <w:r>
        <w:t>die Gründe für das Unterlassen der Abschreibung einschließlich der Anhaltspunkte, die darauf hindeuten, dass die Wertminderung voraussichtlich nicht von Dauer ist;</w:t>
      </w:r>
    </w:p>
    <w:p>
      <w:pPr>
        <w:tabs>
          <w:tab w:pos="567" w:val="left"/>
        </w:tabs>
        <w:ind w:left="567" w:hanging="567"/>
      </w:pPr>
      <w:r>
        <w:t>11.</w:t>
      </w:r>
      <w:r>
        <w:tab/>
      </w:r>
      <w:r>
        <w:t>für jede Kategorie nicht zum beizulegenden Zeitwert bilanzierter derivativer Finanzinstrumente</w:t>
      </w:r>
    </w:p>
    <w:p>
      <w:pPr>
        <w:tabs>
          <w:tab w:pos="1134" w:val="left"/>
        </w:tabs>
        <w:ind w:left="1134" w:hanging="567"/>
      </w:pPr>
      <w:r>
        <w:t>a)</w:t>
      </w:r>
      <w:r>
        <w:tab/>
      </w:r>
      <w:r>
        <w:t>deren Art und Umfang,</w:t>
      </w:r>
    </w:p>
    <w:p>
      <w:pPr>
        <w:tabs>
          <w:tab w:pos="1134" w:val="left"/>
        </w:tabs>
        <w:ind w:left="1134" w:hanging="567"/>
      </w:pPr>
      <w:r>
        <w:t>b)</w:t>
      </w:r>
      <w:r>
        <w:tab/>
      </w:r>
      <w:r>
        <w:t xml:space="preserve">deren beizulegender Zeitwert, soweit er sich nach </w:t>
      </w:r>
      <w:hyperlink w:anchor="b250" w:history="1">
        <w:r>
          <w:rPr>
            <w:color w:val="0A3A8C"/>
            <w:u w:val="single"/>
          </w:rPr>
          <w:t xml:space="preserve">§ 255</w:t>
        </w:r>
      </w:hyperlink>
      <w:r>
        <w:t xml:space="preserve"> Abs. 4 verlässlich ermitteln lässt, unter Angabe der angewandten Bewertungsmethode,</w:t>
      </w:r>
    </w:p>
    <w:p>
      <w:pPr>
        <w:tabs>
          <w:tab w:pos="1134" w:val="left"/>
        </w:tabs>
        <w:ind w:left="1134" w:hanging="567"/>
      </w:pPr>
      <w:r>
        <w:t>c)</w:t>
      </w:r>
      <w:r>
        <w:tab/>
      </w:r>
      <w:r>
        <w:t>deren Buchwert und der Bilanzposten, in welchem der Buchwert, soweit vorhanden, erfasst ist, sowie</w:t>
      </w:r>
    </w:p>
    <w:p>
      <w:pPr>
        <w:tabs>
          <w:tab w:pos="1134" w:val="left"/>
        </w:tabs>
        <w:ind w:left="1134" w:hanging="567"/>
      </w:pPr>
      <w:r>
        <w:t>d)</w:t>
      </w:r>
      <w:r>
        <w:tab/>
      </w:r>
      <w:r>
        <w:t>die Gründe dafür, warum der beizulegende Zeitwert nicht bestimmt werden kann;</w:t>
      </w:r>
    </w:p>
    <w:p>
      <w:pPr>
        <w:tabs>
          <w:tab w:pos="567" w:val="left"/>
        </w:tabs>
        <w:ind w:left="567" w:hanging="567"/>
      </w:pPr>
      <w:r>
        <w:t>12.</w:t>
      </w:r>
      <w:r>
        <w:tab/>
      </w:r>
      <w:r>
        <w:t>für mit dem beizulegenden Zeitwert bewertete Finanzinstrumente</w:t>
      </w:r>
    </w:p>
    <w:p>
      <w:pPr>
        <w:tabs>
          <w:tab w:pos="1134" w:val="left"/>
        </w:tabs>
        <w:ind w:left="1134" w:hanging="567"/>
      </w:pPr>
      <w:r>
        <w:t>a)</w:t>
      </w:r>
      <w:r>
        <w:tab/>
      </w:r>
      <w:r>
        <w:t>die grundlegenden Annahmen, die der Bestimmung des beizulegenden Zeitwertes mit Hilfe allgemein anerkannter Bewertungsmethoden zugrunde gelegt wurden, sowie</w:t>
      </w:r>
    </w:p>
    <w:p>
      <w:pPr>
        <w:tabs>
          <w:tab w:pos="1134" w:val="left"/>
        </w:tabs>
        <w:ind w:left="1134" w:hanging="567"/>
      </w:pPr>
      <w:r>
        <w:t>b)</w:t>
      </w:r>
      <w:r>
        <w:tab/>
      </w:r>
      <w:r>
        <w:t>Umfang und Art jeder Kategorie derivativer Finanzinstrumente einschließlich der wesentlichen Bedingungen, welche die Höhe, den Zeitpunkt und die Sicherheit künftiger Zahlungsströme beeinflussen können;</w:t>
      </w:r>
    </w:p>
    <w:p>
      <w:pPr>
        <w:tabs>
          <w:tab w:pos="567" w:val="left"/>
        </w:tabs>
        <w:ind w:left="567" w:hanging="567"/>
      </w:pPr>
      <w:r>
        <w:t>13.</w:t>
      </w:r>
      <w:r>
        <w:tab/>
      </w:r>
      <w:r>
        <w:t>zumindest die nicht zu marktüblichen Bedingungen zustande gekommenen Geschäfte des Mutterunternehmens und seiner Tochterunternehmen, soweit sie wesentlich sind, mit nahe stehenden Unternehmen und Personen, einschließlich Angaben zur Art der Beziehung, zum Wert der Geschäfte sowie weiterer Angaben, die für die Beurteilung der Finanzlage des Konzerns notwendig sind; ausgenommen sind Geschäfte zwischen in einen Konzernabschluss einbezogenen nahestehenden Unternehmen, wenn diese Geschäfte bei der Konsolidierung weggelassen werden; Angaben über Geschäfte können nach Geschäftsarten zusammengefasst werden, sofern die getrennte Angabe für die Beurteilung der Auswirkungen auf die Finanzlage des Konzerns nicht notwendig ist;</w:t>
      </w:r>
    </w:p>
    <w:p>
      <w:pPr>
        <w:tabs>
          <w:tab w:pos="567" w:val="left"/>
        </w:tabs>
        <w:ind w:left="567" w:hanging="567"/>
      </w:pPr>
      <w:r>
        <w:t>14.</w:t>
      </w:r>
      <w:r>
        <w:tab/>
      </w:r>
      <w:r>
        <w:t>im Fall der Aktivierung nach § 248 Abs. 2 der Gesamtbetrag der Forschungs- und Entwicklungskosten des Geschäftsjahres der in den Konzernabschluss einbezogenen Unternehmen sowie der davon auf die selbst geschaffenen immateriellen Vermögensgegenstände des Anlagevermögens entfallende Betrag;</w:t>
      </w:r>
    </w:p>
    <w:p>
      <w:pPr>
        <w:tabs>
          <w:tab w:pos="567" w:val="left"/>
        </w:tabs>
        <w:ind w:left="567" w:hanging="567"/>
      </w:pPr>
      <w:r>
        <w:t>15.</w:t>
      </w:r>
      <w:r>
        <w:tab/>
      </w:r>
      <w:r>
        <w:t>bei Anwendung des § 254 im Konzernabschluss,</w:t>
      </w:r>
    </w:p>
    <w:p>
      <w:pPr>
        <w:tabs>
          <w:tab w:pos="1134" w:val="left"/>
        </w:tabs>
        <w:ind w:left="1134" w:hanging="567"/>
      </w:pPr>
      <w:r>
        <w:t>a)</w:t>
      </w:r>
      <w:r>
        <w:tab/>
      </w:r>
      <w:r>
        <w:t>mit welchem Betrag jeweils Vermögensgegenstände, Schulden, schwebende Geschäfte und mit hoher Wahrscheinlichkeit erwartete Transaktionen zur Absicherung welcher Risiken in welche Arten von Bewertungseinheiten einbezogen sind sowie die Höhe der mit Bewertungseinheiten abgesicherten Risiken;</w:t>
      </w:r>
    </w:p>
    <w:p>
      <w:pPr>
        <w:tabs>
          <w:tab w:pos="1134" w:val="left"/>
        </w:tabs>
        <w:ind w:left="1134" w:hanging="567"/>
      </w:pPr>
      <w:r>
        <w:t>b)</w:t>
      </w:r>
      <w:r>
        <w:tab/>
      </w:r>
      <w:r>
        <w:t>für die jeweils abgesicherten Risiken, warum, in welchem Umfang und für welchen Zeitraum sich die gegenläufigen Wertänderungen oder Zahlungsströme künftig voraussichtlich ausgleichen einschließlich der Methode der Ermittlung;</w:t>
      </w:r>
    </w:p>
    <w:p>
      <w:pPr>
        <w:tabs>
          <w:tab w:pos="1134" w:val="left"/>
        </w:tabs>
        <w:ind w:left="1134" w:hanging="567"/>
      </w:pPr>
      <w:r>
        <w:t>c)</w:t>
      </w:r>
      <w:r>
        <w:tab/>
      </w:r>
      <w:r>
        <w:t>eine Erläuterung der mit hoher Wahrscheinlichkeit erwarteten Transaktionen, die in Bewertungseinheiten einbezogen wurden,</w:t>
      </w:r>
    </w:p>
    <w:p>
      <w:pPr>
        <w:ind w:left="567"/>
      </w:pPr>
      <w:r>
        <w:t>soweit die Angaben nicht im Konzernlagebericht gemacht werden;</w:t>
      </w:r>
    </w:p>
    <w:p>
      <w:pPr>
        <w:tabs>
          <w:tab w:pos="567" w:val="left"/>
        </w:tabs>
        <w:ind w:left="567" w:hanging="567"/>
      </w:pPr>
      <w:r>
        <w:t>16.</w:t>
      </w:r>
      <w:r>
        <w:tab/>
      </w:r>
      <w:r>
        <w:t>zu den in der Konzernbilanz ausgewiesenen Rückstellungen für Pensionen und ähnliche Verpflichtungen das angewandte versicherungsmathematische Berechnungsverfahren sowie die grundlegenden Annahmen der Berechnung, wie Zinssatz, erwartete Lohn- und Gehaltssteigerungen und zugrunde gelegte Sterbetafeln;</w:t>
      </w:r>
    </w:p>
    <w:p>
      <w:pPr>
        <w:tabs>
          <w:tab w:pos="567" w:val="left"/>
        </w:tabs>
        <w:ind w:left="567" w:hanging="567"/>
      </w:pPr>
      <w:r>
        <w:t>17.</w:t>
      </w:r>
      <w:r>
        <w:tab/>
      </w:r>
      <w:r>
        <w:t xml:space="preserve">im Fall der Verrechnung von in der Konzernbilanz ausgewiesenen Vermögensgegenständen und Schulden nach </w:t>
      </w:r>
      <w:hyperlink w:anchor="b240" w:history="1">
        <w:r>
          <w:rPr>
            <w:color w:val="0A3A8C"/>
            <w:u w:val="single"/>
          </w:rPr>
          <w:t xml:space="preserve">§ 246</w:t>
        </w:r>
      </w:hyperlink>
      <w:r>
        <w:t xml:space="preserve"> Abs. 2 Satz 2 die Anschaffungskosten und der beizulegende Zeitwert der verrechneten Vermögensgegenstände, der Erfüllungsbetrag der verrechneten Schulden sowie die verrechneten Aufwendungen und Erträge; Nummer 12 Buchstabe a ist entsprechend anzuwenden;</w:t>
      </w:r>
    </w:p>
    <w:p>
      <w:pPr>
        <w:tabs>
          <w:tab w:pos="567" w:val="left"/>
        </w:tabs>
        <w:ind w:left="567" w:hanging="567"/>
      </w:pPr>
      <w:r>
        <w:t>18.</w:t>
      </w:r>
      <w:r>
        <w:tab/>
      </w:r>
      <w:r>
        <w:t xml:space="preserve">zu den in der Konzernbilanz ausgewiesenen Anteilen an Sondervermögen im Sinn des § 1 Absatz 10 des Kapitalanlagegesetzbuchs oder Anlageaktien an Investmentaktiengesellschaften mit veränderlichem Kapital im Sinn der §§ 108 bis 123 des Kapitalanlagegesetzbuchs oder vergleichbaren EU-Investmentvermögen oder vergleichbaren ausländischen Investmentvermögen von mehr als dem zehnten Teil, aufgegliedert nach Anlagezielen, deren Wert im Sinne der §§ 168, 278 oder 286 Absatz 1 des Kapitalanlagegesetzbuchs oder vergleichbarer ausländischer Vorschriften über die Ermittlung des Marktwertes, die Differenz zum Buchwert und die für das Geschäftsjahr erfolgte Ausschüttung sowie Beschränkungen in der Möglichkeit der täglichen Rückgabe; darüber hinaus die Gründe dafür, dass eine Abschreibung gemäß </w:t>
      </w:r>
      <w:hyperlink w:anchor="b248" w:history="1">
        <w:r>
          <w:rPr>
            <w:color w:val="0A3A8C"/>
            <w:u w:val="single"/>
          </w:rPr>
          <w:t xml:space="preserve">§ 253</w:t>
        </w:r>
      </w:hyperlink>
      <w:r>
        <w:t xml:space="preserve"> Absatz 3 Satz 6 unterblieben ist, einschließlich der Anhaltspunkte, die darauf hindeuten, dass die Wertminderung voraussichtlich nicht von Dauer ist; Nummer 10 ist insoweit nicht anzuwenden;</w:t>
      </w:r>
    </w:p>
    <w:p>
      <w:pPr>
        <w:tabs>
          <w:tab w:pos="567" w:val="left"/>
        </w:tabs>
        <w:ind w:left="567" w:hanging="567"/>
      </w:pPr>
      <w:r>
        <w:t>19.</w:t>
      </w:r>
      <w:r>
        <w:tab/>
      </w:r>
      <w:r>
        <w:t>für nach § 268 Abs. 7 im Konzernanhang ausgewiesene Verbindlichkeiten und Haftungsverhältnisse die Gründe der Einschätzung des Risikos der Inanspruchnahme;</w:t>
      </w:r>
    </w:p>
    <w:p>
      <w:pPr>
        <w:tabs>
          <w:tab w:pos="567" w:val="left"/>
        </w:tabs>
        <w:ind w:left="567" w:hanging="567"/>
      </w:pPr>
      <w:r>
        <w:t>20.</w:t>
      </w:r>
      <w:r>
        <w:tab/>
      </w:r>
      <w:r>
        <w:t>jeweils eine Erläuterung des Zeitraums, über den ein entgeltlich erworbener Geschäfts- oder Firmenwert abgeschrieben wird;</w:t>
      </w:r>
    </w:p>
    <w:p>
      <w:pPr>
        <w:tabs>
          <w:tab w:pos="567" w:val="left"/>
        </w:tabs>
        <w:ind w:left="567" w:hanging="567"/>
      </w:pPr>
      <w:r>
        <w:t>21.</w:t>
      </w:r>
      <w:r>
        <w:tab/>
      </w:r>
      <w:r>
        <w:t>auf welchen Differenzen oder steuerlichen Verlustvorträgen die latenten Steuern beruhen und mit welchen Steuersätzen die Bewertung erfolgt ist;</w:t>
      </w:r>
    </w:p>
    <w:p>
      <w:pPr>
        <w:tabs>
          <w:tab w:pos="567" w:val="left"/>
        </w:tabs>
        <w:ind w:left="567" w:hanging="567"/>
      </w:pPr>
      <w:r>
        <w:t>22.</w:t>
      </w:r>
      <w:r>
        <w:tab/>
      </w:r>
      <w:r>
        <w:t>wenn latente Steuerschulden in der Konzernbilanz angesetzt werden, die latenten Steuersalden am Ende des Geschäftsjahrs und die im Laufe des Geschäftsjahrs erfolgten Änderungen dieser Salden;</w:t>
      </w:r>
    </w:p>
    <w:p>
      <w:pPr>
        <w:tabs>
          <w:tab w:pos="567" w:val="left"/>
        </w:tabs>
        <w:ind w:left="567" w:hanging="567"/>
      </w:pPr>
      <w:r>
        <w:t>22a.</w:t>
      </w:r>
      <w:r>
        <w:tab/>
      </w:r>
      <w:r>
        <w:t xml:space="preserve">der tatsächliche Steueraufwand oder Steuerertrag, der sich nach dem Mindeststeuergesetz und ausländischen Mindeststeuergesetzen nach </w:t>
      </w:r>
      <w:hyperlink w:anchor="b281" w:history="1">
        <w:r>
          <w:rPr>
            <w:color w:val="0A3A8C"/>
            <w:u w:val="single"/>
          </w:rPr>
          <w:t xml:space="preserve">§ 274</w:t>
        </w:r>
      </w:hyperlink>
      <w:r>
        <w:t xml:space="preserve"> Absatz 3 Nummer 2 für das Geschäftsjahr ergibt, oder, wenn diese Gesetze noch nicht in Kraft getreten sind, eine Erläuterung, welche Auswirkungen auf den Konzern bei der Anwendung dieser Gesetze zu erwarten sind;</w:t>
      </w:r>
    </w:p>
    <w:p>
      <w:pPr>
        <w:tabs>
          <w:tab w:pos="567" w:val="left"/>
        </w:tabs>
        <w:ind w:left="567" w:hanging="567"/>
      </w:pPr>
      <w:r>
        <w:t>23.</w:t>
      </w:r>
      <w:r>
        <w:tab/>
      </w:r>
      <w:r>
        <w:t>jeweils den Betrag und die Art der einzelnen Erträge und Aufwendungen von außergewöhnlicher Größenordnung oder außergewöhnlicher Bedeutung, soweit die Beträge nicht von untergeordneter Bedeutung sind;</w:t>
      </w:r>
    </w:p>
    <w:p>
      <w:pPr>
        <w:tabs>
          <w:tab w:pos="567" w:val="left"/>
        </w:tabs>
        <w:ind w:left="567" w:hanging="567"/>
      </w:pPr>
      <w:r>
        <w:t>24.</w:t>
      </w:r>
      <w:r>
        <w:tab/>
      </w:r>
      <w:r>
        <w:t>eine Erläuterung der einzelnen Erträge und Aufwendungen hinsichtlich ihres Betrages und ihrer Art, die einem anderen Konzerngeschäftsjahr zuzurechnen sind, soweit die Beträge für die Beurteilung der Vermögens-, Finanz- und Ertragslage des Konzerns nicht von untergeordneter Bedeutung sind;</w:t>
      </w:r>
    </w:p>
    <w:p>
      <w:pPr>
        <w:tabs>
          <w:tab w:pos="567" w:val="left"/>
        </w:tabs>
        <w:ind w:left="567" w:hanging="567"/>
      </w:pPr>
      <w:r>
        <w:t>25.</w:t>
      </w:r>
      <w:r>
        <w:tab/>
      </w:r>
      <w:r>
        <w:t>Vorgänge von besonderer Bedeutung, die nach dem Schluss des Konzerngeschäftsjahrs eingetreten und weder in der Konzern-Gewinn- und Verlustrechnung noch in der Konzernbilanz berücksichtigt sind, unter Angabe ihrer Art und ihrer finanziellen Auswirkungen;</w:t>
      </w:r>
    </w:p>
    <w:p>
      <w:pPr>
        <w:tabs>
          <w:tab w:pos="567" w:val="left"/>
        </w:tabs>
        <w:ind w:left="567" w:hanging="567"/>
      </w:pPr>
      <w:r>
        <w:t>26.</w:t>
      </w:r>
      <w:r>
        <w:tab/>
      </w:r>
      <w:r>
        <w:t>der Vorschlag für die Verwendung des Ergebnisses des Mutterunternehmens oder gegebenenfalls der Beschluss über die Verwendung des Ergebnisses des Mutterunternehmens.</w:t>
      </w:r>
    </w:p>
    <w:p>
      <w:r>
        <w:t>(2) Mutterunternehmen, die den Konzernabschluss um eine Segmentberichterstattung erweitern (</w:t>
      </w:r>
      <w:hyperlink w:anchor="b316" w:history="1">
        <w:r>
          <w:rPr>
            <w:color w:val="0A3A8C"/>
            <w:u w:val="single"/>
          </w:rPr>
          <w:t xml:space="preserve">§ 297</w:t>
        </w:r>
      </w:hyperlink>
      <w:r>
        <w:t xml:space="preserve"> Abs. 1 Satz 2), sind von der Angabepflicht gemäß Absatz 1 Nr. 3 befreit.</w:t>
      </w:r>
    </w:p>
    <w:p>
      <w:r>
        <w:t xml:space="preserve">(3) Für die Angabepflicht gemäß Absatz 1 Nummer 6 Buchstabe a und b gilt </w:t>
      </w:r>
      <w:hyperlink w:anchor="b293" w:history="1">
        <w:r>
          <w:rPr>
            <w:color w:val="0A3A8C"/>
            <w:u w:val="single"/>
          </w:rPr>
          <w:t xml:space="preserve">§ 286</w:t>
        </w:r>
      </w:hyperlink>
      <w:r>
        <w:t xml:space="preserve"> Absatz 4 entsprechend.</w:t>
      </w:r>
    </w:p>
    <w:p>
      <w:pPr>
        <w:pStyle w:val="Heading4"/>
      </w:pPr>
      <w:bookmarkStart w:id="341" w:name="b340"/>
      <w:r>
        <w:t>Neunter Titel Konzernlagebericht</w:t>
      </w:r>
      <w:bookmarkEnd w:id="341"/>
    </w:p>
    <w:p>
      <w:pPr>
        <w:pStyle w:val="Heading5"/>
      </w:pPr>
      <w:bookmarkStart w:id="342" w:name="b341"/>
      <w:r>
        <w:t>§ 315 Inhalt des Konzernlageberichts</w:t>
      </w:r>
      <w:r>
        <w:t xml:space="preserve"> </w:t>
      </w:r>
      <w:r>
        <w:rPr>
          <w:rStyle w:val="Suchmarke"/>
        </w:rPr>
        <w:t>#315#</w:t>
      </w:r>
      <w:bookmarkEnd w:id="342"/>
    </w:p>
    <w:p>
      <w:r>
        <w:t xml:space="preserve">(1) </w:t>
      </w:r>
      <w:r>
        <w:rPr>
          <w:rStyle w:val="Satznummer"/>
        </w:rPr>
        <w:t>1</w:t>
      </w:r>
      <w:r>
        <w:t xml:space="preserve">Im Konzernlagebericht sind der Geschäftsverlauf einschließlich des Geschäftsergebnisses und die Lage des Konzerns so darzustellen, dass ein den tatsächlichen Verhältnissen entsprechendes Bild vermittelt wird. </w:t>
      </w:r>
      <w:r>
        <w:rPr>
          <w:rStyle w:val="Satznummer"/>
        </w:rPr>
        <w:t>2</w:t>
      </w:r>
      <w:r>
        <w:t xml:space="preserve">Er hat eine ausgewogene und umfassende, dem Umfang und der Komplexität der Geschäftstätigkeit entsprechende Analyse des Geschäftsverlaufs und der Lage des Konzerns zu enthalten. </w:t>
      </w:r>
      <w:r>
        <w:rPr>
          <w:rStyle w:val="Satznummer"/>
        </w:rPr>
        <w:t>3</w:t>
      </w:r>
      <w:r>
        <w:t xml:space="preserve">In die Analyse sind die für die Geschäftstätigkeit bedeutsamsten finanziellen Leistungsindikatoren einzubeziehen und unter Bezugnahme auf die im Konzernabschluss ausgewiesenen Beträge und Angaben zu erläutern. </w:t>
      </w:r>
      <w:r>
        <w:rPr>
          <w:rStyle w:val="Satznummer"/>
        </w:rPr>
        <w:t>4</w:t>
      </w:r>
      <w:r>
        <w:t xml:space="preserve">Ferner ist im Konzernlagebericht die voraussichtliche Entwicklung mit ihren wesentlichen Chancen und Risiken zu beurteilen und zu erläutern; zugrunde liegende Annahmen sind anzugeben. </w:t>
      </w:r>
      <w:r>
        <w:rPr>
          <w:rStyle w:val="Satznummer"/>
        </w:rPr>
        <w:t>5</w:t>
      </w:r>
      <w:r>
        <w:t xml:space="preserve">Die Mitglieder des vertretungsberechtigten Organs eines Mutterunternehmens, das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haben in einer dem Konzernlagebericht beizufügenden schriftlichen Erklärung zu versichern, dass im Konzernlagebericht nach bestem Wissen der Geschäftsverlauf einschließlich des Geschäftsergebnisses und die Lage des Konzerns so dargestellt sind, dass ein den tatsächlichen Verhältnissen entsprechendes Bild vermittelt wird und dass die wesentlichen Chancen und Risiken im Sinne des Satzes 4 beschrieben sind.</w:t>
      </w:r>
    </w:p>
    <w:p>
      <w:r>
        <w:t xml:space="preserve">(2) </w:t>
      </w:r>
      <w:r>
        <w:rPr>
          <w:rStyle w:val="Satznummer"/>
        </w:rPr>
        <w:t>1</w:t>
      </w:r>
      <w:r>
        <w:t>Im Konzernlagebericht ist auch einzugehen auf:</w:t>
      </w:r>
    </w:p>
    <w:p>
      <w:pPr>
        <w:tabs>
          <w:tab w:pos="567" w:val="left"/>
        </w:tabs>
        <w:ind w:left="567" w:hanging="567"/>
      </w:pPr>
      <w:r>
        <w:t>1.</w:t>
      </w:r>
      <w:r>
        <w:tab/>
      </w:r>
    </w:p>
    <w:p>
      <w:pPr>
        <w:tabs>
          <w:tab w:pos="1134" w:val="left"/>
        </w:tabs>
        <w:ind w:left="1134" w:hanging="567"/>
      </w:pPr>
      <w:r>
        <w:t>a)</w:t>
      </w:r>
      <w:r>
        <w:tab/>
      </w:r>
      <w:r>
        <w:t>die Risikomanagementziele und -methoden des Konzerns einschließlich seiner Methoden zur Absicherung aller wichtigen Arten von Transaktionen, die im Rahmen der Bilanzierung von Sicherungsgeschäften erfasst werden, sowie</w:t>
      </w:r>
    </w:p>
    <w:p>
      <w:pPr>
        <w:tabs>
          <w:tab w:pos="1134" w:val="left"/>
        </w:tabs>
        <w:ind w:left="1134" w:hanging="567"/>
      </w:pPr>
      <w:r>
        <w:t>b)</w:t>
      </w:r>
      <w:r>
        <w:tab/>
      </w:r>
      <w:r>
        <w:t>die Preisänderungs-, Ausfall- und Liquiditätsrisiken sowie die Risiken aus Zahlungsstromschwankungen, denen der Konzern ausgesetzt ist,</w:t>
      </w:r>
    </w:p>
    <w:p>
      <w:pPr>
        <w:ind w:left="567"/>
      </w:pPr>
      <w:r>
        <w:t>jeweils in Bezug auf die Verwendung von Finanzinstrumenten durch den Konzern und sofern dies für die Beurteilung der Lage oder der voraussichtlichen Entwicklung von Belang ist;</w:t>
      </w:r>
    </w:p>
    <w:p>
      <w:pPr>
        <w:tabs>
          <w:tab w:pos="567" w:val="left"/>
        </w:tabs>
        <w:ind w:left="567" w:hanging="567"/>
      </w:pPr>
      <w:r>
        <w:t>2.</w:t>
      </w:r>
      <w:r>
        <w:tab/>
      </w:r>
      <w:r>
        <w:t>den Bereich Forschung und Entwicklung des Konzerns und</w:t>
      </w:r>
    </w:p>
    <w:p>
      <w:pPr>
        <w:tabs>
          <w:tab w:pos="567" w:val="left"/>
        </w:tabs>
        <w:ind w:left="567" w:hanging="567"/>
      </w:pPr>
      <w:r>
        <w:t>3.</w:t>
      </w:r>
      <w:r>
        <w:tab/>
      </w:r>
      <w:r>
        <w:t>für das Verständnis der Lage des Konzerns wesentliche Zweigniederlassungen der insgesamt in den Konzernabschluss einbezogenen Unternehmen.</w:t>
      </w:r>
    </w:p>
    <w:p>
      <w:r>
        <w:rPr>
          <w:rStyle w:val="Satznummer"/>
        </w:rPr>
        <w:t>2</w:t>
      </w:r>
      <w:r>
        <w:t>Ist das Mutterunternehmen eine Aktiengesellschaft, hat es im Konzernlagebericht auf die nach § 160 Absatz 1 Nummer 2 des Aktiengesetzes im Anhang zu machenden Angaben zu verweisen.</w:t>
      </w:r>
    </w:p>
    <w:p>
      <w:r>
        <w:t>(3) Absatz 1 Satz 3 gilt entsprechend für nichtfinanzielle Leistungsindikatoren, wie Informationen über Umwelt- und Arbeitnehmerbelange, soweit sie für das Verständnis des Geschäftsverlaufs oder der Lage des Konzerns von Bedeutung sind.</w:t>
      </w:r>
    </w:p>
    <w:p>
      <w:r>
        <w:t xml:space="preserve">(4) Ist das Mutterunternehmen oder ein in den Konzernabschluss einbezogenes Tochterunternehmen kapitalmarktorientiert im Sinne des </w:t>
      </w:r>
      <w:hyperlink w:anchor="b269" w:history="1">
        <w:r>
          <w:rPr>
            <w:color w:val="0A3A8C"/>
            <w:u w:val="single"/>
          </w:rPr>
          <w:t xml:space="preserve">§ 264d</w:t>
        </w:r>
      </w:hyperlink>
      <w:r>
        <w:t>, ist im Konzernlagebericht auch auf die wesentlichen Merkmale des internen Kontroll- und Risikomanagementsystems im Hinblick auf den Konzernrechnungslegungsprozess einzugehen.</w:t>
      </w:r>
    </w:p>
    <w:p>
      <w:r>
        <w:t xml:space="preserve">(5) </w:t>
      </w:r>
      <w:hyperlink w:anchor="b317" w:history="1">
        <w:r>
          <w:rPr>
            <w:color w:val="0A3A8C"/>
            <w:u w:val="single"/>
          </w:rPr>
          <w:t xml:space="preserve">§ 298</w:t>
        </w:r>
      </w:hyperlink>
      <w:r>
        <w:t xml:space="preserve"> Absatz 2 über die Zusammenfassung von Konzernanhang und Anhang ist entsprechend anzuwenden.</w:t>
      </w:r>
    </w:p>
    <w:p>
      <w:pPr>
        <w:pStyle w:val="Heading5"/>
      </w:pPr>
      <w:bookmarkStart w:id="343" w:name="b342"/>
      <w:r>
        <w:t>§ 315a Ergänzende Vorschriften für bestimmte Aktiengesellschaften und Kommanditgesellschaften auf Aktien</w:t>
      </w:r>
      <w:r>
        <w:t xml:space="preserve"> </w:t>
      </w:r>
      <w:r>
        <w:rPr>
          <w:rStyle w:val="Suchmarke"/>
        </w:rPr>
        <w:t>#315a#</w:t>
      </w:r>
      <w:bookmarkEnd w:id="343"/>
    </w:p>
    <w:p>
      <w:r>
        <w:rPr>
          <w:rStyle w:val="Satznummer"/>
        </w:rPr>
        <w:t>1</w:t>
      </w:r>
      <w:r>
        <w:t>Mutterunternehmen (</w:t>
      </w:r>
      <w:hyperlink w:anchor="b306" w:history="1">
        <w:r>
          <w:rPr>
            <w:color w:val="0A3A8C"/>
            <w:u w:val="single"/>
          </w:rPr>
          <w:t xml:space="preserve">§ 290</w:t>
        </w:r>
      </w:hyperlink>
      <w:r>
        <w:t>), die einen organisierten Markt im Sinne des § 2 Absatz 7 des Wertpapiererwerbs- und Übernahmegesetzes durch von ihnen ausgegebene stimmberechtigte Aktien in Anspruch nehmen, haben im Konzernlagebericht außerdem anzugeben:</w:t>
      </w:r>
    </w:p>
    <w:p>
      <w:pPr>
        <w:tabs>
          <w:tab w:pos="567" w:val="left"/>
        </w:tabs>
        <w:ind w:left="567" w:hanging="567"/>
      </w:pPr>
      <w:r>
        <w:t>1.</w:t>
      </w:r>
      <w:r>
        <w:tab/>
      </w:r>
      <w:r>
        <w:t>die Zusammensetzung des gezeichneten Kapitals unter gesondertem Ausweis der mit jeder Gattung verbundenen Rechte und Pflichten und des Anteils am Gesellschaftskapital;</w:t>
      </w:r>
    </w:p>
    <w:p>
      <w:pPr>
        <w:tabs>
          <w:tab w:pos="567" w:val="left"/>
        </w:tabs>
        <w:ind w:left="567" w:hanging="567"/>
      </w:pPr>
      <w:r>
        <w:t>2.</w:t>
      </w:r>
      <w:r>
        <w:tab/>
      </w:r>
      <w:r>
        <w:t>Beschränkungen, die Stimmrechte oder die Übertragung von Aktien betreffen, auch wenn sie sich aus Vereinbarungen zwischen Gesellschaftern ergeben können, soweit die Beschränkungen dem Vorstand der Gesellschaft bekannt sind;</w:t>
      </w:r>
    </w:p>
    <w:p>
      <w:pPr>
        <w:tabs>
          <w:tab w:pos="567" w:val="left"/>
        </w:tabs>
        <w:ind w:left="567" w:hanging="567"/>
      </w:pPr>
      <w:r>
        <w:t>3.</w:t>
      </w:r>
      <w:r>
        <w:tab/>
      </w:r>
      <w:r>
        <w:t>direkte oder indirekte Beteiligungen am Kapital, die 10 Prozent der Stimmrechte überschreiten;</w:t>
      </w:r>
    </w:p>
    <w:p>
      <w:pPr>
        <w:tabs>
          <w:tab w:pos="567" w:val="left"/>
        </w:tabs>
        <w:ind w:left="567" w:hanging="567"/>
      </w:pPr>
      <w:r>
        <w:t>4.</w:t>
      </w:r>
      <w:r>
        <w:tab/>
      </w:r>
      <w:r>
        <w:t>die Inhaber von Aktien mit Sonderrechten, die Kontrollbefugnisse verleihen, und eine Beschreibung dieser Sonderrechte;</w:t>
      </w:r>
    </w:p>
    <w:p>
      <w:pPr>
        <w:tabs>
          <w:tab w:pos="567" w:val="left"/>
        </w:tabs>
        <w:ind w:left="567" w:hanging="567"/>
      </w:pPr>
      <w:r>
        <w:t>5.</w:t>
      </w:r>
      <w:r>
        <w:tab/>
      </w:r>
      <w:r>
        <w:t>die Art der Stimmrechtskontrolle, wenn Arbeitnehmer am Kapital beteiligt sind und ihre Kontrollrechte nicht unmittelbar ausüben;</w:t>
      </w:r>
    </w:p>
    <w:p>
      <w:pPr>
        <w:tabs>
          <w:tab w:pos="567" w:val="left"/>
        </w:tabs>
        <w:ind w:left="567" w:hanging="567"/>
      </w:pPr>
      <w:r>
        <w:t>6.</w:t>
      </w:r>
      <w:r>
        <w:tab/>
      </w:r>
      <w:r>
        <w:t>die gesetzlichen Vorschriften und Bestimmungen der Satzung über die Ernennung und Abberufung der Mitglieder des Vorstands und über die Änderung der Satzung;</w:t>
      </w:r>
    </w:p>
    <w:p>
      <w:pPr>
        <w:tabs>
          <w:tab w:pos="567" w:val="left"/>
        </w:tabs>
        <w:ind w:left="567" w:hanging="567"/>
      </w:pPr>
      <w:r>
        <w:t>7.</w:t>
      </w:r>
      <w:r>
        <w:tab/>
      </w:r>
      <w:r>
        <w:t>die Befugnisse des Vorstands insbesondere hinsichtlich der Möglichkeit, Aktien auszugeben oder zurückzukaufen;</w:t>
      </w:r>
    </w:p>
    <w:p>
      <w:pPr>
        <w:tabs>
          <w:tab w:pos="567" w:val="left"/>
        </w:tabs>
        <w:ind w:left="567" w:hanging="567"/>
      </w:pPr>
      <w:r>
        <w:t>8.</w:t>
      </w:r>
      <w:r>
        <w:tab/>
      </w:r>
      <w:r>
        <w:t>wesentliche Vereinbarungen des Mutterunternehmens, die unter der Bedingung eines Kontrollwechsels infolge eines Übernahmeangebots stehen, und die hieraus folgenden Wirkungen;</w:t>
      </w:r>
    </w:p>
    <w:p>
      <w:pPr>
        <w:tabs>
          <w:tab w:pos="567" w:val="left"/>
        </w:tabs>
        <w:ind w:left="567" w:hanging="567"/>
      </w:pPr>
      <w:r>
        <w:t>9.</w:t>
      </w:r>
      <w:r>
        <w:tab/>
      </w:r>
      <w:r>
        <w:t>Entschädigungsvereinbarungen des Mutterunternehmens, die für den Fall eines Übernahmeangebots mit den Mitgliedern des Vorstands oder mit Arbeitnehmern getroffen sind.</w:t>
      </w:r>
    </w:p>
    <w:p>
      <w:r>
        <w:rPr>
          <w:rStyle w:val="Satznummer"/>
        </w:rPr>
        <w:t>2</w:t>
      </w:r>
      <w:r>
        <w:t xml:space="preserve">Die Angaben nach Satz 1 Nummer 1, 3 und 9 können unterbleiben, soweit sie im Konzernanhang zu machen sind. </w:t>
      </w:r>
      <w:r>
        <w:rPr>
          <w:rStyle w:val="Satznummer"/>
        </w:rPr>
        <w:t>3</w:t>
      </w:r>
      <w:r>
        <w:t xml:space="preserve">Sind Angaben nach Satz 1 im Konzernanhang zu machen, ist im Konzernlagebericht darauf zu verweisen. </w:t>
      </w:r>
      <w:r>
        <w:rPr>
          <w:rStyle w:val="Satznummer"/>
        </w:rPr>
        <w:t>4</w:t>
      </w:r>
      <w:r>
        <w:t>Die Angaben nach Satz 1 Nummer 8 können unterbleiben, soweit sie geeignet sind, dem Mutterunternehmen einen erheblichen Nachteil zuzufügen; die Angabepflicht nach anderen gesetzlichen Vorschriften bleibt unberührt.</w:t>
      </w:r>
    </w:p>
    <w:p>
      <w:pPr>
        <w:pStyle w:val="Heading5"/>
      </w:pPr>
      <w:bookmarkStart w:id="344" w:name="b343"/>
      <w:r>
        <w:t>§ 315b Pflicht zur nichtfinanziellen Konzernerklärung; Befreiungen</w:t>
      </w:r>
      <w:r>
        <w:t xml:space="preserve"> </w:t>
      </w:r>
      <w:r>
        <w:rPr>
          <w:rStyle w:val="Suchmarke"/>
        </w:rPr>
        <w:t>#315b#</w:t>
      </w:r>
      <w:bookmarkEnd w:id="344"/>
    </w:p>
    <w:p>
      <w:r>
        <w:t xml:space="preserve">(1) </w:t>
      </w:r>
      <w:r>
        <w:rPr>
          <w:rStyle w:val="Satznummer"/>
        </w:rPr>
        <w:t>1</w:t>
      </w:r>
      <w:r>
        <w:t>Eine Kapitalgesellschaft, die Mutterunternehmen (</w:t>
      </w:r>
      <w:hyperlink w:anchor="b306" w:history="1">
        <w:r>
          <w:rPr>
            <w:color w:val="0A3A8C"/>
            <w:u w:val="single"/>
          </w:rPr>
          <w:t xml:space="preserve">§ 290</w:t>
        </w:r>
      </w:hyperlink>
      <w:r>
        <w:t>) ist, hat ihren Konzernlagebericht um eine nichtfinanzielle Konzernerklärung zu erweitern, wenn die folgenden Merkmale erfüllt sind:</w:t>
      </w:r>
    </w:p>
    <w:p>
      <w:pPr>
        <w:tabs>
          <w:tab w:pos="567" w:val="left"/>
        </w:tabs>
        <w:ind w:left="567" w:hanging="567"/>
      </w:pPr>
      <w:r>
        <w:t>1.</w:t>
      </w:r>
      <w:r>
        <w:tab/>
      </w:r>
      <w:r>
        <w:t xml:space="preserve">die Kapitalgesellschaft ist kapitalmarktorientiert im Sinne des </w:t>
      </w:r>
      <w:hyperlink w:anchor="b269" w:history="1">
        <w:r>
          <w:rPr>
            <w:color w:val="0A3A8C"/>
            <w:u w:val="single"/>
          </w:rPr>
          <w:t xml:space="preserve">§ 264d</w:t>
        </w:r>
      </w:hyperlink>
      <w:r>
        <w:t>,</w:t>
      </w:r>
    </w:p>
    <w:p>
      <w:pPr>
        <w:tabs>
          <w:tab w:pos="567" w:val="left"/>
        </w:tabs>
        <w:ind w:left="567" w:hanging="567"/>
      </w:pPr>
      <w:r>
        <w:t>2.</w:t>
      </w:r>
      <w:r>
        <w:tab/>
      </w:r>
      <w:r>
        <w:t>für die in den Konzernabschluss einzubeziehenden Unternehmen gilt:</w:t>
      </w:r>
    </w:p>
    <w:p>
      <w:pPr>
        <w:tabs>
          <w:tab w:pos="1134" w:val="left"/>
        </w:tabs>
        <w:ind w:left="1134" w:hanging="567"/>
      </w:pPr>
      <w:r>
        <w:t>a)</w:t>
      </w:r>
      <w:r>
        <w:tab/>
      </w:r>
      <w:r>
        <w:t xml:space="preserve">sie erfüllen die in </w:t>
      </w:r>
      <w:hyperlink w:anchor="b310" w:history="1">
        <w:r>
          <w:rPr>
            <w:color w:val="0A3A8C"/>
            <w:u w:val="single"/>
          </w:rPr>
          <w:t xml:space="preserve">§ 293</w:t>
        </w:r>
      </w:hyperlink>
      <w:r>
        <w:t xml:space="preserve"> Absatz 1 Satz 1 Nummer 1 oder 2 geregelten Voraussetzungen für eine größenabhängige Befreiung nicht und</w:t>
      </w:r>
    </w:p>
    <w:p>
      <w:pPr>
        <w:tabs>
          <w:tab w:pos="1134" w:val="left"/>
        </w:tabs>
        <w:ind w:left="1134" w:hanging="567"/>
      </w:pPr>
      <w:r>
        <w:t>b)</w:t>
      </w:r>
      <w:r>
        <w:tab/>
      </w:r>
      <w:r>
        <w:t>bei ihnen sind insgesamt im Jahresdurchschnitt mehr als 500 Arbeitnehmer beschäftigt.</w:t>
      </w:r>
    </w:p>
    <w:p>
      <w:r>
        <w:rPr>
          <w:rStyle w:val="Satznummer"/>
        </w:rPr>
        <w:t>2</w:t>
      </w:r>
      <w:hyperlink w:anchor="b273" w:history="1">
        <w:r>
          <w:rPr>
            <w:color w:val="0A3A8C"/>
            <w:u w:val="single"/>
          </w:rPr>
          <w:t xml:space="preserve">§ 267</w:t>
        </w:r>
      </w:hyperlink>
      <w:r>
        <w:t xml:space="preserve"> Absatz 4 bis 5 sowie </w:t>
      </w:r>
      <w:hyperlink w:anchor="b317" w:history="1">
        <w:r>
          <w:rPr>
            <w:color w:val="0A3A8C"/>
            <w:u w:val="single"/>
          </w:rPr>
          <w:t xml:space="preserve">§ 298</w:t>
        </w:r>
      </w:hyperlink>
      <w:r>
        <w:t xml:space="preserve"> Absatz 2 sind entsprechend anzuwenden. </w:t>
      </w:r>
      <w:r>
        <w:rPr>
          <w:rStyle w:val="Satznummer"/>
        </w:rPr>
        <w:t>3</w:t>
      </w:r>
      <w:r>
        <w:t>Wenn die nichtfinanzielle Konzernerklärung einen besonderen Abschnitt des Konzernlageberichts bildet, darf die Kapitalgesellschaft auf die an anderer Stelle im Konzernlagebericht enthaltenen nichtfinanziellen Angaben verweisen.</w:t>
      </w:r>
    </w:p>
    <w:p>
      <w:r>
        <w:t xml:space="preserve">(2) </w:t>
      </w:r>
      <w:r>
        <w:rPr>
          <w:rStyle w:val="Satznummer"/>
        </w:rPr>
        <w:t>1</w:t>
      </w:r>
      <w:r>
        <w:t>Ein Mutterunternehmen im Sinne des Absatzes 1 ist unbeschadet anderer Befreiungsvorschriften von der Pflicht zur Erweiterung des Konzernlageberichts um eine nichtfinanzielle Konzernerklärung befreit, wenn</w:t>
      </w:r>
    </w:p>
    <w:p>
      <w:pPr>
        <w:tabs>
          <w:tab w:pos="567" w:val="left"/>
        </w:tabs>
        <w:ind w:left="567" w:hanging="567"/>
      </w:pPr>
      <w:r>
        <w:t>1.</w:t>
      </w:r>
      <w:r>
        <w:tab/>
      </w:r>
      <w:r>
        <w:t>das Mutterunternehmen zugleich ein Tochterunternehmen ist, das in den Konzernlagebericht eines anderen Mutterunternehmens einbezogen ist, und</w:t>
      </w:r>
    </w:p>
    <w:p>
      <w:pPr>
        <w:tabs>
          <w:tab w:pos="567" w:val="left"/>
        </w:tabs>
        <w:ind w:left="567" w:hanging="567"/>
      </w:pPr>
      <w:r>
        <w:t>2.</w:t>
      </w:r>
      <w:r>
        <w:tab/>
      </w:r>
      <w:r>
        <w:t>der Konzernlagebericht nach Nummer 1 nach Maßgabe des nationalen Rechts eines Mitgliedstaats der Europäischen Union oder eines anderen Vertragsstaats des Abkommens über den Europäischen Wirtschaftsraum im Einklang mit der Richtlinie 2013/34/EU aufgestellt wird und eine nichtfinanzielle Konzernerklärung enthält.</w:t>
      </w:r>
    </w:p>
    <w:p>
      <w:r>
        <w:rPr>
          <w:rStyle w:val="Satznummer"/>
        </w:rPr>
        <w:t>2</w:t>
      </w:r>
      <w:r>
        <w:t xml:space="preserve">Satz 1 gilt entsprechend, wenn das andere Mutterunternehmen im Sinne des Satzes 1 einen gesonderten nichtfinanziellen Konzernbericht nach Absatz 3 oder nach Maßgabe des nationalen Rechts eines Mitgliedstaats der Europäischen Union oder eines anderen Vertragsstaats des Abkommens über den Europäischen Wirtschaftsraum im Einklang mit der Richtlinie 2013/34/EU erstellt und öffentlich zugänglich macht. </w:t>
      </w:r>
      <w:r>
        <w:rPr>
          <w:rStyle w:val="Satznummer"/>
        </w:rPr>
        <w:t>3</w:t>
      </w:r>
      <w:r>
        <w:t>Ist ein Mutterunternehmen nach Satz 1 oder 2 von der Pflicht zur Erstellung einer nichtfinanziellen Konzernerklärung befreit, hat es dies in seinem Konzernlagebericht mit der Erläuterung anzugeben, welches andere Mutterunternehmen den Konzernlagebericht oder den gesonderten nichtfinanziellen Konzernbericht öffentlich zugänglich macht und wo der Bericht in deutscher oder englischer Sprache offengelegt oder veröffentlicht ist.</w:t>
      </w:r>
    </w:p>
    <w:p>
      <w:r>
        <w:t xml:space="preserve">(3) </w:t>
      </w:r>
      <w:r>
        <w:rPr>
          <w:rStyle w:val="Satznummer"/>
        </w:rPr>
        <w:t>1</w:t>
      </w:r>
      <w:r>
        <w:t>Ein Mutterunternehmen im Sinne des Absatzes 1 ist auch dann von der Pflicht zur Erweiterung des Konzernlageberichts um eine nichtfinanzielle Konzernerklärung befreit, wenn das Mutterunternehmen für dasselbe Geschäftsjahr einen gesonderten nichtfinanziellen Konzernbericht außerhalb des Konzernlageberichts erstellt und folgende Voraussetzungen erfüllt:</w:t>
      </w:r>
    </w:p>
    <w:p>
      <w:pPr>
        <w:tabs>
          <w:tab w:pos="567" w:val="left"/>
        </w:tabs>
        <w:ind w:left="567" w:hanging="567"/>
      </w:pPr>
      <w:r>
        <w:t>1.</w:t>
      </w:r>
      <w:r>
        <w:tab/>
      </w:r>
      <w:r>
        <w:t xml:space="preserve">der gesonderte nichtfinanzielle Konzernbericht erfüllt zumindest die inhaltlichen Vorgaben nach </w:t>
      </w:r>
      <w:hyperlink w:anchor="b344" w:history="1">
        <w:r>
          <w:rPr>
            <w:color w:val="0A3A8C"/>
            <w:u w:val="single"/>
          </w:rPr>
          <w:t xml:space="preserve">§ 315c</w:t>
        </w:r>
      </w:hyperlink>
      <w:r>
        <w:t xml:space="preserve"> in Verbindung mit </w:t>
      </w:r>
      <w:hyperlink w:anchor="b300" w:history="1">
        <w:r>
          <w:rPr>
            <w:color w:val="0A3A8C"/>
            <w:u w:val="single"/>
          </w:rPr>
          <w:t xml:space="preserve">§ 289c</w:t>
        </w:r>
      </w:hyperlink>
      <w:r>
        <w:t xml:space="preserve"> und</w:t>
      </w:r>
    </w:p>
    <w:p>
      <w:pPr>
        <w:tabs>
          <w:tab w:pos="567" w:val="left"/>
        </w:tabs>
        <w:ind w:left="567" w:hanging="567"/>
      </w:pPr>
      <w:r>
        <w:t>2.</w:t>
      </w:r>
      <w:r>
        <w:tab/>
      </w:r>
      <w:r>
        <w:t>das Mutterunternehmen macht den gesonderten nichtfinanziellen Konzernbericht öffentlich zugänglich durch</w:t>
      </w:r>
    </w:p>
    <w:p>
      <w:pPr>
        <w:tabs>
          <w:tab w:pos="1134" w:val="left"/>
        </w:tabs>
        <w:ind w:left="1134" w:hanging="567"/>
      </w:pPr>
      <w:r>
        <w:t>a)</w:t>
      </w:r>
      <w:r>
        <w:tab/>
      </w:r>
      <w:r>
        <w:t xml:space="preserve">Offenlegung zusammen mit dem Konzernlagebericht nach </w:t>
      </w:r>
      <w:hyperlink w:anchor="b364" w:history="1">
        <w:r>
          <w:rPr>
            <w:color w:val="0A3A8C"/>
            <w:u w:val="single"/>
          </w:rPr>
          <w:t xml:space="preserve">§ 325</w:t>
        </w:r>
      </w:hyperlink>
      <w:r>
        <w:t xml:space="preserve"> oder</w:t>
      </w:r>
    </w:p>
    <w:p>
      <w:pPr>
        <w:tabs>
          <w:tab w:pos="1134" w:val="left"/>
        </w:tabs>
        <w:ind w:left="1134" w:hanging="567"/>
      </w:pPr>
      <w:r>
        <w:t>b)</w:t>
      </w:r>
      <w:r>
        <w:tab/>
      </w:r>
      <w:r>
        <w:t>Veröffentlichung auf der Internetseite des Mutterunternehmens spätestens vier Monate nach dem Abschlussstichtag und mindestens für zehn Jahre, sofern der Konzernlagebericht auf diese Veröffentlichung unter Angabe der Internetseite Bezug nimmt.</w:t>
      </w:r>
    </w:p>
    <w:p>
      <w:r>
        <w:rPr>
          <w:rStyle w:val="Satznummer"/>
        </w:rPr>
        <w:t>2</w:t>
      </w:r>
      <w:r>
        <w:t xml:space="preserve">Absatz 1 Satz 3, die </w:t>
      </w:r>
      <w:hyperlink w:anchor="b301" w:history="1">
        <w:r>
          <w:rPr>
            <w:color w:val="0A3A8C"/>
            <w:u w:val="single"/>
          </w:rPr>
          <w:t xml:space="preserve">§§ 289d</w:t>
        </w:r>
      </w:hyperlink>
      <w:r>
        <w:t xml:space="preserve"> und </w:t>
      </w:r>
      <w:hyperlink w:anchor="b302" w:history="1">
        <w:r>
          <w:rPr>
            <w:color w:val="0A3A8C"/>
            <w:u w:val="single"/>
          </w:rPr>
          <w:t xml:space="preserve">289e</w:t>
        </w:r>
      </w:hyperlink>
      <w:r>
        <w:t xml:space="preserve"> sowie </w:t>
      </w:r>
      <w:hyperlink w:anchor="b317" w:history="1">
        <w:r>
          <w:rPr>
            <w:color w:val="0A3A8C"/>
            <w:u w:val="single"/>
          </w:rPr>
          <w:t xml:space="preserve">§ 298</w:t>
        </w:r>
      </w:hyperlink>
      <w:r>
        <w:t xml:space="preserve"> Absatz 2 sind auf den gesonderten nichtfinanziellen Konzernbericht entsprechend anzuwenden.</w:t>
      </w:r>
    </w:p>
    <w:p>
      <w:r>
        <w:t>(4) Ist die nichtfinanzielle Konzernerklärung oder der gesonderte nichtfinanzielle Konzernbericht inhaltlich überprüft worden, ist auch die Beurteilung des Prüfungsergebnisses in gleicher Weise wie die nichtfinanzielle Konzernerklärung oder der gesonderte nichtfinanzielle Konzernbericht öffentlich zugänglich zu machen.</w:t>
      </w:r>
    </w:p>
    <w:p>
      <w:pPr>
        <w:pStyle w:val="Heading5"/>
      </w:pPr>
      <w:bookmarkStart w:id="345" w:name="b344"/>
      <w:r>
        <w:t>§ 315c Inhalt der nichtfinanziellen Konzernerklärung</w:t>
      </w:r>
      <w:r>
        <w:t xml:space="preserve"> </w:t>
      </w:r>
      <w:r>
        <w:rPr>
          <w:rStyle w:val="Suchmarke"/>
        </w:rPr>
        <w:t>#315c#</w:t>
      </w:r>
      <w:bookmarkEnd w:id="345"/>
    </w:p>
    <w:p>
      <w:r>
        <w:t xml:space="preserve">(1) Auf den Inhalt der nichtfinanziellen Konzernerklärung ist </w:t>
      </w:r>
      <w:hyperlink w:anchor="b300" w:history="1">
        <w:r>
          <w:rPr>
            <w:color w:val="0A3A8C"/>
            <w:u w:val="single"/>
          </w:rPr>
          <w:t xml:space="preserve">§ 289c</w:t>
        </w:r>
      </w:hyperlink>
      <w:r>
        <w:t xml:space="preserve"> entsprechend anzuwenden.</w:t>
      </w:r>
    </w:p>
    <w:p>
      <w:r>
        <w:t xml:space="preserve">(2) </w:t>
      </w:r>
      <w:hyperlink w:anchor="b300" w:history="1">
        <w:r>
          <w:rPr>
            <w:color w:val="0A3A8C"/>
            <w:u w:val="single"/>
          </w:rPr>
          <w:t xml:space="preserve">§ 289c</w:t>
        </w:r>
      </w:hyperlink>
      <w:r>
        <w:t xml:space="preserve"> Absatz 3 gilt mit der Maßgabe, dass diejenigen Angaben zu machen sind, die für das Verständnis des Geschäftsverlaufs, des Geschäftsergebnisses, der Lage des Konzerns sowie der Auswirkungen seiner Tätigkeit auf die in </w:t>
      </w:r>
      <w:hyperlink w:anchor="b300" w:history="1">
        <w:r>
          <w:rPr>
            <w:color w:val="0A3A8C"/>
            <w:u w:val="single"/>
          </w:rPr>
          <w:t xml:space="preserve">§ 289c</w:t>
        </w:r>
      </w:hyperlink>
      <w:r>
        <w:t xml:space="preserve"> Absatz 2 genannten Aspekte erforderlich sind.</w:t>
      </w:r>
    </w:p>
    <w:p>
      <w:r>
        <w:t xml:space="preserve">(3) Die </w:t>
      </w:r>
      <w:hyperlink w:anchor="b301" w:history="1">
        <w:r>
          <w:rPr>
            <w:color w:val="0A3A8C"/>
            <w:u w:val="single"/>
          </w:rPr>
          <w:t xml:space="preserve">§§ 289d</w:t>
        </w:r>
      </w:hyperlink>
      <w:r>
        <w:t xml:space="preserve"> und </w:t>
      </w:r>
      <w:hyperlink w:anchor="b302" w:history="1">
        <w:r>
          <w:rPr>
            <w:color w:val="0A3A8C"/>
            <w:u w:val="single"/>
          </w:rPr>
          <w:t xml:space="preserve">289e</w:t>
        </w:r>
      </w:hyperlink>
      <w:r>
        <w:t xml:space="preserve"> sind entsprechend anzuwenden.</w:t>
      </w:r>
    </w:p>
    <w:p>
      <w:pPr>
        <w:pStyle w:val="Heading5"/>
      </w:pPr>
      <w:bookmarkStart w:id="346" w:name="b345"/>
      <w:r>
        <w:t>§ 315d Konzernerklärung zur Unternehmensführung</w:t>
      </w:r>
      <w:r>
        <w:t xml:space="preserve"> </w:t>
      </w:r>
      <w:r>
        <w:rPr>
          <w:rStyle w:val="Suchmarke"/>
        </w:rPr>
        <w:t>#315d#</w:t>
      </w:r>
      <w:bookmarkEnd w:id="346"/>
    </w:p>
    <w:p>
      <w:r>
        <w:rPr>
          <w:rStyle w:val="Satznummer"/>
        </w:rPr>
        <w:t>1</w:t>
      </w:r>
      <w:r>
        <w:t xml:space="preserve">Ein Mutterunternehmen, das eine Gesellschaft im Sinne des </w:t>
      </w:r>
      <w:hyperlink w:anchor="b303" w:history="1">
        <w:r>
          <w:rPr>
            <w:color w:val="0A3A8C"/>
            <w:u w:val="single"/>
          </w:rPr>
          <w:t xml:space="preserve">§ 289f</w:t>
        </w:r>
      </w:hyperlink>
      <w:r>
        <w:t xml:space="preserve"> Absatz 1 oder Absatz 3 ist, hat für den Konzern eine Erklärung zur Unternehmensführung zu erstellen und als gesonderten Abschnitt in den Konzernlagebericht aufzunehmen. </w:t>
      </w:r>
      <w:r>
        <w:rPr>
          <w:rStyle w:val="Satznummer"/>
        </w:rPr>
        <w:t>2</w:t>
      </w:r>
      <w:hyperlink w:anchor="b303" w:history="1">
        <w:r>
          <w:rPr>
            <w:color w:val="0A3A8C"/>
            <w:u w:val="single"/>
          </w:rPr>
          <w:t xml:space="preserve">§ 289f</w:t>
        </w:r>
      </w:hyperlink>
      <w:r>
        <w:t xml:space="preserve"> ist entsprechend anzuwenden.</w:t>
      </w:r>
    </w:p>
    <w:p>
      <w:pPr>
        <w:pStyle w:val="Heading4"/>
      </w:pPr>
      <w:bookmarkStart w:id="347" w:name="b346"/>
      <w:r>
        <w:t>Zehnter Titel Konzernabschluss nach internationalen Rechnungslegungsstandards</w:t>
      </w:r>
      <w:bookmarkEnd w:id="347"/>
    </w:p>
    <w:p>
      <w:pPr>
        <w:pStyle w:val="Heading5"/>
      </w:pPr>
      <w:bookmarkStart w:id="348" w:name="b347"/>
      <w:r>
        <w:t>§ 315e</w:t>
      </w:r>
      <w:r>
        <w:t xml:space="preserve"> </w:t>
      </w:r>
      <w:r>
        <w:rPr>
          <w:rStyle w:val="Suchmarke"/>
        </w:rPr>
        <w:t>#315e#</w:t>
      </w:r>
      <w:bookmarkEnd w:id="348"/>
    </w:p>
    <w:p>
      <w:r>
        <w:t xml:space="preserve">(1) Ist ein Mutterunternehmen, das nach den Vorschriften des Ersten Titels einen Konzernabschluss aufzustellen hat, nach Artikel 4 der Verordnung (EG) Nr. 1606/2002 des Europäischen Parlaments und des Rates vom 19. Juli 2002 betreffend die Anwendung internationaler Rechnungslegungsstandards (ABl. L 243 vom 11.9.2002, S. 1), die zuletzt durch die Verordnung (EG) Nr. 297/2008 (ABl. L 97 vom 9.4.2008, S. 62) geändert worden ist, verpflichtet, die nach den Artikeln 2, 3 und 6 der genannten Verordnung übernommenen internationalen Rechnungslegungsstandards anzuwenden, so sind von den Vorschriften des Zweiten bis Achten Titels nur </w:t>
      </w:r>
      <w:hyperlink w:anchor="b312" w:history="1">
        <w:r>
          <w:rPr>
            <w:color w:val="0A3A8C"/>
            <w:u w:val="single"/>
          </w:rPr>
          <w:t xml:space="preserve">§ 294</w:t>
        </w:r>
      </w:hyperlink>
      <w:r>
        <w:t xml:space="preserve"> Abs. 3, </w:t>
      </w:r>
      <w:hyperlink w:anchor="b316" w:history="1">
        <w:r>
          <w:rPr>
            <w:color w:val="0A3A8C"/>
            <w:u w:val="single"/>
          </w:rPr>
          <w:t xml:space="preserve">§ 297</w:t>
        </w:r>
      </w:hyperlink>
      <w:r>
        <w:t xml:space="preserve"> Absatz 1a, 2 Satz 4, </w:t>
      </w:r>
      <w:hyperlink w:anchor="b317" w:history="1">
        <w:r>
          <w:rPr>
            <w:color w:val="0A3A8C"/>
            <w:u w:val="single"/>
          </w:rPr>
          <w:t xml:space="preserve">§ 298</w:t>
        </w:r>
      </w:hyperlink>
      <w:r>
        <w:t xml:space="preserve"> Abs. 1, dieser jedoch nur in Verbindung mit den </w:t>
      </w:r>
      <w:hyperlink w:anchor="b237" w:history="1">
        <w:r>
          <w:rPr>
            <w:color w:val="0A3A8C"/>
            <w:u w:val="single"/>
          </w:rPr>
          <w:t xml:space="preserve">§§ 244</w:t>
        </w:r>
      </w:hyperlink>
      <w:r>
        <w:t xml:space="preserve"> und </w:t>
      </w:r>
      <w:hyperlink w:anchor="b238" w:history="1">
        <w:r>
          <w:rPr>
            <w:color w:val="0A3A8C"/>
            <w:u w:val="single"/>
          </w:rPr>
          <w:t xml:space="preserve">245</w:t>
        </w:r>
      </w:hyperlink>
      <w:r>
        <w:t xml:space="preserve">, ferner </w:t>
      </w:r>
      <w:hyperlink w:anchor="b338" w:history="1">
        <w:r>
          <w:rPr>
            <w:color w:val="0A3A8C"/>
            <w:u w:val="single"/>
          </w:rPr>
          <w:t xml:space="preserve">§ 313</w:t>
        </w:r>
      </w:hyperlink>
      <w:r>
        <w:t xml:space="preserve"> Abs. 2 und 3, </w:t>
      </w:r>
      <w:hyperlink w:anchor="b339" w:history="1">
        <w:r>
          <w:rPr>
            <w:color w:val="0A3A8C"/>
            <w:u w:val="single"/>
          </w:rPr>
          <w:t xml:space="preserve">§ 314</w:t>
        </w:r>
      </w:hyperlink>
      <w:r>
        <w:t xml:space="preserve"> Abs. 1 Nr. 4, 6, 8 und 9, Absatz 3 sowie die Bestimmungen des Neunten Titels und die Vorschriften außerhalb dieses Unterabschnitts, die den Konzernabschluss oder den Konzernlagebericht betreffen, entsprechend anzuwenden.</w:t>
      </w:r>
    </w:p>
    <w:p>
      <w:r>
        <w:t>(2) Mutterunternehmen, die nicht unter Absatz 1 fallen, haben ihren Konzernabschluss nach den dort genannten internationalen Rechnungslegungsstandards und Vorschriften aufzustellen, wenn für sie bis zum jeweiligen Bilanzstichtag die Zulassung eines Wertpapiers im Sinne des § 2 Absatz 1 des Wertpapierhandelsgesetzes zum Handel an einem organisierten Markt im Sinne des § 2 Absatz 11 des Wertpapierhandelsgesetzes im Inland beantragt worden ist.</w:t>
      </w:r>
    </w:p>
    <w:p>
      <w:r>
        <w:t xml:space="preserve">(3) </w:t>
      </w:r>
      <w:r>
        <w:rPr>
          <w:rStyle w:val="Satznummer"/>
        </w:rPr>
        <w:t>1</w:t>
      </w:r>
      <w:r>
        <w:t xml:space="preserve">Mutterunternehmen, die nicht unter Absatz 1 oder 2 fallen, dürfen ihren Konzernabschluss nach den in Absatz 1 genannten internationalen Rechnungslegungsstandards und Vorschriften aufstellen. </w:t>
      </w:r>
      <w:r>
        <w:rPr>
          <w:rStyle w:val="Satznummer"/>
        </w:rPr>
        <w:t>2</w:t>
      </w:r>
      <w:r>
        <w:t>Ein Unternehmen, das von diesem Wahlrecht Gebrauch macht, hat die in Absatz 1 genannten Standards und Vorschriften vollständig zu befolgen.</w:t>
      </w:r>
    </w:p>
    <w:p>
      <w:pPr>
        <w:pStyle w:val="Heading3"/>
      </w:pPr>
      <w:bookmarkStart w:id="349" w:name="b348"/>
      <w:r>
        <w:t>Dritter Unterabschnitt Prüfung</w:t>
      </w:r>
      <w:bookmarkEnd w:id="349"/>
    </w:p>
    <w:p>
      <w:pPr>
        <w:pStyle w:val="Heading4"/>
      </w:pPr>
      <w:bookmarkStart w:id="350" w:name="b349"/>
      <w:r>
        <w:t>§ 316 Pflicht zur Prüfung</w:t>
      </w:r>
      <w:r>
        <w:t xml:space="preserve"> </w:t>
      </w:r>
      <w:r>
        <w:rPr>
          <w:rStyle w:val="Suchmarke"/>
        </w:rPr>
        <w:t>#316#</w:t>
      </w:r>
      <w:bookmarkEnd w:id="350"/>
    </w:p>
    <w:p>
      <w:r>
        <w:t xml:space="preserve">(1) </w:t>
      </w:r>
      <w:r>
        <w:rPr>
          <w:rStyle w:val="Satznummer"/>
        </w:rPr>
        <w:t>1</w:t>
      </w:r>
      <w:r>
        <w:t xml:space="preserve">Der Jahresabschluß und der Lagebericht von Kapitalgesellschaften, die nicht kleine im Sinne des </w:t>
      </w:r>
      <w:hyperlink w:anchor="b273" w:history="1">
        <w:r>
          <w:rPr>
            <w:color w:val="0A3A8C"/>
            <w:u w:val="single"/>
          </w:rPr>
          <w:t xml:space="preserve">§ 267</w:t>
        </w:r>
      </w:hyperlink>
      <w:r>
        <w:t xml:space="preserve"> Abs. 1 sind, sind durch einen Abschlußprüfer zu prüfen. </w:t>
      </w:r>
      <w:r>
        <w:rPr>
          <w:rStyle w:val="Satznummer"/>
        </w:rPr>
        <w:t>2</w:t>
      </w:r>
      <w:r>
        <w:t>Hat keine Prüfung stattgefunden, so kann der Jahresabschluß nicht festgestellt werden.</w:t>
      </w:r>
    </w:p>
    <w:p>
      <w:r>
        <w:t xml:space="preserve">(2) </w:t>
      </w:r>
      <w:r>
        <w:rPr>
          <w:rStyle w:val="Satznummer"/>
        </w:rPr>
        <w:t>1</w:t>
      </w:r>
      <w:r>
        <w:t xml:space="preserve">Der Konzernabschluß und der Konzernlagebericht von Kapitalgesellschaften sind durch einen Abschlußprüfer zu prüfen. </w:t>
      </w:r>
      <w:r>
        <w:rPr>
          <w:rStyle w:val="Satznummer"/>
        </w:rPr>
        <w:t>2</w:t>
      </w:r>
      <w:r>
        <w:t>Hat keine Prüfung stattgefunden, so kann der Konzernabschluss nicht gebilligt werden.</w:t>
      </w:r>
    </w:p>
    <w:p>
      <w:r>
        <w:t xml:space="preserve">(3) </w:t>
      </w:r>
      <w:r>
        <w:rPr>
          <w:rStyle w:val="Satznummer"/>
        </w:rPr>
        <w:t>1</w:t>
      </w:r>
      <w:r>
        <w:t xml:space="preserve">Werden der Jahresabschluß, der Konzernabschluß, der Lagebericht oder der Konzernlagebericht nach Vorlage des Prüfungsberichts geändert, so hat der Abschlußprüfer diese Unterlagen erneut zu prüfen, soweit es die Änderung erfordert. </w:t>
      </w:r>
      <w:r>
        <w:rPr>
          <w:rStyle w:val="Satznummer"/>
        </w:rPr>
        <w:t>2</w:t>
      </w:r>
      <w:r>
        <w:t xml:space="preserve">Über das Ergebnis der Prüfung ist zu berichten; der Bestätigungsvermerk ist entsprechend zu ergänzen. </w:t>
      </w:r>
      <w:r>
        <w:rPr>
          <w:rStyle w:val="Satznummer"/>
        </w:rPr>
        <w:t>3</w:t>
      </w:r>
      <w:r>
        <w:t xml:space="preserve">Die Sätze 1 und 2 gelten entsprechend für diejenige Wiedergabe des Jahresabschlusses, des Lageberichts, des Konzernabschlusses und des Konzernlageberichts, welche eine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für Zwecke der Offenlegung erstellt hat.</w:t>
      </w:r>
    </w:p>
    <w:p>
      <w:pPr>
        <w:pStyle w:val="Heading4"/>
      </w:pPr>
      <w:bookmarkStart w:id="351" w:name="b350"/>
      <w:r>
        <w:t>§ 316a Abschlussprüfung bei Unternehmen von öffentlichem Interesse</w:t>
      </w:r>
      <w:r>
        <w:t xml:space="preserve"> </w:t>
      </w:r>
      <w:r>
        <w:rPr>
          <w:rStyle w:val="Suchmarke"/>
        </w:rPr>
        <w:t>#316a#</w:t>
      </w:r>
      <w:bookmarkEnd w:id="351"/>
    </w:p>
    <w:p>
      <w:r>
        <w:rPr>
          <w:rStyle w:val="Satznummer"/>
        </w:rPr>
        <w:t>1</w:t>
      </w:r>
      <w:r>
        <w:t xml:space="preserve">Auf die Abschlussprüfung bei Kapitalgesellschaften, die Unternehmen von öffentlichem Interesse sind, sind die Vorschriften dieses Unterabschnitts nur insoweit anzuwenden, als nicht die Verordnung (EU) Nr. 537/2014 des Europäischen Parlaments und des Rates vom 16. April 2014 über spezifische Anforderungen an die Abschlussprüfung bei Unternehmen von öffentlichem Interesse und zur Aufhebung des Beschlusses 2005/909/EG der Kommission (ABl. L 158 vom 27.5.2014, S. 77; L 170 vom 11.6.2014, S. 66) anzuwenden ist. </w:t>
      </w:r>
      <w:r>
        <w:rPr>
          <w:rStyle w:val="Satznummer"/>
        </w:rPr>
        <w:t>2</w:t>
      </w:r>
      <w:r>
        <w:t>Unternehmen von öffentlichem Interesse sind Unternehmen, die</w:t>
      </w:r>
    </w:p>
    <w:p>
      <w:pPr>
        <w:tabs>
          <w:tab w:pos="567" w:val="left"/>
        </w:tabs>
        <w:ind w:left="567" w:hanging="567"/>
      </w:pPr>
      <w:r>
        <w:t>1.</w:t>
      </w:r>
      <w:r>
        <w:tab/>
      </w:r>
      <w:r>
        <w:t xml:space="preserve">kapitalmarktorientiert sind im Sinne des </w:t>
      </w:r>
      <w:hyperlink w:anchor="b269" w:history="1">
        <w:r>
          <w:rPr>
            <w:color w:val="0A3A8C"/>
            <w:u w:val="single"/>
          </w:rPr>
          <w:t xml:space="preserve">§ 264d</w:t>
        </w:r>
      </w:hyperlink>
      <w:r>
        <w:t>,</w:t>
      </w:r>
    </w:p>
    <w:p>
      <w:pPr>
        <w:tabs>
          <w:tab w:pos="567" w:val="left"/>
        </w:tabs>
        <w:ind w:left="567" w:hanging="567"/>
      </w:pPr>
      <w:r>
        <w:t>2.</w:t>
      </w:r>
      <w:r>
        <w:tab/>
      </w:r>
      <w:r>
        <w:t>CRR-Kreditinstitute sind im Sinne des § 1 Absatz 3d Satz 1 des Kreditwesengesetzes, mit Ausnahme derjenigen Institute, die in § 2 Absatz 1 Nummer 1 und 2 des Kreditwesengesetzes und in Artikel 2 Absatz 5 Nummer 5 der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 L 208 vom 2.8.2013, S. 73; L 20 vom 25.1.2017, S. 1; L 203 vom 26.6.2020, S. 95), die zuletzt durch die Richtlinie (EU) 2019/2034 (ABl. L 314 vom 5.12.2019, S. 64) geändert worden ist, genannt sind, oder</w:t>
      </w:r>
    </w:p>
    <w:p>
      <w:pPr>
        <w:tabs>
          <w:tab w:pos="567" w:val="left"/>
        </w:tabs>
        <w:ind w:left="567" w:hanging="567"/>
      </w:pPr>
      <w:r>
        <w:t>3.</w:t>
      </w:r>
      <w:r>
        <w:tab/>
      </w:r>
      <w:r>
        <w:t>Versicherungsunternehmen sind im Sinne des Artikels 2 Absatz 1 der Richtlinie 91/674/EWG.</w:t>
      </w:r>
    </w:p>
    <w:p>
      <w:pPr>
        <w:pStyle w:val="Heading4"/>
      </w:pPr>
      <w:bookmarkStart w:id="352" w:name="b351"/>
      <w:r>
        <w:t>§ 317 Gegenstand und Umfang der Prüfung</w:t>
      </w:r>
      <w:r>
        <w:t xml:space="preserve"> </w:t>
      </w:r>
      <w:r>
        <w:rPr>
          <w:rStyle w:val="Suchmarke"/>
        </w:rPr>
        <w:t>#317#</w:t>
      </w:r>
      <w:bookmarkEnd w:id="352"/>
    </w:p>
    <w:p>
      <w:r>
        <w:t xml:space="preserve">(1) </w:t>
      </w:r>
      <w:r>
        <w:rPr>
          <w:rStyle w:val="Satznummer"/>
        </w:rPr>
        <w:t>1</w:t>
      </w:r>
      <w:r>
        <w:t xml:space="preserve">In die Prüfung des Jahresabschlusses ist die Buchführung einzubeziehen. </w:t>
      </w:r>
      <w:r>
        <w:rPr>
          <w:rStyle w:val="Satznummer"/>
        </w:rPr>
        <w:t>2</w:t>
      </w:r>
      <w:r>
        <w:t xml:space="preserve">Die Prüfung des Jahresabschlusses und des Konzernabschlusses hat sich darauf zu erstrecken, ob die gesetzlichen Vorschriften und sie ergänzende Bestimmungen des Gesellschaftsvertrags oder der Satzung beachtet worden sind. </w:t>
      </w:r>
      <w:r>
        <w:rPr>
          <w:rStyle w:val="Satznummer"/>
        </w:rPr>
        <w:t>3</w:t>
      </w:r>
      <w:r>
        <w:t xml:space="preserve">Die Prüfung ist so anzulegen, daß Unrichtigkeiten und Verstöße gegen die in Satz 2 aufgeführten Bestimmungen, die sich auf die Darstellung des sich nach </w:t>
      </w:r>
      <w:hyperlink w:anchor="b265" w:history="1">
        <w:r>
          <w:rPr>
            <w:color w:val="0A3A8C"/>
            <w:u w:val="single"/>
          </w:rPr>
          <w:t xml:space="preserve">§ 264</w:t>
        </w:r>
      </w:hyperlink>
      <w:r>
        <w:t xml:space="preserve"> Abs. 2 ergebenden Bildes der Vermögens-, Finanz- und Ertragslage der Kapitalgesellschaft wesentlich auswirken, bei gewissenhafter Berufsausübung erkannt werden.</w:t>
      </w:r>
    </w:p>
    <w:p>
      <w:r>
        <w:t xml:space="preserve">(2) </w:t>
      </w:r>
      <w:r>
        <w:rPr>
          <w:rStyle w:val="Satznummer"/>
        </w:rPr>
        <w:t>1</w:t>
      </w:r>
      <w:r>
        <w:t xml:space="preserve">Der Lagebericht und der Konzernlagebericht sind darauf zu prüfen, ob der Lagebericht mit dem Jahresabschluß, gegebenenfalls auch mit dem Einzelabschluss nach </w:t>
      </w:r>
      <w:hyperlink w:anchor="b364" w:history="1">
        <w:r>
          <w:rPr>
            <w:color w:val="0A3A8C"/>
            <w:u w:val="single"/>
          </w:rPr>
          <w:t xml:space="preserve">§ 325</w:t>
        </w:r>
      </w:hyperlink>
      <w:r>
        <w:t xml:space="preserve"> Abs. 2a, und der Konzernlagebericht mit dem Konzernabschluß sowie mit den bei der Prüfung gewonnenen Erkenntnissen des Abschlußprüfers in Einklang stehen und ob der Lagebericht insgesamt ein zutreffendes Bild von der Lage der Kapitalgesellschaft und der Konzernlagebericht insgesamt ein zutreffendes Bild von der Lage des Konzerns vermittelt. </w:t>
      </w:r>
      <w:r>
        <w:rPr>
          <w:rStyle w:val="Satznummer"/>
        </w:rPr>
        <w:t>2</w:t>
      </w:r>
      <w:r>
        <w:t xml:space="preserve">Dabei ist auch zu prüfen, ob die Chancen und Risiken der künftigen Entwicklung zutreffend dargestellt sind. </w:t>
      </w:r>
      <w:r>
        <w:rPr>
          <w:rStyle w:val="Satznummer"/>
        </w:rPr>
        <w:t>3</w:t>
      </w:r>
      <w:r>
        <w:t xml:space="preserve">Die Prüfung des Lageberichts und des Konzernlageberichts hat sich auch darauf zu erstrecken, ob die gesetzlichen Vorschriften zur Aufstellung des Lage- oder Konzernlageberichts beachtet worden sind. </w:t>
      </w:r>
      <w:r>
        <w:rPr>
          <w:rStyle w:val="Satznummer"/>
        </w:rPr>
        <w:t>4</w:t>
      </w:r>
      <w:r>
        <w:t xml:space="preserve">Im Hinblick auf die Vorgaben nach den </w:t>
      </w:r>
      <w:hyperlink w:anchor="b299" w:history="1">
        <w:r>
          <w:rPr>
            <w:color w:val="0A3A8C"/>
            <w:u w:val="single"/>
          </w:rPr>
          <w:t xml:space="preserve">§§ 289b</w:t>
        </w:r>
      </w:hyperlink>
      <w:r>
        <w:t xml:space="preserve"> bis </w:t>
      </w:r>
      <w:hyperlink w:anchor="b302" w:history="1">
        <w:r>
          <w:rPr>
            <w:color w:val="0A3A8C"/>
            <w:u w:val="single"/>
          </w:rPr>
          <w:t xml:space="preserve">289e</w:t>
        </w:r>
      </w:hyperlink>
      <w:r>
        <w:t xml:space="preserve"> und den </w:t>
      </w:r>
      <w:hyperlink w:anchor="b343" w:history="1">
        <w:r>
          <w:rPr>
            <w:color w:val="0A3A8C"/>
            <w:u w:val="single"/>
          </w:rPr>
          <w:t xml:space="preserve">§§ 315b</w:t>
        </w:r>
      </w:hyperlink>
      <w:r>
        <w:t xml:space="preserve"> und </w:t>
      </w:r>
      <w:hyperlink w:anchor="b344" w:history="1">
        <w:r>
          <w:rPr>
            <w:color w:val="0A3A8C"/>
            <w:u w:val="single"/>
          </w:rPr>
          <w:t xml:space="preserve">315c</w:t>
        </w:r>
      </w:hyperlink>
      <w:r>
        <w:t xml:space="preserve"> ist nur zu prüfen, ob die nichtfinanzielle Erklärung oder der gesonderte nichtfinanzielle Bericht, die nichtfinanzielle Konzernerklärung oder der gesonderte nichtfinanzielle Konzernbericht vorgelegt wurde. </w:t>
      </w:r>
      <w:r>
        <w:rPr>
          <w:rStyle w:val="Satznummer"/>
        </w:rPr>
        <w:t>5</w:t>
      </w:r>
      <w:r>
        <w:t xml:space="preserve">Im Fall des § 289b Absatz 3 Satz 1 Nummer 2 Buchstabe b ist vier Monate nach dem Abschlussstichtag eine ergänzende Prüfung durch denselben Abschlussprüfer durchzuführen, ob der gesonderte nichtfinanzielle Bericht oder der gesonderte nichtfinanzielle Konzernbericht vorgelegt wurde; </w:t>
      </w:r>
      <w:hyperlink w:anchor="b349" w:history="1">
        <w:r>
          <w:rPr>
            <w:color w:val="0A3A8C"/>
            <w:u w:val="single"/>
          </w:rPr>
          <w:t xml:space="preserve">§ 316</w:t>
        </w:r>
      </w:hyperlink>
      <w:r>
        <w:t xml:space="preserve"> Absatz 3 Satz 2 gilt entsprechend mit der Maßgabe, dass der Bestätigungsvermerk nur dann zu ergänzen ist, wenn der gesonderte nichtfinanzielle Bericht oder der gesonderte nichtfinanzielle Konzernbericht nicht innerhalb von vier Monaten nach dem Abschlussstichtag vorgelegt worden ist. </w:t>
      </w:r>
      <w:r>
        <w:rPr>
          <w:rStyle w:val="Satznummer"/>
        </w:rPr>
        <w:t>6</w:t>
      </w:r>
      <w:r>
        <w:t xml:space="preserve">Die Prüfung der Angaben nach </w:t>
      </w:r>
      <w:hyperlink w:anchor="b303" w:history="1">
        <w:r>
          <w:rPr>
            <w:color w:val="0A3A8C"/>
            <w:u w:val="single"/>
          </w:rPr>
          <w:t xml:space="preserve">§ 289f</w:t>
        </w:r>
      </w:hyperlink>
      <w:r>
        <w:t xml:space="preserve"> Absatz 2 und 5 sowie </w:t>
      </w:r>
      <w:hyperlink w:anchor="b345" w:history="1">
        <w:r>
          <w:rPr>
            <w:color w:val="0A3A8C"/>
            <w:u w:val="single"/>
          </w:rPr>
          <w:t xml:space="preserve">§ 315d</w:t>
        </w:r>
      </w:hyperlink>
      <w:r>
        <w:t xml:space="preserve"> ist darauf zu beschränken, ob die Angaben gemacht wurden.</w:t>
      </w:r>
    </w:p>
    <w:p>
      <w:r>
        <w:t xml:space="preserve">(3) </w:t>
      </w:r>
      <w:r>
        <w:rPr>
          <w:rStyle w:val="Satznummer"/>
        </w:rPr>
        <w:t>1</w:t>
      </w:r>
      <w:r>
        <w:t xml:space="preserve">Der Abschlußprüfer des Konzernabschlusses hat auch die im Konzernabschluß zusammengefaßten Jahresabschlüsse, insbesondere die konsolidierungsbedingten Anpassungen, in entsprechender Anwendung des Absatzes 1 zu prüfen. </w:t>
      </w:r>
      <w:r>
        <w:rPr>
          <w:rStyle w:val="Satznummer"/>
        </w:rPr>
        <w:t>2</w:t>
      </w:r>
      <w:r>
        <w:t>Sind diese Jahresabschlüsse von einem anderen Abschlussprüfer geprüft worden, hat der Konzernabschlussprüfer dessen Arbeit zu überprüfen und dies zu dokumentieren.</w:t>
      </w:r>
    </w:p>
    <w:p>
      <w:r>
        <w:t xml:space="preserve">(3a) </w:t>
      </w:r>
      <w:r>
        <w:rPr>
          <w:rStyle w:val="Satznummer"/>
        </w:rPr>
        <w:t>1</w:t>
      </w:r>
      <w:r>
        <w:t xml:space="preserve">Bei einer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hat der Abschlussprüfer im Rahmen der Prüfung auch zu beurteilen, ob die für Zwecke der Offenlegung erstellte Wiedergabe des Jahresabschlusses und die für Zwecke der Offenlegung erstellte Wiedergabe des Lageberichts den Vorgaben des </w:t>
      </w:r>
      <w:hyperlink w:anchor="b369" w:history="1">
        <w:r>
          <w:rPr>
            <w:color w:val="0A3A8C"/>
            <w:u w:val="single"/>
          </w:rPr>
          <w:t xml:space="preserve">§ 328</w:t>
        </w:r>
      </w:hyperlink>
      <w:r>
        <w:t xml:space="preserve"> Absatz 1 entsprechen. </w:t>
      </w:r>
      <w:r>
        <w:rPr>
          <w:rStyle w:val="Satznummer"/>
        </w:rPr>
        <w:t>2</w:t>
      </w:r>
      <w:r>
        <w:t xml:space="preserve">Bei einer Kapitalgesellschaft im Sinne des Satzes 1 hat der Abschlussprüfer des Konzernabschlusses im Rahmen der Prüfung auch zu beurteilen, ob die für Zwecke der Offenlegung erstellte Wiedergabe des Konzernabschlusses und die für Zwecke der Offenlegung erstellte Wiedergabe des Konzernlageberichts den Vorgaben des </w:t>
      </w:r>
      <w:hyperlink w:anchor="b369" w:history="1">
        <w:r>
          <w:rPr>
            <w:color w:val="0A3A8C"/>
            <w:u w:val="single"/>
          </w:rPr>
          <w:t xml:space="preserve">§ 328</w:t>
        </w:r>
      </w:hyperlink>
      <w:r>
        <w:t xml:space="preserve"> Absatz 1 entsprechen.</w:t>
      </w:r>
    </w:p>
    <w:p>
      <w:r>
        <w:t>(3b) Der Abschlussprüfer des Jahresabschlusses hat im Rahmen der Prüfung auch zu beurteilen, ob die Kapitalgesellschaft</w:t>
      </w:r>
    </w:p>
    <w:p>
      <w:pPr>
        <w:tabs>
          <w:tab w:pos="567" w:val="left"/>
        </w:tabs>
        <w:ind w:left="567" w:hanging="567"/>
      </w:pPr>
      <w:r>
        <w:t>1.</w:t>
      </w:r>
      <w:r>
        <w:tab/>
      </w:r>
      <w:r>
        <w:t xml:space="preserve">für das Geschäftsjahr, das demjenigen Geschäftsjahr vorausging, für dessen Schluss der zu prüfende Jahresabschluss aufgestellt wird, zur Offenlegung eines Ertragsteuerinformationsberichts gemäß </w:t>
      </w:r>
      <w:hyperlink w:anchor="b475" w:history="1">
        <w:r>
          <w:rPr>
            <w:color w:val="0A3A8C"/>
            <w:u w:val="single"/>
          </w:rPr>
          <w:t xml:space="preserve">§ 342m</w:t>
        </w:r>
      </w:hyperlink>
      <w:r>
        <w:t xml:space="preserve"> Absatz 1 oder 2 verpflichtet war und</w:t>
      </w:r>
    </w:p>
    <w:p>
      <w:pPr>
        <w:tabs>
          <w:tab w:pos="567" w:val="left"/>
        </w:tabs>
        <w:ind w:left="567" w:hanging="567"/>
      </w:pPr>
      <w:r>
        <w:t>2.</w:t>
      </w:r>
      <w:r>
        <w:tab/>
      </w:r>
      <w:r>
        <w:t>im Falle der Nummer 1 ihre dort genannte Verpflichtung zur Offenlegung erfüllt hat.</w:t>
      </w:r>
    </w:p>
    <w:p>
      <w:r>
        <w:t>(4) Bei einer börsennotierten Aktiengesellschaft ist außerdem im Rahmen der Prüfung zu beurteilen, ob der Vorstand die ihm nach § 91 Abs. 2 des Aktiengesetzes obliegenden Maßnahmen in einer geeigneten Form getroffen hat und ob das danach einzurichtende Überwachungssystem seine Aufgaben erfüllen kann.</w:t>
      </w:r>
    </w:p>
    <w:p>
      <w:r>
        <w:t>(4a) Soweit nichts anderes bestimmt ist, hat die Prüfung sich nicht darauf zu erstrecken, ob der Fortbestand der geprüften Kapitalgesellschaft oder die Wirksamkeit und Wirtschaftlichkeit der Geschäftsführung zugesichert werden kann.</w:t>
      </w:r>
    </w:p>
    <w:p>
      <w:r>
        <w:t>(5) Bei der Durchführung einer Prüfung hat der Abschlussprüfer die internationalen Prüfungsstandards anzuwenden, die von der Europäischen Kommission in dem Verfahren nach Artikel 26 Absatz 3 der Richtlinie 2006/43/EG des Europäischen Parlaments und des Rates vom 17. Mai 2006 über Abschlussprüfungen von Jahresabschlüssen und konsolidierten Abschlüssen, zur Änderung der Richtlinien 78/660/EWG und 83/349/EWG des Rates und zur Aufhebung der Richtlinie 84/253/EWG des Rates (ABl. EU Nr. L 157 S. 87), die zuletzt durch die Richtlinie 2014/56/EU (ABl. L 158 vom 27.5.2014, S. 196) geändert worden ist, angenommen worden sind.</w:t>
      </w:r>
    </w:p>
    <w:p>
      <w:r>
        <w:t>(6) Das Bundesministerium der Justiz wird ermächtigt, im Einvernehmen mit dem Bundesministerium für Wirtschaft und Klimaschutz durch Rechtsverordnung, die nicht der Zustimmung des Bundesrates bedarf, zusätzlich zu den bei der Durchführung der Abschlussprüfung nach Absatz 5 anzuwendenden internationalen Prüfungsstandards weitere Abschlussprüfungsanforderungen vorzuschreiben, wenn dies durch den Umfang der Abschlussprüfung bedingt ist und den in den Absätzen 1 bis 4 genannten Prüfungszielen dient.</w:t>
      </w:r>
    </w:p>
    <w:p>
      <w:pPr>
        <w:pStyle w:val="Heading4"/>
      </w:pPr>
      <w:bookmarkStart w:id="353" w:name="b352"/>
      <w:r>
        <w:t>§ 318 Bestellung und Abberufung des Abschlußprüfers</w:t>
      </w:r>
      <w:r>
        <w:t xml:space="preserve"> </w:t>
      </w:r>
      <w:r>
        <w:rPr>
          <w:rStyle w:val="Suchmarke"/>
        </w:rPr>
        <w:t>#318#</w:t>
      </w:r>
      <w:bookmarkEnd w:id="353"/>
    </w:p>
    <w:p>
      <w:r>
        <w:t xml:space="preserve">(1) </w:t>
      </w:r>
      <w:r>
        <w:rPr>
          <w:rStyle w:val="Satznummer"/>
        </w:rPr>
        <w:t>1</w:t>
      </w:r>
      <w:r>
        <w:t xml:space="preserve">Der Abschlußprüfer des Jahresabschlusses wird von den Gesellschaftern gewählt; den Abschlußprüfer des Konzernabschlusses wählen die Gesellschafter des Mutterunternehmens. </w:t>
      </w:r>
      <w:r>
        <w:rPr>
          <w:rStyle w:val="Satznummer"/>
        </w:rPr>
        <w:t>2</w:t>
      </w:r>
      <w:r>
        <w:t xml:space="preserve">Bei Gesellschaften mit beschränkter Haftung und bei offenen Handelsgesellschaften und Kommanditgesellschaften im Sinne des </w:t>
      </w:r>
      <w:hyperlink w:anchor="b266" w:history="1">
        <w:r>
          <w:rPr>
            <w:color w:val="0A3A8C"/>
            <w:u w:val="single"/>
          </w:rPr>
          <w:t xml:space="preserve">§ 264a</w:t>
        </w:r>
      </w:hyperlink>
      <w:r>
        <w:t xml:space="preserve"> Abs. 1 kann der Gesellschaftsvertrag etwas anderes bestimmen. </w:t>
      </w:r>
      <w:r>
        <w:rPr>
          <w:rStyle w:val="Satznummer"/>
        </w:rPr>
        <w:t>3</w:t>
      </w:r>
      <w:r>
        <w:t xml:space="preserve">Der Abschlußprüfer soll jeweils vor Ablauf des </w:t>
      </w:r>
      <w:r>
        <w:rPr>
          <w:i/>
        </w:rPr>
        <w:t>Geschäftsjahrs</w:t>
      </w:r>
      <w:r>
        <w:t xml:space="preserve"> gewählt werden, auf das sich seine Prüfungstätigkeit erstreckt. </w:t>
      </w:r>
      <w:r>
        <w:rPr>
          <w:rStyle w:val="Satznummer"/>
        </w:rPr>
        <w:t>4</w:t>
      </w:r>
      <w:r>
        <w:t xml:space="preserve">Die gesetzlichen Vertreter, bei Zuständigkeit des Aufsichtsrats dieser, haben unverzüglich nach der Wahl den Prüfungsauftrag zu erteilen. </w:t>
      </w:r>
      <w:r>
        <w:rPr>
          <w:rStyle w:val="Satznummer"/>
        </w:rPr>
        <w:t>5</w:t>
      </w:r>
      <w:r>
        <w:t>Der Prüfungsauftrag kann nur widerrufen werden, wenn nach Absatz 3 ein anderer Prüfer bestellt worden ist.</w:t>
      </w:r>
    </w:p>
    <w:p>
      <w:r>
        <w:t>(1a) Eine Vereinbarung, die die Wahlmöglichkeiten nach Absatz 1 auf bestimmte Kategorien oder Listen von Prüfern oder Prüfungsgesellschaften beschränkt, ist nichtig.</w:t>
      </w:r>
    </w:p>
    <w:p>
      <w:r>
        <w:t xml:space="preserve">(2) </w:t>
      </w:r>
      <w:r>
        <w:rPr>
          <w:rStyle w:val="Satznummer"/>
        </w:rPr>
        <w:t>1</w:t>
      </w:r>
      <w:r>
        <w:t xml:space="preserve">Als Abschlußprüfer des Konzernabschlusses gilt, wenn kein anderer Prüfer bestellt wird, der Prüfer als bestellt, der für die Prüfung des in den Konzernabschluß einbezogenen Jahresabschlusses des Mutterunternehmens bestellt worden ist. </w:t>
      </w:r>
      <w:r>
        <w:rPr>
          <w:rStyle w:val="Satznummer"/>
        </w:rPr>
        <w:t>2</w:t>
      </w:r>
      <w:r>
        <w:t>Erfolgt die Einbeziehung auf Grund eines Zwischenabschlusses, so gilt, wenn kein anderer Prüfer bestellt wird, der Prüfer als bestellt, der für die Prüfung des letzten vor dem Konzernabschlußstichtag aufgestellten Jahresabschlusses des Mutterunternehmens bestellt worden ist.</w:t>
      </w:r>
    </w:p>
    <w:p>
      <w:r>
        <w:t xml:space="preserve">(3) </w:t>
      </w:r>
      <w:r>
        <w:rPr>
          <w:rStyle w:val="Satznummer"/>
        </w:rPr>
        <w:t>1</w:t>
      </w:r>
      <w:r>
        <w:t>Auf Antrag der gesetzlichen Vertreter, des Aufsichtsrats oder von Gesellschaftern, deren Anteile bei Antragstellung zusammen den zwanzigsten Teil der Stimmrechte oder des gezeichneten Kapitals oder einen Börsenwert von 500 000 Euro erreichen, hat das Gericht nach Anhörung der Beteiligten und des gewählten Prüfers einen anderen Abschlussprüfer zu bestellen, wenn</w:t>
      </w:r>
    </w:p>
    <w:p>
      <w:pPr>
        <w:tabs>
          <w:tab w:pos="567" w:val="left"/>
        </w:tabs>
        <w:ind w:left="567" w:hanging="567"/>
      </w:pPr>
      <w:r>
        <w:t>1.</w:t>
      </w:r>
      <w:r>
        <w:tab/>
      </w:r>
      <w:r>
        <w:t xml:space="preserve">dies aus einem in der Person des gewählten Prüfers liegenden Grund geboten erscheint, insbesondere, wenn ein Ausschlussgrund nach </w:t>
      </w:r>
      <w:hyperlink w:anchor="b353" w:history="1">
        <w:r>
          <w:rPr>
            <w:color w:val="0A3A8C"/>
            <w:u w:val="single"/>
          </w:rPr>
          <w:t xml:space="preserve">§ 319</w:t>
        </w:r>
      </w:hyperlink>
      <w:r>
        <w:t xml:space="preserve"> Absatz 2 bis 5 oder nach </w:t>
      </w:r>
      <w:hyperlink w:anchor="b355" w:history="1">
        <w:r>
          <w:rPr>
            <w:color w:val="0A3A8C"/>
            <w:u w:val="single"/>
          </w:rPr>
          <w:t xml:space="preserve">§ 319b</w:t>
        </w:r>
      </w:hyperlink>
      <w:r>
        <w:t xml:space="preserve"> besteht oder ein Verstoß gegen Artikel 5 Absatz 4 Unterabsatz 1 Satz 1 oder Absatz 5 Unterabsatz 2 Satz 2 der Verordnung (EU) Nr. 537/2014 vorliegt, oder</w:t>
      </w:r>
    </w:p>
    <w:p>
      <w:pPr>
        <w:tabs>
          <w:tab w:pos="567" w:val="left"/>
        </w:tabs>
        <w:ind w:left="567" w:hanging="567"/>
      </w:pPr>
      <w:r>
        <w:t>2.</w:t>
      </w:r>
      <w:r>
        <w:tab/>
      </w:r>
      <w:r>
        <w:t>die Vorschriften zur Bestellung des Prüfers nach Artikel 16 der Verordnung (EU) Nr. 537/2014 oder die Vorschriften zur Laufzeit des Prüfungsmandats nach Artikel 17 der Verordnung (EU) Nr. 537/2014 nicht eingehalten worden sind.</w:t>
      </w:r>
    </w:p>
    <w:p>
      <w:r>
        <w:rPr>
          <w:rStyle w:val="Satznummer"/>
        </w:rPr>
        <w:t>2</w:t>
      </w:r>
      <w:r>
        <w:t xml:space="preserve">Der Antrag ist binnen zwei Wochen nach dem Tag der Wahl des Abschlussprüfers zu stellen; Aktionäre können den Antrag nur stellen, wenn sie gegen die Wahl des Abschlussprüfers bei der Beschlussfassung Widerspruch erklärt haben. </w:t>
      </w:r>
      <w:r>
        <w:rPr>
          <w:rStyle w:val="Satznummer"/>
        </w:rPr>
        <w:t>3</w:t>
      </w:r>
      <w:r>
        <w:t xml:space="preserve">Wird ein Grund zur Bestellung eines anderen Abschlussprüfers als des gewählten Prüfers erst nach dessen Wahl bekannt oder tritt ein solcher Grund erst nach dessen Wahl ein, ist der Antrag binnen zwei Wochen nach dem Tag zu stellen, an dem der Antragsberechtigte Kenntnis von den antragsbegründenden Umständen erlangt hat oder ohne grobe Fahrlässigkeit hätte erlangen müssen. </w:t>
      </w:r>
      <w:r>
        <w:rPr>
          <w:rStyle w:val="Satznummer"/>
        </w:rPr>
        <w:t>4</w:t>
      </w:r>
      <w:r>
        <w:t xml:space="preserve">Stellen Aktionäre den Antrag, so haben sie glaubhaft zu machen, dass sie seit mindestens drei Monaten vor dem Tag der Wahl des Abschlussprüfers Inhaber der Aktien sind. </w:t>
      </w:r>
      <w:r>
        <w:rPr>
          <w:rStyle w:val="Satznummer"/>
        </w:rPr>
        <w:t>5</w:t>
      </w:r>
      <w:r>
        <w:t xml:space="preserve">Zur Glaubhaftmachung genügt eine eidesstattliche Versicherung vor einem Notar. </w:t>
      </w:r>
      <w:r>
        <w:rPr>
          <w:rStyle w:val="Satznummer"/>
        </w:rPr>
        <w:t>6</w:t>
      </w:r>
      <w:r>
        <w:t xml:space="preserve">Unterliegt die Gesellschaft einer staatlichen Aufsicht, so kann auch die Aufsichtsbehörde den Antrag stellen. </w:t>
      </w:r>
      <w:r>
        <w:rPr>
          <w:rStyle w:val="Satznummer"/>
        </w:rPr>
        <w:t>7</w:t>
      </w:r>
      <w:r>
        <w:t xml:space="preserve">Der Antrag kann nach Erteilung des Bestätigungsvermerks, im Fall einer Nachtragsprüfung nach </w:t>
      </w:r>
      <w:hyperlink w:anchor="b349" w:history="1">
        <w:r>
          <w:rPr>
            <w:color w:val="0A3A8C"/>
            <w:u w:val="single"/>
          </w:rPr>
          <w:t xml:space="preserve">§ 316</w:t>
        </w:r>
      </w:hyperlink>
      <w:r>
        <w:t xml:space="preserve"> Abs. 3 nach Ergänzung des Bestätigungsvermerks nicht mehr gestellt werden. </w:t>
      </w:r>
      <w:r>
        <w:rPr>
          <w:rStyle w:val="Satznummer"/>
        </w:rPr>
        <w:t>8</w:t>
      </w:r>
      <w:r>
        <w:t>Gegen die Entscheidung ist die Beschwerde zulässig.</w:t>
      </w:r>
    </w:p>
    <w:p>
      <w:r>
        <w:t xml:space="preserve">(4) </w:t>
      </w:r>
      <w:r>
        <w:rPr>
          <w:rStyle w:val="Satznummer"/>
        </w:rPr>
        <w:t>1</w:t>
      </w:r>
      <w:r>
        <w:t xml:space="preserve">Ist der Abschlußprüfer bis zum Ablauf des Geschäftsjahrs nicht gewählt worden, so hat das Gericht auf Antrag der gesetzlichen Vertreter, des Aufsichtsrats oder eines Gesellschafters den Abschlußprüfer zu bestellen. </w:t>
      </w:r>
      <w:r>
        <w:rPr>
          <w:rStyle w:val="Satznummer"/>
        </w:rPr>
        <w:t>2</w:t>
      </w:r>
      <w:r>
        <w:t xml:space="preserve">Gleiches gilt, wenn ein gewählter Abschlußprüfer die Annahme des Prüfungsauftrags abgelehnt hat, weggefallen ist oder am rechtzeitigen Abschluß der Prüfung verhindert ist und ein anderer Abschlußprüfer nicht gewählt worden ist. </w:t>
      </w:r>
      <w:r>
        <w:rPr>
          <w:rStyle w:val="Satznummer"/>
        </w:rPr>
        <w:t>3</w:t>
      </w:r>
      <w:r>
        <w:t xml:space="preserve">Die gesetzlichen Vertreter sind verpflichtet, den Antrag zu stellen. </w:t>
      </w:r>
      <w:r>
        <w:rPr>
          <w:rStyle w:val="Satznummer"/>
        </w:rPr>
        <w:t>4</w:t>
      </w:r>
      <w:r>
        <w:t>Gegen die Entscheidung des Gerichts findet die Beschwerde statt; die Bestellung des Abschlußprüfers ist unanfechtbar.</w:t>
      </w:r>
    </w:p>
    <w:p>
      <w:r>
        <w:t xml:space="preserve">(5) </w:t>
      </w:r>
      <w:r>
        <w:rPr>
          <w:rStyle w:val="Satznummer"/>
        </w:rPr>
        <w:t>1</w:t>
      </w:r>
      <w:r>
        <w:t xml:space="preserve">Der vom Gericht bestellte Abschlußprüfer hat Anspruch auf Ersatz angemessener barer Auslagen und auf Vergütung für seine Tätigkeit. </w:t>
      </w:r>
      <w:r>
        <w:rPr>
          <w:rStyle w:val="Satznummer"/>
        </w:rPr>
        <w:t>2</w:t>
      </w:r>
      <w:r>
        <w:t xml:space="preserve">Die Auslagen und die Vergütung setzt das Gericht fest. </w:t>
      </w:r>
      <w:r>
        <w:rPr>
          <w:rStyle w:val="Satznummer"/>
        </w:rPr>
        <w:t>3</w:t>
      </w:r>
      <w:r>
        <w:t xml:space="preserve">Gegen die Entscheidung findet die Beschwerde statt; die Rechtsbeschwerde ist ausgeschlossen. </w:t>
      </w:r>
      <w:r>
        <w:rPr>
          <w:rStyle w:val="Satznummer"/>
        </w:rPr>
        <w:t>4</w:t>
      </w:r>
      <w:r>
        <w:t>Aus der rechtskräftigen Entscheidung findet die Zwangsvollstreckung nach der Zivilprozeßordnung statt.</w:t>
      </w:r>
    </w:p>
    <w:p>
      <w:r>
        <w:t xml:space="preserve">(6) </w:t>
      </w:r>
      <w:r>
        <w:rPr>
          <w:rStyle w:val="Satznummer"/>
        </w:rPr>
        <w:t>1</w:t>
      </w:r>
      <w:r>
        <w:t xml:space="preserve">Ein von dem Abschlußprüfer angenommener Prüfungsauftrag kann von dem Abschlußprüfer nur aus wichtigem Grund gekündigt werden. </w:t>
      </w:r>
      <w:r>
        <w:rPr>
          <w:rStyle w:val="Satznummer"/>
        </w:rPr>
        <w:t>2</w:t>
      </w:r>
      <w:r>
        <w:t xml:space="preserve">Als wichtiger Grund ist es nicht anzusehen, wenn Meinungsverschiedenheiten über den Inhalt des Bestätigungsvermerks, seine Einschränkung oder Versagung bestehen. </w:t>
      </w:r>
      <w:r>
        <w:rPr>
          <w:rStyle w:val="Satznummer"/>
        </w:rPr>
        <w:t>3</w:t>
      </w:r>
      <w:r>
        <w:t xml:space="preserve">Die Kündigung ist schriftlich zu begründen. </w:t>
      </w:r>
      <w:r>
        <w:rPr>
          <w:rStyle w:val="Satznummer"/>
        </w:rPr>
        <w:t>4</w:t>
      </w:r>
      <w:r>
        <w:t xml:space="preserve">Der Abschlußprüfer hat über das Ergebnis seiner bisherigen Prüfung zu berichten; </w:t>
      </w:r>
      <w:hyperlink w:anchor="b357" w:history="1">
        <w:r>
          <w:rPr>
            <w:color w:val="0A3A8C"/>
            <w:u w:val="single"/>
          </w:rPr>
          <w:t xml:space="preserve">§ 321</w:t>
        </w:r>
      </w:hyperlink>
      <w:r>
        <w:t xml:space="preserve"> ist entsprechend anzuwenden.</w:t>
      </w:r>
    </w:p>
    <w:p>
      <w:r>
        <w:t xml:space="preserve">(7) </w:t>
      </w:r>
      <w:r>
        <w:rPr>
          <w:rStyle w:val="Satznummer"/>
        </w:rPr>
        <w:t>1</w:t>
      </w:r>
      <w:r>
        <w:t xml:space="preserve">Kündigt der Abschlußprüfer den Prüfungsauftrag nach Absatz 6, so haben die gesetzlichen Vertreter die Kündigung dem Aufsichtsrat, der nächsten Hauptversammlung oder bei Gesellschaften mit beschränkter Haftung den Gesellschaftern mitzuteilen. </w:t>
      </w:r>
      <w:r>
        <w:rPr>
          <w:rStyle w:val="Satznummer"/>
        </w:rPr>
        <w:t>2</w:t>
      </w:r>
      <w:r>
        <w:t xml:space="preserve">Den Bericht des bisherigen Abschlußprüfers haben die gesetzlichen Vertreter unverzüglich dem Aufsichtsrat vorzulegen. </w:t>
      </w:r>
      <w:r>
        <w:rPr>
          <w:rStyle w:val="Satznummer"/>
        </w:rPr>
        <w:t>3</w:t>
      </w:r>
      <w:r>
        <w:t xml:space="preserve">Jedes Aufsichtsratsmitglied hat das Recht, von dem Bericht Kenntnis zu nehmen. </w:t>
      </w:r>
      <w:r>
        <w:rPr>
          <w:rStyle w:val="Satznummer"/>
        </w:rPr>
        <w:t>4</w:t>
      </w:r>
      <w:r>
        <w:t xml:space="preserve">Der Bericht ist auch jedem Aufsichtsratsmitglied oder, soweit der Aufsichtsrat dies beschlossen hat, den Mitgliedern eines Ausschusses auszuhändigen. </w:t>
      </w:r>
      <w:r>
        <w:rPr>
          <w:rStyle w:val="Satznummer"/>
        </w:rPr>
        <w:t>5</w:t>
      </w:r>
      <w:r>
        <w:t>Ist der Prüfungsauftrag vom Aufsichtsrat erteilt worden, obliegen die Pflichten der gesetzlichen Vertreter dem Aufsichtsrat einschließlich der Unterrichtung der gesetzlichen Vertreter.</w:t>
      </w:r>
    </w:p>
    <w:p>
      <w:r>
        <w:t>(8) Die Wirtschaftsprüferkammer ist unverzüglich und schriftlich begründet durch den Abschlussprüfer und die gesetzlichen Vertreter der geprüften Gesellschaft von der Kündigung oder dem Widerruf des Prüfungsauftrages zu unterrichten.</w:t>
      </w:r>
    </w:p>
    <w:p>
      <w:pPr>
        <w:pStyle w:val="Heading4"/>
      </w:pPr>
      <w:bookmarkStart w:id="354" w:name="b353"/>
      <w:r>
        <w:t>§ 319 Auswahl der Abschlussprüfer und Ausschlussgründe</w:t>
      </w:r>
      <w:r>
        <w:t xml:space="preserve"> </w:t>
      </w:r>
      <w:r>
        <w:rPr>
          <w:rStyle w:val="Suchmarke"/>
        </w:rPr>
        <w:t>#319#</w:t>
      </w:r>
      <w:bookmarkEnd w:id="354"/>
    </w:p>
    <w:p>
      <w:r>
        <w:t xml:space="preserve">(1) </w:t>
      </w:r>
      <w:r>
        <w:rPr>
          <w:rStyle w:val="Satznummer"/>
        </w:rPr>
        <w:t>1</w:t>
      </w:r>
      <w:r>
        <w:t xml:space="preserve">Abschlussprüfer können Wirtschaftsprüfer und Wirtschaftsprüfungsgesellschaften sein. </w:t>
      </w:r>
      <w:r>
        <w:rPr>
          <w:rStyle w:val="Satznummer"/>
        </w:rPr>
        <w:t>2</w:t>
      </w:r>
      <w:r>
        <w:t>Abschlussprüfer von Jahresabschlüssen und Lageberichten mittelgroßer Gesellschaften mit beschränkter Haftung (</w:t>
      </w:r>
      <w:hyperlink w:anchor="b273" w:history="1">
        <w:r>
          <w:rPr>
            <w:color w:val="0A3A8C"/>
            <w:u w:val="single"/>
          </w:rPr>
          <w:t xml:space="preserve">§ 267</w:t>
        </w:r>
      </w:hyperlink>
      <w:r>
        <w:t xml:space="preserve"> Abs. 2) oder von mittelgroßen Personenhandelsgesellschaften im Sinne des </w:t>
      </w:r>
      <w:hyperlink w:anchor="b266" w:history="1">
        <w:r>
          <w:rPr>
            <w:color w:val="0A3A8C"/>
            <w:u w:val="single"/>
          </w:rPr>
          <w:t xml:space="preserve">§ 264a</w:t>
        </w:r>
      </w:hyperlink>
      <w:r>
        <w:t xml:space="preserve"> Abs. 1 können auch vereidigte Buchprüfer und Buchprüfungsgesellschaften sein. </w:t>
      </w:r>
      <w:r>
        <w:rPr>
          <w:rStyle w:val="Satznummer"/>
        </w:rPr>
        <w:t>3</w:t>
      </w:r>
      <w:r>
        <w:t xml:space="preserve">Die Abschlussprüfer nach den Sätzen 1 und 2 müssen über einen Auszug aus dem Berufsregister verfügen, aus dem sich ergibt, dass die Eintragung nach § 38 Nummer 1 Buchstabe h oder Nummer 2 Buchstabe f der Wirtschaftsprüferordnung vorgenommen worden ist; Abschlussprüfer, die erstmalig eine gesetzlich vorgeschriebene Abschlussprüfung nach § 316 des Handelsgesetzbuchs durchführen, müssen spätestens sechs Wochen nach Annahme eines Prüfungsauftrages über den Auszug aus dem Berufsregister verfügen. </w:t>
      </w:r>
      <w:r>
        <w:rPr>
          <w:rStyle w:val="Satznummer"/>
        </w:rPr>
        <w:t>4</w:t>
      </w:r>
      <w:r>
        <w:t>Die Abschlussprüfer sind während einer laufenden Abschlussprüfung verpflichtet, eine Löschung der Eintragung unverzüglich gegenüber der Gesellschaft anzuzeigen.</w:t>
      </w:r>
    </w:p>
    <w:p>
      <w:r>
        <w:t>(2) Ein Wirtschaftsprüfer oder vereidigter Buchprüfer ist als Abschlussprüfer ausgeschlossen, wenn während des Geschäftsjahres, für dessen Schluss der zu prüfende Jahresabschluss aufgestellt wird, oder während der Abschlussprüfung Gründe, insbesondere Beziehungen geschäftlicher, finanzieller oder persönlicher Art, vorliegen, nach denen die Besorgnis der Befangenheit besteht.</w:t>
      </w:r>
    </w:p>
    <w:p>
      <w:r>
        <w:t xml:space="preserve">(3) </w:t>
      </w:r>
      <w:r>
        <w:rPr>
          <w:rStyle w:val="Satznummer"/>
        </w:rPr>
        <w:t>1</w:t>
      </w:r>
      <w:r>
        <w:t>Ein Wirtschaftsprüfer oder vereidigter Buchprüfer ist insbesondere von der Abschlussprüfung ausgeschlossen, wenn er oder eine Person, mit der er seinen Beruf gemeinsam ausübt,</w:t>
      </w:r>
    </w:p>
    <w:p>
      <w:pPr>
        <w:tabs>
          <w:tab w:pos="567" w:val="left"/>
        </w:tabs>
        <w:ind w:left="567" w:hanging="567"/>
      </w:pPr>
      <w:r>
        <w:t>1.</w:t>
      </w:r>
      <w:r>
        <w:tab/>
      </w:r>
      <w:r>
        <w:t>Anteile oder andere nicht nur unwesentliche finanzielle Interessen an der zu prüfenden Kapitalgesellschaft oder eine Beteiligung an einem Unternehmen besitzt, das mit der zu prüfenden Kapitalgesellschaft verbunden ist oder von dieser mehr als zwanzig vom Hundert der Anteile besitzt;</w:t>
      </w:r>
    </w:p>
    <w:p>
      <w:pPr>
        <w:tabs>
          <w:tab w:pos="567" w:val="left"/>
        </w:tabs>
        <w:ind w:left="567" w:hanging="567"/>
      </w:pPr>
      <w:r>
        <w:t>2.</w:t>
      </w:r>
      <w:r>
        <w:tab/>
      </w:r>
      <w:r>
        <w:t>gesetzlicher Vertreter, Mitglied des Aufsichtsrats oder Arbeitnehmer der zu prüfenden Kapitalgesellschaft oder eines Unternehmens ist, das mit der zu prüfenden Kapitalgesellschaft verbunden ist oder von dieser mehr als zwanzig vom Hundert der Anteile besitzt;</w:t>
      </w:r>
    </w:p>
    <w:p>
      <w:pPr>
        <w:tabs>
          <w:tab w:pos="567" w:val="left"/>
        </w:tabs>
        <w:ind w:left="567" w:hanging="567"/>
      </w:pPr>
      <w:r>
        <w:t>3.</w:t>
      </w:r>
      <w:r>
        <w:tab/>
      </w:r>
      <w:r>
        <w:t>über die Prüfungstätigkeit hinaus bei der zu prüfenden oder für die zu prüfende Kapitalgesellschaft in dem zu prüfenden Geschäftsjahr oder bis zur Erteilung des Bestätigungsvermerks</w:t>
      </w:r>
    </w:p>
    <w:p>
      <w:pPr>
        <w:tabs>
          <w:tab w:pos="1134" w:val="left"/>
        </w:tabs>
        <w:ind w:left="1134" w:hanging="567"/>
      </w:pPr>
      <w:r>
        <w:t>a)</w:t>
      </w:r>
      <w:r>
        <w:tab/>
      </w:r>
      <w:r>
        <w:t>bei der Führung der Bücher oder der Aufstellung des zu prüfenden Jahresabschlusses mitgewirkt hat,</w:t>
      </w:r>
    </w:p>
    <w:p>
      <w:pPr>
        <w:tabs>
          <w:tab w:pos="1134" w:val="left"/>
        </w:tabs>
        <w:ind w:left="1134" w:hanging="567"/>
      </w:pPr>
      <w:r>
        <w:t>b)</w:t>
      </w:r>
      <w:r>
        <w:tab/>
      </w:r>
      <w:r>
        <w:t>bei der Durchführung der internen Revision in verantwortlicher Position mitgewirkt hat,</w:t>
      </w:r>
    </w:p>
    <w:p>
      <w:pPr>
        <w:tabs>
          <w:tab w:pos="1134" w:val="left"/>
        </w:tabs>
        <w:ind w:left="1134" w:hanging="567"/>
      </w:pPr>
      <w:r>
        <w:t>c)</w:t>
      </w:r>
      <w:r>
        <w:tab/>
      </w:r>
      <w:r>
        <w:t>Unternehmensleitungs- oder Finanzdienstleistungen erbracht hat oder</w:t>
      </w:r>
    </w:p>
    <w:p>
      <w:pPr>
        <w:tabs>
          <w:tab w:pos="1134" w:val="left"/>
        </w:tabs>
        <w:ind w:left="1134" w:hanging="567"/>
      </w:pPr>
      <w:r>
        <w:t>d)</w:t>
      </w:r>
      <w:r>
        <w:tab/>
      </w:r>
      <w:r>
        <w:t>eigenständige versicherungsmathematische oder Bewertungsleistungen erbracht hat, die sich auf den zu prüfenden Jahresabschluss nicht nur unwesentlich auswirken,</w:t>
      </w:r>
    </w:p>
    <w:p>
      <w:pPr>
        <w:ind w:left="567"/>
      </w:pPr>
      <w:r>
        <w:t>sofern diese Tätigkeiten nicht von untergeordneter Bedeutung sind; dies gilt auch, wenn eine dieser Tätigkeiten von einem Unternehmen für die zu prüfende Kapitalgesellschaft ausgeübt wird, bei dem der Wirtschaftsprüfer oder vereidigte Buchprüfer gesetzlicher Vertreter, Arbeitnehmer, Mitglied des Aufsichtsrats oder Gesellschafter, der mehr als zwanzig vom Hundert der den Gesellschaftern zustehenden Stimmrechte besitzt, ist;</w:t>
      </w:r>
    </w:p>
    <w:p>
      <w:pPr>
        <w:tabs>
          <w:tab w:pos="567" w:val="left"/>
        </w:tabs>
        <w:ind w:left="567" w:hanging="567"/>
      </w:pPr>
      <w:r>
        <w:t>4.</w:t>
      </w:r>
      <w:r>
        <w:tab/>
      </w:r>
      <w:r>
        <w:t>bei der Prüfung eine Person beschäftigt, die nach den Nummern 1 bis 3 nicht Abschlussprüfer sein darf;</w:t>
      </w:r>
    </w:p>
    <w:p>
      <w:pPr>
        <w:tabs>
          <w:tab w:pos="567" w:val="left"/>
        </w:tabs>
        <w:ind w:left="567" w:hanging="567"/>
      </w:pPr>
      <w:r>
        <w:t>5.</w:t>
      </w:r>
      <w:r>
        <w:tab/>
      </w:r>
      <w:r>
        <w:t>in den letzten fünf Jahren jeweils mehr als dreißig vom Hundert der Gesamteinnahmen aus seiner beruflichen Tätigkeit von der zu prüfenden Kapitalgesellschaft und von Unternehmen, an denen die zu prüfende Kapitalgesellschaft mehr als zwanzig vom Hundert der Anteile besitzt, bezogen hat und dies auch im laufenden Geschäftsjahr zu erwarten ist; zur Vermeidung von Härtefällen kann die Wirtschaftsprüferkammer befristete Ausnahmegenehmigungen erteilen.</w:t>
      </w:r>
    </w:p>
    <w:p>
      <w:r>
        <w:rPr>
          <w:rStyle w:val="Satznummer"/>
        </w:rPr>
        <w:t>2</w:t>
      </w:r>
      <w:r>
        <w:t>Dies gilt auch, wenn der Ehegatte oder der Lebenspartner einen Ausschlussgrund nach Satz 1 Nr. 1, 2 oder 3 erfüllt.</w:t>
      </w:r>
    </w:p>
    <w:p>
      <w:r>
        <w:t xml:space="preserve">(4) </w:t>
      </w:r>
      <w:r>
        <w:rPr>
          <w:rStyle w:val="Satznummer"/>
        </w:rPr>
        <w:t>1</w:t>
      </w:r>
      <w:r>
        <w:t xml:space="preserve">Wirtschaftsprüfungsgesellschaften und Buchprüfungsgesellschaften sind von der Abschlussprüfung ausgeschlossen, wenn sie selbst, einer ihrer gesetzlichen Vertreter, ein Gesellschafter, der mehr als zwanzig vom Hundert der den Gesellschaftern zustehenden Stimmrechte besitzt, ein verbundenes Unternehmen, ein bei der Prüfung in verantwortlicher Position beschäftigter Gesellschafter oder eine andere von ihr beschäftigte Person, die das Ergebnis der Prüfung beeinflussen kann, nach Absatz 2 oder Absatz 3 ausgeschlossen sind. </w:t>
      </w:r>
      <w:r>
        <w:rPr>
          <w:rStyle w:val="Satznummer"/>
        </w:rPr>
        <w:t>2</w:t>
      </w:r>
      <w:r>
        <w:t>Satz 1 gilt auch, wenn ein Mitglied des Aufsichtsrats nach Absatz 3 Satz 1 Nr. 2 ausgeschlossen ist oder wenn mehrere Gesellschafter, die zusammen mehr als zwanzig vom Hundert der den Gesellschaftern zustehenden Stimmrechte besitzen, jeweils einzeln oder zusammen nach Absatz 2 oder Absatz 3 ausgeschlossen sind.</w:t>
      </w:r>
    </w:p>
    <w:p>
      <w:r>
        <w:t>(5) Absatz 1 Satz 3 sowie die Absätze 2 bis 4 sind auf den Abschlussprüfer des Konzernabschlusses entsprechend anzuwenden.</w:t>
      </w:r>
    </w:p>
    <w:p>
      <w:pPr>
        <w:pStyle w:val="Heading4"/>
      </w:pPr>
      <w:bookmarkStart w:id="355" w:name="b354"/>
      <w:r>
        <w:t>§ 319a (weggefallen)</w:t>
      </w:r>
      <w:r>
        <w:t xml:space="preserve"> </w:t>
      </w:r>
      <w:r>
        <w:rPr>
          <w:rStyle w:val="Suchmarke"/>
        </w:rPr>
        <w:t>#319a#</w:t>
      </w:r>
      <w:bookmarkEnd w:id="355"/>
    </w:p>
    <w:p>
      <w:pPr>
        <w:pStyle w:val="Heading4"/>
      </w:pPr>
      <w:bookmarkStart w:id="356" w:name="b355"/>
      <w:r>
        <w:t>§ 319b Netzwerk</w:t>
      </w:r>
      <w:r>
        <w:t xml:space="preserve"> </w:t>
      </w:r>
      <w:r>
        <w:rPr>
          <w:rStyle w:val="Suchmarke"/>
        </w:rPr>
        <w:t>#319b#</w:t>
      </w:r>
      <w:bookmarkEnd w:id="356"/>
    </w:p>
    <w:p>
      <w:r>
        <w:t xml:space="preserve">(1) </w:t>
      </w:r>
      <w:r>
        <w:rPr>
          <w:rStyle w:val="Satznummer"/>
        </w:rPr>
        <w:t>1</w:t>
      </w:r>
      <w:r>
        <w:t xml:space="preserve">Ein Abschlussprüfer ist von der Abschlussprüfung ausgeschlossen, wenn ein Mitglied seines Netzwerks einen Ausschlussgrund nach </w:t>
      </w:r>
      <w:hyperlink w:anchor="b353" w:history="1">
        <w:r>
          <w:rPr>
            <w:color w:val="0A3A8C"/>
            <w:u w:val="single"/>
          </w:rPr>
          <w:t xml:space="preserve">§ 319</w:t>
        </w:r>
      </w:hyperlink>
      <w:r>
        <w:t xml:space="preserve"> Abs. 2, 3 Satz 1 Nr. 1, 2 oder Nr. 4, Abs. 3 Satz 2 oder Abs. 4 erfüllt, es sei denn, dass das Netzwerkmitglied auf das Ergebnis der Abschlussprüfung keinen Einfluss nehmen kann. </w:t>
      </w:r>
      <w:r>
        <w:rPr>
          <w:rStyle w:val="Satznummer"/>
        </w:rPr>
        <w:t>2</w:t>
      </w:r>
      <w:r>
        <w:t xml:space="preserve">Er ist ausgeschlossen, wenn ein Mitglied seines Netzwerks einen Ausschlussgrund nach </w:t>
      </w:r>
      <w:hyperlink w:anchor="b353" w:history="1">
        <w:r>
          <w:rPr>
            <w:color w:val="0A3A8C"/>
            <w:u w:val="single"/>
          </w:rPr>
          <w:t xml:space="preserve">§ 319</w:t>
        </w:r>
      </w:hyperlink>
      <w:r>
        <w:t xml:space="preserve"> Abs. 3 Satz 1 Nr. 3 erfüllt. </w:t>
      </w:r>
      <w:r>
        <w:rPr>
          <w:rStyle w:val="Satznummer"/>
        </w:rPr>
        <w:t>3</w:t>
      </w:r>
      <w:r>
        <w:t>Ein Netzwerk liegt vor, wenn Personen bei ihrer Berufsausübung zur Verfolgung gemeinsamer wirtschaftlicher Interessen für eine gewisse Dauer zusammenwirken.</w:t>
      </w:r>
    </w:p>
    <w:p>
      <w:r>
        <w:t>(2) Absatz 1 ist auf den Abschlussprüfer des Konzernabschlusses entsprechend anzuwenden.</w:t>
      </w:r>
    </w:p>
    <w:p>
      <w:pPr>
        <w:pStyle w:val="Heading4"/>
      </w:pPr>
      <w:bookmarkStart w:id="357" w:name="b356"/>
      <w:r>
        <w:t>§ 320 Vorlagepflicht. Auskunftsrecht</w:t>
      </w:r>
      <w:r>
        <w:t xml:space="preserve"> </w:t>
      </w:r>
      <w:r>
        <w:rPr>
          <w:rStyle w:val="Suchmarke"/>
        </w:rPr>
        <w:t>#320#</w:t>
      </w:r>
      <w:bookmarkEnd w:id="357"/>
    </w:p>
    <w:p>
      <w:r>
        <w:t xml:space="preserve">(1) </w:t>
      </w:r>
      <w:r>
        <w:rPr>
          <w:rStyle w:val="Satznummer"/>
        </w:rPr>
        <w:t>1</w:t>
      </w:r>
      <w:r>
        <w:t xml:space="preserve">Die gesetzlichen Vertreter der Kapitalgesellschaft haben dem Abschlußprüfer den Jahresabschluß, den Lagebericht und den gesonderten nichtfinanziellen Bericht unverzüglich nach der Aufstellung vorzulegen. </w:t>
      </w:r>
      <w:r>
        <w:rPr>
          <w:rStyle w:val="Satznummer"/>
        </w:rPr>
        <w:t>2</w:t>
      </w:r>
      <w:r>
        <w:t xml:space="preserve">Sie haben ihm zu gestatten, die Bücher und Schriften der Kapitalgesellschaft sowie die Vermögensgegenstände und Schulden, namentlich die Kasse und die Bestände an Wertpapieren und Waren, zu prüfen. </w:t>
      </w:r>
      <w:r>
        <w:rPr>
          <w:rStyle w:val="Satznummer"/>
        </w:rPr>
        <w:t>3</w:t>
      </w:r>
      <w:r>
        <w:t xml:space="preserve">Die gesetzlichen Vertreter einer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haben dem Abschlussprüfer auch die für Zwecke der Offenlegung nach den Vorgaben des </w:t>
      </w:r>
      <w:hyperlink w:anchor="b369" w:history="1">
        <w:r>
          <w:rPr>
            <w:color w:val="0A3A8C"/>
            <w:u w:val="single"/>
          </w:rPr>
          <w:t xml:space="preserve">§ 328</w:t>
        </w:r>
      </w:hyperlink>
      <w:r>
        <w:t xml:space="preserve"> Absatz 1 erstellte Wiedergabe des Jahresabschlusses und die nach diesen Vorgaben erstellte Wiedergabe des Lageberichts vorzulegen.</w:t>
      </w:r>
    </w:p>
    <w:p>
      <w:r>
        <w:t xml:space="preserve">(2) </w:t>
      </w:r>
      <w:r>
        <w:rPr>
          <w:rStyle w:val="Satznummer"/>
        </w:rPr>
        <w:t>1</w:t>
      </w:r>
      <w:r>
        <w:t xml:space="preserve">Der Abschlußprüfer kann von den gesetzlichen Vertretern alle Aufklärungen und Nachweise verlangen, die für eine sorgfältige Prüfung notwendig sind. </w:t>
      </w:r>
      <w:r>
        <w:rPr>
          <w:rStyle w:val="Satznummer"/>
        </w:rPr>
        <w:t>2</w:t>
      </w:r>
      <w:r>
        <w:t xml:space="preserve">Soweit es die Vorbereitung der Abschlußprüfung erfordert, hat der Abschlußprüfer die Rechte nach Absatz 1 Satz 2 und nach Satz 1 auch schon vor Aufstellung des Jahresabschlusses. </w:t>
      </w:r>
      <w:r>
        <w:rPr>
          <w:rStyle w:val="Satznummer"/>
        </w:rPr>
        <w:t>3</w:t>
      </w:r>
      <w:r>
        <w:t>Soweit es für eine sorgfältige Prüfung notwendig ist, hat der Abschlußprüfer die Rechte nach den Sätzen 1 und 2 auch gegenüber Mutter- und Tochterunternehmen.</w:t>
      </w:r>
    </w:p>
    <w:p>
      <w:r>
        <w:t xml:space="preserve">(3) </w:t>
      </w:r>
      <w:r>
        <w:rPr>
          <w:rStyle w:val="Satznummer"/>
        </w:rPr>
        <w:t>1</w:t>
      </w:r>
      <w:r>
        <w:t xml:space="preserve">Die gesetzlichen Vertreter einer Kapitalgesellschaft, die einen Konzernabschluß aufzustellen hat, haben dem Abschlußprüfer des Konzernabschlusses den Konzernabschluß, den Konzernlagebericht, den gesonderten nichtfinanziellen Konzernbericht, die Jahresabschlüsse, Lageberichte, die gesonderten nichtfinanziellen Berichte und, wenn eine Prüfung stattgefunden hat, die Prüfungsberichte des Mutterunternehmens und der Tochterunternehmen vorzulegen. </w:t>
      </w:r>
      <w:r>
        <w:rPr>
          <w:rStyle w:val="Satznummer"/>
        </w:rPr>
        <w:t>2</w:t>
      </w:r>
      <w:r>
        <w:t xml:space="preserve">Der Abschlußprüfer hat die Rechte nach Absatz 1 Satz 2 und nach Absatz 2 bei dem Mutterunternehmen und den Tochterunternehmen, die Rechte nach Absatz 2 auch gegenüber den Abschlußprüfern des Mutterunternehmens und der Tochterunternehmen. </w:t>
      </w:r>
      <w:r>
        <w:rPr>
          <w:rStyle w:val="Satznummer"/>
        </w:rPr>
        <w:t>3</w:t>
      </w:r>
      <w:r>
        <w:t xml:space="preserve">Die gesetzlichen Vertreter einer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haben dem Abschlussprüfer auch die für Zwecke der Offenlegung nach den Vorgaben des </w:t>
      </w:r>
      <w:hyperlink w:anchor="b369" w:history="1">
        <w:r>
          <w:rPr>
            <w:color w:val="0A3A8C"/>
            <w:u w:val="single"/>
          </w:rPr>
          <w:t xml:space="preserve">§ 328</w:t>
        </w:r>
      </w:hyperlink>
      <w:r>
        <w:t xml:space="preserve"> Absatz 1 erstellte Wiedergabe des Konzernabschlusses und die nach diesen Vorgaben erstellte Wiedergabe des Konzernlageberichts vorzulegen.</w:t>
      </w:r>
    </w:p>
    <w:p>
      <w:r>
        <w:t xml:space="preserve">(4) Der bisherige Abschlussprüfer hat dem neuen Abschlussprüfer auf schriftliche Anfrage über das Ergebnis der bisherigen Prüfung zu berichten; </w:t>
      </w:r>
      <w:hyperlink w:anchor="b357" w:history="1">
        <w:r>
          <w:rPr>
            <w:color w:val="0A3A8C"/>
            <w:u w:val="single"/>
          </w:rPr>
          <w:t xml:space="preserve">§ 321</w:t>
        </w:r>
      </w:hyperlink>
      <w:r>
        <w:t xml:space="preserve"> ist entsprechend anzuwenden.</w:t>
      </w:r>
    </w:p>
    <w:p>
      <w:r>
        <w:t xml:space="preserve">(5) </w:t>
      </w:r>
      <w:r>
        <w:rPr>
          <w:rStyle w:val="Satznummer"/>
        </w:rPr>
        <w:t>1</w:t>
      </w:r>
      <w:r>
        <w:t xml:space="preserve">Ist die Kapitalgesellschaft als Tochterunternehmen in den Konzernabschluss eines Mutterunternehmens einbezogen, das seinen Sitz nicht in einem Mitgliedstaat der Europäischen Union oder einem anderen Vertragsstaat des Abkommens über den Europäischen Wirtschaftsraum hat, kann der Prüfer nach Absatz 2 zur Verfügung gestellte Unterlagen an den Abschlussprüfer des Konzernabschlusses weitergeben, soweit diese für die Prüfung des Konzernabschlusses des Mutterunternehmens erforderlich sind. </w:t>
      </w:r>
      <w:r>
        <w:rPr>
          <w:rStyle w:val="Satznummer"/>
        </w:rPr>
        <w:t>2</w:t>
      </w:r>
      <w:r>
        <w:t>Die Übermittlung personenbezogener Daten muss im Einklang mit den Vorgaben der Verordnung (EU) 2016/679 und den allgemeinen datenschutzrechtlichen Vorschriften stehen.</w:t>
      </w:r>
    </w:p>
    <w:p>
      <w:pPr>
        <w:pStyle w:val="Heading4"/>
      </w:pPr>
      <w:bookmarkStart w:id="358" w:name="b357"/>
      <w:r>
        <w:t>§ 321 Prüfungsbericht</w:t>
      </w:r>
      <w:r>
        <w:t xml:space="preserve"> </w:t>
      </w:r>
      <w:r>
        <w:rPr>
          <w:rStyle w:val="Suchmarke"/>
        </w:rPr>
        <w:t>#321#</w:t>
      </w:r>
      <w:bookmarkEnd w:id="358"/>
    </w:p>
    <w:p>
      <w:r>
        <w:t xml:space="preserve">(1) </w:t>
      </w:r>
      <w:r>
        <w:rPr>
          <w:rStyle w:val="Satznummer"/>
        </w:rPr>
        <w:t>1</w:t>
      </w:r>
      <w:r>
        <w:t xml:space="preserve">Der Abschlußprüfer hat über Art und Umfang sowie über das Ergebnis der Prüfung zu berichten; auf den Bericht sind die Sätze 2 und 3 sowie die Absätze 2 bis 4a anzuwenden. </w:t>
      </w:r>
      <w:r>
        <w:rPr>
          <w:rStyle w:val="Satznummer"/>
        </w:rPr>
        <w:t>2</w:t>
      </w:r>
      <w:r>
        <w:t xml:space="preserve">Der Bericht ist schriftlich und mit der gebotenen Klarheit abzufassen; in ihm ist vorweg zu der Beurteilung der Lage der Kapitalgesellschaft oder Konzerns durch die gesetzlichen Vertreter Stellung zu nehmen, wobei insbesondere auf die Beurteilung des Fortbestandes und der künftigen Entwicklung der Kapitalgesellschaft unter Berücksichtigung des Lageberichts und bei der Prüfung des Konzernabschlusses von Mutterunternehmen auch des Konzerns unter Berücksichtigung des Konzernlageberichts einzugehen ist, soweit die geprüften Unterlagen und der Lagebericht oder der Konzernlagebericht eine solche Beurteilung erlauben. </w:t>
      </w:r>
      <w:r>
        <w:rPr>
          <w:rStyle w:val="Satznummer"/>
        </w:rPr>
        <w:t>3</w:t>
      </w:r>
      <w:r>
        <w:t>Außerdem hat der Abschlussprüfer über bei Durchführung der Prüfung festgestellte Unrichtigkeiten oder Verstöße gegen gesetzliche Vorschriften sowie Tatsachen zu berichten, die den Bestand der geprüften Kapitalgesellschaft oder des Konzerns gefährden oder seine Entwicklung wesentlich beeinträchtigen können oder die schwerwiegende Verstöße der gesetzlichen Vertreter oder von Arbeitnehmern gegen Gesetz, Gesellschaftsvertrag oder die Satzung erkennen lassen.</w:t>
      </w:r>
    </w:p>
    <w:p>
      <w:r>
        <w:t xml:space="preserve">(2) </w:t>
      </w:r>
      <w:r>
        <w:rPr>
          <w:rStyle w:val="Satznummer"/>
        </w:rPr>
        <w:t>1</w:t>
      </w:r>
      <w:r>
        <w:t xml:space="preserve">Im Hauptteil des Prüfungsberichts ist festzustellen, ob die Buchführung und die weiteren geprüften Unterlagen, der Jahresabschluss, der Lagebericht, der Konzernabschluss und der Konzernlagebericht den gesetzlichen Vorschriften und den ergänzenden Bestimmungen des Gesellschaftsvertrags oder der Satzung entsprechen. </w:t>
      </w:r>
      <w:r>
        <w:rPr>
          <w:rStyle w:val="Satznummer"/>
        </w:rPr>
        <w:t>2</w:t>
      </w:r>
      <w:r>
        <w:t xml:space="preserve">In diesem Rahmen ist auch über Beanstandungen zu berichten, die nicht zur Einschränkung oder Versagung des Bestätigungsvermerks geführt haben, soweit dies für die Überwachung der Geschäftsführung und der geprüften Kapitalgesellschaft von Bedeutung ist. </w:t>
      </w:r>
      <w:r>
        <w:rPr>
          <w:rStyle w:val="Satznummer"/>
        </w:rPr>
        <w:t>3</w:t>
      </w:r>
      <w:r>
        <w:t xml:space="preserve">Es ist auch darauf einzugehen, ob der Abschluss insgesamt unter Beachtung der Grundsätze ordnungsmäßiger Buchführung oder sonstiger maßgeblicher Rechnungslegungsgrundsätze ein den tatsächlichen Verhältnissen entsprechendes Bild der Vermögens-, Finanz- und Ertragslage der Kapitalgesellschaft oder des Konzerns vermittelt. </w:t>
      </w:r>
      <w:r>
        <w:rPr>
          <w:rStyle w:val="Satznummer"/>
        </w:rPr>
        <w:t>4</w:t>
      </w:r>
      <w:r>
        <w:t xml:space="preserve">Dazu ist auch auf wesentliche Bewertungsgrundlagen sowie darauf einzugehen, welchen Einfluss Änderungen in den Bewertungsgrundlagen einschließlich der Ausübung von Bilanzierungs- und Bewertungswahlrechten und der Ausnutzung von Ermessensspielräumen sowie sachverhaltsgestaltende Maßnahmen insgesamt auf die Darstellung der Vermögens-, Finanz- und Ertragslage haben. </w:t>
      </w:r>
      <w:r>
        <w:rPr>
          <w:rStyle w:val="Satznummer"/>
        </w:rPr>
        <w:t>5</w:t>
      </w:r>
      <w:r>
        <w:t xml:space="preserve">Hierzu sind die Posten des Jahres- und des Konzernabschlusses aufzugliedern und ausreichend zu erläutern, soweit diese Angaben nicht im Anhang enthalten sind. </w:t>
      </w:r>
      <w:r>
        <w:rPr>
          <w:rStyle w:val="Satznummer"/>
        </w:rPr>
        <w:t>6</w:t>
      </w:r>
      <w:r>
        <w:t>Es ist darzustellen, ob die gesetzlichen Vertreter die verlangten Aufklärungen und Nachweise erbracht haben.</w:t>
      </w:r>
    </w:p>
    <w:p>
      <w:r>
        <w:t xml:space="preserve">(3) </w:t>
      </w:r>
      <w:r>
        <w:rPr>
          <w:rStyle w:val="Satznummer"/>
        </w:rPr>
        <w:t>1</w:t>
      </w:r>
      <w:r>
        <w:t xml:space="preserve">In einem besonderen Abschnitt des Prüfungsberichts sind Gegenstand, Art und Umfang der Prüfung zu erläutern. </w:t>
      </w:r>
      <w:r>
        <w:rPr>
          <w:rStyle w:val="Satznummer"/>
        </w:rPr>
        <w:t>2</w:t>
      </w:r>
      <w:r>
        <w:t>Dabei ist auch auf die angewandten Rechnungslegungs- und Prüfungsgrundsätze einzugehen.</w:t>
      </w:r>
    </w:p>
    <w:p>
      <w:r>
        <w:t xml:space="preserve">(4) </w:t>
      </w:r>
      <w:r>
        <w:rPr>
          <w:rStyle w:val="Satznummer"/>
        </w:rPr>
        <w:t>1</w:t>
      </w:r>
      <w:r>
        <w:t xml:space="preserve">Ist im Rahmen der Prüfung eine Beurteilung nach </w:t>
      </w:r>
      <w:hyperlink w:anchor="b351" w:history="1">
        <w:r>
          <w:rPr>
            <w:color w:val="0A3A8C"/>
            <w:u w:val="single"/>
          </w:rPr>
          <w:t xml:space="preserve">§ 317</w:t>
        </w:r>
      </w:hyperlink>
      <w:r>
        <w:t xml:space="preserve"> Abs. 4 abgegeben worden, so ist deren Ergebnis in einem besonderen Teil des Prüfungsberichts darzustellen. </w:t>
      </w:r>
      <w:r>
        <w:rPr>
          <w:rStyle w:val="Satznummer"/>
        </w:rPr>
        <w:t>2</w:t>
      </w:r>
      <w:r>
        <w:t>Es ist darauf einzugehen, ob Maßnahmen erforderlich sind, um das interne Überwachungssystem zu verbessern.</w:t>
      </w:r>
    </w:p>
    <w:p>
      <w:r>
        <w:t>(4a) Der Abschlussprüfer hat im Prüfungsbericht seine Unabhängigkeit zu bestätigen.</w:t>
      </w:r>
    </w:p>
    <w:p>
      <w:r>
        <w:t xml:space="preserve">(5) </w:t>
      </w:r>
      <w:r>
        <w:rPr>
          <w:rStyle w:val="Satznummer"/>
        </w:rPr>
        <w:t>1</w:t>
      </w:r>
      <w:r>
        <w:t xml:space="preserve">Der Abschlußprüfer hat den Bericht unter Angabe des Datums zu unterzeichnen und den gesetzlichen Vertretern vorzulegen; </w:t>
      </w:r>
      <w:hyperlink w:anchor="b359" w:history="1">
        <w:r>
          <w:rPr>
            <w:color w:val="0A3A8C"/>
            <w:u w:val="single"/>
          </w:rPr>
          <w:t xml:space="preserve">§ 322</w:t>
        </w:r>
      </w:hyperlink>
      <w:r>
        <w:t xml:space="preserve"> Absatz 7 Satz 3 und 4 gilt entsprechend. </w:t>
      </w:r>
      <w:r>
        <w:rPr>
          <w:rStyle w:val="Satznummer"/>
        </w:rPr>
        <w:t>2</w:t>
      </w:r>
      <w:r>
        <w:t xml:space="preserve">Hat der Aufsichtsrat den Auftrag erteilt, so ist der Bericht ihm und gleichzeitig einem eingerichteten Prüfungsausschuss vorzulegen. </w:t>
      </w:r>
      <w:r>
        <w:rPr>
          <w:rStyle w:val="Satznummer"/>
        </w:rPr>
        <w:t>3</w:t>
      </w:r>
      <w:r>
        <w:t>Im Fall des Satzes 2 ist der Bericht unverzüglich nach Vorlage dem Geschäftsführungsorgan mit Gelegenheit zur Stellungnahme zuzuleiten.</w:t>
      </w:r>
    </w:p>
    <w:p>
      <w:pPr>
        <w:pStyle w:val="Heading4"/>
      </w:pPr>
      <w:bookmarkStart w:id="359" w:name="b358"/>
      <w:r>
        <w:t>§ 321a Offenlegung des Prüfungsberichts in besonderen Fällen</w:t>
      </w:r>
      <w:r>
        <w:t xml:space="preserve"> </w:t>
      </w:r>
      <w:r>
        <w:rPr>
          <w:rStyle w:val="Suchmarke"/>
        </w:rPr>
        <w:t>#321a#</w:t>
      </w:r>
      <w:bookmarkEnd w:id="359"/>
    </w:p>
    <w:p>
      <w:r>
        <w:t xml:space="preserve">(1) </w:t>
      </w:r>
      <w:r>
        <w:rPr>
          <w:rStyle w:val="Satznummer"/>
        </w:rPr>
        <w:t>1</w:t>
      </w:r>
      <w:r>
        <w:t xml:space="preserve">Wird über das Vermögen der Gesellschaft ein Insolvenzverfahren eröffnet oder wird der Antrag auf Eröffnung des Insolvenzverfahren mangels Masse abgewiesen, so hat ein Gläubiger oder Gesellschafter die Wahl, selbst oder durch einen von ihm zu bestimmenden Wirtschaftsprüfer oder im Fall des </w:t>
      </w:r>
      <w:hyperlink w:anchor="b353" w:history="1">
        <w:r>
          <w:rPr>
            <w:color w:val="0A3A8C"/>
            <w:u w:val="single"/>
          </w:rPr>
          <w:t xml:space="preserve">§ 319</w:t>
        </w:r>
      </w:hyperlink>
      <w:r>
        <w:t xml:space="preserve"> Abs. 1 Satz 2 durch einen vereidigten Buchprüfer Einsicht in die Prüfungsberichte des Abschlussprüfers über die aufgrund gesetzlicher Vorschriften durchzuführende Prüfung des Jahresabschlusses der letzten drei Geschäftsjahre zu nehmen, soweit sich diese auf die nach </w:t>
      </w:r>
      <w:hyperlink w:anchor="b357" w:history="1">
        <w:r>
          <w:rPr>
            <w:color w:val="0A3A8C"/>
            <w:u w:val="single"/>
          </w:rPr>
          <w:t xml:space="preserve">§ 321</w:t>
        </w:r>
      </w:hyperlink>
      <w:r>
        <w:t xml:space="preserve"> geforderte Berichterstattung beziehen. </w:t>
      </w:r>
      <w:r>
        <w:rPr>
          <w:rStyle w:val="Satznummer"/>
        </w:rPr>
        <w:t>2</w:t>
      </w:r>
      <w:r>
        <w:t>Der Anspruch richtet sich gegen denjenigen, der die Prüfungsberichte in seinem Besitz hat.</w:t>
      </w:r>
    </w:p>
    <w:p>
      <w:r>
        <w:t xml:space="preserve">(2) </w:t>
      </w:r>
      <w:r>
        <w:rPr>
          <w:rStyle w:val="Satznummer"/>
        </w:rPr>
        <w:t>1</w:t>
      </w:r>
      <w:r>
        <w:t xml:space="preserve">Bei einer Aktiengesellschaft oder einer Kommanditgesellschaft auf Aktien stehen den Gesellschaftern die Rechte nach Absatz 1 Satz 1 nur zu, wenn ihre Anteile bei Geltendmachung des Anspruchs zusammen den einhundertsten Teil des Grundkapitals oder einen Börsenwert von 100 000 Euro erreichen. </w:t>
      </w:r>
      <w:r>
        <w:rPr>
          <w:rStyle w:val="Satznummer"/>
        </w:rPr>
        <w:t>2</w:t>
      </w:r>
      <w:r>
        <w:t>Dem Abschlussprüfer ist die Erläuterung des Prüfungsberichts gegenüber den in Absatz 1 Satz 1 aufgeführten Personen gestattet.</w:t>
      </w:r>
    </w:p>
    <w:p>
      <w:r>
        <w:t xml:space="preserve">(3) </w:t>
      </w:r>
      <w:r>
        <w:rPr>
          <w:rStyle w:val="Satznummer"/>
        </w:rPr>
        <w:t>1</w:t>
      </w:r>
      <w:r>
        <w:t xml:space="preserve">Der Insolvenzverwalter oder ein gesetzlicher Vertreter des Schuldners kann einer Offenlegung von Geheimnissen, namentlich Betriebs- oder Geschäftsgeheimnissen, widersprechen, wenn die Offenlegung geeignet ist, der Gesellschaft einen erheblichen Nachteil zuzufügen. </w:t>
      </w:r>
      <w:r>
        <w:rPr>
          <w:rStyle w:val="Satznummer"/>
        </w:rPr>
        <w:t>2</w:t>
      </w:r>
      <w:hyperlink w:anchor="b360" w:history="1">
        <w:r>
          <w:rPr>
            <w:color w:val="0A3A8C"/>
            <w:u w:val="single"/>
          </w:rPr>
          <w:t xml:space="preserve">§ 323</w:t>
        </w:r>
      </w:hyperlink>
      <w:r>
        <w:t xml:space="preserve"> Abs. 1 und 3 bleibt im Übrigen unberührt. </w:t>
      </w:r>
      <w:r>
        <w:rPr>
          <w:rStyle w:val="Satznummer"/>
        </w:rPr>
        <w:t>3</w:t>
      </w:r>
      <w:r>
        <w:t>Unbeschadet des Satzes 1 sind die Berechtigten nach Absatz 1 Satz 1 zur Verschwiegenheit über den Inhalt der von ihnen eingesehenen Unterlagen nach Absatz 1 Satz 1 verpflichtet.</w:t>
      </w:r>
    </w:p>
    <w:p>
      <w:r>
        <w:t>(4) Die Absätze 1 bis 3 gelten entsprechend, wenn der Schuldner zur Aufstellung eines Konzernabschlusses und Konzernlageberichts verpflichtet ist.</w:t>
      </w:r>
    </w:p>
    <w:p>
      <w:pPr>
        <w:pStyle w:val="Heading4"/>
      </w:pPr>
      <w:bookmarkStart w:id="360" w:name="b359"/>
      <w:r>
        <w:t>§ 322 Bestätigungsvermerk</w:t>
      </w:r>
      <w:r>
        <w:t xml:space="preserve"> </w:t>
      </w:r>
      <w:r>
        <w:rPr>
          <w:rStyle w:val="Suchmarke"/>
        </w:rPr>
        <w:t>#322#</w:t>
      </w:r>
      <w:bookmarkEnd w:id="360"/>
    </w:p>
    <w:p>
      <w:r>
        <w:t xml:space="preserve">(1) </w:t>
      </w:r>
      <w:r>
        <w:rPr>
          <w:rStyle w:val="Satznummer"/>
        </w:rPr>
        <w:t>1</w:t>
      </w:r>
      <w:r>
        <w:t xml:space="preserve">Der Abschlussprüfer hat das Ergebnis der Prüfung schriftlich in einem Bestätigungsvermerk zum Jahresabschluss oder zum Konzernabschluss zusammenzufassen. </w:t>
      </w:r>
      <w:r>
        <w:rPr>
          <w:rStyle w:val="Satznummer"/>
        </w:rPr>
        <w:t>2</w:t>
      </w:r>
      <w:r>
        <w:t xml:space="preserve">Der Bestätigungsvermerk hat Gegenstand, Art und Umfang der Prüfung zu beschreiben und dabei die angewandten Rechnungslegungs- und Prüfungsgrundsätze anzugeben; er hat ferner eine Beurteilung des Prüfungsergebnisses zu enthalten. </w:t>
      </w:r>
      <w:r>
        <w:rPr>
          <w:rStyle w:val="Satznummer"/>
        </w:rPr>
        <w:t>3</w:t>
      </w:r>
      <w:r>
        <w:t xml:space="preserve">In einem einleitenden Abschnitt haben zumindest die Beschreibung des Gegenstands der Prüfung und die Angabe zu den angewandten Rechnungslegungsgrundsätzen zu erfolgen. </w:t>
      </w:r>
      <w:r>
        <w:rPr>
          <w:rStyle w:val="Satznummer"/>
        </w:rPr>
        <w:t>4</w:t>
      </w:r>
      <w:r>
        <w:t xml:space="preserve">Über das Ergebnis der Prüfungen nach </w:t>
      </w:r>
      <w:hyperlink w:anchor="b351" w:history="1">
        <w:r>
          <w:rPr>
            <w:color w:val="0A3A8C"/>
            <w:u w:val="single"/>
          </w:rPr>
          <w:t xml:space="preserve">§ 317</w:t>
        </w:r>
      </w:hyperlink>
      <w:r>
        <w:t xml:space="preserve"> Absatz 3a und 3b ist jeweils in einem besonderen Abschnitt zu berichten.</w:t>
      </w:r>
    </w:p>
    <w:p>
      <w:r>
        <w:t>(1a) Bei der Erstellung des Bestätigungsvermerks hat der Abschlussprüfer die internationalen Prüfungsstandards anzuwenden, die von der Europäischen Kommission in dem Verfahren nach Artikel 26 Absatz 3 der Richtlinie 2006/43/EG angenommen worden sind.</w:t>
      </w:r>
    </w:p>
    <w:p>
      <w:r>
        <w:t xml:space="preserve">(2) </w:t>
      </w:r>
      <w:r>
        <w:rPr>
          <w:rStyle w:val="Satznummer"/>
        </w:rPr>
        <w:t>1</w:t>
      </w:r>
      <w:r>
        <w:t>Die Beurteilung des Prüfungsergebnisses muss zweifelsfrei ergeben, ob</w:t>
      </w:r>
    </w:p>
    <w:p>
      <w:pPr>
        <w:tabs>
          <w:tab w:pos="567" w:val="left"/>
        </w:tabs>
        <w:ind w:left="567" w:hanging="567"/>
      </w:pPr>
      <w:r>
        <w:t>1.</w:t>
      </w:r>
      <w:r>
        <w:tab/>
      </w:r>
      <w:r>
        <w:t>ein uneingeschränkter Bestätigungsvermerk erteilt,</w:t>
      </w:r>
    </w:p>
    <w:p>
      <w:pPr>
        <w:tabs>
          <w:tab w:pos="567" w:val="left"/>
        </w:tabs>
        <w:ind w:left="567" w:hanging="567"/>
      </w:pPr>
      <w:r>
        <w:t>2.</w:t>
      </w:r>
      <w:r>
        <w:tab/>
      </w:r>
      <w:r>
        <w:t>ein eingeschränkter Bestätigungsvermerk erteilt,</w:t>
      </w:r>
    </w:p>
    <w:p>
      <w:pPr>
        <w:tabs>
          <w:tab w:pos="567" w:val="left"/>
        </w:tabs>
        <w:ind w:left="567" w:hanging="567"/>
      </w:pPr>
      <w:r>
        <w:t>3.</w:t>
      </w:r>
      <w:r>
        <w:tab/>
      </w:r>
      <w:r>
        <w:t>der Bestätigungsvermerk aufgrund von Einwendungen versagt oder</w:t>
      </w:r>
    </w:p>
    <w:p>
      <w:pPr>
        <w:tabs>
          <w:tab w:pos="567" w:val="left"/>
        </w:tabs>
        <w:ind w:left="567" w:hanging="567"/>
      </w:pPr>
      <w:r>
        <w:t>4.</w:t>
      </w:r>
      <w:r>
        <w:tab/>
      </w:r>
      <w:r>
        <w:t>der Bestätigungsvermerk deshalb versagt wird, weil der Abschlussprüfer nicht in der Lage ist, ein Prüfungsurteil abzugeben.</w:t>
      </w:r>
    </w:p>
    <w:p>
      <w:r>
        <w:rPr>
          <w:rStyle w:val="Satznummer"/>
        </w:rPr>
        <w:t>2</w:t>
      </w:r>
      <w:r>
        <w:t xml:space="preserve">Die Beurteilung des Prüfungsergebnisses soll allgemein verständlich und problemorientiert unter Berücksichtigung des Umstandes erfolgen, dass die gesetzlichen Vertreter den Abschluss zu verantworten haben. </w:t>
      </w:r>
      <w:r>
        <w:rPr>
          <w:rStyle w:val="Satznummer"/>
        </w:rPr>
        <w:t>3</w:t>
      </w:r>
      <w:r>
        <w:t xml:space="preserve">Auf Risiken, die den Fortbestand der Kapitalgesellschaft oder eines Konzernunternehmens gefährden, ist gesondert einzugehen. </w:t>
      </w:r>
      <w:r>
        <w:rPr>
          <w:rStyle w:val="Satznummer"/>
        </w:rPr>
        <w:t>4</w:t>
      </w:r>
      <w:r>
        <w:t>Auf Risiken, die den Fortbestand eines Tochterunternehmens gefährden, braucht im Bestätigungsvermerk zum Konzernabschluss des Mutterunternehmens nicht eingegangen zu werden, wenn das Tochterunternehmen für die Vermittlung eines den tatsächlichen Verhältnissen entsprechenden Bildes der Vermögens-, Finanz- und Ertragslage des Konzerns nur von untergeordneter Bedeutung ist.</w:t>
      </w:r>
    </w:p>
    <w:p>
      <w:r>
        <w:t xml:space="preserve">(3) </w:t>
      </w:r>
      <w:r>
        <w:rPr>
          <w:rStyle w:val="Satznummer"/>
        </w:rPr>
        <w:t>1</w:t>
      </w:r>
      <w:r>
        <w:t xml:space="preserve">In einem uneingeschränkten Bestätigungsvermerk (Absatz 2 Satz 1 Nr. 1) hat der Abschlussprüfer zu erklären, dass die von ihm nach </w:t>
      </w:r>
      <w:hyperlink w:anchor="b351" w:history="1">
        <w:r>
          <w:rPr>
            <w:color w:val="0A3A8C"/>
            <w:u w:val="single"/>
          </w:rPr>
          <w:t xml:space="preserve">§ 317</w:t>
        </w:r>
      </w:hyperlink>
      <w:r>
        <w:t xml:space="preserve"> durchgeführte Prüfung zu keinen Einwendungen geführt hat und dass der von den gesetzlichen Vertretern der Gesellschaft aufgestellte Jahres- oder Konzernabschluss aufgrund der bei der Prüfung gewonnenen Erkenntnisse des Abschlussprüfers nach seiner Beurteilung den gesetzlichen Vorschriften entspricht und unter Beachtung der Grundsätze ordnungsmäßiger Buchführung oder sonstiger maßgeblicher Rechnungslegungsgrundsätze ein den tatsächlichen Verhältnissen entsprechendes Bild der Vermögens-, Finanz- und Ertragslage der Kapitalgesellschaft oder des Konzerns vermittelt. </w:t>
      </w:r>
      <w:r>
        <w:rPr>
          <w:rStyle w:val="Satznummer"/>
        </w:rPr>
        <w:t>2</w:t>
      </w:r>
      <w:r>
        <w:t>Der Abschlussprüfer kann zusätzlich einen Hinweis auf Umstände aufnehmen, auf die er in besonderer Weise aufmerksam macht, ohne den Bestätigungsvermerk einzuschränken.</w:t>
      </w:r>
    </w:p>
    <w:p>
      <w:r>
        <w:t xml:space="preserve">(4) </w:t>
      </w:r>
      <w:r>
        <w:rPr>
          <w:rStyle w:val="Satznummer"/>
        </w:rPr>
        <w:t>1</w:t>
      </w:r>
      <w:r>
        <w:t xml:space="preserve">Sind Einwendungen zu erheben, so hat der Abschlussprüfer seine Erklärung nach Absatz 3 Satz 1 einzuschränken (Absatz 2 Satz 1 Nr. 2) oder zu versagen (Absatz 2 Satz 1 Nr. 3). </w:t>
      </w:r>
      <w:r>
        <w:rPr>
          <w:rStyle w:val="Satznummer"/>
        </w:rPr>
        <w:t>2</w:t>
      </w:r>
      <w:r>
        <w:t xml:space="preserve">Die Versagung ist in den Vermerk, der nicht mehr als Bestätigungsvermerk zu bezeichnen ist, aufzunehmen. </w:t>
      </w:r>
      <w:r>
        <w:rPr>
          <w:rStyle w:val="Satznummer"/>
        </w:rPr>
        <w:t>3</w:t>
      </w:r>
      <w:r>
        <w:t xml:space="preserve">Die Einschränkung oder Versagung ist zu begründen; Absatz 3 Satz 2 findet Anwendung. </w:t>
      </w:r>
      <w:r>
        <w:rPr>
          <w:rStyle w:val="Satznummer"/>
        </w:rPr>
        <w:t>4</w:t>
      </w:r>
      <w:r>
        <w:t>Ein eingeschränkter Bestätigungsvermerk darf nur erteilt werden, wenn der geprüfte Abschluss unter Beachtung der vom Abschlussprüfer vorgenommenen, in ihrer Tragweite erkennbaren Einschränkung ein den tatsächlichen Verhältnissen im Wesentlichen entsprechendes Bild der Vermögens-, Finanz- und Ertragslage vermittelt.</w:t>
      </w:r>
    </w:p>
    <w:p>
      <w:r>
        <w:t xml:space="preserve">(5) </w:t>
      </w:r>
      <w:r>
        <w:rPr>
          <w:rStyle w:val="Satznummer"/>
        </w:rPr>
        <w:t>1</w:t>
      </w:r>
      <w:r>
        <w:t xml:space="preserve">Der Bestätigungsvermerk ist auch dann zu versagen, wenn der Abschlussprüfer nach Ausschöpfung aller angemessenen Möglichkeiten zur Klärung des Sachverhalts nicht in der Lage ist, ein Prüfungsurteil abzugeben (Absatz 2 Satz 1 Nr. 4). </w:t>
      </w:r>
      <w:r>
        <w:rPr>
          <w:rStyle w:val="Satznummer"/>
        </w:rPr>
        <w:t>2</w:t>
      </w:r>
      <w:r>
        <w:t>Absatz 4 Satz 2 und 3 gilt entsprechend.</w:t>
      </w:r>
    </w:p>
    <w:p>
      <w:r>
        <w:t xml:space="preserve">(6) </w:t>
      </w:r>
      <w:r>
        <w:rPr>
          <w:rStyle w:val="Satznummer"/>
        </w:rPr>
        <w:t>1</w:t>
      </w:r>
      <w:r>
        <w:t xml:space="preserve">Die Beurteilung des Prüfungsergebnisses hat sich auch darauf zu erstrecken, ob der Lagebericht oder der Konzernlagebericht nach dem Urteil des Abschlussprüfers mit dem Jahresabschluss und gegebenenfalls mit dem Einzelabschluss nach </w:t>
      </w:r>
      <w:hyperlink w:anchor="b364" w:history="1">
        <w:r>
          <w:rPr>
            <w:color w:val="0A3A8C"/>
            <w:u w:val="single"/>
          </w:rPr>
          <w:t xml:space="preserve">§ 325</w:t>
        </w:r>
      </w:hyperlink>
      <w:r>
        <w:t xml:space="preserve"> Abs. 2a oder mit dem Konzernabschluss in Einklang steht, die gesetzlichen Vorschriften zur Aufstellung des Lage- oder Konzernlageberichts beachtet worden sind und der Lage- oder Konzernlagebericht insgesamt ein zutreffendes Bild von der Lage der Kapitalgesellschaft oder des Konzerns vermittelt. </w:t>
      </w:r>
      <w:r>
        <w:rPr>
          <w:rStyle w:val="Satznummer"/>
        </w:rPr>
        <w:t>2</w:t>
      </w:r>
      <w:r>
        <w:t>Dabei ist auch darauf einzugehen, ob die Chancen und Risiken der zukünftigen Entwicklung zutreffend dargestellt sind.</w:t>
      </w:r>
    </w:p>
    <w:p>
      <w:r>
        <w:t xml:space="preserve">(6a) </w:t>
      </w:r>
      <w:r>
        <w:rPr>
          <w:rStyle w:val="Satznummer"/>
        </w:rPr>
        <w:t>1</w:t>
      </w:r>
      <w:r>
        <w:t xml:space="preserve">Wurden mehrere Prüfer oder Prüfungsgesellschaften gemeinsam zum Abschlussprüfer bestellt, soll die Beurteilung des Prüfungsergebnisses einheitlich erfolgen. </w:t>
      </w:r>
      <w:r>
        <w:rPr>
          <w:rStyle w:val="Satznummer"/>
        </w:rPr>
        <w:t>2</w:t>
      </w:r>
      <w:r>
        <w:t xml:space="preserve">Ist eine einheitliche Beurteilung ausnahmsweise nicht möglich, sind die Gründe hierfür darzulegen; die Beurteilung ist jeweils in einem gesonderten Absatz vorzunehmen. </w:t>
      </w:r>
      <w:r>
        <w:rPr>
          <w:rStyle w:val="Satznummer"/>
        </w:rPr>
        <w:t>3</w:t>
      </w:r>
      <w:r>
        <w:t>Die Sätze 1 und 2 gelten im Fall der gemeinsamen Bestellung von</w:t>
      </w:r>
    </w:p>
    <w:p>
      <w:pPr>
        <w:tabs>
          <w:tab w:pos="567" w:val="left"/>
        </w:tabs>
        <w:ind w:left="567" w:hanging="567"/>
      </w:pPr>
      <w:r>
        <w:t>1.</w:t>
      </w:r>
      <w:r>
        <w:tab/>
      </w:r>
      <w:r>
        <w:t>Wirtschaftsprüfern oder Wirtschaftsprüfungsgesellschaften,</w:t>
      </w:r>
    </w:p>
    <w:p>
      <w:pPr>
        <w:tabs>
          <w:tab w:pos="567" w:val="left"/>
        </w:tabs>
        <w:ind w:left="567" w:hanging="567"/>
      </w:pPr>
      <w:r>
        <w:t>2.</w:t>
      </w:r>
      <w:r>
        <w:tab/>
      </w:r>
      <w:r>
        <w:t>vereidigten Buchprüfern oder Buchprüfungsgesellschaften sowie</w:t>
      </w:r>
    </w:p>
    <w:p>
      <w:pPr>
        <w:tabs>
          <w:tab w:pos="567" w:val="left"/>
        </w:tabs>
        <w:ind w:left="567" w:hanging="567"/>
      </w:pPr>
      <w:r>
        <w:t>3.</w:t>
      </w:r>
      <w:r>
        <w:tab/>
      </w:r>
      <w:r>
        <w:t>Prüfern oder Prüfungsgesellschaften nach den Nummern 1 und 2.</w:t>
      </w:r>
    </w:p>
    <w:p>
      <w:r>
        <w:t xml:space="preserve">(7) </w:t>
      </w:r>
      <w:r>
        <w:rPr>
          <w:rStyle w:val="Satznummer"/>
        </w:rPr>
        <w:t>1</w:t>
      </w:r>
      <w:r>
        <w:t xml:space="preserve">Der Abschlussprüfer hat den Bestätigungsvermerk oder den Vermerk über seine Versagung unter Angabe des Ortes der Niederlassung des Abschlussprüfers und des Tages der Unterzeichnung zu unterzeichnen; im Fall des Absatzes 6a hat die Unterzeichnung durch alle bestellten Personen zu erfolgen. </w:t>
      </w:r>
      <w:r>
        <w:rPr>
          <w:rStyle w:val="Satznummer"/>
        </w:rPr>
        <w:t>2</w:t>
      </w:r>
      <w:r>
        <w:t xml:space="preserve">Der Bestätigungsvermerk oder der Vermerk über seine Versagung ist auch in den Prüfungsbericht aufzunehmen. </w:t>
      </w:r>
      <w:r>
        <w:rPr>
          <w:rStyle w:val="Satznummer"/>
        </w:rPr>
        <w:t>3</w:t>
      </w:r>
      <w:r>
        <w:t xml:space="preserve">Ist der Abschlussprüfer eine Wirtschaftsprüfungsgesellschaft, so hat die Unterzeichnung zumindest durch den Wirtschaftsprüfer zu erfolgen, welcher die Abschlussprüfung für die Prüfungsgesellschaft durchgeführt hat. </w:t>
      </w:r>
      <w:r>
        <w:rPr>
          <w:rStyle w:val="Satznummer"/>
        </w:rPr>
        <w:t>4</w:t>
      </w:r>
      <w:r>
        <w:t>Satz 3 ist auf Buchprüfungsgesellschaften entsprechend anzuwenden.</w:t>
      </w:r>
    </w:p>
    <w:p>
      <w:pPr>
        <w:pStyle w:val="Heading4"/>
      </w:pPr>
      <w:bookmarkStart w:id="361" w:name="b360"/>
      <w:r>
        <w:t>§ 323 Verantwortlichkeit des Abschlußprüfers</w:t>
      </w:r>
      <w:r>
        <w:t xml:space="preserve"> </w:t>
      </w:r>
      <w:r>
        <w:rPr>
          <w:rStyle w:val="Suchmarke"/>
        </w:rPr>
        <w:t>#323#</w:t>
      </w:r>
      <w:bookmarkEnd w:id="361"/>
    </w:p>
    <w:p>
      <w:r>
        <w:t xml:space="preserve">(1) </w:t>
      </w:r>
      <w:r>
        <w:rPr>
          <w:rStyle w:val="Satznummer"/>
        </w:rPr>
        <w:t>1</w:t>
      </w:r>
      <w:r>
        <w:t xml:space="preserve">Der Abschlußprüfer, seine Gehilfen und die bei der Prüfung mitwirkenden gesetzlichen Vertreter einer Prüfungsgesellschaft sind zur gewissenhaften und unparteiischen Prüfung und zur Verschwiegenheit verpflichtet; gesetzliche Mitteilungspflichten bleiben unberührt. </w:t>
      </w:r>
      <w:r>
        <w:rPr>
          <w:rStyle w:val="Satznummer"/>
        </w:rPr>
        <w:t>2</w:t>
      </w:r>
      <w:r>
        <w:t xml:space="preserve">Sie dürfen nicht unbefugt Geschäfts- und Betriebsgeheimnisse verwerten, die sie bei ihrer Tätigkeit erfahren haben. </w:t>
      </w:r>
      <w:r>
        <w:rPr>
          <w:rStyle w:val="Satznummer"/>
        </w:rPr>
        <w:t>3</w:t>
      </w:r>
      <w:r>
        <w:t xml:space="preserve">Wer vorsätzlich oder fahrlässig seine Pflichten verletzt, ist der Kapitalgesellschaft und, wenn ein verbundenes Unternehmen geschädigt worden ist, auch diesem zum Ersatz des daraus entstehenden Schadens verpflichtet. </w:t>
      </w:r>
      <w:r>
        <w:rPr>
          <w:rStyle w:val="Satznummer"/>
        </w:rPr>
        <w:t>4</w:t>
      </w:r>
      <w:r>
        <w:t>Mehrere Personen haften als Gesamtschuldner.</w:t>
      </w:r>
    </w:p>
    <w:p>
      <w:r>
        <w:t xml:space="preserve">(2) </w:t>
      </w:r>
      <w:r>
        <w:rPr>
          <w:rStyle w:val="Satznummer"/>
        </w:rPr>
        <w:t>1</w:t>
      </w:r>
      <w:r>
        <w:t>Die Ersatzpflicht der in Absatz 1 Satz 1 genannten Personen für eine Prüfung ist vorbehaltlich der Sätze 2 bis 4 wie folgt beschränkt:</w:t>
      </w:r>
    </w:p>
    <w:p>
      <w:pPr>
        <w:tabs>
          <w:tab w:pos="567" w:val="left"/>
        </w:tabs>
        <w:ind w:left="567" w:hanging="567"/>
      </w:pPr>
      <w:r>
        <w:t>1.</w:t>
      </w:r>
      <w:r>
        <w:tab/>
      </w:r>
      <w:r>
        <w:t xml:space="preserve">bei Kapitalgesellschaften, die ein Unternehmen von öffentlichem Interesse nach </w:t>
      </w:r>
      <w:hyperlink w:anchor="b350" w:history="1">
        <w:r>
          <w:rPr>
            <w:color w:val="0A3A8C"/>
            <w:u w:val="single"/>
          </w:rPr>
          <w:t xml:space="preserve">§ 316a</w:t>
        </w:r>
      </w:hyperlink>
      <w:r>
        <w:t xml:space="preserve"> Satz 2 Nummer 1 sind: auf sechzehn Millionen Euro;</w:t>
      </w:r>
    </w:p>
    <w:p>
      <w:pPr>
        <w:tabs>
          <w:tab w:pos="567" w:val="left"/>
        </w:tabs>
        <w:ind w:left="567" w:hanging="567"/>
      </w:pPr>
      <w:r>
        <w:t>2.</w:t>
      </w:r>
      <w:r>
        <w:tab/>
      </w:r>
      <w:r>
        <w:t xml:space="preserve">bei Kapitalgesellschaften, die ein Unternehmen von öffentlichem Interesse nach </w:t>
      </w:r>
      <w:hyperlink w:anchor="b350" w:history="1">
        <w:r>
          <w:rPr>
            <w:color w:val="0A3A8C"/>
            <w:u w:val="single"/>
          </w:rPr>
          <w:t xml:space="preserve">§ 316a</w:t>
        </w:r>
      </w:hyperlink>
      <w:r>
        <w:t xml:space="preserve"> Satz 2 Nummer 2 oder 3, aber nicht nach </w:t>
      </w:r>
      <w:hyperlink w:anchor="b350" w:history="1">
        <w:r>
          <w:rPr>
            <w:color w:val="0A3A8C"/>
            <w:u w:val="single"/>
          </w:rPr>
          <w:t xml:space="preserve">§ 316a</w:t>
        </w:r>
      </w:hyperlink>
      <w:r>
        <w:t xml:space="preserve"> Satz 2 Nummer 1 sind: auf vier Millionen Euro;</w:t>
      </w:r>
    </w:p>
    <w:p>
      <w:pPr>
        <w:tabs>
          <w:tab w:pos="567" w:val="left"/>
        </w:tabs>
        <w:ind w:left="567" w:hanging="567"/>
      </w:pPr>
      <w:r>
        <w:t>3.</w:t>
      </w:r>
      <w:r>
        <w:tab/>
      </w:r>
      <w:r>
        <w:t>bei Kapitalgesellschaften, die nicht in den Nummern 1 und 2 genannt sind: auf eine Million fünfhunderttausend Euro.</w:t>
      </w:r>
    </w:p>
    <w:p>
      <w:r>
        <w:rPr>
          <w:rStyle w:val="Satznummer"/>
        </w:rPr>
        <w:t>2</w:t>
      </w:r>
      <w:r>
        <w:t xml:space="preserve">Dies gilt nicht für Personen, die vorsätzlich gehandelt haben, und für den Abschlussprüfer einer Kapitalgesellschaft nach Satz 1 Nummer 1, der grob fahrlässig gehandelt hat. </w:t>
      </w:r>
      <w:r>
        <w:rPr>
          <w:rStyle w:val="Satznummer"/>
        </w:rPr>
        <w:t>3</w:t>
      </w:r>
      <w:r>
        <w:t xml:space="preserve">Die Ersatzpflicht des Abschlussprüfers einer Kapitalgesellschaft nach Satz 1 Nummer 2, der grob fahrlässig gehandelt hat, ist abweichend von Satz 1 Nummer 2 auf zweiunddreißig Millionen Euro für eine Prüfung beschränkt. </w:t>
      </w:r>
      <w:r>
        <w:rPr>
          <w:rStyle w:val="Satznummer"/>
        </w:rPr>
        <w:t>4</w:t>
      </w:r>
      <w:r>
        <w:t xml:space="preserve">Die Ersatzpflicht des Abschlussprüfers einer Kapitalgesellschaft nach Satz 1 Nummer 3, der grob fahrlässig gehandelt hat, ist abweichend von Satz 1 Nummer 3 auf zwölf Millionen Euro für eine Prüfung beschränkt. </w:t>
      </w:r>
      <w:r>
        <w:rPr>
          <w:rStyle w:val="Satznummer"/>
        </w:rPr>
        <w:t>5</w:t>
      </w:r>
      <w:r>
        <w:t>Die Haftungshöchstgrenzen nach den Sätzen 1, 3 und 4 gelten auch, wenn an der Prüfung mehrere Personen beteiligt gewesen oder mehrere zum Ersatz verpflichtende Handlungen begangen worden sind, und ohne Rücksicht darauf, ob andere Beteiligte vorsätzlich oder grob fahrlässig gehandelt haben.</w:t>
      </w:r>
    </w:p>
    <w:p>
      <w:r>
        <w:t>(3) Die Verpflichtung zur Verschwiegenheit besteht, wenn eine Prüfungsgesellschaft Abschlußprüfer ist, auch gegenüber dem Aufsichtsrat und den Mitgliedern des Aufsichtsrats der Prüfungsgesellschaft.</w:t>
      </w:r>
    </w:p>
    <w:p>
      <w:r>
        <w:t>(4) Die Ersatzpflicht nach diesen Vorschriften kann durch Vertrag weder ausgeschlossen noch beschränkt werden.</w:t>
      </w:r>
    </w:p>
    <w:p>
      <w:r>
        <w:t>(5) Die Mitteilung nach Artikel 7 Unterabsatz 2 der Verordnung (EU) Nr. 537/2014 ist an die Bundesanstalt für Finanzdienstleistungsaufsicht zu richten, bei dem Verdacht einer Straftat oder Ordnungswidrigkeit auch an die für die Verfolgung jeweils zuständige Behörde.</w:t>
      </w:r>
    </w:p>
    <w:p>
      <w:pPr>
        <w:pStyle w:val="Heading4"/>
      </w:pPr>
      <w:bookmarkStart w:id="362" w:name="b361"/>
      <w:r>
        <w:t>§ 324 Prüfungsausschuss</w:t>
      </w:r>
      <w:r>
        <w:t xml:space="preserve"> </w:t>
      </w:r>
      <w:r>
        <w:rPr>
          <w:rStyle w:val="Suchmarke"/>
        </w:rPr>
        <w:t>#324#</w:t>
      </w:r>
      <w:bookmarkEnd w:id="362"/>
    </w:p>
    <w:p>
      <w:r>
        <w:t xml:space="preserve">(1) </w:t>
      </w:r>
      <w:r>
        <w:rPr>
          <w:rStyle w:val="Satznummer"/>
        </w:rPr>
        <w:t>1</w:t>
      </w:r>
      <w:r>
        <w:t>Kapitalgesellschaften, die Unternehmen von öffentlichem Interesse (</w:t>
      </w:r>
      <w:hyperlink w:anchor="b350" w:history="1">
        <w:r>
          <w:rPr>
            <w:color w:val="0A3A8C"/>
            <w:u w:val="single"/>
          </w:rPr>
          <w:t xml:space="preserve">§ 316a</w:t>
        </w:r>
      </w:hyperlink>
      <w:r>
        <w:t xml:space="preserve"> Satz 2) sind und keinen Aufsichts- oder Verwaltungsrat haben, der die Voraussetzungen des § 100 Absatz 5 des Aktiengesetzes erfüllen muss, sind verpflichtet, einen Prüfungsausschuss nach Absatz 2 einzurichten, der sich insbesondere mit den in § 107 Absatz 3 Satz 2 und 3 des Aktiengesetzes beschriebenen Aufgaben befasst. </w:t>
      </w:r>
      <w:r>
        <w:rPr>
          <w:rStyle w:val="Satznummer"/>
        </w:rPr>
        <w:t>2</w:t>
      </w:r>
      <w:r>
        <w:t>Dies gilt nicht für Kapitalgesellschaften im Sinne des Satzes 1,</w:t>
      </w:r>
    </w:p>
    <w:p>
      <w:pPr>
        <w:tabs>
          <w:tab w:pos="567" w:val="left"/>
        </w:tabs>
        <w:ind w:left="567" w:hanging="567"/>
      </w:pPr>
      <w:r>
        <w:t>1.</w:t>
      </w:r>
      <w:r>
        <w:tab/>
      </w:r>
      <w:r>
        <w:t>deren ausschließlicher Zweck in der Ausgabe von Wertpapieren im Sinne des § 2 Absatz 1 des Wertpapierhandelsgesetzes besteht, die durch Vermögensgegenstände besichert sind;</w:t>
      </w:r>
    </w:p>
    <w:p>
      <w:pPr>
        <w:tabs>
          <w:tab w:pos="567" w:val="left"/>
        </w:tabs>
        <w:ind w:left="567" w:hanging="567"/>
      </w:pPr>
      <w:r>
        <w:t>2.</w:t>
      </w:r>
      <w:r>
        <w:tab/>
      </w:r>
      <w:r>
        <w:t xml:space="preserve">die Kreditinstitute im Sinne des </w:t>
      </w:r>
      <w:hyperlink w:anchor="b395" w:history="1">
        <w:r>
          <w:rPr>
            <w:color w:val="0A3A8C"/>
            <w:u w:val="single"/>
          </w:rPr>
          <w:t xml:space="preserve">§ 340</w:t>
        </w:r>
      </w:hyperlink>
      <w:r>
        <w:t xml:space="preserve"> Absatz 1 sind und einen organisierten Markt im Sinne des § 2 Absatz 11 des Wertpapierhandelsgesetzes nur durch die Ausgabe von Schuldtiteln im Sinne des § 2 Absatz 1 Nummer 3 Buchstabe a des Wertpapierhandelsgesetzes in Anspruch nehmen, wenn deren Nominalwert 100 Millionen Euro nicht übersteigt und keine Verpflichtung zur Veröffentlichung eines Prospekts nach der Verordnung (EU) 2017/1129 des Europäischen Parlaments und des Rates vom 14. Juni 2017 über den Prospekt, der beim öffentlichen Angebot von Wertpapieren oder bei deren Zulassung zum Handel an einem geregelten Markt zu veröffentlichen ist und zur Aufhebung der Richtlinie 2003/71/EG (ABl. L 168 vom 30.6.2017, S. 12), die zuletzt durch die Verordnung (EU) 2019/2146 (ABl. L 325 vom 16.12.2019, S. 43) geändert worden ist, besteht;</w:t>
      </w:r>
    </w:p>
    <w:p>
      <w:pPr>
        <w:tabs>
          <w:tab w:pos="567" w:val="left"/>
        </w:tabs>
        <w:ind w:left="567" w:hanging="567"/>
      </w:pPr>
      <w:r>
        <w:t>3.</w:t>
      </w:r>
      <w:r>
        <w:tab/>
      </w:r>
      <w:r>
        <w:t>die Investmentvermögen im Sinne des § 1 Absatz 1 des Kapitalanlagegesetzbuchs sind.</w:t>
      </w:r>
    </w:p>
    <w:p>
      <w:r>
        <w:rPr>
          <w:rStyle w:val="Satznummer"/>
        </w:rPr>
        <w:t>3</w:t>
      </w:r>
      <w:r>
        <w:t>Im Fall des Satzes 2 Nummer 1 ist im Anhang darzulegen, weshalb ein Prüfungsausschuss nicht eingerichtet wird.</w:t>
      </w:r>
    </w:p>
    <w:p>
      <w:r>
        <w:t xml:space="preserve">(2) </w:t>
      </w:r>
      <w:r>
        <w:rPr>
          <w:rStyle w:val="Satznummer"/>
        </w:rPr>
        <w:t>1</w:t>
      </w:r>
      <w:r>
        <w:t xml:space="preserve">Die Mitglieder des Prüfungsausschusses sind von den Gesellschaftern zu wählen. </w:t>
      </w:r>
      <w:r>
        <w:rPr>
          <w:rStyle w:val="Satznummer"/>
        </w:rPr>
        <w:t>2</w:t>
      </w:r>
      <w:r>
        <w:t xml:space="preserve">Die Mehrheit der Mitglieder, darunter der Vorsitzende, muss unabhängig sein; im Übrigen ist § 100 Absatz 5 des Aktiengesetzes entsprechend anzuwenden. </w:t>
      </w:r>
      <w:r>
        <w:rPr>
          <w:rStyle w:val="Satznummer"/>
        </w:rPr>
        <w:t>3</w:t>
      </w:r>
      <w:r>
        <w:t xml:space="preserve">Der Vorsitzende des Prüfungsausschusses darf nicht mit der Geschäftsführung betraut sein. </w:t>
      </w:r>
      <w:r>
        <w:rPr>
          <w:rStyle w:val="Satznummer"/>
        </w:rPr>
        <w:t>4</w:t>
      </w:r>
      <w:r>
        <w:t xml:space="preserve">§ 107 Absatz 3 Satz 8, § 124 Abs. 3 Satz 2 und § 171 Abs. 1 Satz 2 und 3 des Aktiengesetzes sind entsprechend anzuwenden. </w:t>
      </w:r>
      <w:r>
        <w:rPr>
          <w:rStyle w:val="Satznummer"/>
        </w:rPr>
        <w:t>5</w:t>
      </w:r>
      <w:r>
        <w:t>Der Prüfungsausschuss hat den Gesellschaftern einen Vorschlag für die Wahl des Abschlussprüfers zu machen, wenn die Kapitalgesellschaft keinen Aufsichts- oder Verwaltungsrat hat oder wenn der Aufsichts- oder Verwaltungsrat für den Vorschlag nicht zuständig ist.</w:t>
      </w:r>
    </w:p>
    <w:p>
      <w:r>
        <w:t xml:space="preserve">(3) </w:t>
      </w:r>
      <w:r>
        <w:rPr>
          <w:rStyle w:val="Satznummer"/>
        </w:rPr>
        <w:t>1</w:t>
      </w:r>
      <w:r>
        <w:t>Die Abschlussprüferaufsichtsstelle beim Bundesamt für Wirtschaft und Ausfuhrkontrolle kann zur Erfüllung ihrer Aufgaben gemäß Artikel 27 Absatz 1 Buchstabe c der Verordnung (EU) Nr. 537/2014 von einer Kapitalgesellschaft, die ein Unternehmen von öffentlichem Interesse (</w:t>
      </w:r>
      <w:hyperlink w:anchor="b350" w:history="1">
        <w:r>
          <w:rPr>
            <w:color w:val="0A3A8C"/>
            <w:u w:val="single"/>
          </w:rPr>
          <w:t xml:space="preserve">§ 316a</w:t>
        </w:r>
      </w:hyperlink>
      <w:r>
        <w:t xml:space="preserve"> Satz 2) ist, eine Darstellung und Erläuterung des Ergebnisses sowie der Durchführung der Tätigkeit seines Prüfungsausschusses verlangen. </w:t>
      </w:r>
      <w:r>
        <w:rPr>
          <w:rStyle w:val="Satznummer"/>
        </w:rPr>
        <w:t>2</w:t>
      </w:r>
      <w:r>
        <w:t>Die Abschlussprüferaufsichtsstelle soll zunächst auf Informationen aus öffentlich zugänglichen Quellen zurückgreifen.</w:t>
      </w:r>
    </w:p>
    <w:p>
      <w:pPr>
        <w:pStyle w:val="Heading4"/>
      </w:pPr>
      <w:bookmarkStart w:id="363" w:name="b362"/>
      <w:r>
        <w:t>§ 324a Anwendung auf den Einzelabschluss nach § 325 Abs. 2a</w:t>
      </w:r>
      <w:r>
        <w:t xml:space="preserve"> </w:t>
      </w:r>
      <w:r>
        <w:rPr>
          <w:rStyle w:val="Suchmarke"/>
        </w:rPr>
        <w:t>#324a#</w:t>
      </w:r>
      <w:bookmarkEnd w:id="363"/>
    </w:p>
    <w:p>
      <w:r>
        <w:t xml:space="preserve">(1) </w:t>
      </w:r>
      <w:r>
        <w:rPr>
          <w:rStyle w:val="Satznummer"/>
        </w:rPr>
        <w:t>1</w:t>
      </w:r>
      <w:r>
        <w:t xml:space="preserve">Die Bestimmungen dieses Unterabschnitts, die sich auf den Jahresabschluss beziehen, sind auf einen Einzelabschluss nach </w:t>
      </w:r>
      <w:hyperlink w:anchor="b364" w:history="1">
        <w:r>
          <w:rPr>
            <w:color w:val="0A3A8C"/>
            <w:u w:val="single"/>
          </w:rPr>
          <w:t xml:space="preserve">§ 325</w:t>
        </w:r>
      </w:hyperlink>
      <w:r>
        <w:t xml:space="preserve"> Abs. 2a entsprechend anzuwenden. </w:t>
      </w:r>
      <w:r>
        <w:rPr>
          <w:rStyle w:val="Satznummer"/>
        </w:rPr>
        <w:t>2</w:t>
      </w:r>
      <w:r>
        <w:t xml:space="preserve">An Stelle des </w:t>
      </w:r>
      <w:hyperlink w:anchor="b349" w:history="1">
        <w:r>
          <w:rPr>
            <w:color w:val="0A3A8C"/>
            <w:u w:val="single"/>
          </w:rPr>
          <w:t xml:space="preserve">§ 316</w:t>
        </w:r>
      </w:hyperlink>
      <w:r>
        <w:t xml:space="preserve"> Abs. 1 Satz 2 gilt </w:t>
      </w:r>
      <w:hyperlink w:anchor="b349" w:history="1">
        <w:r>
          <w:rPr>
            <w:color w:val="0A3A8C"/>
            <w:u w:val="single"/>
          </w:rPr>
          <w:t xml:space="preserve">§ 316</w:t>
        </w:r>
      </w:hyperlink>
      <w:r>
        <w:t xml:space="preserve"> Abs. 2 Satz 2 entsprechend.</w:t>
      </w:r>
    </w:p>
    <w:p>
      <w:r>
        <w:t xml:space="preserve">(2) </w:t>
      </w:r>
      <w:r>
        <w:rPr>
          <w:rStyle w:val="Satznummer"/>
        </w:rPr>
        <w:t>1</w:t>
      </w:r>
      <w:r>
        <w:t xml:space="preserve">Als Abschlussprüfer des Einzelabschlusses nach </w:t>
      </w:r>
      <w:hyperlink w:anchor="b364" w:history="1">
        <w:r>
          <w:rPr>
            <w:color w:val="0A3A8C"/>
            <w:u w:val="single"/>
          </w:rPr>
          <w:t xml:space="preserve">§ 325</w:t>
        </w:r>
      </w:hyperlink>
      <w:r>
        <w:t xml:space="preserve"> Abs. 2a gilt der für die Prüfung des Jahresabschlusses bestellte Prüfer als bestellt. </w:t>
      </w:r>
      <w:r>
        <w:rPr>
          <w:rStyle w:val="Satznummer"/>
        </w:rPr>
        <w:t>2</w:t>
      </w:r>
      <w:r>
        <w:t xml:space="preserve">Der Prüfungsbericht zum Einzelabschluss nach </w:t>
      </w:r>
      <w:hyperlink w:anchor="b364" w:history="1">
        <w:r>
          <w:rPr>
            <w:color w:val="0A3A8C"/>
            <w:u w:val="single"/>
          </w:rPr>
          <w:t xml:space="preserve">§ 325</w:t>
        </w:r>
      </w:hyperlink>
      <w:r>
        <w:t xml:space="preserve"> Abs. 2a kann mit dem Prüfungsbericht zum Jahresabschluss zusammengefasst werden.</w:t>
      </w:r>
    </w:p>
    <w:p>
      <w:pPr>
        <w:pStyle w:val="Heading3"/>
      </w:pPr>
      <w:bookmarkStart w:id="364" w:name="b363"/>
      <w:r>
        <w:t>Vierter Unterabschnitt Offenlegung. Prüfung durch die das Unternehmensregister führende Stelle</w:t>
      </w:r>
      <w:bookmarkEnd w:id="364"/>
    </w:p>
    <w:p>
      <w:pPr>
        <w:pStyle w:val="Heading4"/>
      </w:pPr>
      <w:bookmarkStart w:id="365" w:name="b364"/>
      <w:r>
        <w:t>§ 325 Offenlegung</w:t>
      </w:r>
      <w:r>
        <w:t xml:space="preserve"> </w:t>
      </w:r>
      <w:r>
        <w:rPr>
          <w:rStyle w:val="Suchmarke"/>
        </w:rPr>
        <w:t>#325#</w:t>
      </w:r>
      <w:bookmarkEnd w:id="365"/>
    </w:p>
    <w:p>
      <w:r>
        <w:t xml:space="preserve">(1) </w:t>
      </w:r>
      <w:r>
        <w:rPr>
          <w:rStyle w:val="Satznummer"/>
        </w:rPr>
        <w:t>1</w:t>
      </w:r>
      <w:r>
        <w:t>Die Mitglieder des vertretungsberechtigten Organs einer Kapitalgesellschaft haben für die Gesellschaft folgende Unterlagen, sofern sie aufzustellen oder zu erstellen sind, in deutscher Sprache offenzulegen:</w:t>
      </w:r>
    </w:p>
    <w:p>
      <w:pPr>
        <w:tabs>
          <w:tab w:pos="567" w:val="left"/>
        </w:tabs>
        <w:ind w:left="567" w:hanging="567"/>
      </w:pPr>
      <w:r>
        <w:t>1.</w:t>
      </w:r>
      <w:r>
        <w:tab/>
      </w:r>
      <w:r>
        <w:t xml:space="preserve">den festgestellten Jahresabschluss, den Lagebericht, den Bestätigungsvermerk oder den Vermerk über dessen Versagung und die Erklärungen nach </w:t>
      </w:r>
      <w:hyperlink w:anchor="b265" w:history="1">
        <w:r>
          <w:rPr>
            <w:color w:val="0A3A8C"/>
            <w:u w:val="single"/>
          </w:rPr>
          <w:t xml:space="preserve">§ 264</w:t>
        </w:r>
      </w:hyperlink>
      <w:r>
        <w:t xml:space="preserve"> Absatz 2 Satz 3 und </w:t>
      </w:r>
      <w:hyperlink w:anchor="b297" w:history="1">
        <w:r>
          <w:rPr>
            <w:color w:val="0A3A8C"/>
            <w:u w:val="single"/>
          </w:rPr>
          <w:t xml:space="preserve">§ 289</w:t>
        </w:r>
      </w:hyperlink>
      <w:r>
        <w:t xml:space="preserve"> Absatz 1 Satz 5 sowie</w:t>
      </w:r>
    </w:p>
    <w:p>
      <w:pPr>
        <w:tabs>
          <w:tab w:pos="567" w:val="left"/>
        </w:tabs>
        <w:ind w:left="567" w:hanging="567"/>
      </w:pPr>
      <w:r>
        <w:t>2.</w:t>
      </w:r>
      <w:r>
        <w:tab/>
      </w:r>
      <w:r>
        <w:t>den Bericht des Aufsichtsrats und die nach § 161 des Aktiengesetzes vorgeschriebene Erklärung.</w:t>
      </w:r>
    </w:p>
    <w:p>
      <w:r>
        <w:rPr>
          <w:rStyle w:val="Satznummer"/>
        </w:rPr>
        <w:t>2</w:t>
      </w:r>
      <w:r>
        <w:t xml:space="preserve">Die Unterlagen sind der das Unternehmensregister führenden Stelle elektronisch zur Einstellung in das Unternehmensregister zu übermitteln. </w:t>
      </w:r>
      <w:r>
        <w:rPr>
          <w:rStyle w:val="Satznummer"/>
        </w:rPr>
        <w:t>3</w:t>
      </w:r>
      <w:r>
        <w:t xml:space="preserve">Bei einer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sind die Unterlagen der das Unternehmensregister führenden Stelle mit der Übermittlung nach Satz 2 auch zur Weiterleitung an das zentrale europäische Zugangsportal zu übermitteln.</w:t>
      </w:r>
    </w:p>
    <w:p>
      <w:r>
        <w:t xml:space="preserve">(1a) </w:t>
      </w:r>
      <w:r>
        <w:rPr>
          <w:rStyle w:val="Satznummer"/>
        </w:rPr>
        <w:t>1</w:t>
      </w:r>
      <w:r>
        <w:t xml:space="preserve">Die Unterlagen nach Absatz 1 Satz 1 sind spätestens ein Jahr nach dem Abschlussstichtag des Geschäftsjahrs zu übermitteln, auf das sie sich beziehen. </w:t>
      </w:r>
      <w:r>
        <w:rPr>
          <w:rStyle w:val="Satznummer"/>
        </w:rPr>
        <w:t>2</w:t>
      </w:r>
      <w:r>
        <w:t>Liegen die Unterlagen nach Absatz 1 Satz 1 Nummer 2 nicht innerhalb der Frist vor, sind sie unverzüglich nach ihrem Vorliegen nach Absatz 1 offenzulegen.</w:t>
      </w:r>
    </w:p>
    <w:p>
      <w:r>
        <w:t xml:space="preserve">(1b) </w:t>
      </w:r>
      <w:r>
        <w:rPr>
          <w:rStyle w:val="Satznummer"/>
        </w:rPr>
        <w:t>1</w:t>
      </w:r>
      <w:r>
        <w:t xml:space="preserve">Wird der Jahresabschluss oder der Lagebericht geändert, so ist auch die Änderung nach Absatz 1 Satz 1 offenzulegen. </w:t>
      </w:r>
      <w:r>
        <w:rPr>
          <w:rStyle w:val="Satznummer"/>
        </w:rPr>
        <w:t>2</w:t>
      </w:r>
      <w:r>
        <w:t>Ist im Jahresabschluss nur der Vorschlag für die Ergebnisverwendung enthalten, ist der Beschluss über die Ergebnisverwendung nach seinem Vorliegen nach Absatz 1 Satz 1 offenzulegen.</w:t>
      </w:r>
    </w:p>
    <w:p>
      <w:r>
        <w:t>(2) (weggefallen)</w:t>
      </w:r>
    </w:p>
    <w:p>
      <w:r>
        <w:t xml:space="preserve">(2a) </w:t>
      </w:r>
      <w:r>
        <w:rPr>
          <w:rStyle w:val="Satznummer"/>
        </w:rPr>
        <w:t>1</w:t>
      </w:r>
      <w:r>
        <w:t xml:space="preserve">Bei der Offenlegung nach Absatz 1 in Verbindung mit </w:t>
      </w:r>
      <w:hyperlink w:anchor="b12" w:history="1">
        <w:r>
          <w:rPr>
            <w:color w:val="0A3A8C"/>
            <w:u w:val="single"/>
          </w:rPr>
          <w:t xml:space="preserve">§ 8b</w:t>
        </w:r>
      </w:hyperlink>
      <w:r>
        <w:t xml:space="preserve"> Absatz 2 Nummer 4 kann bei großen Kapitalgesellschaften (</w:t>
      </w:r>
      <w:hyperlink w:anchor="b273" w:history="1">
        <w:r>
          <w:rPr>
            <w:color w:val="0A3A8C"/>
            <w:u w:val="single"/>
          </w:rPr>
          <w:t xml:space="preserve">§ 267</w:t>
        </w:r>
      </w:hyperlink>
      <w:r>
        <w:t xml:space="preserve"> Absatz 3) an die Stelle des Jahresabschlusses ein Einzelabschluss treten, der nach den in </w:t>
      </w:r>
      <w:hyperlink w:anchor="b347" w:history="1">
        <w:r>
          <w:rPr>
            <w:color w:val="0A3A8C"/>
            <w:u w:val="single"/>
          </w:rPr>
          <w:t xml:space="preserve">§ 315e</w:t>
        </w:r>
      </w:hyperlink>
      <w:r>
        <w:t xml:space="preserve"> Absatz 1 bezeichneten internationalen Rechnungslegungsstandards aufgestellt worden ist. </w:t>
      </w:r>
      <w:r>
        <w:rPr>
          <w:rStyle w:val="Satznummer"/>
        </w:rPr>
        <w:t>2</w:t>
      </w:r>
      <w:r>
        <w:t xml:space="preserve">Ein Unternehmen, das von diesem Wahlrecht Gebrauch macht, hat die dort genannten Standards vollständig zu befolgen. </w:t>
      </w:r>
      <w:r>
        <w:rPr>
          <w:rStyle w:val="Satznummer"/>
        </w:rPr>
        <w:t>3</w:t>
      </w:r>
      <w:r>
        <w:t xml:space="preserve">Auf einen solchen Abschluss sind </w:t>
      </w:r>
      <w:hyperlink w:anchor="b236" w:history="1">
        <w:r>
          <w:rPr>
            <w:color w:val="0A3A8C"/>
            <w:u w:val="single"/>
          </w:rPr>
          <w:t xml:space="preserve">§ 243</w:t>
        </w:r>
      </w:hyperlink>
      <w:r>
        <w:t xml:space="preserve"> Abs. 2, die §§ 244, 245, 257, 264 Absatz 1a, 2 Satz 3, § 285 Nr. 7, 8 Buchstabe b, Nr. 9 bis 11a, 14 bis 17, </w:t>
      </w:r>
      <w:hyperlink w:anchor="b293" w:history="1">
        <w:r>
          <w:rPr>
            <w:color w:val="0A3A8C"/>
            <w:u w:val="single"/>
          </w:rPr>
          <w:t xml:space="preserve">§ 286</w:t>
        </w:r>
      </w:hyperlink>
      <w:r>
        <w:t xml:space="preserve"> Absatz 1 und 3 anzuwenden. </w:t>
      </w:r>
      <w:r>
        <w:rPr>
          <w:rStyle w:val="Satznummer"/>
        </w:rPr>
        <w:t>4</w:t>
      </w:r>
      <w:r>
        <w:t xml:space="preserve">Die Verpflichtung, einen Lagebericht offenzulegen, bleibt unberührt; der Lagebericht nach </w:t>
      </w:r>
      <w:hyperlink w:anchor="b297" w:history="1">
        <w:r>
          <w:rPr>
            <w:color w:val="0A3A8C"/>
            <w:u w:val="single"/>
          </w:rPr>
          <w:t xml:space="preserve">§ 289</w:t>
        </w:r>
      </w:hyperlink>
      <w:r>
        <w:t xml:space="preserve"> muss in dem erforderlichen Umfang auch auf den Einzelabschluss nach Satz 1 Bezug nehmen. </w:t>
      </w:r>
      <w:r>
        <w:rPr>
          <w:rStyle w:val="Satznummer"/>
        </w:rPr>
        <w:t>5</w:t>
      </w:r>
      <w:r>
        <w:t xml:space="preserve">Die übrigen Vorschriften des Zweiten Unterabschnitts des Ersten Abschnitts und des Ersten Unterabschnitts des Zweiten Abschnitts gelten insoweit nicht. </w:t>
      </w:r>
      <w:r>
        <w:rPr>
          <w:rStyle w:val="Satznummer"/>
        </w:rPr>
        <w:t>6</w:t>
      </w:r>
      <w:r>
        <w:t xml:space="preserve">Kann wegen der Anwendung des </w:t>
      </w:r>
      <w:hyperlink w:anchor="b293" w:history="1">
        <w:r>
          <w:rPr>
            <w:color w:val="0A3A8C"/>
            <w:u w:val="single"/>
          </w:rPr>
          <w:t xml:space="preserve">§ 286</w:t>
        </w:r>
      </w:hyperlink>
      <w:r>
        <w:t xml:space="preserve"> Abs. 1 auf den Anhang die in Satz 2 genannte Voraussetzung nicht eingehalten werden, entfällt das Wahlrecht nach Satz 1.</w:t>
      </w:r>
    </w:p>
    <w:p>
      <w:r>
        <w:t>(2b) Die befreiende Wirkung der Offenlegung des Einzelabschlusses nach Absatz 2a tritt ein, wenn</w:t>
      </w:r>
    </w:p>
    <w:p>
      <w:pPr>
        <w:tabs>
          <w:tab w:pos="567" w:val="left"/>
        </w:tabs>
        <w:ind w:left="567" w:hanging="567"/>
      </w:pPr>
      <w:r>
        <w:t>1.</w:t>
      </w:r>
      <w:r>
        <w:tab/>
      </w:r>
      <w:r>
        <w:t>statt des vom Abschlussprüfer zum Jahresabschluss erteilten Bestätigungsvermerks oder des Vermerks über dessen Versagung der entsprechende Vermerk zum Abschluss nach Absatz 2a in die Offenlegung nach Absatz 1 einbezogen wird,</w:t>
      </w:r>
    </w:p>
    <w:p>
      <w:pPr>
        <w:tabs>
          <w:tab w:pos="567" w:val="left"/>
        </w:tabs>
        <w:ind w:left="567" w:hanging="567"/>
      </w:pPr>
      <w:r>
        <w:t>2.</w:t>
      </w:r>
      <w:r>
        <w:tab/>
      </w:r>
      <w:r>
        <w:t>der Vorschlag für die Verwendung des Ergebnisses und gegebenenfalls der Beschluss über seine Verwendung unter Angabe des Jahresüberschusses oder Jahresfehlbetrags in die Offenlegung nach Absatz 1 einbezogen werden und</w:t>
      </w:r>
    </w:p>
    <w:p>
      <w:pPr>
        <w:tabs>
          <w:tab w:pos="567" w:val="left"/>
        </w:tabs>
        <w:ind w:left="567" w:hanging="567"/>
      </w:pPr>
      <w:r>
        <w:t>3.</w:t>
      </w:r>
      <w:r>
        <w:tab/>
      </w:r>
      <w:r>
        <w:t>der Jahresabschluss mit dem Bestätigungsvermerk oder dem Vermerk über dessen Versagung in deutscher Sprache nach Maßgabe des Absatzes 1a Satz 1 und des Absatzes 4 der das Unternehmensregister führenden Stelle elektronisch zur Einstellung in das Unternehmensregister durch dauerhafte Hinterlegung übermittelt wird.</w:t>
      </w:r>
    </w:p>
    <w:p>
      <w:r>
        <w:t>(3) Die Absätze 1 bis 1b Satz 1 und Absatz 4 gelten entsprechend für die Mitglieder des vertretungsberechtigten Organs einer Kapitalgesellschaft, die einen Konzernabschluss und einen Konzernlagebericht aufzustellen haben.</w:t>
      </w:r>
    </w:p>
    <w:p>
      <w:r>
        <w:t xml:space="preserve">(3a) Wird der Konzernabschluss zusammen mit dem Jahresabschluss des Mutterunternehmens oder mit einem von diesem aufgestellten Einzelabschluss nach Absatz 2a offengelegt, können die Vermerke des Abschlussprüfers nach </w:t>
      </w:r>
      <w:hyperlink w:anchor="b359" w:history="1">
        <w:r>
          <w:rPr>
            <w:color w:val="0A3A8C"/>
            <w:u w:val="single"/>
          </w:rPr>
          <w:t xml:space="preserve">§ 322</w:t>
        </w:r>
      </w:hyperlink>
      <w:r>
        <w:t xml:space="preserve"> zu beiden Abschlüssen zusammengefasst werden; in diesem Fall können auch die jeweiligen Prüfungsberichte zusammengefasst werden.</w:t>
      </w:r>
    </w:p>
    <w:p>
      <w:r>
        <w:t xml:space="preserve">(4) </w:t>
      </w:r>
      <w:r>
        <w:rPr>
          <w:rStyle w:val="Satznummer"/>
        </w:rPr>
        <w:t>1</w:t>
      </w:r>
      <w:r>
        <w:t xml:space="preserve">Bei einer Kapitalgesellschaft im Sinn des </w:t>
      </w:r>
      <w:hyperlink w:anchor="b269" w:history="1">
        <w:r>
          <w:rPr>
            <w:color w:val="0A3A8C"/>
            <w:u w:val="single"/>
          </w:rPr>
          <w:t xml:space="preserve">§ 264d</w:t>
        </w:r>
      </w:hyperlink>
      <w:r>
        <w:t xml:space="preserve"> beträgt die Frist nach Absatz 1a Satz 1 längstens vier Monate. </w:t>
      </w:r>
      <w:r>
        <w:rPr>
          <w:rStyle w:val="Satznummer"/>
        </w:rPr>
        <w:t>2</w:t>
      </w:r>
      <w:r>
        <w:t xml:space="preserve">Für die Wahrung der Fristen nach Satz 1 und Absatz 1a Satz 1 ist der Zeitpunkt der Übermittlung der Unterlagen maßgebend. </w:t>
      </w:r>
      <w:r>
        <w:rPr>
          <w:rStyle w:val="Satznummer"/>
        </w:rPr>
        <w:t>3</w:t>
      </w:r>
      <w:r>
        <w:t xml:space="preserve">Eine Kapitalgesellschaft im Sinne des </w:t>
      </w:r>
      <w:hyperlink w:anchor="b269" w:history="1">
        <w:r>
          <w:rPr>
            <w:color w:val="0A3A8C"/>
            <w:u w:val="single"/>
          </w:rPr>
          <w:t xml:space="preserve">§ 264d</w:t>
        </w:r>
      </w:hyperlink>
      <w:r>
        <w:t xml:space="preserve"> hat die Unterlagen nach Absatz 1 Satz 1 gleichzeitig mit ihrer öffentlichen Zugänglichmachung im Internet im Sinne des § 114 Absatz 1 Satz 2 des Wertpapierhandelsgesetzes nach Absatz 1 Satz 2 zu übermitteln.</w:t>
      </w:r>
    </w:p>
    <w:p>
      <w:r>
        <w:t>(5) Auf Gesetz, Gesellschaftsvertrag oder Satzung beruhende Pflichten der Gesellschaft, den Jahresabschluss, den Einzelabschluss nach Absatz 2a, den Lagebericht, den Konzernabschluss oder den Konzernlagebericht in anderer Weise bekannt zu machen, einzureichen oder Personen zugänglich zu machen, bleiben unberührt.</w:t>
      </w:r>
    </w:p>
    <w:p>
      <w:r>
        <w:t xml:space="preserve">(6) Die </w:t>
      </w:r>
      <w:hyperlink w:anchor="b20" w:history="1">
        <w:r>
          <w:rPr>
            <w:color w:val="0A3A8C"/>
            <w:u w:val="single"/>
          </w:rPr>
          <w:t xml:space="preserve">§§ 11</w:t>
        </w:r>
      </w:hyperlink>
      <w:r>
        <w:t xml:space="preserve"> und </w:t>
      </w:r>
      <w:hyperlink w:anchor="b21" w:history="1">
        <w:r>
          <w:rPr>
            <w:color w:val="0A3A8C"/>
            <w:u w:val="single"/>
          </w:rPr>
          <w:t xml:space="preserve">12</w:t>
        </w:r>
      </w:hyperlink>
      <w:r>
        <w:t xml:space="preserve"> Absatz 2 gelten entsprechend für die Unterlagen, die an die das Unternehmensregister führende Stelle zur Einstellung in das Unternehmensregister zu übermitteln sind; </w:t>
      </w:r>
      <w:hyperlink w:anchor="b365" w:history="1">
        <w:r>
          <w:rPr>
            <w:color w:val="0A3A8C"/>
            <w:u w:val="single"/>
          </w:rPr>
          <w:t xml:space="preserve">§ 325a</w:t>
        </w:r>
      </w:hyperlink>
      <w:r>
        <w:t xml:space="preserve"> Absatz 1 Satz 5 und </w:t>
      </w:r>
      <w:hyperlink w:anchor="b413" w:history="1">
        <w:r>
          <w:rPr>
            <w:color w:val="0A3A8C"/>
            <w:u w:val="single"/>
          </w:rPr>
          <w:t xml:space="preserve">§ 340l</w:t>
        </w:r>
      </w:hyperlink>
      <w:r>
        <w:t xml:space="preserve"> Absatz 2 Satz 6 bleiben unberührt.</w:t>
      </w:r>
    </w:p>
    <w:p>
      <w:pPr>
        <w:pStyle w:val="Heading4"/>
      </w:pPr>
      <w:bookmarkStart w:id="366" w:name="b365"/>
      <w:r>
        <w:t>§ 325a Zweigniederlassungen von Kapitalgesellschaften mit Sitz im Ausland</w:t>
      </w:r>
      <w:r>
        <w:t xml:space="preserve"> </w:t>
      </w:r>
      <w:r>
        <w:rPr>
          <w:rStyle w:val="Suchmarke"/>
        </w:rPr>
        <w:t>#325a#</w:t>
      </w:r>
      <w:bookmarkEnd w:id="366"/>
    </w:p>
    <w:p>
      <w:r>
        <w:t xml:space="preserve">(1) </w:t>
      </w:r>
      <w:r>
        <w:rPr>
          <w:rStyle w:val="Satznummer"/>
        </w:rPr>
        <w:t>1</w:t>
      </w:r>
      <w:r>
        <w:t xml:space="preserve">Bei inländischen Zweigniederlassungen von Kapitalgesellschaften mit Sitz in einem anderen Staat haben die in </w:t>
      </w:r>
      <w:hyperlink w:anchor="b26" w:history="1">
        <w:r>
          <w:rPr>
            <w:color w:val="0A3A8C"/>
            <w:u w:val="single"/>
          </w:rPr>
          <w:t xml:space="preserve">§ 13e</w:t>
        </w:r>
      </w:hyperlink>
      <w:r>
        <w:t xml:space="preserve"> Absatz 2 Satz 5 Nummer 3 genannten angemeldeten Personen oder, wenn solche nicht vorhanden sind, die Mitglieder des vertretungsberechtigten Organs der Gesellschaft für diese die Unterlagen der Rechnungslegung der Hauptniederlassung, die nach dem für die Hauptniederlassung maßgeblichen Recht aufgestellt, geprüft und offengelegt worden sind, nach den </w:t>
      </w:r>
      <w:hyperlink w:anchor="b364" w:history="1">
        <w:r>
          <w:rPr>
            <w:color w:val="0A3A8C"/>
            <w:u w:val="single"/>
          </w:rPr>
          <w:t xml:space="preserve">§§ 325</w:t>
        </w:r>
      </w:hyperlink>
      <w:r>
        <w:t xml:space="preserve">, </w:t>
      </w:r>
      <w:hyperlink w:anchor="b368" w:history="1">
        <w:r>
          <w:rPr>
            <w:color w:val="0A3A8C"/>
            <w:u w:val="single"/>
          </w:rPr>
          <w:t xml:space="preserve">327a</w:t>
        </w:r>
      </w:hyperlink>
      <w:r>
        <w:t xml:space="preserve"> und </w:t>
      </w:r>
      <w:hyperlink w:anchor="b369" w:history="1">
        <w:r>
          <w:rPr>
            <w:color w:val="0A3A8C"/>
            <w:u w:val="single"/>
          </w:rPr>
          <w:t xml:space="preserve">328</w:t>
        </w:r>
      </w:hyperlink>
      <w:r>
        <w:t xml:space="preserve"> offenzulegen; </w:t>
      </w:r>
      <w:hyperlink w:anchor="b370" w:history="1">
        <w:r>
          <w:rPr>
            <w:color w:val="0A3A8C"/>
            <w:u w:val="single"/>
          </w:rPr>
          <w:t xml:space="preserve">§ 329</w:t>
        </w:r>
      </w:hyperlink>
      <w:r>
        <w:t xml:space="preserve"> ist anzuwenden. </w:t>
      </w:r>
      <w:r>
        <w:rPr>
          <w:rStyle w:val="Satznummer"/>
        </w:rPr>
        <w:t>2</w:t>
      </w:r>
      <w:r>
        <w:t xml:space="preserve">Bestehen mehrere inländische Zweigniederlassungen derselben Gesellschaft, brauchen die Unterlagen der Rechnungslegung der Hauptniederlassung nur von den nach Satz 1 verpflichteten Personen einer dieser Zweigniederlassungen offengelegt zu werden. </w:t>
      </w:r>
      <w:r>
        <w:rPr>
          <w:rStyle w:val="Satznummer"/>
        </w:rPr>
        <w:t>3</w:t>
      </w:r>
      <w:r>
        <w:t xml:space="preserve">In diesem Fall beschränkt sich die Offenlegungspflicht der übrigen Zweigniederlassungen auf die Angabe des Namens der Zweigniederlassung, des Registers sowie der Registernummer der Zweigniederlassung, für die die Offenlegung gemäß Satz 2 bewirkt worden ist. </w:t>
      </w:r>
      <w:r>
        <w:rPr>
          <w:rStyle w:val="Satznummer"/>
        </w:rPr>
        <w:t>4</w:t>
      </w:r>
      <w:r>
        <w:t xml:space="preserve">Die Unterlagen sind in deutscher Sprache zu übermitteln. </w:t>
      </w:r>
      <w:r>
        <w:rPr>
          <w:rStyle w:val="Satznummer"/>
        </w:rPr>
        <w:t>5</w:t>
      </w:r>
      <w:r>
        <w:t>Soweit dies nicht die Amtssprache am Sitz der Hauptniederlassung ist, können die Unterlagen der Hauptniederlassung auch</w:t>
      </w:r>
    </w:p>
    <w:p>
      <w:pPr>
        <w:tabs>
          <w:tab w:pos="567" w:val="left"/>
        </w:tabs>
        <w:ind w:left="567" w:hanging="567"/>
      </w:pPr>
      <w:r>
        <w:t>1.</w:t>
      </w:r>
      <w:r>
        <w:tab/>
      </w:r>
      <w:r>
        <w:t>in englischer Sprache oder</w:t>
      </w:r>
    </w:p>
    <w:p>
      <w:pPr>
        <w:tabs>
          <w:tab w:pos="567" w:val="left"/>
        </w:tabs>
        <w:ind w:left="567" w:hanging="567"/>
      </w:pPr>
      <w:r>
        <w:t>2.</w:t>
      </w:r>
      <w:r>
        <w:tab/>
      </w:r>
      <w:r>
        <w:t>in einer von dem Register der Hauptniederlassung beglaubigten Abschrift oder,</w:t>
      </w:r>
    </w:p>
    <w:p>
      <w:pPr>
        <w:tabs>
          <w:tab w:pos="567" w:val="left"/>
        </w:tabs>
        <w:ind w:left="567" w:hanging="567"/>
      </w:pPr>
      <w:r>
        <w:t>3.</w:t>
      </w:r>
      <w:r>
        <w:tab/>
      </w:r>
      <w:r>
        <w:t>wenn eine dem Register vergleichbare Einrichtung nicht vorhanden oder diese nicht zur Beglaubigung befugt ist, in einer von einem Wirtschaftsprüfer bescheinigten Abschrift, verbunden mit der Erklärung, dass entweder eine dem Register vergleichbare Einrichtung nicht vorhanden oder diese nicht zur Beglaubigung befugt ist,</w:t>
      </w:r>
    </w:p>
    <w:p>
      <w:r>
        <w:t>übermittelt werden; von der Beglaubigung des Registers ist eine beglaubigte Übersetzung in deutscher Sprache zu übermitteln.</w:t>
      </w:r>
    </w:p>
    <w:p>
      <w:r>
        <w:t xml:space="preserve">(2) Diese Vorschrift gilt nicht für Zweigniederlassungen, die von Kreditinstituten im Sinne des </w:t>
      </w:r>
      <w:hyperlink w:anchor="b395" w:history="1">
        <w:r>
          <w:rPr>
            <w:color w:val="0A3A8C"/>
            <w:u w:val="single"/>
          </w:rPr>
          <w:t xml:space="preserve">§ 340</w:t>
        </w:r>
      </w:hyperlink>
      <w:r>
        <w:t xml:space="preserve"> oder von Versicherungsunternehmen im Sinne des </w:t>
      </w:r>
      <w:hyperlink w:anchor="b420" w:history="1">
        <w:r>
          <w:rPr>
            <w:color w:val="0A3A8C"/>
            <w:u w:val="single"/>
          </w:rPr>
          <w:t xml:space="preserve">§ 341</w:t>
        </w:r>
      </w:hyperlink>
      <w:r>
        <w:t xml:space="preserve"> errichtet werden.</w:t>
      </w:r>
    </w:p>
    <w:p>
      <w:r>
        <w:t xml:space="preserve">(3) </w:t>
      </w:r>
      <w:r>
        <w:rPr>
          <w:rStyle w:val="Satznummer"/>
        </w:rPr>
        <w:t>1</w:t>
      </w:r>
      <w:r>
        <w:t>Bei der Anwendung von Absatz 1 ist für die Einstufung einer Kapitalgesellschaft als Kleinstkapitalgesellschaft (</w:t>
      </w:r>
      <w:hyperlink w:anchor="b274" w:history="1">
        <w:r>
          <w:rPr>
            <w:color w:val="0A3A8C"/>
            <w:u w:val="single"/>
          </w:rPr>
          <w:t xml:space="preserve">§ 267a</w:t>
        </w:r>
      </w:hyperlink>
      <w:r>
        <w:t xml:space="preserve">) und für die Geltung von Erleichterungen bei der Rechnungslegung das Recht des anderen Staates maßgeblich. </w:t>
      </w:r>
      <w:r>
        <w:rPr>
          <w:rStyle w:val="Satznummer"/>
        </w:rPr>
        <w:t>2</w:t>
      </w:r>
      <w:r>
        <w:t xml:space="preserve">Darf eine Kleinstkapitalgesellschaft nach dem für sie maßgeblichen Recht die Offenlegungspflicht durch die Hinterlegung der Bilanz erfüllen, darf sie die Offenlegung nach Absatz 1 ebenfalls durch Hinterlegung bewirken. </w:t>
      </w:r>
      <w:r>
        <w:rPr>
          <w:rStyle w:val="Satznummer"/>
        </w:rPr>
        <w:t>3</w:t>
      </w:r>
      <w:hyperlink w:anchor="b366" w:history="1">
        <w:r>
          <w:rPr>
            <w:color w:val="0A3A8C"/>
            <w:u w:val="single"/>
          </w:rPr>
          <w:t xml:space="preserve">§ 326</w:t>
        </w:r>
      </w:hyperlink>
      <w:r>
        <w:t xml:space="preserve"> Absatz 2 gilt entsprechend.</w:t>
      </w:r>
    </w:p>
    <w:p>
      <w:r>
        <w:t xml:space="preserve">(4) Die das Unternehmensregister führende Stelle fordert die Kapitalgesellschaft zur unverzüglichen Offenlegung der Änderung der Unterlagen der Rechnungslegung gemäß Absatz 1 auf, wenn zum Zeitpunkt eines Dateneingangs nach </w:t>
      </w:r>
      <w:hyperlink w:anchor="b15" w:history="1">
        <w:r>
          <w:rPr>
            <w:color w:val="0A3A8C"/>
            <w:u w:val="single"/>
          </w:rPr>
          <w:t xml:space="preserve">§ 9b</w:t>
        </w:r>
      </w:hyperlink>
      <w:r>
        <w:t xml:space="preserve"> Absatz 4 Satz 2 die Änderung noch nicht offengelegt worden ist.</w:t>
      </w:r>
    </w:p>
    <w:p>
      <w:pPr>
        <w:pStyle w:val="Heading4"/>
      </w:pPr>
      <w:bookmarkStart w:id="367" w:name="b366"/>
      <w:r>
        <w:t>§ 326 Größenabhängige Erleichterungen für kleine Kapitalgesellschaften und Kleinstkapitalgesellschaften bei der Offenlegung</w:t>
      </w:r>
      <w:r>
        <w:t xml:space="preserve"> </w:t>
      </w:r>
      <w:r>
        <w:rPr>
          <w:rStyle w:val="Suchmarke"/>
        </w:rPr>
        <w:t>#326#</w:t>
      </w:r>
      <w:bookmarkEnd w:id="367"/>
    </w:p>
    <w:p>
      <w:r>
        <w:t xml:space="preserve">(1) </w:t>
      </w:r>
      <w:r>
        <w:rPr>
          <w:rStyle w:val="Satznummer"/>
        </w:rPr>
        <w:t>1</w:t>
      </w:r>
      <w:r>
        <w:t>Auf kleine Kapitalgesellschaften (</w:t>
      </w:r>
      <w:hyperlink w:anchor="b273" w:history="1">
        <w:r>
          <w:rPr>
            <w:color w:val="0A3A8C"/>
            <w:u w:val="single"/>
          </w:rPr>
          <w:t xml:space="preserve">§ 267</w:t>
        </w:r>
      </w:hyperlink>
      <w:r>
        <w:t xml:space="preserve"> Abs. 1) ist </w:t>
      </w:r>
      <w:hyperlink w:anchor="b364" w:history="1">
        <w:r>
          <w:rPr>
            <w:color w:val="0A3A8C"/>
            <w:u w:val="single"/>
          </w:rPr>
          <w:t xml:space="preserve">§ 325</w:t>
        </w:r>
      </w:hyperlink>
      <w:r>
        <w:t xml:space="preserve"> Abs. 1 mit der Maßgabe anzuwenden, daß die Mitglieder des vertretungsberechtigten Organs nur die Bilanz und den Anhang zu übermitteln haben. </w:t>
      </w:r>
      <w:r>
        <w:rPr>
          <w:rStyle w:val="Satznummer"/>
        </w:rPr>
        <w:t>2</w:t>
      </w:r>
      <w:r>
        <w:t>Der Anhang braucht die die Gewinn- und Verlustrechnung betreffenden Angaben nicht zu enthalten.</w:t>
      </w:r>
    </w:p>
    <w:p>
      <w:r>
        <w:t xml:space="preserve">(2) </w:t>
      </w:r>
      <w:r>
        <w:rPr>
          <w:rStyle w:val="Satznummer"/>
        </w:rPr>
        <w:t>1</w:t>
      </w:r>
      <w:r>
        <w:t>Auf Kleinstkapitalgesellschaften (</w:t>
      </w:r>
      <w:hyperlink w:anchor="b274" w:history="1">
        <w:r>
          <w:rPr>
            <w:color w:val="0A3A8C"/>
            <w:u w:val="single"/>
          </w:rPr>
          <w:t xml:space="preserve">§ 267a</w:t>
        </w:r>
      </w:hyperlink>
      <w:r>
        <w:t xml:space="preserve">) ist </w:t>
      </w:r>
      <w:hyperlink w:anchor="b364" w:history="1">
        <w:r>
          <w:rPr>
            <w:color w:val="0A3A8C"/>
            <w:u w:val="single"/>
          </w:rPr>
          <w:t xml:space="preserve">§ 325</w:t>
        </w:r>
      </w:hyperlink>
      <w:r>
        <w:t xml:space="preserve"> Absatz 1 mit der Maßgabe anzuwenden, dass die Mitglieder des vertretungsberechtigten Organs nur die Bilanz zu übermitteln haben und dabei die Einstellung in das Unternehmensregister durch dauerhafte Hinterlegung verlangen können. </w:t>
      </w:r>
      <w:r>
        <w:rPr>
          <w:rStyle w:val="Satznummer"/>
        </w:rPr>
        <w:t>2</w:t>
      </w:r>
      <w:r>
        <w:t xml:space="preserve">Kleinstkapitalgesellschaften dürfen von dem in Satz 1 geregelten Recht nur Gebrauch machen, wenn sie gegenüber der das Unternehmensregister führenden Stelle mitteilen, dass sie zwei der drei in </w:t>
      </w:r>
      <w:hyperlink w:anchor="b274" w:history="1">
        <w:r>
          <w:rPr>
            <w:color w:val="0A3A8C"/>
            <w:u w:val="single"/>
          </w:rPr>
          <w:t xml:space="preserve">§ 267a</w:t>
        </w:r>
      </w:hyperlink>
      <w:r>
        <w:t xml:space="preserve"> Absatz 1 genannten Merkmale für die nach </w:t>
      </w:r>
      <w:hyperlink w:anchor="b273" w:history="1">
        <w:r>
          <w:rPr>
            <w:color w:val="0A3A8C"/>
            <w:u w:val="single"/>
          </w:rPr>
          <w:t xml:space="preserve">§ 267</w:t>
        </w:r>
      </w:hyperlink>
      <w:r>
        <w:t xml:space="preserve"> Absatz 4 maßgeblichen Abschlussstichtage nicht überschreiten.</w:t>
      </w:r>
    </w:p>
    <w:p>
      <w:pPr>
        <w:pStyle w:val="Heading4"/>
      </w:pPr>
      <w:bookmarkStart w:id="368" w:name="b367"/>
      <w:r>
        <w:t>§ 327 Größenabhängige Erleichterungen für mittelgroße Kapitalgesellschaften bei der Offenlegung</w:t>
      </w:r>
      <w:r>
        <w:t xml:space="preserve"> </w:t>
      </w:r>
      <w:r>
        <w:rPr>
          <w:rStyle w:val="Suchmarke"/>
        </w:rPr>
        <w:t>#327#</w:t>
      </w:r>
      <w:bookmarkEnd w:id="368"/>
    </w:p>
    <w:p>
      <w:r>
        <w:t>Auf mittelgroße Kapitalgesellschaften (</w:t>
      </w:r>
      <w:hyperlink w:anchor="b273" w:history="1">
        <w:r>
          <w:rPr>
            <w:color w:val="0A3A8C"/>
            <w:u w:val="single"/>
          </w:rPr>
          <w:t xml:space="preserve">§ 267</w:t>
        </w:r>
      </w:hyperlink>
      <w:r>
        <w:t xml:space="preserve"> Abs. 2) ist </w:t>
      </w:r>
      <w:hyperlink w:anchor="b364" w:history="1">
        <w:r>
          <w:rPr>
            <w:color w:val="0A3A8C"/>
            <w:u w:val="single"/>
          </w:rPr>
          <w:t xml:space="preserve">§ 325</w:t>
        </w:r>
      </w:hyperlink>
      <w:r>
        <w:t xml:space="preserve"> Abs. 1 mit der Maßgabe anzuwenden, daß die Mitglieder des vertretungsberechtigten Organs</w:t>
      </w:r>
    </w:p>
    <w:p>
      <w:pPr>
        <w:tabs>
          <w:tab w:pos="567" w:val="left"/>
        </w:tabs>
        <w:ind w:left="567" w:hanging="567"/>
      </w:pPr>
      <w:r>
        <w:t>1.</w:t>
      </w:r>
      <w:r>
        <w:tab/>
      </w:r>
      <w:r>
        <w:t xml:space="preserve">die Bilanz nur in der für kleine Kapitalgesellschaften nach </w:t>
      </w:r>
      <w:hyperlink w:anchor="b272" w:history="1">
        <w:r>
          <w:rPr>
            <w:color w:val="0A3A8C"/>
            <w:u w:val="single"/>
          </w:rPr>
          <w:t xml:space="preserve">§ 266</w:t>
        </w:r>
      </w:hyperlink>
      <w:r>
        <w:t xml:space="preserve"> Abs. 1 Satz 3 vorgeschriebenen Form der das Unternehmensregister führenden Stelle übermitteln müssen. </w:t>
      </w:r>
      <w:r>
        <w:rPr>
          <w:rStyle w:val="Satznummer"/>
        </w:rPr>
        <w:t>2</w:t>
      </w:r>
      <w:r>
        <w:t xml:space="preserve">In der Bilanz oder im Anhang sind jedoch die folgenden Posten des </w:t>
      </w:r>
      <w:hyperlink w:anchor="b272" w:history="1">
        <w:r>
          <w:rPr>
            <w:color w:val="0A3A8C"/>
            <w:u w:val="single"/>
          </w:rPr>
          <w:t xml:space="preserve">§ 266</w:t>
        </w:r>
      </w:hyperlink>
      <w:r>
        <w:t xml:space="preserve"> Abs. 2 und 3 zusätzlich gesondert anzugeben:</w:t>
      </w:r>
    </w:p>
    <w:p>
      <w:pPr>
        <w:ind w:left="567"/>
      </w:pPr>
      <w:r>
        <w:t>Auf der Aktivseite</w:t>
      </w:r>
    </w:p>
    <w:p>
      <w:pPr>
        <w:tabs>
          <w:tab w:pos="1701" w:val="left"/>
        </w:tabs>
        <w:ind w:left="1701" w:hanging="567"/>
      </w:pPr>
      <w:r>
        <w:t>A I 1</w:t>
      </w:r>
      <w:r>
        <w:tab/>
      </w:r>
      <w:r>
        <w:t>Selbst geschaffene gewerbliche Schutzrechte und ähnliche Rechte und Werte;</w:t>
      </w:r>
    </w:p>
    <w:p>
      <w:pPr>
        <w:tabs>
          <w:tab w:pos="1701" w:val="left"/>
        </w:tabs>
        <w:ind w:left="1701" w:hanging="567"/>
      </w:pPr>
      <w:r>
        <w:t>A I 2</w:t>
      </w:r>
      <w:r>
        <w:tab/>
      </w:r>
      <w:r>
        <w:t>Geschäfts- oder Firmenwert;</w:t>
      </w:r>
    </w:p>
    <w:p>
      <w:pPr>
        <w:tabs>
          <w:tab w:pos="1701" w:val="left"/>
        </w:tabs>
        <w:ind w:left="1701" w:hanging="567"/>
      </w:pPr>
      <w:r>
        <w:t>A II 1</w:t>
      </w:r>
      <w:r>
        <w:tab/>
      </w:r>
      <w:r>
        <w:t>Grundstücke, grundstücksgleiche Rechte und Bauten einschließlich der Bauten auf fremden Grundstücken;</w:t>
      </w:r>
    </w:p>
    <w:p>
      <w:pPr>
        <w:tabs>
          <w:tab w:pos="1701" w:val="left"/>
        </w:tabs>
        <w:ind w:left="1701" w:hanging="567"/>
      </w:pPr>
      <w:r>
        <w:t>A II 2</w:t>
      </w:r>
      <w:r>
        <w:tab/>
      </w:r>
      <w:r>
        <w:t>technische Anlagen und Maschinen;</w:t>
      </w:r>
    </w:p>
    <w:p>
      <w:pPr>
        <w:tabs>
          <w:tab w:pos="1701" w:val="left"/>
        </w:tabs>
        <w:ind w:left="1701" w:hanging="567"/>
      </w:pPr>
      <w:r>
        <w:t>A II 3</w:t>
      </w:r>
      <w:r>
        <w:tab/>
      </w:r>
      <w:r>
        <w:t>andere Anlagen, Betriebs- und Geschäftsausstattung;</w:t>
      </w:r>
    </w:p>
    <w:p>
      <w:pPr>
        <w:tabs>
          <w:tab w:pos="1701" w:val="left"/>
        </w:tabs>
        <w:ind w:left="1701" w:hanging="567"/>
      </w:pPr>
      <w:r>
        <w:t>A II 4</w:t>
      </w:r>
      <w:r>
        <w:tab/>
      </w:r>
      <w:r>
        <w:t>geleistete Anzahlungen und Anlagen im Bau;</w:t>
      </w:r>
    </w:p>
    <w:p>
      <w:pPr>
        <w:tabs>
          <w:tab w:pos="1701" w:val="left"/>
        </w:tabs>
        <w:ind w:left="1701" w:hanging="567"/>
      </w:pPr>
      <w:r>
        <w:t>A III 1</w:t>
      </w:r>
      <w:r>
        <w:tab/>
      </w:r>
      <w:r>
        <w:t>Anteile an verbundenen Unternehmen;</w:t>
      </w:r>
    </w:p>
    <w:p>
      <w:pPr>
        <w:tabs>
          <w:tab w:pos="1701" w:val="left"/>
        </w:tabs>
        <w:ind w:left="1701" w:hanging="567"/>
      </w:pPr>
      <w:r>
        <w:t>A III 2</w:t>
      </w:r>
      <w:r>
        <w:tab/>
      </w:r>
      <w:r>
        <w:t>Ausleihungen an verbundene Unternehmen;</w:t>
      </w:r>
    </w:p>
    <w:p>
      <w:pPr>
        <w:tabs>
          <w:tab w:pos="1701" w:val="left"/>
        </w:tabs>
        <w:ind w:left="1701" w:hanging="567"/>
      </w:pPr>
      <w:r>
        <w:t>A III 3</w:t>
      </w:r>
      <w:r>
        <w:tab/>
      </w:r>
      <w:r>
        <w:t>Beteiligungen;</w:t>
      </w:r>
    </w:p>
    <w:p>
      <w:pPr>
        <w:tabs>
          <w:tab w:pos="1701" w:val="left"/>
        </w:tabs>
        <w:ind w:left="1701" w:hanging="567"/>
      </w:pPr>
      <w:r>
        <w:t>A III 4</w:t>
      </w:r>
      <w:r>
        <w:tab/>
      </w:r>
      <w:r>
        <w:t>Ausleihungen an Unternehmen, mit denen ein Beteiligungsverhältnis besteht;</w:t>
      </w:r>
    </w:p>
    <w:p>
      <w:pPr>
        <w:tabs>
          <w:tab w:pos="1701" w:val="left"/>
        </w:tabs>
        <w:ind w:left="1701" w:hanging="567"/>
      </w:pPr>
      <w:r>
        <w:t>B II 2</w:t>
      </w:r>
      <w:r>
        <w:tab/>
      </w:r>
      <w:r>
        <w:t>Forderungen gegen verbundene Unternehmen;</w:t>
      </w:r>
    </w:p>
    <w:p>
      <w:pPr>
        <w:tabs>
          <w:tab w:pos="1701" w:val="left"/>
        </w:tabs>
        <w:ind w:left="1701" w:hanging="567"/>
      </w:pPr>
      <w:r>
        <w:t>B II 3</w:t>
      </w:r>
      <w:r>
        <w:tab/>
      </w:r>
      <w:r>
        <w:t>Forderungen gegen Unternehmen, mit denen ein Beteiligungsverhältnis besteht;</w:t>
      </w:r>
    </w:p>
    <w:p>
      <w:pPr>
        <w:tabs>
          <w:tab w:pos="1701" w:val="left"/>
        </w:tabs>
        <w:ind w:left="1701" w:hanging="567"/>
      </w:pPr>
      <w:r>
        <w:t>B III 1</w:t>
      </w:r>
      <w:r>
        <w:tab/>
      </w:r>
      <w:r>
        <w:t>Anteile an verbundenen Unternehmen.</w:t>
      </w:r>
    </w:p>
    <w:p>
      <w:pPr>
        <w:ind w:left="567"/>
      </w:pPr>
      <w:r>
        <w:rPr>
          <w:rStyle w:val="Satznummer"/>
        </w:rPr>
        <w:t>3</w:t>
      </w:r>
      <w:r>
        <w:t>Auf der Passivseite</w:t>
      </w:r>
    </w:p>
    <w:p>
      <w:pPr>
        <w:tabs>
          <w:tab w:pos="1701" w:val="left"/>
        </w:tabs>
        <w:ind w:left="1701" w:hanging="567"/>
      </w:pPr>
      <w:r>
        <w:t>C 1</w:t>
      </w:r>
      <w:r>
        <w:tab/>
      </w:r>
      <w:r>
        <w:t>Anleihen,</w:t>
      </w:r>
    </w:p>
    <w:p>
      <w:pPr>
        <w:ind w:left="1701"/>
      </w:pPr>
      <w:r>
        <w:t>davon konvertibel;</w:t>
      </w:r>
    </w:p>
    <w:p>
      <w:pPr>
        <w:tabs>
          <w:tab w:pos="1701" w:val="left"/>
        </w:tabs>
        <w:ind w:left="1701" w:hanging="567"/>
      </w:pPr>
      <w:r>
        <w:t>C 2</w:t>
      </w:r>
      <w:r>
        <w:tab/>
      </w:r>
      <w:r>
        <w:t>Verbindlichkeiten gegenüber Kreditinstituten;</w:t>
      </w:r>
    </w:p>
    <w:p>
      <w:pPr>
        <w:tabs>
          <w:tab w:pos="1701" w:val="left"/>
        </w:tabs>
        <w:ind w:left="1701" w:hanging="567"/>
      </w:pPr>
      <w:r>
        <w:t>C 6</w:t>
      </w:r>
      <w:r>
        <w:tab/>
      </w:r>
      <w:r>
        <w:t>Verbindlichkeiten gegenüber verbundenen Unternehmen;</w:t>
      </w:r>
    </w:p>
    <w:p>
      <w:pPr>
        <w:tabs>
          <w:tab w:pos="1701" w:val="left"/>
        </w:tabs>
        <w:ind w:left="1701" w:hanging="567"/>
      </w:pPr>
      <w:r>
        <w:t>C 7</w:t>
      </w:r>
      <w:r>
        <w:tab/>
      </w:r>
      <w:r>
        <w:t>Verbindlichkeiten gegenüber Unternehmen, mit denen ein Beteiligungsverhältnis besteht;</w:t>
      </w:r>
    </w:p>
    <w:p>
      <w:pPr>
        <w:tabs>
          <w:tab w:pos="567" w:val="left"/>
        </w:tabs>
        <w:ind w:left="567" w:hanging="567"/>
      </w:pPr>
      <w:r>
        <w:t>2.</w:t>
      </w:r>
      <w:r>
        <w:tab/>
      </w:r>
      <w:r>
        <w:t>den Anhang ohne die Angaben nach § 285 Nr. 2 und 8 Buchstabe a, Nr. 12 der das Unternehmensregister führenden Stelle übermitteln dürfen.</w:t>
      </w:r>
    </w:p>
    <w:p>
      <w:pPr>
        <w:pStyle w:val="Heading4"/>
      </w:pPr>
      <w:bookmarkStart w:id="369" w:name="b368"/>
      <w:r>
        <w:t>§ 327a Erleichterung für bestimmte kapitalmarktorientierte Kapitalgesellschaften</w:t>
      </w:r>
      <w:r>
        <w:t xml:space="preserve"> </w:t>
      </w:r>
      <w:r>
        <w:rPr>
          <w:rStyle w:val="Suchmarke"/>
        </w:rPr>
        <w:t>#327a#</w:t>
      </w:r>
      <w:bookmarkEnd w:id="369"/>
    </w:p>
    <w:p>
      <w:hyperlink w:anchor="b364" w:history="1">
        <w:r>
          <w:rPr>
            <w:color w:val="0A3A8C"/>
            <w:u w:val="single"/>
          </w:rPr>
          <w:t xml:space="preserve">§ 325</w:t>
        </w:r>
      </w:hyperlink>
      <w:r>
        <w:t xml:space="preserve"> Absatz 4 Satz 1 und 3 sind auf eine Kapitalgesellschaft nicht anzuwenden, wenn sie ausschließlich zum Handel an einem organisierten Markt zugelassene Schuldtitel im Sinne des § 2 Absatz 1 Nummer 3 des Wertpapierhandelsgesetzes mit einer Mindeststückelung von 100 000 Euro oder dem am Ausgabetag entsprechenden Gegenwert einer anderen Währung begibt.</w:t>
      </w:r>
    </w:p>
    <w:p>
      <w:pPr>
        <w:pStyle w:val="Heading4"/>
      </w:pPr>
      <w:bookmarkStart w:id="370" w:name="b369"/>
      <w:r>
        <w:t>§ 328 Form, Format und Inhalt der Unterlagen bei der Offenlegung, Veröffentlichung und Vervielfältigung</w:t>
      </w:r>
      <w:r>
        <w:t xml:space="preserve"> </w:t>
      </w:r>
      <w:r>
        <w:rPr>
          <w:rStyle w:val="Suchmarke"/>
        </w:rPr>
        <w:t>#328#</w:t>
      </w:r>
      <w:bookmarkEnd w:id="370"/>
    </w:p>
    <w:p>
      <w:r>
        <w:t xml:space="preserve">(1) </w:t>
      </w:r>
      <w:r>
        <w:rPr>
          <w:rStyle w:val="Satznummer"/>
        </w:rPr>
        <w:t>1</w:t>
      </w:r>
      <w:r>
        <w:t xml:space="preserve">Bei der Offenlegung des Jahresabschlusses, des Einzelabschlusses nach </w:t>
      </w:r>
      <w:hyperlink w:anchor="b364" w:history="1">
        <w:r>
          <w:rPr>
            <w:color w:val="0A3A8C"/>
            <w:u w:val="single"/>
          </w:rPr>
          <w:t xml:space="preserve">§ 325</w:t>
        </w:r>
      </w:hyperlink>
      <w:r>
        <w:t xml:space="preserve"> Absatz 2a, des Konzernabschlusses, des Lage- oder Konzernlageberichts oder der Erklärungen nach </w:t>
      </w:r>
      <w:hyperlink w:anchor="b265" w:history="1">
        <w:r>
          <w:rPr>
            <w:color w:val="0A3A8C"/>
            <w:u w:val="single"/>
          </w:rPr>
          <w:t xml:space="preserve">§ 264</w:t>
        </w:r>
      </w:hyperlink>
      <w:r>
        <w:t xml:space="preserve"> Absatz 2 Satz 3, </w:t>
      </w:r>
      <w:hyperlink w:anchor="b297" w:history="1">
        <w:r>
          <w:rPr>
            <w:color w:val="0A3A8C"/>
            <w:u w:val="single"/>
          </w:rPr>
          <w:t xml:space="preserve">§ 289</w:t>
        </w:r>
      </w:hyperlink>
      <w:r>
        <w:t xml:space="preserve"> Absatz 1 Satz 5, </w:t>
      </w:r>
      <w:hyperlink w:anchor="b316" w:history="1">
        <w:r>
          <w:rPr>
            <w:color w:val="0A3A8C"/>
            <w:u w:val="single"/>
          </w:rPr>
          <w:t xml:space="preserve">§ 297</w:t>
        </w:r>
      </w:hyperlink>
      <w:r>
        <w:t xml:space="preserve"> Absatz 2 Satz 4 oder </w:t>
      </w:r>
      <w:hyperlink w:anchor="b341" w:history="1">
        <w:r>
          <w:rPr>
            <w:color w:val="0A3A8C"/>
            <w:u w:val="single"/>
          </w:rPr>
          <w:t xml:space="preserve">§ 315</w:t>
        </w:r>
      </w:hyperlink>
      <w:r>
        <w:t xml:space="preserve"> Absatz 1 Satz 5 sind diese Abschlüsse, Lageberichte und Erklärungen so wiederzugeben, dass sie den für ihre Aufstellung maßgeblichen Vorschriften entsprechen, soweit nicht Erleichterungen nach den §§ 326 und 327 in Anspruch genommen werden oder eine Rechtsverordnung des Bundesministeriums der Justiz nach Absatz 4 hiervon Abweichungen ermöglicht. </w:t>
      </w:r>
      <w:r>
        <w:rPr>
          <w:rStyle w:val="Satznummer"/>
        </w:rPr>
        <w:t>2</w:t>
      </w:r>
      <w:r>
        <w:t xml:space="preserve">Sie haben in diesem Rahmen vollständig und richtig zu sein. </w:t>
      </w:r>
      <w:r>
        <w:rPr>
          <w:rStyle w:val="Satznummer"/>
        </w:rPr>
        <w:t>3</w:t>
      </w:r>
      <w:r>
        <w:t xml:space="preserve">Die Sätze 1 und 2 gelten auch für die teilweise Offenlegung sowie für die Veröffentlichung oder Vervielfältigung in anderer Form auf Grund des Gesellschaftsvertrages oder der Satzung. </w:t>
      </w:r>
      <w:r>
        <w:rPr>
          <w:rStyle w:val="Satznummer"/>
        </w:rPr>
        <w:t>4</w:t>
      </w:r>
      <w:r>
        <w:t xml:space="preserve">Eine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hat offenzulegen:</w:t>
      </w:r>
    </w:p>
    <w:p>
      <w:pPr>
        <w:tabs>
          <w:tab w:pos="567" w:val="left"/>
        </w:tabs>
        <w:ind w:left="567" w:hanging="567"/>
      </w:pPr>
      <w:r>
        <w:t>1.</w:t>
      </w:r>
      <w:r>
        <w:tab/>
      </w:r>
      <w:r>
        <w:t>die in Absatz 1 Satz 1 bezeichneten Unterlagen in dem einheitlichen elektronischen Berichtsformat nach Maßgabe des Artikels 3 der Delegierten Verordnung (EU) 2019/815 der Kommission vom 17. Dezember 2018 zur Ergänzung der Richtlinie 2004/109/EG des Europäischen Parlaments und des Rates im Hinblick auf technische Regulierungsstandards für die Spezifikation eines einheitlichen elektronischen Berichtsformats (ABl. L 143 vom 29.5.2019, S. 1; L 145 vom 4.6.2019, S. 85) in der jeweils geltenden Fassung;</w:t>
      </w:r>
    </w:p>
    <w:p>
      <w:pPr>
        <w:tabs>
          <w:tab w:pos="567" w:val="left"/>
        </w:tabs>
        <w:ind w:left="567" w:hanging="567"/>
      </w:pPr>
      <w:r>
        <w:t>2.</w:t>
      </w:r>
      <w:r>
        <w:tab/>
      </w:r>
      <w:r>
        <w:t>den Konzernabschluss mit Auszeichnungen nach Maßgabe der Artikel 4 und 6 der Delegierten Verordnung (EU) 2019/815.</w:t>
      </w:r>
    </w:p>
    <w:p>
      <w:r>
        <w:t xml:space="preserve">(1a) </w:t>
      </w:r>
      <w:r>
        <w:rPr>
          <w:rStyle w:val="Satznummer"/>
        </w:rPr>
        <w:t>1</w:t>
      </w:r>
      <w:r>
        <w:t xml:space="preserve">Das Datum der Feststellung oder der Billigung der in Absatz 1 Satz 1 bezeichneten Abschlüsse ist anzugeben. </w:t>
      </w:r>
      <w:r>
        <w:rPr>
          <w:rStyle w:val="Satznummer"/>
        </w:rPr>
        <w:t>2</w:t>
      </w:r>
      <w:r>
        <w:t xml:space="preserve">Wurde der Abschluss auf Grund gesetzlicher Vorschriften durch einen Abschlussprüfer geprüft, so ist jeweils der vollständige Wortlaut des Bestätigungsvermerks oder des Vermerks über dessen Versagung wiederzugeben; wird der Jahresabschluss wegen der Inanspruchnahme von Erleichterungen nur teilweise offengelegt und bezieht sich der Bestätigungsvermerk auf den vollständigen Jahresabschluss, ist hierauf hinzuweisen. </w:t>
      </w:r>
      <w:r>
        <w:rPr>
          <w:rStyle w:val="Satznummer"/>
        </w:rPr>
        <w:t>3</w:t>
      </w:r>
      <w:r>
        <w:t xml:space="preserve">Bei der Offenlegung von Jahresabschluss, Einzelabschluss nach </w:t>
      </w:r>
      <w:hyperlink w:anchor="b364" w:history="1">
        <w:r>
          <w:rPr>
            <w:color w:val="0A3A8C"/>
            <w:u w:val="single"/>
          </w:rPr>
          <w:t xml:space="preserve">§ 325</w:t>
        </w:r>
      </w:hyperlink>
      <w:r>
        <w:t xml:space="preserve"> Absatz 2a oder Konzernabschluss ist gegebenenfalls darauf hinzuweisen, dass die Offenlegung nicht gleichzeitig mit allen anderen nach </w:t>
      </w:r>
      <w:hyperlink w:anchor="b364" w:history="1">
        <w:r>
          <w:rPr>
            <w:color w:val="0A3A8C"/>
            <w:u w:val="single"/>
          </w:rPr>
          <w:t xml:space="preserve">§ 325</w:t>
        </w:r>
      </w:hyperlink>
      <w:r>
        <w:t xml:space="preserve"> offenzulegenden Unterlagen erfolgt.</w:t>
      </w:r>
    </w:p>
    <w:p>
      <w:r>
        <w:t xml:space="preserve">(2) </w:t>
      </w:r>
      <w:r>
        <w:rPr>
          <w:rStyle w:val="Satznummer"/>
        </w:rPr>
        <w:t>1</w:t>
      </w:r>
      <w:r>
        <w:t xml:space="preserve">Werden Abschlüsse in Veröffentlichungen und Vervielfältigungen, die nicht durch Gesetz, Gesellschaftsvertrag oder Satzung vorgeschrieben sind, nicht in der nach Absatz 1 vorgeschriebenen Form oder dem vorgeschriebenen Format wiedergegeben, so ist jeweils in einer Überschrift darauf hinzuweisen, daß es sich nicht um eine der gesetzlichen Form oder dem gesetzlichen Format entsprechende Veröffentlichung handelt. </w:t>
      </w:r>
      <w:r>
        <w:rPr>
          <w:rStyle w:val="Satznummer"/>
        </w:rPr>
        <w:t>2</w:t>
      </w:r>
      <w:r>
        <w:t xml:space="preserve">Ein Bestätigungsvermerk darf nicht beigefügt werden, wenn die Abschlüsse nicht in der nach Absatz 1 vorgeschriebenen Form wiedergegeben werden. </w:t>
      </w:r>
      <w:r>
        <w:rPr>
          <w:rStyle w:val="Satznummer"/>
        </w:rPr>
        <w:t>3</w:t>
      </w:r>
      <w:r>
        <w:t xml:space="preserve">Ist jedoch auf Grund gesetzlicher Vorschriften eine Prüfung durch einen Abschlußprüfer erfolgt, so ist anzugeben, zu welcher der in </w:t>
      </w:r>
      <w:hyperlink w:anchor="b359" w:history="1">
        <w:r>
          <w:rPr>
            <w:color w:val="0A3A8C"/>
            <w:u w:val="single"/>
          </w:rPr>
          <w:t xml:space="preserve">§ 322</w:t>
        </w:r>
      </w:hyperlink>
      <w:r>
        <w:t xml:space="preserve"> Abs. 2 Satz 1 genannten zusammenfassenden Beurteilungen des Prüfungsergebnisses der Abschlussprüfer in Bezug auf den in gesetzlicher Form erstellten Abschluss gelangt ist und ob der Bestätigungsvermerk einen Hinweis nach </w:t>
      </w:r>
      <w:hyperlink w:anchor="b359" w:history="1">
        <w:r>
          <w:rPr>
            <w:color w:val="0A3A8C"/>
            <w:u w:val="single"/>
          </w:rPr>
          <w:t xml:space="preserve">§ 322</w:t>
        </w:r>
      </w:hyperlink>
      <w:r>
        <w:t xml:space="preserve"> Abs. 3 Satz 2 enthält. </w:t>
      </w:r>
      <w:r>
        <w:rPr>
          <w:rStyle w:val="Satznummer"/>
        </w:rPr>
        <w:t>4</w:t>
      </w:r>
      <w:r>
        <w:t>Ferner ist anzugeben, ob die Unterlagen der das Unternehmensregister führenden Stelle übermittelt worden sind.</w:t>
      </w:r>
    </w:p>
    <w:p>
      <w:r>
        <w:t xml:space="preserve">(3) </w:t>
      </w:r>
      <w:r>
        <w:rPr>
          <w:rStyle w:val="Satznummer"/>
        </w:rPr>
        <w:t>1</w:t>
      </w:r>
      <w:r>
        <w:t xml:space="preserve">Absatz 1 Satz 1 bis 3 ist auf den Vorschlag für die Verwendung des Ergebnisses und den Beschluss über seine Verwendung entsprechend anzuwenden. </w:t>
      </w:r>
      <w:r>
        <w:rPr>
          <w:rStyle w:val="Satznummer"/>
        </w:rPr>
        <w:t>2</w:t>
      </w:r>
      <w:r>
        <w:t>Werden die in Satz 1 bezeichneten Unterlagen oder der Lage- oder Konzernlagebericht nicht gleichzeitig mit dem Jahresabschluß oder dem Konzernabschluß offengelegt, so ist bei ihrer nachträglichen Offenlegung jeweils anzugeben, auf welchen Abschluß sie sich beziehen und wo dieser offengelegt worden ist; dies gilt auch für die nachträgliche Offenlegung des Bestätigungsvermerks oder des Vermerks über seine Versagung.</w:t>
      </w:r>
    </w:p>
    <w:p>
      <w:r>
        <w:t xml:space="preserve">(4) Die Rechtsverordnung nach </w:t>
      </w:r>
      <w:hyperlink w:anchor="b372" w:history="1">
        <w:r>
          <w:rPr>
            <w:color w:val="0A3A8C"/>
            <w:u w:val="single"/>
          </w:rPr>
          <w:t xml:space="preserve">§ 330</w:t>
        </w:r>
      </w:hyperlink>
      <w:r>
        <w:t xml:space="preserve"> Abs. 1 Satz 1, 4 und 5 kann der das Unternehmensregister führenden Stelle Abweichungen von der Kontoform nach </w:t>
      </w:r>
      <w:hyperlink w:anchor="b272" w:history="1">
        <w:r>
          <w:rPr>
            <w:color w:val="0A3A8C"/>
            <w:u w:val="single"/>
          </w:rPr>
          <w:t xml:space="preserve">§ 266</w:t>
        </w:r>
      </w:hyperlink>
      <w:r>
        <w:t xml:space="preserve"> Abs. 1 Satz 1 gestatten.</w:t>
      </w:r>
    </w:p>
    <w:p>
      <w:r>
        <w:t>(5) Für die Hinterlegung der Bilanz einer Kleinstkapitalgesellschaft (</w:t>
      </w:r>
      <w:hyperlink w:anchor="b366" w:history="1">
        <w:r>
          <w:rPr>
            <w:color w:val="0A3A8C"/>
            <w:u w:val="single"/>
          </w:rPr>
          <w:t xml:space="preserve">§ 326</w:t>
        </w:r>
      </w:hyperlink>
      <w:r>
        <w:t xml:space="preserve"> Absatz 2) gelten Absatz 1 Satz 1 bis 3 und Absatz 1a Satz 1 entsprechend.</w:t>
      </w:r>
    </w:p>
    <w:p>
      <w:pPr>
        <w:pStyle w:val="Heading4"/>
      </w:pPr>
      <w:bookmarkStart w:id="371" w:name="b370"/>
      <w:r>
        <w:t>§ 329 Prüfungs- und Unterrichtungspflicht der das Unternehmensregister führenden Stelle</w:t>
      </w:r>
      <w:r>
        <w:t xml:space="preserve"> </w:t>
      </w:r>
      <w:r>
        <w:rPr>
          <w:rStyle w:val="Suchmarke"/>
        </w:rPr>
        <w:t>#329#</w:t>
      </w:r>
      <w:bookmarkEnd w:id="371"/>
    </w:p>
    <w:p>
      <w:r>
        <w:t xml:space="preserve">(1) </w:t>
      </w:r>
      <w:r>
        <w:rPr>
          <w:rStyle w:val="Satznummer"/>
        </w:rPr>
        <w:t>1</w:t>
      </w:r>
      <w:r>
        <w:t xml:space="preserve">Die das Unternehmensregister führende Stelle prüft, ob die zu übermittelnden Unterlagen fristgemäß und vollzählig übermittelt worden sind. </w:t>
      </w:r>
      <w:r>
        <w:rPr>
          <w:rStyle w:val="Satznummer"/>
        </w:rPr>
        <w:t>2</w:t>
      </w:r>
      <w:r>
        <w:t xml:space="preserve">Bei einer Kapitalgesellschaft, die als Inlandsemittent (§ 2 Absatz 14 des Wertpapierhandelsgesetzes) Wertpapiere (§ 2 Absatz 1 des Wertpapierhandelsgesetzes) begibt und keine Kapitalgesellschaft im Sinne des </w:t>
      </w:r>
      <w:hyperlink w:anchor="b368" w:history="1">
        <w:r>
          <w:rPr>
            <w:color w:val="0A3A8C"/>
            <w:u w:val="single"/>
          </w:rPr>
          <w:t xml:space="preserve">§ 327a</w:t>
        </w:r>
      </w:hyperlink>
      <w:r>
        <w:t xml:space="preserve"> ist, erfolgt die Prüfung nach der Weiterleitung an das zentrale europäische Zugangsportal. </w:t>
      </w:r>
      <w:r>
        <w:rPr>
          <w:rStyle w:val="Satznummer"/>
        </w:rPr>
        <w:t>3</w:t>
      </w:r>
      <w:r>
        <w:t xml:space="preserve">Soweit dies für die Erfüllung der Aufgaben nach Satz 1 erforderlich ist, darf die das Unternehmensregister führende Stelle die von den Landesjustizverwaltungen nach </w:t>
      </w:r>
      <w:hyperlink w:anchor="b12" w:history="1">
        <w:r>
          <w:rPr>
            <w:color w:val="0A3A8C"/>
            <w:u w:val="single"/>
          </w:rPr>
          <w:t xml:space="preserve">§ 8b</w:t>
        </w:r>
      </w:hyperlink>
      <w:r>
        <w:t xml:space="preserve"> Absatz 3 Satz 2 übermittelten Daten verwenden.</w:t>
      </w:r>
    </w:p>
    <w:p>
      <w:r>
        <w:t xml:space="preserve">(2) </w:t>
      </w:r>
      <w:r>
        <w:rPr>
          <w:rStyle w:val="Satznummer"/>
        </w:rPr>
        <w:t>1</w:t>
      </w:r>
      <w:r>
        <w:t xml:space="preserve">Gibt die Prüfung Anlass zu der Annahme, dass von der Größe der Kapitalgesellschaft abhängige Erleichterungen oder die Erleichterung nach </w:t>
      </w:r>
      <w:hyperlink w:anchor="b368" w:history="1">
        <w:r>
          <w:rPr>
            <w:color w:val="0A3A8C"/>
            <w:u w:val="single"/>
          </w:rPr>
          <w:t xml:space="preserve">§ 327a</w:t>
        </w:r>
      </w:hyperlink>
      <w:r>
        <w:t xml:space="preserve"> nicht hätten in Anspruch genommen werden dürfen, kann die das Unternehmensregister führende Stelle von der Kapitalgesellschaft innerhalb einer angemessenen Frist die Mitteilung der Umsatzerlöse (</w:t>
      </w:r>
      <w:hyperlink w:anchor="b286" w:history="1">
        <w:r>
          <w:rPr>
            <w:color w:val="0A3A8C"/>
            <w:u w:val="single"/>
          </w:rPr>
          <w:t xml:space="preserve">§ 277</w:t>
        </w:r>
      </w:hyperlink>
      <w:r>
        <w:t xml:space="preserve"> Abs. 1) und der durchschnittlichen Zahl der Arbeitnehmer (</w:t>
      </w:r>
      <w:hyperlink w:anchor="b273" w:history="1">
        <w:r>
          <w:rPr>
            <w:color w:val="0A3A8C"/>
            <w:u w:val="single"/>
          </w:rPr>
          <w:t xml:space="preserve">§ 267</w:t>
        </w:r>
      </w:hyperlink>
      <w:r>
        <w:t xml:space="preserve"> Abs. 5) oder Angaben zur Eigenschaft als Kapitalgesellschaft im Sinn des </w:t>
      </w:r>
      <w:hyperlink w:anchor="b368" w:history="1">
        <w:r>
          <w:rPr>
            <w:color w:val="0A3A8C"/>
            <w:u w:val="single"/>
          </w:rPr>
          <w:t xml:space="preserve">§ 327a</w:t>
        </w:r>
      </w:hyperlink>
      <w:r>
        <w:t xml:space="preserve"> verlangen. </w:t>
      </w:r>
      <w:r>
        <w:rPr>
          <w:rStyle w:val="Satznummer"/>
        </w:rPr>
        <w:t>2</w:t>
      </w:r>
      <w:r>
        <w:t>Unterlässt die Kapitalgesellschaft die fristgemäße Mitteilung, gelten die Erleichterungen als zu Unrecht in Anspruch genommen.</w:t>
      </w:r>
    </w:p>
    <w:p>
      <w:r>
        <w:t xml:space="preserve">(3) In den Fällen des </w:t>
      </w:r>
      <w:hyperlink w:anchor="b365" w:history="1">
        <w:r>
          <w:rPr>
            <w:color w:val="0A3A8C"/>
            <w:u w:val="single"/>
          </w:rPr>
          <w:t xml:space="preserve">§ 325a</w:t>
        </w:r>
      </w:hyperlink>
      <w:r>
        <w:t xml:space="preserve"> Absatz 1 Satz 5 und des </w:t>
      </w:r>
      <w:hyperlink w:anchor="b413" w:history="1">
        <w:r>
          <w:rPr>
            <w:color w:val="0A3A8C"/>
            <w:u w:val="single"/>
          </w:rPr>
          <w:t xml:space="preserve">§ 340l</w:t>
        </w:r>
      </w:hyperlink>
      <w:r>
        <w:t xml:space="preserve"> Absatz 2 Satz 6 kann im Einzelfall die Vorlage einer Übersetzung in die deutsche Sprache verlangt werden.</w:t>
      </w:r>
    </w:p>
    <w:p>
      <w:r>
        <w:t xml:space="preserve">(4) Ergibt die Prüfung nach Absatz 1 Satz 1, dass die offen zu legenden Unterlagen nicht oder unvollständig übermittelt wurden, wird die jeweils für die Durchführung von Ordnungsgeldverfahren nach den </w:t>
      </w:r>
      <w:hyperlink w:anchor="b382" w:history="1">
        <w:r>
          <w:rPr>
            <w:color w:val="0A3A8C"/>
            <w:u w:val="single"/>
          </w:rPr>
          <w:t xml:space="preserve">§§ 335</w:t>
        </w:r>
      </w:hyperlink>
      <w:r>
        <w:t xml:space="preserve">, </w:t>
      </w:r>
      <w:hyperlink w:anchor="b417" w:history="1">
        <w:r>
          <w:rPr>
            <w:color w:val="0A3A8C"/>
            <w:u w:val="single"/>
          </w:rPr>
          <w:t xml:space="preserve">340o</w:t>
        </w:r>
      </w:hyperlink>
      <w:r>
        <w:t xml:space="preserve"> und </w:t>
      </w:r>
      <w:hyperlink w:anchor="b442" w:history="1">
        <w:r>
          <w:rPr>
            <w:color w:val="0A3A8C"/>
            <w:u w:val="single"/>
          </w:rPr>
          <w:t xml:space="preserve">341o</w:t>
        </w:r>
      </w:hyperlink>
      <w:r>
        <w:t xml:space="preserve"> zuständige Verwaltungsbehörde unterrichtet.</w:t>
      </w:r>
    </w:p>
    <w:p>
      <w:pPr>
        <w:pStyle w:val="Heading3"/>
      </w:pPr>
      <w:bookmarkStart w:id="372" w:name="b371"/>
      <w:r>
        <w:t>Fünfter Unterabschnitt Verordnungsermächtigung für Formblätter und andere Vorschriften</w:t>
      </w:r>
      <w:bookmarkEnd w:id="372"/>
    </w:p>
    <w:p>
      <w:pPr>
        <w:pStyle w:val="Heading4"/>
      </w:pPr>
      <w:bookmarkStart w:id="373" w:name="b372"/>
      <w:r>
        <w:t>§ 330</w:t>
      </w:r>
      <w:r>
        <w:t xml:space="preserve"> </w:t>
      </w:r>
      <w:r>
        <w:rPr>
          <w:rStyle w:val="Suchmarke"/>
        </w:rPr>
        <w:t>#330#</w:t>
      </w:r>
      <w:bookmarkEnd w:id="373"/>
    </w:p>
    <w:p>
      <w:r>
        <w:t xml:space="preserve">(1) </w:t>
      </w:r>
      <w:r>
        <w:rPr>
          <w:rStyle w:val="Satznummer"/>
        </w:rPr>
        <w:t>1</w:t>
      </w:r>
      <w:r>
        <w:t xml:space="preserve">Das Bundesministerium der Justiz wird ermächtigt, im Einvernehmen mit dem Bundesministerium der Finanzen und dem Bundesministerium für Wirtschaft und Klimaschutz durch Rechtsverordnung, die nicht der Zustimmung des Bundesrates bedarf, für Kapitalgesellschaften Formblätter vorzuschreiben oder andere Vorschriften für die Gliederung des Jahresabschlusses oder des Konzernabschlusses oder den Inhalt des Anhangs, des Konzernanhangs, des Lageberichts oder des Konzernlageberichts zu erlassen, wenn der Geschäftszweig eine von den </w:t>
      </w:r>
      <w:hyperlink w:anchor="b272" w:history="1">
        <w:r>
          <w:rPr>
            <w:color w:val="0A3A8C"/>
            <w:u w:val="single"/>
          </w:rPr>
          <w:t xml:space="preserve">§§ 266</w:t>
        </w:r>
      </w:hyperlink>
      <w:r>
        <w:t xml:space="preserve">, </w:t>
      </w:r>
      <w:hyperlink w:anchor="b284" w:history="1">
        <w:r>
          <w:rPr>
            <w:color w:val="0A3A8C"/>
            <w:u w:val="single"/>
          </w:rPr>
          <w:t xml:space="preserve">275</w:t>
        </w:r>
      </w:hyperlink>
      <w:r>
        <w:t xml:space="preserve"> abweichende Gliederung des Jahresabschlusses oder des Konzernabschlusses oder von den Vorschriften des Ersten Abschnitts und des Ersten und Zweiten Unterabschnitts des Zweiten Abschnitts abweichende Regelungen erfordert. </w:t>
      </w:r>
      <w:r>
        <w:rPr>
          <w:rStyle w:val="Satznummer"/>
        </w:rPr>
        <w:t>2</w:t>
      </w:r>
      <w:r>
        <w:t>Die sich aus den abweichenden Vorschriften ergebenden Anforderungen an die in Satz 1 bezeichneten Unterlagen sollen den Anforderungen gleichwertig sein, die sich für große Kapitalgesellschaften (</w:t>
      </w:r>
      <w:hyperlink w:anchor="b273" w:history="1">
        <w:r>
          <w:rPr>
            <w:color w:val="0A3A8C"/>
            <w:u w:val="single"/>
          </w:rPr>
          <w:t xml:space="preserve">§ 267</w:t>
        </w:r>
      </w:hyperlink>
      <w:r>
        <w:t xml:space="preserve"> Abs. 3) aus den Vorschriften des Ersten Abschnitts und des Ersten und Zweiten Unterabschnitts des Zweiten Abschnitts sowie den für den Geschäftszweig geltenden Vorschriften ergeben. </w:t>
      </w:r>
      <w:r>
        <w:rPr>
          <w:rStyle w:val="Satznummer"/>
        </w:rPr>
        <w:t>3</w:t>
      </w:r>
      <w:r>
        <w:t xml:space="preserve">Über das geltende Recht hinausgehende Anforderungen dürfen nur gestellt werden, soweit sie auf Rechtsakten des Rates der Europäischen Union beruhen. </w:t>
      </w:r>
      <w:r>
        <w:rPr>
          <w:rStyle w:val="Satznummer"/>
        </w:rPr>
        <w:t>4</w:t>
      </w:r>
      <w:r>
        <w:t xml:space="preserve">Die Rechtsverordnung nach Satz 1 kann auch Abweichungen von der Kontoform nach </w:t>
      </w:r>
      <w:hyperlink w:anchor="b272" w:history="1">
        <w:r>
          <w:rPr>
            <w:color w:val="0A3A8C"/>
            <w:u w:val="single"/>
          </w:rPr>
          <w:t xml:space="preserve">§ 266</w:t>
        </w:r>
      </w:hyperlink>
      <w:r>
        <w:t xml:space="preserve"> Abs. 1 Satz 1 gestatten. </w:t>
      </w:r>
      <w:r>
        <w:rPr>
          <w:rStyle w:val="Satznummer"/>
        </w:rPr>
        <w:t>5</w:t>
      </w:r>
      <w:r>
        <w:t xml:space="preserve">Satz 4 gilt auch in den Fällen, in denen ein Geschäftszweig eine von den </w:t>
      </w:r>
      <w:hyperlink w:anchor="b272" w:history="1">
        <w:r>
          <w:rPr>
            <w:color w:val="0A3A8C"/>
            <w:u w:val="single"/>
          </w:rPr>
          <w:t xml:space="preserve">§§ 266</w:t>
        </w:r>
      </w:hyperlink>
      <w:r>
        <w:t xml:space="preserve"> und </w:t>
      </w:r>
      <w:hyperlink w:anchor="b284" w:history="1">
        <w:r>
          <w:rPr>
            <w:color w:val="0A3A8C"/>
            <w:u w:val="single"/>
          </w:rPr>
          <w:t xml:space="preserve">275</w:t>
        </w:r>
      </w:hyperlink>
      <w:r>
        <w:t xml:space="preserve"> abweichende Gliederung nicht erfordert.</w:t>
      </w:r>
    </w:p>
    <w:p>
      <w:r>
        <w:t xml:space="preserve">(2) </w:t>
      </w:r>
      <w:r>
        <w:rPr>
          <w:rStyle w:val="Satznummer"/>
        </w:rPr>
        <w:t>1</w:t>
      </w:r>
      <w:r>
        <w:t>Absatz 1 ist auf folgende Institute ungeachtet ihrer Rechtsform nach Maßgabe der Sätze 3 und 4 anzuwenden:</w:t>
      </w:r>
    </w:p>
    <w:p>
      <w:pPr>
        <w:tabs>
          <w:tab w:pos="567" w:val="left"/>
        </w:tabs>
        <w:ind w:left="567" w:hanging="567"/>
      </w:pPr>
      <w:r>
        <w:t>1.</w:t>
      </w:r>
      <w:r>
        <w:tab/>
      </w:r>
      <w:r>
        <w:t>auf Kreditinstitute im Sinne des § 1 Absatz 1 des Kreditwesengesetzes, soweit sie nach dessen § 2 Absatz 1, 4 oder 5 von der Anwendung nicht ausgenommen sind,</w:t>
      </w:r>
    </w:p>
    <w:p>
      <w:pPr>
        <w:tabs>
          <w:tab w:pos="567" w:val="left"/>
        </w:tabs>
        <w:ind w:left="567" w:hanging="567"/>
      </w:pPr>
      <w:r>
        <w:t>2.</w:t>
      </w:r>
      <w:r>
        <w:tab/>
      </w:r>
      <w:r>
        <w:t>auf Finanzdienstleistungsinstitute im Sinne des § 1 Absatz 1a des Kreditwesengesetzes, soweit sie nach dessen § 2 Absatz 6 oder 10 von der Anwendung nicht ausgenommen sind,</w:t>
      </w:r>
    </w:p>
    <w:p>
      <w:pPr>
        <w:tabs>
          <w:tab w:pos="567" w:val="left"/>
        </w:tabs>
        <w:ind w:left="567" w:hanging="567"/>
      </w:pPr>
      <w:r>
        <w:t>3.</w:t>
      </w:r>
      <w:r>
        <w:tab/>
      </w:r>
      <w:r>
        <w:t>auf Wertpapierinstitute im Sinne des § 2 Absatz 1 des Wertpapierinstitutsgesetzes, soweit sie nach dessen § 3 von der Anwendung nicht ausgenommen sind, sowie</w:t>
      </w:r>
    </w:p>
    <w:p>
      <w:pPr>
        <w:tabs>
          <w:tab w:pos="567" w:val="left"/>
        </w:tabs>
        <w:ind w:left="567" w:hanging="567"/>
      </w:pPr>
      <w:r>
        <w:t>4.</w:t>
      </w:r>
      <w:r>
        <w:tab/>
      </w:r>
      <w:r>
        <w:t>auf Institute im Sinne des § 1 Absatz 3 des Zahlungsdiensteaufsichtsgesetzes.</w:t>
      </w:r>
    </w:p>
    <w:p>
      <w:r>
        <w:rPr>
          <w:rStyle w:val="Satznummer"/>
        </w:rPr>
        <w:t>2</w:t>
      </w:r>
      <w:r>
        <w:t xml:space="preserve">Satz 1 ist auch auf Zweigstellen von Unternehmen mit Sitz in einem Staat anzuwenden, der nicht Mitglied der Europäischen Gemeinschaft und auch nicht Vertragsstaat des Abkommens über den Europäischen Wirtschaftsraum ist, sofern die Zweigstelle nach § 53 Abs. 1 des Gesetzes über das Kreditwesen als Kreditinstitut oder als Finanzinstitut gilt. </w:t>
      </w:r>
      <w:r>
        <w:rPr>
          <w:rStyle w:val="Satznummer"/>
        </w:rPr>
        <w:t>3</w:t>
      </w:r>
      <w:r>
        <w:t xml:space="preserve">Die Rechtsverordnung bedarf nicht der Zustimmung des Bundesrates; sie ist im Einvernehmen mit dem Bundesministerium der Finanzen und im Benehmen mit der Deutschen Bundesbank zu erlassen. </w:t>
      </w:r>
      <w:r>
        <w:rPr>
          <w:rStyle w:val="Satznummer"/>
        </w:rPr>
        <w:t>4</w:t>
      </w:r>
      <w:r>
        <w:t xml:space="preserve">In die Rechtsverordnung nach Satz 1 können auch nähere Bestimmungen über die Aufstellung des Jahresabschlusses und des Konzernabschlusses im Rahmen der vorgeschriebenen Formblätter für die Gliederung des Jahresabschlusses und des Konzernabschlusses sowie des Zwischenabschlusses gemäß </w:t>
      </w:r>
      <w:hyperlink w:anchor="b397" w:history="1">
        <w:r>
          <w:rPr>
            <w:color w:val="0A3A8C"/>
            <w:u w:val="single"/>
          </w:rPr>
          <w:t xml:space="preserve">§ 340a</w:t>
        </w:r>
      </w:hyperlink>
      <w:r>
        <w:t xml:space="preserve"> Abs. 3 und des Konzernzwischenabschlusses gemäß </w:t>
      </w:r>
      <w:hyperlink w:anchor="b408" w:history="1">
        <w:r>
          <w:rPr>
            <w:color w:val="0A3A8C"/>
            <w:u w:val="single"/>
          </w:rPr>
          <w:t xml:space="preserve">§ 340i</w:t>
        </w:r>
      </w:hyperlink>
      <w:r>
        <w:t xml:space="preserve"> Abs. 4 aufgenommen werden, soweit dies zur Erfüllung der Aufgaben der Bundesanstalt für Finanzdienstleistungsaufsicht oder der Deutschen Bundesbank erforderlich ist, insbesondere um einheitliche Unterlagen zur Beurteilung der von den Kreditinstituten und Finanzdienstleistungsinstituten durchgeführten Bankgeschäfte und erbrachten Finanzdienstleistungen sowie der von Wertpapierinstituten erbrachten Wertpapierdienstleistungen zu erhalten.</w:t>
      </w:r>
    </w:p>
    <w:p>
      <w:r>
        <w:t xml:space="preserve">(3) </w:t>
      </w:r>
      <w:r>
        <w:rPr>
          <w:rStyle w:val="Satznummer"/>
        </w:rPr>
        <w:t>1</w:t>
      </w:r>
      <w:r>
        <w:t xml:space="preserve">Absatz 1 ist auf Versicherungsunternehmen nach Maßgabe der Sätze 3 und 4 ungeachtet ihrer Rechtsform anzuwenden. </w:t>
      </w:r>
      <w:r>
        <w:rPr>
          <w:rStyle w:val="Satznummer"/>
        </w:rPr>
        <w:t>2</w:t>
      </w:r>
      <w:r>
        <w:t xml:space="preserve">Satz 1 ist auch auf Niederlassungen im Geltungsbereich dieses Gesetzes von Versicherungsunternehmen mit Sitz in einem anderen Staat anzuwenden, wenn sie zum Betrieb des Direktversicherungsgeschäfts der Erlaubnis durch die deutsche Versicherungsaufsichtsbehörde bedürfen. </w:t>
      </w:r>
      <w:r>
        <w:rPr>
          <w:rStyle w:val="Satznummer"/>
        </w:rPr>
        <w:t>3</w:t>
      </w:r>
      <w:r>
        <w:t xml:space="preserve">Die Rechtsverordnung bedarf der Zustimmung des Bundesrates und ist im Einvernehmen mit dem Bundesministerium der Finanzen zu erlassen. </w:t>
      </w:r>
      <w:r>
        <w:rPr>
          <w:rStyle w:val="Satznummer"/>
        </w:rPr>
        <w:t>4</w:t>
      </w:r>
      <w:r>
        <w:t xml:space="preserve">In die Rechtsverordnung nach Satz 1 können auch nähere Bestimmungen über die Aufstellung des Jahresabschlusses und des Konzernabschlusses im Rahmen der vorgeschriebenen Formblätter für die Gliederung des Jahresabschlusses und des Konzernabschlusses sowie Vorschriften über den Ansatz und die Bewertung von versicherungstechnischen Rückstellungen, insbesondere die Näherungsverfahren, aufgenommen werden. </w:t>
      </w:r>
      <w:r>
        <w:rPr>
          <w:rStyle w:val="Satznummer"/>
        </w:rPr>
        <w:t>5</w:t>
      </w:r>
      <w:r>
        <w:t>Die Zustimmung des Bundesrates ist nicht erforderlich, soweit die Verordnung ausschließlich dem Zweck dient, Abweichungen nach Absatz 1 Satz 4 und 5 zu gestatten.</w:t>
      </w:r>
    </w:p>
    <w:p>
      <w:r>
        <w:t xml:space="preserve">(4) </w:t>
      </w:r>
      <w:r>
        <w:rPr>
          <w:rStyle w:val="Satznummer"/>
        </w:rPr>
        <w:t>1</w:t>
      </w:r>
      <w:r>
        <w:t xml:space="preserve">In der Rechtsverordnung nach Absatz 1 in Verbindung mit Absatz 3 kann bestimmt werden, daß Versicherungsunternehmen, auf die die Richtlinie 91/674/EWG nach deren Artikel 2 in Verbindung mit den Artikeln 4, 7 und 9 Nummer 1 und 2 sowie Artikel 10 Nummer 1 der Richtlinie 2009/138/EG des Europäischen Parlaments und des Rates vom 25. November 2009 betreffend die Aufnahme und Ausübung der Versicherungs- und der Rückversicherungstätigkeit (Solvabilität II) (ABl. L 335 vom 17.12.2009, S. 1) nicht anzuwenden ist, von den Regelungen des Zweiten Unterabschnitts des Vierten Abschnitts ganz oder teilweise befreit werden, soweit dies erforderlich ist, um eine im Verhältnis zur Größe der Versicherungsunternehmen unangemessene Belastung zu vermeiden; Absatz 1 Satz 2 ist insoweit nicht anzuwenden. </w:t>
      </w:r>
      <w:r>
        <w:rPr>
          <w:rStyle w:val="Satznummer"/>
        </w:rPr>
        <w:t>2</w:t>
      </w:r>
      <w:r>
        <w:t>In der Rechtsverordnung dürfen diesen Versicherungsunternehmen auch für die Gliederung des Jahresabschlusses und des Konzernabschlusses, für die Erstellung von Anhang und Lagebericht und Konzernanhang und Konzernlagebericht sowie für die Offenlegung ihrer Größe angemessene Vereinfachungen gewährt werden.</w:t>
      </w:r>
    </w:p>
    <w:p>
      <w:r>
        <w:t>(5) Die Absätze 3 und 4 sind auf Pensionsfonds (§ 236 Absatz 1 des Versicherungsaufsichtsgesetzes) entsprechend anzuwenden.</w:t>
      </w:r>
    </w:p>
    <w:p>
      <w:pPr>
        <w:pStyle w:val="Heading3"/>
      </w:pPr>
      <w:bookmarkStart w:id="374" w:name="b373"/>
      <w:r>
        <w:t>Sechster Unterabschnitt Straf- und BußgeldvorschriftenOrdnungsgelder</w:t>
      </w:r>
      <w:bookmarkEnd w:id="374"/>
    </w:p>
    <w:p>
      <w:pPr>
        <w:pStyle w:val="Heading4"/>
      </w:pPr>
      <w:bookmarkStart w:id="375" w:name="b374"/>
      <w:r>
        <w:t>Erster Titel Straf- und Bußgeldvorschriften</w:t>
      </w:r>
      <w:bookmarkEnd w:id="375"/>
    </w:p>
    <w:p>
      <w:pPr>
        <w:pStyle w:val="Heading5"/>
      </w:pPr>
      <w:bookmarkStart w:id="376" w:name="b375"/>
      <w:r>
        <w:t>§ 331 Unrichtige Darstellung</w:t>
      </w:r>
      <w:r>
        <w:t xml:space="preserve"> </w:t>
      </w:r>
      <w:r>
        <w:rPr>
          <w:rStyle w:val="Suchmarke"/>
        </w:rPr>
        <w:t>#331#</w:t>
      </w:r>
      <w:bookmarkEnd w:id="376"/>
    </w:p>
    <w:p>
      <w:r>
        <w:t>(1) Mit Freiheitsstrafe bis zu drei Jahren oder mit Geldstrafe wird bestraft, wer</w:t>
      </w:r>
    </w:p>
    <w:p>
      <w:pPr>
        <w:tabs>
          <w:tab w:pos="567" w:val="left"/>
        </w:tabs>
        <w:ind w:left="567" w:hanging="567"/>
      </w:pPr>
      <w:r>
        <w:t>1.</w:t>
      </w:r>
      <w:r>
        <w:tab/>
      </w:r>
      <w:r>
        <w:t xml:space="preserve">als Mitglied des vertretungsberechtigten Organs oder des Aufsichtsrats einer Kapitalgesellschaft die Verhältnisse der Kapitalgesellschaft in der Eröffnungsbilanz, im Jahresabschluß, im Lagebericht einschließlich der nichtfinanziellen Erklärung, im gesonderten nichtfinanziellen Bericht oder im Zwischenabschluß nach </w:t>
      </w:r>
      <w:hyperlink w:anchor="b397" w:history="1">
        <w:r>
          <w:rPr>
            <w:color w:val="0A3A8C"/>
            <w:u w:val="single"/>
          </w:rPr>
          <w:t xml:space="preserve">§ 340a</w:t>
        </w:r>
      </w:hyperlink>
      <w:r>
        <w:t xml:space="preserve"> Abs. 3 unrichtig wiedergibt oder verschleiert,</w:t>
      </w:r>
    </w:p>
    <w:p>
      <w:pPr>
        <w:tabs>
          <w:tab w:pos="567" w:val="left"/>
        </w:tabs>
        <w:ind w:left="567" w:hanging="567"/>
      </w:pPr>
      <w:r>
        <w:t>1a.</w:t>
      </w:r>
      <w:r>
        <w:tab/>
      </w:r>
      <w:r>
        <w:t xml:space="preserve">als Mitglied des vertretungsberechtigten Organs einer Kapitalgesellschaft zum Zwecke der Befreiung nach </w:t>
      </w:r>
      <w:hyperlink w:anchor="b364" w:history="1">
        <w:r>
          <w:rPr>
            <w:color w:val="0A3A8C"/>
            <w:u w:val="single"/>
          </w:rPr>
          <w:t xml:space="preserve">§ 325</w:t>
        </w:r>
      </w:hyperlink>
      <w:r>
        <w:t xml:space="preserve"> Abs. 2a Satz 1, Abs. 2b einen Einzelabschluss nach den in </w:t>
      </w:r>
      <w:hyperlink w:anchor="b347" w:history="1">
        <w:r>
          <w:rPr>
            <w:color w:val="0A3A8C"/>
            <w:u w:val="single"/>
          </w:rPr>
          <w:t xml:space="preserve">§ 315e</w:t>
        </w:r>
      </w:hyperlink>
      <w:r>
        <w:t xml:space="preserve"> Absatz 1 genannten internationalen Rechnungslegungsstandards, in dem die Verhältnisse der Kapitalgesellschaft unrichtig wiedergegeben oder verschleiert worden sind, offen legt,</w:t>
      </w:r>
    </w:p>
    <w:p>
      <w:pPr>
        <w:tabs>
          <w:tab w:pos="567" w:val="left"/>
        </w:tabs>
        <w:ind w:left="567" w:hanging="567"/>
      </w:pPr>
      <w:r>
        <w:t>2.</w:t>
      </w:r>
      <w:r>
        <w:tab/>
      </w:r>
      <w:r>
        <w:t xml:space="preserve">als Mitglied des vertretungsberechtigten Organs oder des Aufsichtsrats einer Kapitalgesellschaft die Verhältnisse des Konzerns im Konzernabschluß, im Konzernlagebericht einschließlich der nichtfinanziellen Konzernerklärung, im gesonderten nichtfinanziellen Konzernbericht oder im Konzernzwischenabschluß nach </w:t>
      </w:r>
      <w:hyperlink w:anchor="b408" w:history="1">
        <w:r>
          <w:rPr>
            <w:color w:val="0A3A8C"/>
            <w:u w:val="single"/>
          </w:rPr>
          <w:t xml:space="preserve">§ 340i</w:t>
        </w:r>
      </w:hyperlink>
      <w:r>
        <w:t xml:space="preserve"> Abs. 4 unrichtig wiedergibt oder verschleiert,</w:t>
      </w:r>
    </w:p>
    <w:p>
      <w:pPr>
        <w:tabs>
          <w:tab w:pos="567" w:val="left"/>
        </w:tabs>
        <w:ind w:left="567" w:hanging="567"/>
      </w:pPr>
      <w:r>
        <w:t>3.</w:t>
      </w:r>
      <w:r>
        <w:tab/>
      </w:r>
      <w:r>
        <w:t xml:space="preserve">als Mitglied des vertretungsberechtigten Organs einer Kapitalgesellschaft zum Zwecke der Befreiung nach </w:t>
      </w:r>
      <w:hyperlink w:anchor="b307" w:history="1">
        <w:r>
          <w:rPr>
            <w:color w:val="0A3A8C"/>
            <w:u w:val="single"/>
          </w:rPr>
          <w:t xml:space="preserve">§ 291</w:t>
        </w:r>
      </w:hyperlink>
      <w:r>
        <w:t xml:space="preserve"> Abs. 1 und 2 oder nach </w:t>
      </w:r>
      <w:hyperlink w:anchor="b308" w:history="1">
        <w:r>
          <w:rPr>
            <w:color w:val="0A3A8C"/>
            <w:u w:val="single"/>
          </w:rPr>
          <w:t xml:space="preserve">§ 292</w:t>
        </w:r>
      </w:hyperlink>
      <w:r>
        <w:t xml:space="preserve"> einen Konzernabschluß oder Konzernlagebericht, in dem die Verhältnisse des Konzerns unrichtig wiedergegeben oder verschleiert worden sind, offenlegt oder</w:t>
      </w:r>
    </w:p>
    <w:p>
      <w:pPr>
        <w:tabs>
          <w:tab w:pos="567" w:val="left"/>
        </w:tabs>
        <w:ind w:left="567" w:hanging="567"/>
      </w:pPr>
      <w:r>
        <w:t>3a.</w:t>
      </w:r>
      <w:r>
        <w:tab/>
      </w:r>
      <w:r>
        <w:t>(weggefallen)</w:t>
      </w:r>
    </w:p>
    <w:p>
      <w:pPr>
        <w:tabs>
          <w:tab w:pos="567" w:val="left"/>
        </w:tabs>
        <w:ind w:left="567" w:hanging="567"/>
      </w:pPr>
      <w:r>
        <w:t>4.</w:t>
      </w:r>
      <w:r>
        <w:tab/>
      </w:r>
      <w:r>
        <w:t>als Mitglied des vertretungsberechtigten Organs einer Kapitalgesellschaft oder als Mitglied des vertretungsberechtigten Organs oder als vertretungsberechtigter Gesellschafter eines ihrer Tochterunternehmen (</w:t>
      </w:r>
      <w:hyperlink w:anchor="b306" w:history="1">
        <w:r>
          <w:rPr>
            <w:color w:val="0A3A8C"/>
            <w:u w:val="single"/>
          </w:rPr>
          <w:t xml:space="preserve">§ 290</w:t>
        </w:r>
      </w:hyperlink>
      <w:r>
        <w:t xml:space="preserve"> Abs. 1, 2) in Aufklärungen oder Nachweisen, die nach </w:t>
      </w:r>
      <w:hyperlink w:anchor="b356" w:history="1">
        <w:r>
          <w:rPr>
            <w:color w:val="0A3A8C"/>
            <w:u w:val="single"/>
          </w:rPr>
          <w:t xml:space="preserve">§ 320</w:t>
        </w:r>
      </w:hyperlink>
      <w:r>
        <w:t xml:space="preserve"> einem Abschlußprüfer der Kapitalgesellschaft, eines verbundenen Unternehmens oder des Konzerns zu geben sind, unrichtige Angaben macht oder die Verhältnisse der Kapitalgesellschaft, eines Tochterunternehmens oder des Konzerns unrichtig wiedergibt oder verschleiert.</w:t>
      </w:r>
    </w:p>
    <w:p>
      <w:r>
        <w:t>(2) Handelt der Täter in den Fällen des Absatzes 1 Nummer 1a oder 3 leichtfertig, so ist die Strafe Freiheitsstrafe bis zu einem Jahr oder Geldstrafe.</w:t>
      </w:r>
    </w:p>
    <w:p>
      <w:pPr>
        <w:pStyle w:val="Heading5"/>
      </w:pPr>
      <w:bookmarkStart w:id="377" w:name="b376"/>
      <w:r>
        <w:t>§ 331a Unrichtige Versicherung</w:t>
      </w:r>
      <w:r>
        <w:t xml:space="preserve"> </w:t>
      </w:r>
      <w:r>
        <w:rPr>
          <w:rStyle w:val="Suchmarke"/>
        </w:rPr>
        <w:t>#331a#</w:t>
      </w:r>
      <w:bookmarkEnd w:id="377"/>
    </w:p>
    <w:p>
      <w:r>
        <w:t xml:space="preserve">(1) Mit Freiheitsstrafe bis zu fünf Jahren oder mit Geldstrafe wird bestraft, wer entgegen </w:t>
      </w:r>
      <w:hyperlink w:anchor="b265" w:history="1">
        <w:r>
          <w:rPr>
            <w:color w:val="0A3A8C"/>
            <w:u w:val="single"/>
          </w:rPr>
          <w:t xml:space="preserve">§ 264</w:t>
        </w:r>
      </w:hyperlink>
      <w:r>
        <w:t xml:space="preserve"> Absatz 2 Satz 3, auch in Verbindung mit </w:t>
      </w:r>
      <w:hyperlink w:anchor="b364" w:history="1">
        <w:r>
          <w:rPr>
            <w:color w:val="0A3A8C"/>
            <w:u w:val="single"/>
          </w:rPr>
          <w:t xml:space="preserve">§ 325</w:t>
        </w:r>
      </w:hyperlink>
      <w:r>
        <w:t xml:space="preserve"> Absatz 2a Satz 3, entgegen </w:t>
      </w:r>
      <w:hyperlink w:anchor="b297" w:history="1">
        <w:r>
          <w:rPr>
            <w:color w:val="0A3A8C"/>
            <w:u w:val="single"/>
          </w:rPr>
          <w:t xml:space="preserve">§ 289</w:t>
        </w:r>
      </w:hyperlink>
      <w:r>
        <w:t xml:space="preserve"> Absatz 1 Satz 5, auch in Verbindung mit </w:t>
      </w:r>
      <w:hyperlink w:anchor="b364" w:history="1">
        <w:r>
          <w:rPr>
            <w:color w:val="0A3A8C"/>
            <w:u w:val="single"/>
          </w:rPr>
          <w:t xml:space="preserve">§ 325</w:t>
        </w:r>
      </w:hyperlink>
      <w:r>
        <w:t xml:space="preserve"> Absatz 2a Satz 4, oder entgegen </w:t>
      </w:r>
      <w:hyperlink w:anchor="b316" w:history="1">
        <w:r>
          <w:rPr>
            <w:color w:val="0A3A8C"/>
            <w:u w:val="single"/>
          </w:rPr>
          <w:t xml:space="preserve">§ 297</w:t>
        </w:r>
      </w:hyperlink>
      <w:r>
        <w:t xml:space="preserve"> Absatz 2 Satz 4 oder </w:t>
      </w:r>
      <w:hyperlink w:anchor="b341" w:history="1">
        <w:r>
          <w:rPr>
            <w:color w:val="0A3A8C"/>
            <w:u w:val="single"/>
          </w:rPr>
          <w:t xml:space="preserve">§ 315</w:t>
        </w:r>
      </w:hyperlink>
      <w:r>
        <w:t xml:space="preserve"> Absatz 1 Satz 5, jeweils auch in Verbindung mit </w:t>
      </w:r>
      <w:hyperlink w:anchor="b347" w:history="1">
        <w:r>
          <w:rPr>
            <w:color w:val="0A3A8C"/>
            <w:u w:val="single"/>
          </w:rPr>
          <w:t xml:space="preserve">§ 315e</w:t>
        </w:r>
      </w:hyperlink>
      <w:r>
        <w:t xml:space="preserve"> Absatz 1, eine unrichtige Versicherung abgibt.</w:t>
      </w:r>
    </w:p>
    <w:p>
      <w:r>
        <w:t>(2) Handelt der Täter leichtfertig, so ist die Strafe Freiheitsstrafe bis zu zwei Jahren oder Geldstrafe.</w:t>
      </w:r>
    </w:p>
    <w:p>
      <w:pPr>
        <w:pStyle w:val="Heading5"/>
      </w:pPr>
      <w:bookmarkStart w:id="378" w:name="b377"/>
      <w:r>
        <w:t>§ 332 Verletzung der Berichtspflicht</w:t>
      </w:r>
      <w:r>
        <w:t xml:space="preserve"> </w:t>
      </w:r>
      <w:r>
        <w:rPr>
          <w:rStyle w:val="Suchmarke"/>
        </w:rPr>
        <w:t>#332#</w:t>
      </w:r>
      <w:bookmarkEnd w:id="378"/>
    </w:p>
    <w:p>
      <w:r>
        <w:t xml:space="preserve">(1) Mit Freiheitsstrafe bis zu drei Jahren oder mit Geldstrafe wird bestraft, wer als Abschlußprüfer oder Gehilfe eines Abschlußprüfers über das Ergebnis der Prüfung eines Jahresabschlusses, eines Einzelabschlusses nach </w:t>
      </w:r>
      <w:hyperlink w:anchor="b364" w:history="1">
        <w:r>
          <w:rPr>
            <w:color w:val="0A3A8C"/>
            <w:u w:val="single"/>
          </w:rPr>
          <w:t xml:space="preserve">§ 325</w:t>
        </w:r>
      </w:hyperlink>
      <w:r>
        <w:t xml:space="preserve"> Abs. 2a, eines Lageberichts, eines Konzernabschlusses, eines Konzernlageberichts einer Kapitalgesellschaft oder eines Zwischenabschlusses nach </w:t>
      </w:r>
      <w:hyperlink w:anchor="b397" w:history="1">
        <w:r>
          <w:rPr>
            <w:color w:val="0A3A8C"/>
            <w:u w:val="single"/>
          </w:rPr>
          <w:t xml:space="preserve">§ 340a</w:t>
        </w:r>
      </w:hyperlink>
      <w:r>
        <w:t xml:space="preserve"> Abs. 3 oder eines Konzernzwischenabschlusses gemäß </w:t>
      </w:r>
      <w:hyperlink w:anchor="b408" w:history="1">
        <w:r>
          <w:rPr>
            <w:color w:val="0A3A8C"/>
            <w:u w:val="single"/>
          </w:rPr>
          <w:t xml:space="preserve">§ 340i</w:t>
        </w:r>
      </w:hyperlink>
      <w:r>
        <w:t xml:space="preserve"> Abs. 4 unrichtig berichtet, im Prüfungsbericht (</w:t>
      </w:r>
      <w:hyperlink w:anchor="b357" w:history="1">
        <w:r>
          <w:rPr>
            <w:color w:val="0A3A8C"/>
            <w:u w:val="single"/>
          </w:rPr>
          <w:t xml:space="preserve">§ 321</w:t>
        </w:r>
      </w:hyperlink>
      <w:r>
        <w:t>) erhebliche Umstände verschweigt oder einen inhaltlich unrichtigen Bestätigungsvermerk (</w:t>
      </w:r>
      <w:hyperlink w:anchor="b359" w:history="1">
        <w:r>
          <w:rPr>
            <w:color w:val="0A3A8C"/>
            <w:u w:val="single"/>
          </w:rPr>
          <w:t xml:space="preserve">§ 322</w:t>
        </w:r>
      </w:hyperlink>
      <w:r>
        <w:t>) erteilt.</w:t>
      </w:r>
    </w:p>
    <w:p>
      <w:r>
        <w:t xml:space="preserve">(2) </w:t>
      </w:r>
      <w:r>
        <w:rPr>
          <w:rStyle w:val="Satznummer"/>
        </w:rPr>
        <w:t>1</w:t>
      </w:r>
      <w:r>
        <w:t xml:space="preserve">Handelt der Täter gegen Entgelt oder in der Absicht, sich oder einen anderen zu bereichern oder einen anderen zu schädigen, so ist die Strafe Freiheitsstrafe bis zu fünf Jahren oder Geldstrafe. </w:t>
      </w:r>
      <w:r>
        <w:rPr>
          <w:rStyle w:val="Satznummer"/>
        </w:rPr>
        <w:t>2</w:t>
      </w:r>
      <w:r>
        <w:t xml:space="preserve">Ebenso wird bestraft, wer einen inhaltlich unrichtigen Bestätigungsvermerk erteilt zu dem Jahresabschluss, zu dem Einzelabschluss nach </w:t>
      </w:r>
      <w:hyperlink w:anchor="b364" w:history="1">
        <w:r>
          <w:rPr>
            <w:color w:val="0A3A8C"/>
            <w:u w:val="single"/>
          </w:rPr>
          <w:t xml:space="preserve">§ 325</w:t>
        </w:r>
      </w:hyperlink>
      <w:r>
        <w:t xml:space="preserve"> Absatz 2a oder zu dem Konzernabschluss einer Kapitalgesellschaft, die ein Unternehmen von öffentlichem Interesse nach </w:t>
      </w:r>
      <w:hyperlink w:anchor="b350" w:history="1">
        <w:r>
          <w:rPr>
            <w:color w:val="0A3A8C"/>
            <w:u w:val="single"/>
          </w:rPr>
          <w:t xml:space="preserve">§ 316a</w:t>
        </w:r>
      </w:hyperlink>
      <w:r>
        <w:t xml:space="preserve"> Satz 2 ist.</w:t>
      </w:r>
    </w:p>
    <w:p>
      <w:r>
        <w:t>(3) Handelt der Täter in den Fällen des Absatzes 2 Satz 2 leichtfertig, so ist die Strafe Freiheitsstrafe bis zu zwei Jahren oder Geldstrafe.</w:t>
      </w:r>
    </w:p>
    <w:p>
      <w:pPr>
        <w:pStyle w:val="Heading5"/>
      </w:pPr>
      <w:bookmarkStart w:id="379" w:name="b378"/>
      <w:r>
        <w:t>§ 333 Verletzung der Geheimhaltungspflicht</w:t>
      </w:r>
      <w:r>
        <w:t xml:space="preserve"> </w:t>
      </w:r>
      <w:r>
        <w:rPr>
          <w:rStyle w:val="Suchmarke"/>
        </w:rPr>
        <w:t>#333#</w:t>
      </w:r>
      <w:bookmarkEnd w:id="379"/>
    </w:p>
    <w:p>
      <w:r>
        <w:t>(1) Mit Freiheitsstrafe bis zu einem Jahr oder mit Geldstrafe wird bestraft, wer ein Geheimnis der Kapitalgesellschaft, eines Tochterunternehmens (</w:t>
      </w:r>
      <w:hyperlink w:anchor="b306" w:history="1">
        <w:r>
          <w:rPr>
            <w:color w:val="0A3A8C"/>
            <w:u w:val="single"/>
          </w:rPr>
          <w:t xml:space="preserve">§ 290</w:t>
        </w:r>
      </w:hyperlink>
      <w:r>
        <w:t xml:space="preserve"> Abs. 1, 2), eines gemeinsam geführten Unternehmens (</w:t>
      </w:r>
      <w:hyperlink w:anchor="b333" w:history="1">
        <w:r>
          <w:rPr>
            <w:color w:val="0A3A8C"/>
            <w:u w:val="single"/>
          </w:rPr>
          <w:t xml:space="preserve">§ 310</w:t>
        </w:r>
      </w:hyperlink>
      <w:r>
        <w:t>) oder eines assoziierten Unternehmens (</w:t>
      </w:r>
      <w:hyperlink w:anchor="b335" w:history="1">
        <w:r>
          <w:rPr>
            <w:color w:val="0A3A8C"/>
            <w:u w:val="single"/>
          </w:rPr>
          <w:t xml:space="preserve">§ 311</w:t>
        </w:r>
      </w:hyperlink>
      <w:r>
        <w:t xml:space="preserve">), namentlich ein Betriebs- oder Geschäftsgeheimnis, das ihm in seiner Eigenschaft als Abschlußprüfer oder Gehilfe eines Abschlußprüfers bei Prüfung des Jahresabschlusses, eines Einzelabschlusses nach </w:t>
      </w:r>
      <w:hyperlink w:anchor="b364" w:history="1">
        <w:r>
          <w:rPr>
            <w:color w:val="0A3A8C"/>
            <w:u w:val="single"/>
          </w:rPr>
          <w:t xml:space="preserve">§ 325</w:t>
        </w:r>
      </w:hyperlink>
      <w:r>
        <w:t xml:space="preserve"> Abs. 2a oder des Konzernabschlusses bekannt geworden ist, unbefugt offenbart.</w:t>
      </w:r>
    </w:p>
    <w:p>
      <w:r>
        <w:t xml:space="preserve">(2) </w:t>
      </w:r>
      <w:r>
        <w:rPr>
          <w:rStyle w:val="Satznummer"/>
        </w:rPr>
        <w:t>1</w:t>
      </w:r>
      <w:r>
        <w:t xml:space="preserve">Handelt der Täter gegen Entgelt oder in der Absicht, sich oder einen anderen zu bereichern oder einen anderen zu schädigen, so ist die Strafe Freiheitsstrafe bis zu zwei Jahren oder Geldstrafe. </w:t>
      </w:r>
      <w:r>
        <w:rPr>
          <w:rStyle w:val="Satznummer"/>
        </w:rPr>
        <w:t>2</w:t>
      </w:r>
      <w:r>
        <w:t>Ebenso wird bestraft, wer ein Geheimnis der in Absatz 1 bezeichneten Art, namentlich ein Betriebs- oder Geschäftsgeheimnis, das ihm unter den Voraussetzungen des Absatzes 1 bekannt geworden ist, unbefugt verwertet.</w:t>
      </w:r>
    </w:p>
    <w:p>
      <w:r>
        <w:t>(3) Die Tat wird nur auf Antrag der Kapitalgesellschaft verfolgt.</w:t>
      </w:r>
    </w:p>
    <w:p>
      <w:pPr>
        <w:pStyle w:val="Heading5"/>
      </w:pPr>
      <w:bookmarkStart w:id="380" w:name="b379"/>
      <w:r>
        <w:t>§ 333a Verletzung der Pflichten bei Abschlussprüfungen</w:t>
      </w:r>
      <w:r>
        <w:t xml:space="preserve"> </w:t>
      </w:r>
      <w:r>
        <w:rPr>
          <w:rStyle w:val="Suchmarke"/>
        </w:rPr>
        <w:t>#333a#</w:t>
      </w:r>
      <w:bookmarkEnd w:id="380"/>
    </w:p>
    <w:p>
      <w:r>
        <w:t xml:space="preserve">Mit Freiheitsstrafe bis zu einem Jahr oder mit Geldstrafe wird bestraft, wer als Mitglied eines nach </w:t>
      </w:r>
      <w:hyperlink w:anchor="b361" w:history="1">
        <w:r>
          <w:rPr>
            <w:color w:val="0A3A8C"/>
            <w:u w:val="single"/>
          </w:rPr>
          <w:t xml:space="preserve">§ 324</w:t>
        </w:r>
      </w:hyperlink>
      <w:r>
        <w:t xml:space="preserve"> Absatz 1 Satz 1 eingerichteten Prüfungsausschusses</w:t>
      </w:r>
    </w:p>
    <w:p>
      <w:pPr>
        <w:tabs>
          <w:tab w:pos="567" w:val="left"/>
        </w:tabs>
        <w:ind w:left="567" w:hanging="567"/>
      </w:pPr>
      <w:r>
        <w:t>1.</w:t>
      </w:r>
      <w:r>
        <w:tab/>
      </w:r>
      <w:r>
        <w:t xml:space="preserve">eine in </w:t>
      </w:r>
      <w:hyperlink w:anchor="b380" w:history="1">
        <w:r>
          <w:rPr>
            <w:color w:val="0A3A8C"/>
            <w:u w:val="single"/>
          </w:rPr>
          <w:t xml:space="preserve">§ 334</w:t>
        </w:r>
      </w:hyperlink>
      <w:r>
        <w:t xml:space="preserve"> Absatz 2a bezeichnete Handlung begeht und dafür einen Vermögensvorteil erhält oder sich versprechen lässt oder</w:t>
      </w:r>
    </w:p>
    <w:p>
      <w:pPr>
        <w:tabs>
          <w:tab w:pos="567" w:val="left"/>
        </w:tabs>
        <w:ind w:left="567" w:hanging="567"/>
      </w:pPr>
      <w:r>
        <w:t>2.</w:t>
      </w:r>
      <w:r>
        <w:tab/>
      </w:r>
      <w:r>
        <w:t xml:space="preserve">eine in </w:t>
      </w:r>
      <w:hyperlink w:anchor="b380" w:history="1">
        <w:r>
          <w:rPr>
            <w:color w:val="0A3A8C"/>
            <w:u w:val="single"/>
          </w:rPr>
          <w:t xml:space="preserve">§ 334</w:t>
        </w:r>
      </w:hyperlink>
      <w:r>
        <w:t xml:space="preserve"> Absatz 2a bezeichnete Handlung beharrlich wiederholt.</w:t>
      </w:r>
    </w:p>
    <w:p>
      <w:pPr>
        <w:pStyle w:val="Heading5"/>
      </w:pPr>
      <w:bookmarkStart w:id="381" w:name="b380"/>
      <w:r>
        <w:t>§ 334 Bußgeldvorschriften</w:t>
      </w:r>
      <w:r>
        <w:t xml:space="preserve"> </w:t>
      </w:r>
      <w:r>
        <w:rPr>
          <w:rStyle w:val="Suchmarke"/>
        </w:rPr>
        <w:t>#334#</w:t>
      </w:r>
      <w:bookmarkEnd w:id="381"/>
    </w:p>
    <w:p>
      <w:r>
        <w:t xml:space="preserve">(1) </w:t>
      </w:r>
      <w:r>
        <w:rPr>
          <w:rStyle w:val="Satznummer"/>
        </w:rPr>
        <w:t>1</w:t>
      </w:r>
      <w:r>
        <w:t>Ordnungswidrig handelt, wer als Mitglied des vertretungsberechtigten Organs oder des Aufsichtsrats einer Kapitalgesellschaft</w:t>
      </w:r>
    </w:p>
    <w:p>
      <w:pPr>
        <w:tabs>
          <w:tab w:pos="567" w:val="left"/>
        </w:tabs>
        <w:ind w:left="567" w:hanging="567"/>
      </w:pPr>
      <w:r>
        <w:t>1.</w:t>
      </w:r>
      <w:r>
        <w:tab/>
      </w:r>
      <w:r>
        <w:t>bei der Aufstellung oder Feststellung des Jahresabschlusses einer Vorschrift</w:t>
      </w:r>
    </w:p>
    <w:p>
      <w:pPr>
        <w:tabs>
          <w:tab w:pos="1134" w:val="left"/>
        </w:tabs>
        <w:ind w:left="1134" w:hanging="567"/>
      </w:pPr>
      <w:r>
        <w:t>a)</w:t>
      </w:r>
      <w:r>
        <w:tab/>
      </w:r>
      <w:r>
        <w:t xml:space="preserve">des </w:t>
      </w:r>
      <w:hyperlink w:anchor="b236" w:history="1">
        <w:r>
          <w:rPr>
            <w:color w:val="0A3A8C"/>
            <w:u w:val="single"/>
          </w:rPr>
          <w:t xml:space="preserve">§ 243</w:t>
        </w:r>
      </w:hyperlink>
      <w:r>
        <w:t xml:space="preserve"> Abs. 1 oder 2, der </w:t>
      </w:r>
      <w:hyperlink w:anchor="b237" w:history="1">
        <w:r>
          <w:rPr>
            <w:color w:val="0A3A8C"/>
            <w:u w:val="single"/>
          </w:rPr>
          <w:t xml:space="preserve">§§ 244</w:t>
        </w:r>
      </w:hyperlink>
      <w:r>
        <w:t xml:space="preserve">, </w:t>
      </w:r>
      <w:hyperlink w:anchor="b238" w:history="1">
        <w:r>
          <w:rPr>
            <w:color w:val="0A3A8C"/>
            <w:u w:val="single"/>
          </w:rPr>
          <w:t xml:space="preserve">245</w:t>
        </w:r>
      </w:hyperlink>
      <w:r>
        <w:t xml:space="preserve">, </w:t>
      </w:r>
      <w:hyperlink w:anchor="b240" w:history="1">
        <w:r>
          <w:rPr>
            <w:color w:val="0A3A8C"/>
            <w:u w:val="single"/>
          </w:rPr>
          <w:t xml:space="preserve">246</w:t>
        </w:r>
      </w:hyperlink>
      <w:r>
        <w:t xml:space="preserve">, </w:t>
      </w:r>
      <w:hyperlink w:anchor="b241" w:history="1">
        <w:r>
          <w:rPr>
            <w:color w:val="0A3A8C"/>
            <w:u w:val="single"/>
          </w:rPr>
          <w:t xml:space="preserve">247</w:t>
        </w:r>
      </w:hyperlink>
      <w:r>
        <w:t xml:space="preserve">, </w:t>
      </w:r>
      <w:hyperlink w:anchor="b242" w:history="1">
        <w:r>
          <w:rPr>
            <w:color w:val="0A3A8C"/>
            <w:u w:val="single"/>
          </w:rPr>
          <w:t xml:space="preserve">248</w:t>
        </w:r>
      </w:hyperlink>
      <w:r>
        <w:t xml:space="preserve">, </w:t>
      </w:r>
      <w:hyperlink w:anchor="b243" w:history="1">
        <w:r>
          <w:rPr>
            <w:color w:val="0A3A8C"/>
            <w:u w:val="single"/>
          </w:rPr>
          <w:t xml:space="preserve">249</w:t>
        </w:r>
      </w:hyperlink>
      <w:r>
        <w:t xml:space="preserve"> Abs. 1 Satz 1 oder Abs. 2, des </w:t>
      </w:r>
      <w:hyperlink w:anchor="b244" w:history="1">
        <w:r>
          <w:rPr>
            <w:color w:val="0A3A8C"/>
            <w:u w:val="single"/>
          </w:rPr>
          <w:t xml:space="preserve">§ 250</w:t>
        </w:r>
      </w:hyperlink>
      <w:r>
        <w:t xml:space="preserve"> Abs. 1 oder 2, des </w:t>
      </w:r>
      <w:hyperlink w:anchor="b245" w:history="1">
        <w:r>
          <w:rPr>
            <w:color w:val="0A3A8C"/>
            <w:u w:val="single"/>
          </w:rPr>
          <w:t xml:space="preserve">§ 251</w:t>
        </w:r>
      </w:hyperlink>
      <w:r>
        <w:t xml:space="preserve"> oder des </w:t>
      </w:r>
      <w:hyperlink w:anchor="b265" w:history="1">
        <w:r>
          <w:rPr>
            <w:color w:val="0A3A8C"/>
            <w:u w:val="single"/>
          </w:rPr>
          <w:t xml:space="preserve">§ 264</w:t>
        </w:r>
      </w:hyperlink>
      <w:r>
        <w:t xml:space="preserve"> Absatz 1a oder Absatz 2 über Form oder Inhalt,</w:t>
      </w:r>
    </w:p>
    <w:p>
      <w:pPr>
        <w:tabs>
          <w:tab w:pos="1134" w:val="left"/>
        </w:tabs>
        <w:ind w:left="1134" w:hanging="567"/>
      </w:pPr>
      <w:r>
        <w:t>b)</w:t>
      </w:r>
      <w:r>
        <w:tab/>
      </w:r>
      <w:r>
        <w:t xml:space="preserve">des </w:t>
      </w:r>
      <w:hyperlink w:anchor="b248" w:history="1">
        <w:r>
          <w:rPr>
            <w:color w:val="0A3A8C"/>
            <w:u w:val="single"/>
          </w:rPr>
          <w:t xml:space="preserve">§ 253</w:t>
        </w:r>
      </w:hyperlink>
      <w:r>
        <w:t xml:space="preserve"> Absatz 1 Satz 1, 2, 3, 4, 5 oder Satz 6, Abs. 2 Satz 1, auch in Verbindung mit Satz 2, Absatz 3 Satz 1, 2, 3, 4 oder Satz 5, Abs. 4 oder 5, des </w:t>
      </w:r>
      <w:hyperlink w:anchor="b249" w:history="1">
        <w:r>
          <w:rPr>
            <w:color w:val="0A3A8C"/>
            <w:u w:val="single"/>
          </w:rPr>
          <w:t xml:space="preserve">§ 254</w:t>
        </w:r>
      </w:hyperlink>
      <w:r>
        <w:t xml:space="preserve"> oder des </w:t>
      </w:r>
      <w:hyperlink w:anchor="b252" w:history="1">
        <w:r>
          <w:rPr>
            <w:color w:val="0A3A8C"/>
            <w:u w:val="single"/>
          </w:rPr>
          <w:t xml:space="preserve">§ 256a</w:t>
        </w:r>
      </w:hyperlink>
      <w:r>
        <w:t xml:space="preserve"> über die Bewertung,</w:t>
      </w:r>
    </w:p>
    <w:p>
      <w:pPr>
        <w:tabs>
          <w:tab w:pos="1134" w:val="left"/>
        </w:tabs>
        <w:ind w:left="1134" w:hanging="567"/>
      </w:pPr>
      <w:r>
        <w:t>c)</w:t>
      </w:r>
      <w:r>
        <w:tab/>
      </w:r>
      <w:r>
        <w:t xml:space="preserve">des </w:t>
      </w:r>
      <w:hyperlink w:anchor="b270" w:history="1">
        <w:r>
          <w:rPr>
            <w:color w:val="0A3A8C"/>
            <w:u w:val="single"/>
          </w:rPr>
          <w:t xml:space="preserve">§ 265</w:t>
        </w:r>
      </w:hyperlink>
      <w:r>
        <w:t xml:space="preserve"> Abs. 2, 3, 4 oder 6, der </w:t>
      </w:r>
      <w:hyperlink w:anchor="b272" w:history="1">
        <w:r>
          <w:rPr>
            <w:color w:val="0A3A8C"/>
            <w:u w:val="single"/>
          </w:rPr>
          <w:t xml:space="preserve">§§ 266</w:t>
        </w:r>
      </w:hyperlink>
      <w:r>
        <w:t xml:space="preserve">, </w:t>
      </w:r>
      <w:hyperlink w:anchor="b275" w:history="1">
        <w:r>
          <w:rPr>
            <w:color w:val="0A3A8C"/>
            <w:u w:val="single"/>
          </w:rPr>
          <w:t xml:space="preserve">268</w:t>
        </w:r>
      </w:hyperlink>
      <w:r>
        <w:t xml:space="preserve"> Absatz 3, 4, 5, 6 oder Absatz 7, der </w:t>
      </w:r>
      <w:hyperlink w:anchor="b279" w:history="1">
        <w:r>
          <w:rPr>
            <w:color w:val="0A3A8C"/>
            <w:u w:val="single"/>
          </w:rPr>
          <w:t xml:space="preserve">§§ 272</w:t>
        </w:r>
      </w:hyperlink>
      <w:r>
        <w:t xml:space="preserve">, </w:t>
      </w:r>
      <w:hyperlink w:anchor="b281" w:history="1">
        <w:r>
          <w:rPr>
            <w:color w:val="0A3A8C"/>
            <w:u w:val="single"/>
          </w:rPr>
          <w:t xml:space="preserve">274</w:t>
        </w:r>
      </w:hyperlink>
      <w:r>
        <w:t xml:space="preserve">, </w:t>
      </w:r>
      <w:hyperlink w:anchor="b284" w:history="1">
        <w:r>
          <w:rPr>
            <w:color w:val="0A3A8C"/>
            <w:u w:val="single"/>
          </w:rPr>
          <w:t xml:space="preserve">275</w:t>
        </w:r>
      </w:hyperlink>
      <w:r>
        <w:t xml:space="preserve"> oder des </w:t>
      </w:r>
      <w:hyperlink w:anchor="b286" w:history="1">
        <w:r>
          <w:rPr>
            <w:color w:val="0A3A8C"/>
            <w:u w:val="single"/>
          </w:rPr>
          <w:t xml:space="preserve">§ 277</w:t>
        </w:r>
      </w:hyperlink>
      <w:r>
        <w:t xml:space="preserve"> über die Gliederung oder</w:t>
      </w:r>
    </w:p>
    <w:p>
      <w:pPr>
        <w:tabs>
          <w:tab w:pos="1134" w:val="left"/>
        </w:tabs>
        <w:ind w:left="1134" w:hanging="567"/>
      </w:pPr>
      <w:r>
        <w:t>d)</w:t>
      </w:r>
      <w:r>
        <w:tab/>
      </w:r>
      <w:r>
        <w:t xml:space="preserve">des </w:t>
      </w:r>
      <w:hyperlink w:anchor="b291" w:history="1">
        <w:r>
          <w:rPr>
            <w:color w:val="0A3A8C"/>
            <w:u w:val="single"/>
          </w:rPr>
          <w:t xml:space="preserve">§ 284</w:t>
        </w:r>
      </w:hyperlink>
      <w:r>
        <w:t xml:space="preserve"> oder des </w:t>
      </w:r>
      <w:hyperlink w:anchor="b292" w:history="1">
        <w:r>
          <w:rPr>
            <w:color w:val="0A3A8C"/>
            <w:u w:val="single"/>
          </w:rPr>
          <w:t xml:space="preserve">§ 285</w:t>
        </w:r>
      </w:hyperlink>
      <w:r>
        <w:t xml:space="preserve"> über die in der Bilanz, unter der Bilanz oder im Anhang zu machenden Angaben,</w:t>
      </w:r>
    </w:p>
    <w:p>
      <w:pPr>
        <w:tabs>
          <w:tab w:pos="567" w:val="left"/>
        </w:tabs>
        <w:ind w:left="567" w:hanging="567"/>
      </w:pPr>
      <w:r>
        <w:t>2.</w:t>
      </w:r>
      <w:r>
        <w:tab/>
      </w:r>
      <w:r>
        <w:t>bei der Aufstellung des Konzernabschlusses einer Vorschrift</w:t>
      </w:r>
    </w:p>
    <w:p>
      <w:pPr>
        <w:tabs>
          <w:tab w:pos="1134" w:val="left"/>
        </w:tabs>
        <w:ind w:left="1134" w:hanging="567"/>
      </w:pPr>
      <w:r>
        <w:t>a)</w:t>
      </w:r>
      <w:r>
        <w:tab/>
      </w:r>
      <w:r>
        <w:t xml:space="preserve">des </w:t>
      </w:r>
      <w:hyperlink w:anchor="b312" w:history="1">
        <w:r>
          <w:rPr>
            <w:color w:val="0A3A8C"/>
            <w:u w:val="single"/>
          </w:rPr>
          <w:t xml:space="preserve">§ 294</w:t>
        </w:r>
      </w:hyperlink>
      <w:r>
        <w:t xml:space="preserve"> Abs. 1 über den Konsolidierungskreis,</w:t>
      </w:r>
    </w:p>
    <w:p>
      <w:pPr>
        <w:tabs>
          <w:tab w:pos="1134" w:val="left"/>
        </w:tabs>
        <w:ind w:left="1134" w:hanging="567"/>
      </w:pPr>
      <w:r>
        <w:t>b)</w:t>
      </w:r>
      <w:r>
        <w:tab/>
      </w:r>
      <w:r>
        <w:t xml:space="preserve">des </w:t>
      </w:r>
      <w:hyperlink w:anchor="b316" w:history="1">
        <w:r>
          <w:rPr>
            <w:color w:val="0A3A8C"/>
            <w:u w:val="single"/>
          </w:rPr>
          <w:t xml:space="preserve">§ 297</w:t>
        </w:r>
      </w:hyperlink>
      <w:r>
        <w:t xml:space="preserve"> Absatz 1a, 2 oder 3 oder des </w:t>
      </w:r>
      <w:hyperlink w:anchor="b317" w:history="1">
        <w:r>
          <w:rPr>
            <w:color w:val="0A3A8C"/>
            <w:u w:val="single"/>
          </w:rPr>
          <w:t xml:space="preserve">§ 298</w:t>
        </w:r>
      </w:hyperlink>
      <w:r>
        <w:t xml:space="preserve"> Abs. 1 in Verbindung mit den </w:t>
      </w:r>
      <w:hyperlink w:anchor="b237" w:history="1">
        <w:r>
          <w:rPr>
            <w:color w:val="0A3A8C"/>
            <w:u w:val="single"/>
          </w:rPr>
          <w:t xml:space="preserve">§§ 244</w:t>
        </w:r>
      </w:hyperlink>
      <w:r>
        <w:t xml:space="preserve">, </w:t>
      </w:r>
      <w:hyperlink w:anchor="b238" w:history="1">
        <w:r>
          <w:rPr>
            <w:color w:val="0A3A8C"/>
            <w:u w:val="single"/>
          </w:rPr>
          <w:t xml:space="preserve">245</w:t>
        </w:r>
      </w:hyperlink>
      <w:r>
        <w:t xml:space="preserve">, </w:t>
      </w:r>
      <w:hyperlink w:anchor="b240" w:history="1">
        <w:r>
          <w:rPr>
            <w:color w:val="0A3A8C"/>
            <w:u w:val="single"/>
          </w:rPr>
          <w:t xml:space="preserve">246</w:t>
        </w:r>
      </w:hyperlink>
      <w:r>
        <w:t xml:space="preserve">, </w:t>
      </w:r>
      <w:hyperlink w:anchor="b241" w:history="1">
        <w:r>
          <w:rPr>
            <w:color w:val="0A3A8C"/>
            <w:u w:val="single"/>
          </w:rPr>
          <w:t xml:space="preserve">247</w:t>
        </w:r>
      </w:hyperlink>
      <w:r>
        <w:t xml:space="preserve">, </w:t>
      </w:r>
      <w:hyperlink w:anchor="b242" w:history="1">
        <w:r>
          <w:rPr>
            <w:color w:val="0A3A8C"/>
            <w:u w:val="single"/>
          </w:rPr>
          <w:t xml:space="preserve">248</w:t>
        </w:r>
      </w:hyperlink>
      <w:r>
        <w:t xml:space="preserve">, </w:t>
      </w:r>
      <w:hyperlink w:anchor="b243" w:history="1">
        <w:r>
          <w:rPr>
            <w:color w:val="0A3A8C"/>
            <w:u w:val="single"/>
          </w:rPr>
          <w:t xml:space="preserve">249</w:t>
        </w:r>
      </w:hyperlink>
      <w:r>
        <w:t xml:space="preserve"> Abs. 1 Satz 1 oder Abs. 2, dem </w:t>
      </w:r>
      <w:hyperlink w:anchor="b244" w:history="1">
        <w:r>
          <w:rPr>
            <w:color w:val="0A3A8C"/>
            <w:u w:val="single"/>
          </w:rPr>
          <w:t xml:space="preserve">§ 250</w:t>
        </w:r>
      </w:hyperlink>
      <w:r>
        <w:t xml:space="preserve"> Abs. 1 oder dem </w:t>
      </w:r>
      <w:hyperlink w:anchor="b245" w:history="1">
        <w:r>
          <w:rPr>
            <w:color w:val="0A3A8C"/>
            <w:u w:val="single"/>
          </w:rPr>
          <w:t xml:space="preserve">§ 251</w:t>
        </w:r>
      </w:hyperlink>
      <w:r>
        <w:t xml:space="preserve"> über Inhalt oder Form,</w:t>
      </w:r>
    </w:p>
    <w:p>
      <w:pPr>
        <w:tabs>
          <w:tab w:pos="1134" w:val="left"/>
        </w:tabs>
        <w:ind w:left="1134" w:hanging="567"/>
      </w:pPr>
      <w:r>
        <w:t>c)</w:t>
      </w:r>
      <w:r>
        <w:tab/>
      </w:r>
      <w:r>
        <w:t xml:space="preserve">des </w:t>
      </w:r>
      <w:hyperlink w:anchor="b320" w:history="1">
        <w:r>
          <w:rPr>
            <w:color w:val="0A3A8C"/>
            <w:u w:val="single"/>
          </w:rPr>
          <w:t xml:space="preserve">§ 300</w:t>
        </w:r>
      </w:hyperlink>
      <w:r>
        <w:t xml:space="preserve"> über die Konsolidierungsgrundsätze oder das Vollständigkeitsgebot,</w:t>
      </w:r>
    </w:p>
    <w:p>
      <w:pPr>
        <w:tabs>
          <w:tab w:pos="1134" w:val="left"/>
        </w:tabs>
        <w:ind w:left="1134" w:hanging="567"/>
      </w:pPr>
      <w:r>
        <w:t>d)</w:t>
      </w:r>
      <w:r>
        <w:tab/>
      </w:r>
      <w:r>
        <w:t xml:space="preserve">des </w:t>
      </w:r>
      <w:hyperlink w:anchor="b329" w:history="1">
        <w:r>
          <w:rPr>
            <w:color w:val="0A3A8C"/>
            <w:u w:val="single"/>
          </w:rPr>
          <w:t xml:space="preserve">§ 308</w:t>
        </w:r>
      </w:hyperlink>
      <w:r>
        <w:t xml:space="preserve"> Abs. 1 Satz 1 in Verbindung mit den in Nummer 1 Buchstabe b bezeichneten Vorschriften, des </w:t>
      </w:r>
      <w:hyperlink w:anchor="b329" w:history="1">
        <w:r>
          <w:rPr>
            <w:color w:val="0A3A8C"/>
            <w:u w:val="single"/>
          </w:rPr>
          <w:t xml:space="preserve">§ 308</w:t>
        </w:r>
      </w:hyperlink>
      <w:r>
        <w:t xml:space="preserve"> Abs. 2 oder des </w:t>
      </w:r>
      <w:hyperlink w:anchor="b330" w:history="1">
        <w:r>
          <w:rPr>
            <w:color w:val="0A3A8C"/>
            <w:u w:val="single"/>
          </w:rPr>
          <w:t xml:space="preserve">§ 308a</w:t>
        </w:r>
      </w:hyperlink>
      <w:r>
        <w:t xml:space="preserve"> über die Bewertung,</w:t>
      </w:r>
    </w:p>
    <w:p>
      <w:pPr>
        <w:tabs>
          <w:tab w:pos="1134" w:val="left"/>
        </w:tabs>
        <w:ind w:left="1134" w:hanging="567"/>
      </w:pPr>
      <w:r>
        <w:t>e)</w:t>
      </w:r>
      <w:r>
        <w:tab/>
      </w:r>
      <w:r>
        <w:t xml:space="preserve">des </w:t>
      </w:r>
      <w:hyperlink w:anchor="b335" w:history="1">
        <w:r>
          <w:rPr>
            <w:color w:val="0A3A8C"/>
            <w:u w:val="single"/>
          </w:rPr>
          <w:t xml:space="preserve">§ 311</w:t>
        </w:r>
      </w:hyperlink>
      <w:r>
        <w:t xml:space="preserve"> Abs. 1 Satz 1 in Verbindung mit </w:t>
      </w:r>
      <w:hyperlink w:anchor="b336" w:history="1">
        <w:r>
          <w:rPr>
            <w:color w:val="0A3A8C"/>
            <w:u w:val="single"/>
          </w:rPr>
          <w:t xml:space="preserve">§ 312</w:t>
        </w:r>
      </w:hyperlink>
      <w:r>
        <w:t xml:space="preserve"> über die Behandlung assoziierter Unternehmen oder</w:t>
      </w:r>
    </w:p>
    <w:p>
      <w:pPr>
        <w:tabs>
          <w:tab w:pos="1134" w:val="left"/>
        </w:tabs>
        <w:ind w:left="1134" w:hanging="567"/>
      </w:pPr>
      <w:r>
        <w:t>f)</w:t>
      </w:r>
      <w:r>
        <w:tab/>
      </w:r>
      <w:r>
        <w:t xml:space="preserve">des </w:t>
      </w:r>
      <w:hyperlink w:anchor="b329" w:history="1">
        <w:r>
          <w:rPr>
            <w:color w:val="0A3A8C"/>
            <w:u w:val="single"/>
          </w:rPr>
          <w:t xml:space="preserve">§ 308</w:t>
        </w:r>
      </w:hyperlink>
      <w:r>
        <w:t xml:space="preserve"> Abs. 1 Satz 3, des </w:t>
      </w:r>
      <w:hyperlink w:anchor="b338" w:history="1">
        <w:r>
          <w:rPr>
            <w:color w:val="0A3A8C"/>
            <w:u w:val="single"/>
          </w:rPr>
          <w:t xml:space="preserve">§ 313</w:t>
        </w:r>
      </w:hyperlink>
      <w:r>
        <w:t xml:space="preserve"> oder des </w:t>
      </w:r>
      <w:hyperlink w:anchor="b339" w:history="1">
        <w:r>
          <w:rPr>
            <w:color w:val="0A3A8C"/>
            <w:u w:val="single"/>
          </w:rPr>
          <w:t xml:space="preserve">§ 314</w:t>
        </w:r>
      </w:hyperlink>
      <w:r>
        <w:t xml:space="preserve"> über die im Konzernanhang zu machenden Angaben,</w:t>
      </w:r>
    </w:p>
    <w:p>
      <w:pPr>
        <w:tabs>
          <w:tab w:pos="567" w:val="left"/>
        </w:tabs>
        <w:ind w:left="567" w:hanging="567"/>
      </w:pPr>
      <w:r>
        <w:t>3.</w:t>
      </w:r>
      <w:r>
        <w:tab/>
      </w:r>
      <w:r>
        <w:t xml:space="preserve">bei der Aufstellung des Lageberichts oder der Erstellung eines gesonderten nichtfinanziellen Berichts einer Vorschrift der </w:t>
      </w:r>
      <w:hyperlink w:anchor="b297" w:history="1">
        <w:r>
          <w:rPr>
            <w:color w:val="0A3A8C"/>
            <w:u w:val="single"/>
          </w:rPr>
          <w:t xml:space="preserve">§§ 289</w:t>
        </w:r>
      </w:hyperlink>
      <w:r>
        <w:t xml:space="preserve"> bis </w:t>
      </w:r>
      <w:hyperlink w:anchor="b299" w:history="1">
        <w:r>
          <w:rPr>
            <w:color w:val="0A3A8C"/>
            <w:u w:val="single"/>
          </w:rPr>
          <w:t xml:space="preserve">289b</w:t>
        </w:r>
      </w:hyperlink>
      <w:r>
        <w:t xml:space="preserve"> Absatz 1, </w:t>
      </w:r>
      <w:hyperlink w:anchor="b300" w:history="1">
        <w:r>
          <w:rPr>
            <w:color w:val="0A3A8C"/>
            <w:u w:val="single"/>
          </w:rPr>
          <w:t xml:space="preserve">§§ 289c</w:t>
        </w:r>
      </w:hyperlink>
      <w:r>
        <w:t xml:space="preserve">, </w:t>
      </w:r>
      <w:hyperlink w:anchor="b301" w:history="1">
        <w:r>
          <w:rPr>
            <w:color w:val="0A3A8C"/>
            <w:u w:val="single"/>
          </w:rPr>
          <w:t xml:space="preserve">289d</w:t>
        </w:r>
      </w:hyperlink>
      <w:r>
        <w:t xml:space="preserve">, </w:t>
      </w:r>
      <w:hyperlink w:anchor="b302" w:history="1">
        <w:r>
          <w:rPr>
            <w:color w:val="0A3A8C"/>
            <w:u w:val="single"/>
          </w:rPr>
          <w:t xml:space="preserve">289e</w:t>
        </w:r>
      </w:hyperlink>
      <w:r>
        <w:t xml:space="preserve"> Absatz 2, auch in Verbindung mit </w:t>
      </w:r>
      <w:hyperlink w:anchor="b299" w:history="1">
        <w:r>
          <w:rPr>
            <w:color w:val="0A3A8C"/>
            <w:u w:val="single"/>
          </w:rPr>
          <w:t xml:space="preserve">§ 289b</w:t>
        </w:r>
      </w:hyperlink>
      <w:r>
        <w:t xml:space="preserve"> Absatz 2 oder 3, oder des </w:t>
      </w:r>
      <w:hyperlink w:anchor="b303" w:history="1">
        <w:r>
          <w:rPr>
            <w:color w:val="0A3A8C"/>
            <w:u w:val="single"/>
          </w:rPr>
          <w:t xml:space="preserve">§ 289f</w:t>
        </w:r>
      </w:hyperlink>
      <w:r>
        <w:t xml:space="preserve"> über den Inhalt des Lageberichts oder des gesonderten nichtfinanziellen Berichts,</w:t>
      </w:r>
    </w:p>
    <w:p>
      <w:pPr>
        <w:tabs>
          <w:tab w:pos="567" w:val="left"/>
        </w:tabs>
        <w:ind w:left="567" w:hanging="567"/>
      </w:pPr>
      <w:r>
        <w:t>3a.</w:t>
      </w:r>
      <w:r>
        <w:tab/>
      </w:r>
      <w:r>
        <w:t xml:space="preserve">bei der Erstellung einer Erklärung zur Unternehmensführung einer Vorschrift des </w:t>
      </w:r>
      <w:hyperlink w:anchor="b303" w:history="1">
        <w:r>
          <w:rPr>
            <w:color w:val="0A3A8C"/>
            <w:u w:val="single"/>
          </w:rPr>
          <w:t xml:space="preserve">§ 289f</w:t>
        </w:r>
      </w:hyperlink>
      <w:r>
        <w:t xml:space="preserve"> Absatz 4 Satz 3 in Verbindung mit Satz 1 und Absatz 2 Nummer 4 über den Inhalt,</w:t>
      </w:r>
    </w:p>
    <w:p>
      <w:pPr>
        <w:tabs>
          <w:tab w:pos="567" w:val="left"/>
        </w:tabs>
        <w:ind w:left="567" w:hanging="567"/>
      </w:pPr>
      <w:r>
        <w:t>4.</w:t>
      </w:r>
      <w:r>
        <w:tab/>
      </w:r>
      <w:r>
        <w:t xml:space="preserve">bei der Aufstellung des Konzernlageberichts oder der Erstellung eines gesonderten nichtfinanziellen Konzernberichts einer Vorschrift der </w:t>
      </w:r>
      <w:hyperlink w:anchor="b341" w:history="1">
        <w:r>
          <w:rPr>
            <w:color w:val="0A3A8C"/>
            <w:u w:val="single"/>
          </w:rPr>
          <w:t xml:space="preserve">§§ 315</w:t>
        </w:r>
      </w:hyperlink>
      <w:r>
        <w:t xml:space="preserve"> bis </w:t>
      </w:r>
      <w:hyperlink w:anchor="b343" w:history="1">
        <w:r>
          <w:rPr>
            <w:color w:val="0A3A8C"/>
            <w:u w:val="single"/>
          </w:rPr>
          <w:t xml:space="preserve">315b</w:t>
        </w:r>
      </w:hyperlink>
      <w:r>
        <w:t xml:space="preserve"> Absatz 1, des </w:t>
      </w:r>
      <w:hyperlink w:anchor="b344" w:history="1">
        <w:r>
          <w:rPr>
            <w:color w:val="0A3A8C"/>
            <w:u w:val="single"/>
          </w:rPr>
          <w:t xml:space="preserve">§ 315c</w:t>
        </w:r>
      </w:hyperlink>
      <w:r>
        <w:t xml:space="preserve">, auch in Verbindung mit </w:t>
      </w:r>
      <w:hyperlink w:anchor="b343" w:history="1">
        <w:r>
          <w:rPr>
            <w:color w:val="0A3A8C"/>
            <w:u w:val="single"/>
          </w:rPr>
          <w:t xml:space="preserve">§ 315b</w:t>
        </w:r>
      </w:hyperlink>
      <w:r>
        <w:t xml:space="preserve"> Absatz 2 oder 3, oder des </w:t>
      </w:r>
      <w:hyperlink w:anchor="b345" w:history="1">
        <w:r>
          <w:rPr>
            <w:color w:val="0A3A8C"/>
            <w:u w:val="single"/>
          </w:rPr>
          <w:t xml:space="preserve">§ 315d</w:t>
        </w:r>
      </w:hyperlink>
      <w:r>
        <w:t xml:space="preserve"> über den Inhalt des Konzernlageberichts oder des gesonderten nichtfinanziellen Konzernberichts,</w:t>
      </w:r>
    </w:p>
    <w:p>
      <w:pPr>
        <w:tabs>
          <w:tab w:pos="567" w:val="left"/>
        </w:tabs>
        <w:ind w:left="567" w:hanging="567"/>
      </w:pPr>
      <w:r>
        <w:t>5.</w:t>
      </w:r>
      <w:r>
        <w:tab/>
      </w:r>
      <w:r>
        <w:t xml:space="preserve">oder als in </w:t>
      </w:r>
      <w:hyperlink w:anchor="b26" w:history="1">
        <w:r>
          <w:rPr>
            <w:color w:val="0A3A8C"/>
            <w:u w:val="single"/>
          </w:rPr>
          <w:t xml:space="preserve">§ 13e</w:t>
        </w:r>
      </w:hyperlink>
      <w:r>
        <w:t xml:space="preserve"> Absatz 2 Satz 5 Nummer 3 genannte angemeldete Person einer Kapitalgesellschaft bei der Offenlegung, Hinterlegung, Veröffentlichung oder Vervielfältigung einer Vorschrift des </w:t>
      </w:r>
      <w:hyperlink w:anchor="b369" w:history="1">
        <w:r>
          <w:rPr>
            <w:color w:val="0A3A8C"/>
            <w:u w:val="single"/>
          </w:rPr>
          <w:t xml:space="preserve">§ 328</w:t>
        </w:r>
      </w:hyperlink>
      <w:r>
        <w:t xml:space="preserve">, auch in Verbindung mit </w:t>
      </w:r>
      <w:hyperlink w:anchor="b365" w:history="1">
        <w:r>
          <w:rPr>
            <w:color w:val="0A3A8C"/>
            <w:u w:val="single"/>
          </w:rPr>
          <w:t xml:space="preserve">§ 325a</w:t>
        </w:r>
      </w:hyperlink>
      <w:r>
        <w:t xml:space="preserve"> Absatz 1 Satz 1 erster Halbsatz, über Form, Format oder Inhalt oder</w:t>
      </w:r>
    </w:p>
    <w:p>
      <w:pPr>
        <w:tabs>
          <w:tab w:pos="567" w:val="left"/>
        </w:tabs>
        <w:ind w:left="567" w:hanging="567"/>
      </w:pPr>
      <w:r>
        <w:t>6.</w:t>
      </w:r>
      <w:r>
        <w:tab/>
      </w:r>
      <w:r>
        <w:t xml:space="preserve">einer auf Grund des </w:t>
      </w:r>
      <w:hyperlink w:anchor="b372" w:history="1">
        <w:r>
          <w:rPr>
            <w:color w:val="0A3A8C"/>
            <w:u w:val="single"/>
          </w:rPr>
          <w:t xml:space="preserve">§ 330</w:t>
        </w:r>
      </w:hyperlink>
      <w:r>
        <w:t xml:space="preserve"> Abs. 1 Satz 1 erlassenen Rechtsverordnung, soweit sie für einen bestimmten Tatbestand auf diese Bußgeldvorschrift verweist,</w:t>
      </w:r>
    </w:p>
    <w:p>
      <w:r>
        <w:t xml:space="preserve">zuwiderhandelt. </w:t>
      </w:r>
      <w:r>
        <w:rPr>
          <w:rStyle w:val="Satznummer"/>
        </w:rPr>
        <w:t>2</w:t>
      </w:r>
      <w:r>
        <w:t xml:space="preserve">In den Fällen des Satzes 1 Nummer 3 und 3a wird eine Zuwiderhandlung gegen eine Vorschrift des </w:t>
      </w:r>
      <w:hyperlink w:anchor="b303" w:history="1">
        <w:r>
          <w:rPr>
            <w:color w:val="0A3A8C"/>
            <w:u w:val="single"/>
          </w:rPr>
          <w:t xml:space="preserve">§ 289f</w:t>
        </w:r>
      </w:hyperlink>
      <w:r>
        <w:t xml:space="preserve"> Absatz 2 Nummer 4, auch in Verbindung mit Absatz 3 oder 4, nicht dadurch ausgeschlossen, dass die Festlegungen oder Begründungen nach § 76 Absatz 4 oder § 111 Absatz 5 des Aktiengesetzes oder nach § 36 oder § 52 Absatz 2 des Gesetzes betreffend die Gesellschaften mit beschränkter Haftung ganz oder zum Teil unterblieben sind. </w:t>
      </w:r>
      <w:r>
        <w:rPr>
          <w:rStyle w:val="Satznummer"/>
        </w:rPr>
        <w:t>3</w:t>
      </w:r>
      <w:r>
        <w:t xml:space="preserve">In den Fällen des Satzes 1 Nummer 4 wird eine Zuwiderhandlung gegen eine Vorschrift des </w:t>
      </w:r>
      <w:hyperlink w:anchor="b345" w:history="1">
        <w:r>
          <w:rPr>
            <w:color w:val="0A3A8C"/>
            <w:u w:val="single"/>
          </w:rPr>
          <w:t xml:space="preserve">§ 315d</w:t>
        </w:r>
      </w:hyperlink>
      <w:r>
        <w:t xml:space="preserve"> in Verbindung mit </w:t>
      </w:r>
      <w:hyperlink w:anchor="b303" w:history="1">
        <w:r>
          <w:rPr>
            <w:color w:val="0A3A8C"/>
            <w:u w:val="single"/>
          </w:rPr>
          <w:t xml:space="preserve">§ 289f</w:t>
        </w:r>
      </w:hyperlink>
      <w:r>
        <w:t xml:space="preserve"> Absatz 2 Nummer 4 nicht dadurch ausgeschlossen, dass die Festlegungen oder Begründungen nach § 76 Absatz 4 oder § 111 Absatz 5 des Aktiengesetzes ganz oder zum Teil unterblieben sind.</w:t>
      </w:r>
    </w:p>
    <w:p>
      <w:r>
        <w:t xml:space="preserve">(2) </w:t>
      </w:r>
      <w:r>
        <w:rPr>
          <w:rStyle w:val="Satznummer"/>
        </w:rPr>
        <w:t>1</w:t>
      </w:r>
      <w:r>
        <w:t xml:space="preserve">Ordnungswidrig handelt, wer einen Bestätigungsvermerk nach </w:t>
      </w:r>
      <w:hyperlink w:anchor="b359" w:history="1">
        <w:r>
          <w:rPr>
            <w:color w:val="0A3A8C"/>
            <w:u w:val="single"/>
          </w:rPr>
          <w:t xml:space="preserve">§ 322</w:t>
        </w:r>
      </w:hyperlink>
      <w:r>
        <w:t xml:space="preserve"> Absatz 1 erteilt zu dem Abschluss</w:t>
      </w:r>
    </w:p>
    <w:p>
      <w:pPr>
        <w:tabs>
          <w:tab w:pos="567" w:val="left"/>
        </w:tabs>
        <w:ind w:left="567" w:hanging="567"/>
      </w:pPr>
      <w:r>
        <w:t>1.</w:t>
      </w:r>
      <w:r>
        <w:tab/>
      </w:r>
      <w:r>
        <w:t xml:space="preserve">einer Kapitalgesellschaft, die ein Unternehmen von öffentlichem Interesse nach </w:t>
      </w:r>
      <w:hyperlink w:anchor="b350" w:history="1">
        <w:r>
          <w:rPr>
            <w:color w:val="0A3A8C"/>
            <w:u w:val="single"/>
          </w:rPr>
          <w:t xml:space="preserve">§ 316a</w:t>
        </w:r>
      </w:hyperlink>
      <w:r>
        <w:t xml:space="preserve"> Satz 2 Nummer 1 ist, oder</w:t>
      </w:r>
    </w:p>
    <w:p>
      <w:pPr>
        <w:tabs>
          <w:tab w:pos="567" w:val="left"/>
        </w:tabs>
        <w:ind w:left="567" w:hanging="567"/>
      </w:pPr>
      <w:r>
        <w:t>2.</w:t>
      </w:r>
      <w:r>
        <w:tab/>
      </w:r>
      <w:r>
        <w:t>einer Kapitalgesellschaft, die nicht in Nummer 1 genannt ist,</w:t>
      </w:r>
    </w:p>
    <w:p>
      <w:r>
        <w:t xml:space="preserve">obwohl nach </w:t>
      </w:r>
      <w:hyperlink w:anchor="b353" w:history="1">
        <w:r>
          <w:rPr>
            <w:color w:val="0A3A8C"/>
            <w:u w:val="single"/>
          </w:rPr>
          <w:t xml:space="preserve">§ 319</w:t>
        </w:r>
      </w:hyperlink>
      <w:r>
        <w:t xml:space="preserve"> Absatz 2 oder 3, jeweils auch in Verbindung mit Absatz 5, oder nach </w:t>
      </w:r>
      <w:hyperlink w:anchor="b355" w:history="1">
        <w:r>
          <w:rPr>
            <w:color w:val="0A3A8C"/>
            <w:u w:val="single"/>
          </w:rPr>
          <w:t xml:space="preserve">§ 319b</w:t>
        </w:r>
      </w:hyperlink>
      <w:r>
        <w:t xml:space="preserve"> Absatz 1 Satz 1 oder 2, jeweils auch in Verbindung mit Absatz 2, er oder nach </w:t>
      </w:r>
      <w:hyperlink w:anchor="b353" w:history="1">
        <w:r>
          <w:rPr>
            <w:color w:val="0A3A8C"/>
            <w:u w:val="single"/>
          </w:rPr>
          <w:t xml:space="preserve">§ 319</w:t>
        </w:r>
      </w:hyperlink>
      <w:r>
        <w:t xml:space="preserve"> Absatz 4 Satz 1 oder 2, jeweils auch in Verbindung mit Absatz 5, oder nach </w:t>
      </w:r>
      <w:hyperlink w:anchor="b355" w:history="1">
        <w:r>
          <w:rPr>
            <w:color w:val="0A3A8C"/>
            <w:u w:val="single"/>
          </w:rPr>
          <w:t xml:space="preserve">§ 319b</w:t>
        </w:r>
      </w:hyperlink>
      <w:r>
        <w:t xml:space="preserve"> Absatz 1 Satz 1 oder 2, jeweils auch in Verbindung mit Absatz 2, die Wirtschaftsprüfungsgesellschaft oder die Buchführungsgesellschaft, für die er tätig wird, nicht Abschlussprüfer sein darf. </w:t>
      </w:r>
      <w:r>
        <w:rPr>
          <w:rStyle w:val="Satznummer"/>
        </w:rPr>
        <w:t>2</w:t>
      </w:r>
      <w:r>
        <w:t xml:space="preserve">Ordnungswidrig handelt auch, wer einen Bestätigungsvermerk nach </w:t>
      </w:r>
      <w:hyperlink w:anchor="b359" w:history="1">
        <w:r>
          <w:rPr>
            <w:color w:val="0A3A8C"/>
            <w:u w:val="single"/>
          </w:rPr>
          <w:t xml:space="preserve">§ 322</w:t>
        </w:r>
      </w:hyperlink>
      <w:r>
        <w:t xml:space="preserve"> Absatz 1 erteilt zu dem Abschluss einer Kapitalgesellschaft, die ein Unternehmen von öffentlichem Interesse nach </w:t>
      </w:r>
      <w:hyperlink w:anchor="b350" w:history="1">
        <w:r>
          <w:rPr>
            <w:color w:val="0A3A8C"/>
            <w:u w:val="single"/>
          </w:rPr>
          <w:t xml:space="preserve">§ 316a</w:t>
        </w:r>
      </w:hyperlink>
      <w:r>
        <w:t xml:space="preserve"> Satz 2 Nummer 1 ist, obwohl</w:t>
      </w:r>
    </w:p>
    <w:p>
      <w:pPr>
        <w:tabs>
          <w:tab w:pos="567" w:val="left"/>
        </w:tabs>
        <w:ind w:left="567" w:hanging="567"/>
      </w:pPr>
      <w:r>
        <w:t>1.</w:t>
      </w:r>
      <w:r>
        <w:tab/>
      </w:r>
      <w:r>
        <w:t>er oder die Prüfungsgesellschaft, für die er tätig wird, oder ein Mitglied des Netzwerks, dem er oder die Prüfungsgesellschaft, für die er tätig wird, angehört, einer Vorschrift des Artikels 5 Absatz 4 Unterabsatz 1 Satz 1 oder Absatz 5 Unterabsatz 2 Satz 2 der Verordnung (EU) Nr. 537/2014 des Europäischen Parlaments und des Rates vom 16. April 2014 über spezifische Anforderungen an die Abschlussprüfung bei Unternehmen von öffentlichem Interesse und zur Aufhebung des Beschlusses 2005/909/EG der Kommission (ABl. L 158 vom 27.5.2014, S. 77; L 170 vom 11.6.2014, S. 66) zuwiderhandelt oder</w:t>
      </w:r>
    </w:p>
    <w:p>
      <w:pPr>
        <w:tabs>
          <w:tab w:pos="567" w:val="left"/>
        </w:tabs>
        <w:ind w:left="567" w:hanging="567"/>
      </w:pPr>
      <w:r>
        <w:t>2.</w:t>
      </w:r>
      <w:r>
        <w:tab/>
      </w:r>
      <w:r>
        <w:t>er oder die Prüfungsgesellschaft, für die er tätig wird, nach Artikel 17 Absatz 3 der Verordnung (EU) Nr. 537/2014 die Abschlussprüfung nicht durchführen darf.</w:t>
      </w:r>
    </w:p>
    <w:p>
      <w:r>
        <w:rPr>
          <w:rStyle w:val="Satznummer"/>
        </w:rPr>
        <w:t>3</w:t>
      </w:r>
      <w:r>
        <w:t xml:space="preserve">Abschluss im Sinne der Sätze 1 und 2 ist ein Jahresabschluss, ein Einzelabschluss nach </w:t>
      </w:r>
      <w:hyperlink w:anchor="b364" w:history="1">
        <w:r>
          <w:rPr>
            <w:color w:val="0A3A8C"/>
            <w:u w:val="single"/>
          </w:rPr>
          <w:t xml:space="preserve">§ 325</w:t>
        </w:r>
      </w:hyperlink>
      <w:r>
        <w:t xml:space="preserve"> Absatz 2a oder ein Konzernabschluss, der aufgrund gesetzlicher Vorschriften zu prüfen ist.</w:t>
      </w:r>
    </w:p>
    <w:p>
      <w:r>
        <w:t xml:space="preserve">(2a) Ordnungswidrig handelt, wer als Mitglied eines nach </w:t>
      </w:r>
      <w:hyperlink w:anchor="b361" w:history="1">
        <w:r>
          <w:rPr>
            <w:color w:val="0A3A8C"/>
            <w:u w:val="single"/>
          </w:rPr>
          <w:t xml:space="preserve">§ 324</w:t>
        </w:r>
      </w:hyperlink>
      <w:r>
        <w:t xml:space="preserve"> Absatz 1 Satz 1 eingerichteten Prüfungsausschusses einer Kapitalgesellschaft</w:t>
      </w:r>
    </w:p>
    <w:p>
      <w:pPr>
        <w:tabs>
          <w:tab w:pos="567" w:val="left"/>
        </w:tabs>
        <w:ind w:left="567" w:hanging="567"/>
      </w:pPr>
      <w:r>
        <w:t>1.</w:t>
      </w:r>
      <w:r>
        <w:tab/>
      </w:r>
      <w:r>
        <w:t>die Unabhängigkeit des Abschlussprüfers oder der Prüfungsgesellschaft nicht nach Maßgabe des Artikels 4 Absatz 3 Unterabsatz 2, des Artikels 5 Absatz 4 Unterabsatz 1 Satz 1 oder des Artikels 6 Absatz 2 der Verordnung (EU) Nr. 537/2014 überwacht,</w:t>
      </w:r>
    </w:p>
    <w:p>
      <w:pPr>
        <w:tabs>
          <w:tab w:pos="567" w:val="left"/>
        </w:tabs>
        <w:ind w:left="567" w:hanging="567"/>
      </w:pPr>
      <w:r>
        <w:t>2.</w:t>
      </w:r>
      <w:r>
        <w:tab/>
      </w:r>
      <w:r>
        <w:t>eine Empfehlung für die Bestellung eines Abschlussprüfers oder einer Prüfungsgesellschaft vorlegt, die den Anforderungen nach Artikel 16 Absatz 2 Unterabsatz 2 oder 3 der Verordnung (EU) Nr. 537/2014 nicht entspricht oder der ein Auswahlverfahren nach Artikel 16 Absatz 3 Unterabsatz 1 der Verordnung (EU) Nr. 537/2014 nicht vorangegangen ist, oder</w:t>
      </w:r>
    </w:p>
    <w:p>
      <w:pPr>
        <w:tabs>
          <w:tab w:pos="567" w:val="left"/>
        </w:tabs>
        <w:ind w:left="567" w:hanging="567"/>
      </w:pPr>
      <w:r>
        <w:t>3.</w:t>
      </w:r>
      <w:r>
        <w:tab/>
      </w:r>
      <w:r>
        <w:t>den Gesellschaftern einen Vorschlag für die Bestellung eines Abschlussprüfers oder einer Prüfungsgesellschaft vorlegt, der den Anforderungen nach Artikel 16 Absatz 5 Unterabsatz 1 der Verordnung (EU) Nr. 537/2014 nicht entspricht.</w:t>
      </w:r>
    </w:p>
    <w:p>
      <w:r>
        <w:t xml:space="preserve">(3) </w:t>
      </w:r>
      <w:r>
        <w:rPr>
          <w:rStyle w:val="Satznummer"/>
        </w:rPr>
        <w:t>1</w:t>
      </w:r>
      <w:r>
        <w:t xml:space="preserve">Die Ordnungswidrigkeit kann in den Fällen des Absatzes 2 Satz 1 Nummer 1 und Satz 2 sowie des Absatzes 2a mit einer Geldbuße bis zu fünfhunderttausend Euro, in den Fällen der Absätze 1 und 2 Satz 1 Nummer 2 mit einer Geldbuße bis zu fünfzigtausend Euro geahndet werden. </w:t>
      </w:r>
      <w:r>
        <w:rPr>
          <w:rStyle w:val="Satznummer"/>
        </w:rPr>
        <w:t>2</w:t>
      </w:r>
      <w:r>
        <w:t xml:space="preserve">Ist die Kapitalgesellschaft kapitalmarktorientiert im Sinne des </w:t>
      </w:r>
      <w:hyperlink w:anchor="b269" w:history="1">
        <w:r>
          <w:rPr>
            <w:color w:val="0A3A8C"/>
            <w:u w:val="single"/>
          </w:rPr>
          <w:t xml:space="preserve">§ 264d</w:t>
        </w:r>
      </w:hyperlink>
      <w:r>
        <w:t>, beträgt die Geldbuße in den Fällen des Absatzes 1 höchstens den höheren der folgenden Beträge:</w:t>
      </w:r>
    </w:p>
    <w:p>
      <w:pPr>
        <w:tabs>
          <w:tab w:pos="567" w:val="left"/>
        </w:tabs>
        <w:ind w:left="567" w:hanging="567"/>
      </w:pPr>
      <w:r>
        <w:t>1.</w:t>
      </w:r>
      <w:r>
        <w:tab/>
      </w:r>
      <w:r>
        <w:t>zwei Millionen Euro oder</w:t>
      </w:r>
    </w:p>
    <w:p>
      <w:pPr>
        <w:tabs>
          <w:tab w:pos="567" w:val="left"/>
        </w:tabs>
        <w:ind w:left="567" w:hanging="567"/>
      </w:pPr>
      <w:r>
        <w:t>2.</w:t>
      </w:r>
      <w:r>
        <w:tab/>
      </w:r>
      <w:r>
        <w:t>das Zweifache des aus der Ordnungswidrigkeit gezogenen wirtschaftlichen Vorteils, wobei der wirtschaftliche Vorteil erzielte Gewinne und vermiedene Verluste umfasst und geschätzt werden kann.</w:t>
      </w:r>
    </w:p>
    <w:p>
      <w:r>
        <w:t xml:space="preserve">(3a) </w:t>
      </w:r>
      <w:r>
        <w:rPr>
          <w:rStyle w:val="Satznummer"/>
        </w:rPr>
        <w:t>1</w:t>
      </w:r>
      <w:r>
        <w:t>Wird gegen eine kapitalmarktorientierte Kapitalgesellschaft im Sinne des § 264d in den Fällen des Absatzes 1 eine Geldbuße nach § 30 des Gesetzes über Ordnungswidrigkeiten verhängt, beträgt diese Geldbuße höchstens den höchsten der folgenden Beträge:</w:t>
      </w:r>
    </w:p>
    <w:p>
      <w:pPr>
        <w:tabs>
          <w:tab w:pos="567" w:val="left"/>
        </w:tabs>
        <w:ind w:left="567" w:hanging="567"/>
      </w:pPr>
      <w:r>
        <w:t>1.</w:t>
      </w:r>
      <w:r>
        <w:tab/>
      </w:r>
      <w:r>
        <w:t>zehn Millionen Euro,</w:t>
      </w:r>
    </w:p>
    <w:p>
      <w:pPr>
        <w:tabs>
          <w:tab w:pos="567" w:val="left"/>
        </w:tabs>
        <w:ind w:left="567" w:hanging="567"/>
      </w:pPr>
      <w:r>
        <w:t>2.</w:t>
      </w:r>
      <w:r>
        <w:tab/>
      </w:r>
      <w:r>
        <w:t>5 Prozent des jährlichen Gesamtumsatzes, den die Kapitalgesellschaft in dem der Behördenentscheidung vorausgegangenen Geschäftsjahr erzielt hat oder</w:t>
      </w:r>
    </w:p>
    <w:p>
      <w:pPr>
        <w:tabs>
          <w:tab w:pos="567" w:val="left"/>
        </w:tabs>
        <w:ind w:left="567" w:hanging="567"/>
      </w:pPr>
      <w:r>
        <w:t>3.</w:t>
      </w:r>
      <w:r>
        <w:tab/>
      </w:r>
      <w:r>
        <w:t>das Zweifache des aus der Ordnungswidrigkeit gezogenen wirtschaftlichen Vorteils, wobei der wirtschaftliche Vorteil erzielte Gewinne und vermiedene Verluste umfasst und geschätzt werden kann.</w:t>
      </w:r>
    </w:p>
    <w:p>
      <w:r>
        <w:rPr>
          <w:rStyle w:val="Satznummer"/>
        </w:rPr>
        <w:t>2</w:t>
      </w:r>
      <w:r>
        <w:t>In den Fällen des Absatzes 3 Satz 1 in Verbindung mit Absatz 2 Satz 1 Nummer 1 oder Satz 2 ist § 30 Absatz 2 Satz 3 des Gesetzes über Ordnungswidrigkeiten anzuwenden.</w:t>
      </w:r>
    </w:p>
    <w:p>
      <w:r>
        <w:t xml:space="preserve">(3b) </w:t>
      </w:r>
      <w:r>
        <w:rPr>
          <w:rStyle w:val="Satznummer"/>
        </w:rPr>
        <w:t>1</w:t>
      </w:r>
      <w:r>
        <w:t>Gesamtumsatz im Sinne des Absatzes 3a Satz 1 Nummer 2 ist</w:t>
      </w:r>
    </w:p>
    <w:p>
      <w:pPr>
        <w:tabs>
          <w:tab w:pos="567" w:val="left"/>
        </w:tabs>
        <w:ind w:left="567" w:hanging="567"/>
      </w:pPr>
      <w:r>
        <w:t>1.</w:t>
      </w:r>
      <w:r>
        <w:tab/>
      </w:r>
      <w:r>
        <w:t xml:space="preserve">im Falle von Kapitalgesellschaften, die ihren Jahresabschluss nach den handelsrechtlichen Vorschriften oder dem Recht eines anderen Mitgliedstaats der Europäischen Union oder eines anderen Vertragsstaats des Abkommens über den Europäischen Wirtschaftsraum im Einklang mit der Richtlinie 2013/34/EU aufstellen, der Betrag der Umsatzerlöse nach </w:t>
      </w:r>
      <w:hyperlink w:anchor="b286" w:history="1">
        <w:r>
          <w:rPr>
            <w:color w:val="0A3A8C"/>
            <w:u w:val="single"/>
          </w:rPr>
          <w:t xml:space="preserve">§ 277</w:t>
        </w:r>
      </w:hyperlink>
      <w:r>
        <w:t xml:space="preserve"> Absatz 1 oder der Betrag der Nettoumsatzerlöse nach Maßgabe des auf die Gesellschaft anwendbaren nationalen Rechts im Einklang mit Artikel 2 Nummer 5 der Richtlinie 2013/34/EU,</w:t>
      </w:r>
    </w:p>
    <w:p>
      <w:pPr>
        <w:tabs>
          <w:tab w:pos="567" w:val="left"/>
        </w:tabs>
        <w:ind w:left="567" w:hanging="567"/>
      </w:pPr>
      <w:r>
        <w:t>2.</w:t>
      </w:r>
      <w:r>
        <w:tab/>
      </w:r>
      <w:r>
        <w:t>in allen Fällen, die nicht in Nummer 1 genannt sind, der Betrag der Umsatzerlöse, der sich bei Anwendung der Rechnungslegungsgrundsätze ergibt, die nach dem jeweiligen nationalen Recht für die Aufstellung des Jahresabschlusses der Kapitalgesellschaft gelten.</w:t>
      </w:r>
    </w:p>
    <w:p>
      <w:r>
        <w:rPr>
          <w:rStyle w:val="Satznummer"/>
        </w:rPr>
        <w:t>2</w:t>
      </w:r>
      <w:r>
        <w:t xml:space="preserve">Handelt es sich bei der Kapitalgesellschaft um ein Mutterunternehmen oder um ein Tochterunternehmen im Sinne des </w:t>
      </w:r>
      <w:hyperlink w:anchor="b306" w:history="1">
        <w:r>
          <w:rPr>
            <w:color w:val="0A3A8C"/>
            <w:u w:val="single"/>
          </w:rPr>
          <w:t xml:space="preserve">§ 290</w:t>
        </w:r>
      </w:hyperlink>
      <w:r>
        <w:t xml:space="preserve">, ist anstelle des Gesamtumsatzes der Kapitalgesellschaft der Gesamtumsatz im Konzernabschluss des Mutterunternehmens maßgeblich, der für den größten Kreis von Unternehmen aufgestellt wird. </w:t>
      </w:r>
      <w:r>
        <w:rPr>
          <w:rStyle w:val="Satznummer"/>
        </w:rPr>
        <w:t>3</w:t>
      </w:r>
      <w:r>
        <w:t>Ist ein Jahres- oder Konzernabschluss für das maßgebliche Geschäftsjahr nicht verfügbar, ist der Jahres- oder Konzernabschluss für das unmittelbar vorausgehende Geschäftsjahr maßgeblich; ist auch dieser nicht verfügbar, kann der Gesamtumsatz geschätzt werden.</w:t>
      </w:r>
    </w:p>
    <w:p>
      <w:r>
        <w:t>(4) Verwaltungsbehörde im Sinne des § 36 Absatz 1 Nummer 1 des Gesetzes über Ordnungswidrigkeiten ist</w:t>
      </w:r>
    </w:p>
    <w:p>
      <w:pPr>
        <w:tabs>
          <w:tab w:pos="567" w:val="left"/>
        </w:tabs>
        <w:ind w:left="567" w:hanging="567"/>
      </w:pPr>
      <w:r>
        <w:t>1.</w:t>
      </w:r>
      <w:r>
        <w:tab/>
      </w:r>
      <w:r>
        <w:t xml:space="preserve">die Bundesanstalt für Finanzdienstleistungsaufsicht in den Fällen des Absatzes 1 bei Kapitalgesellschaften, die kapitalmarktorientiert im Sinne des </w:t>
      </w:r>
      <w:hyperlink w:anchor="b269" w:history="1">
        <w:r>
          <w:rPr>
            <w:color w:val="0A3A8C"/>
            <w:u w:val="single"/>
          </w:rPr>
          <w:t xml:space="preserve">§ 264d</w:t>
        </w:r>
      </w:hyperlink>
      <w:r>
        <w:t xml:space="preserve"> oder Institute nach § 37 Absatz 1 Satz 1 des Kryptomärkteaufsichtsgesetzes sind,</w:t>
      </w:r>
    </w:p>
    <w:p>
      <w:pPr>
        <w:tabs>
          <w:tab w:pos="567" w:val="left"/>
        </w:tabs>
        <w:ind w:left="567" w:hanging="567"/>
      </w:pPr>
      <w:r>
        <w:t>2.</w:t>
      </w:r>
      <w:r>
        <w:tab/>
      </w:r>
      <w:r>
        <w:t>das Bundesamt für Justiz</w:t>
      </w:r>
    </w:p>
    <w:p>
      <w:pPr>
        <w:tabs>
          <w:tab w:pos="1134" w:val="left"/>
        </w:tabs>
        <w:ind w:left="1134" w:hanging="567"/>
      </w:pPr>
      <w:r>
        <w:t>a)</w:t>
      </w:r>
      <w:r>
        <w:tab/>
      </w:r>
      <w:r>
        <w:t>in den Fällen des Absatzes 1, in denen nicht die Bundesanstalt für Finanzdienstleistungsaufsicht nach Nummer 1 Verwaltungsbehörde ist, und</w:t>
      </w:r>
    </w:p>
    <w:p>
      <w:pPr>
        <w:tabs>
          <w:tab w:pos="1134" w:val="left"/>
        </w:tabs>
        <w:ind w:left="1134" w:hanging="567"/>
      </w:pPr>
      <w:r>
        <w:t>b)</w:t>
      </w:r>
      <w:r>
        <w:tab/>
      </w:r>
      <w:r>
        <w:t>in den Fällen des Absatzes 2a,</w:t>
      </w:r>
    </w:p>
    <w:p>
      <w:pPr>
        <w:tabs>
          <w:tab w:pos="567" w:val="left"/>
        </w:tabs>
        <w:ind w:left="567" w:hanging="567"/>
      </w:pPr>
      <w:r>
        <w:t>3.</w:t>
      </w:r>
      <w:r>
        <w:tab/>
      </w:r>
      <w:r>
        <w:t>die Abschlussprüferaufsichtsstelle beim Bundesamt für Wirtschaft und Ausfuhrkontrolle in den Fällen des Absatzes 2.</w:t>
      </w:r>
    </w:p>
    <w:p>
      <w:r>
        <w:t>(5) Die Absätze 1 bis 4 sind nicht anzuwenden auf:</w:t>
      </w:r>
    </w:p>
    <w:p>
      <w:pPr>
        <w:tabs>
          <w:tab w:pos="567" w:val="left"/>
        </w:tabs>
        <w:ind w:left="567" w:hanging="567"/>
      </w:pPr>
      <w:r>
        <w:t>1.</w:t>
      </w:r>
      <w:r>
        <w:tab/>
      </w:r>
      <w:r>
        <w:t xml:space="preserve">Kreditinstitute im Sinne des </w:t>
      </w:r>
      <w:hyperlink w:anchor="b395" w:history="1">
        <w:r>
          <w:rPr>
            <w:color w:val="0A3A8C"/>
            <w:u w:val="single"/>
          </w:rPr>
          <w:t xml:space="preserve">§ 340</w:t>
        </w:r>
      </w:hyperlink>
      <w:r>
        <w:t xml:space="preserve"> Absatz 1 Satz 1,</w:t>
      </w:r>
    </w:p>
    <w:p>
      <w:pPr>
        <w:tabs>
          <w:tab w:pos="567" w:val="left"/>
        </w:tabs>
        <w:ind w:left="567" w:hanging="567"/>
      </w:pPr>
      <w:r>
        <w:t>2.</w:t>
      </w:r>
      <w:r>
        <w:tab/>
      </w:r>
      <w:r>
        <w:t xml:space="preserve">Finanzdienstleistungsinstitute im Sinne des </w:t>
      </w:r>
      <w:hyperlink w:anchor="b395" w:history="1">
        <w:r>
          <w:rPr>
            <w:color w:val="0A3A8C"/>
            <w:u w:val="single"/>
          </w:rPr>
          <w:t xml:space="preserve">§ 340</w:t>
        </w:r>
      </w:hyperlink>
      <w:r>
        <w:t xml:space="preserve"> Absatz 4 Satz 1,</w:t>
      </w:r>
    </w:p>
    <w:p>
      <w:pPr>
        <w:tabs>
          <w:tab w:pos="567" w:val="left"/>
        </w:tabs>
        <w:ind w:left="567" w:hanging="567"/>
      </w:pPr>
      <w:r>
        <w:t>3.</w:t>
      </w:r>
      <w:r>
        <w:tab/>
      </w:r>
      <w:r>
        <w:t>Wertpapierinstitute im Sinne des § 340 Absatz 4a Satz 1</w:t>
      </w:r>
    </w:p>
    <w:p>
      <w:pPr>
        <w:tabs>
          <w:tab w:pos="567" w:val="left"/>
        </w:tabs>
        <w:ind w:left="567" w:hanging="567"/>
      </w:pPr>
      <w:r>
        <w:t>4.</w:t>
      </w:r>
      <w:r>
        <w:tab/>
      </w:r>
      <w:r>
        <w:t>Institute im Sinne des § 1 Absatz 3 des Zahlungsdiensteaufsichtsgesetzes,</w:t>
      </w:r>
    </w:p>
    <w:p>
      <w:pPr>
        <w:tabs>
          <w:tab w:pos="567" w:val="left"/>
        </w:tabs>
        <w:ind w:left="567" w:hanging="567"/>
      </w:pPr>
      <w:r>
        <w:t>5.</w:t>
      </w:r>
      <w:r>
        <w:tab/>
      </w:r>
      <w:r>
        <w:t xml:space="preserve">Versicherungsunternehmen im Sinne des </w:t>
      </w:r>
      <w:hyperlink w:anchor="b420" w:history="1">
        <w:r>
          <w:rPr>
            <w:color w:val="0A3A8C"/>
            <w:u w:val="single"/>
          </w:rPr>
          <w:t xml:space="preserve">§ 341</w:t>
        </w:r>
      </w:hyperlink>
      <w:r>
        <w:t xml:space="preserve"> Absatz 1 und</w:t>
      </w:r>
    </w:p>
    <w:p>
      <w:pPr>
        <w:tabs>
          <w:tab w:pos="567" w:val="left"/>
        </w:tabs>
        <w:ind w:left="567" w:hanging="567"/>
      </w:pPr>
      <w:r>
        <w:t>6.</w:t>
      </w:r>
      <w:r>
        <w:tab/>
      </w:r>
      <w:r>
        <w:t xml:space="preserve">Pensionsfonds im Sinne des </w:t>
      </w:r>
      <w:hyperlink w:anchor="b420" w:history="1">
        <w:r>
          <w:rPr>
            <w:color w:val="0A3A8C"/>
            <w:u w:val="single"/>
          </w:rPr>
          <w:t xml:space="preserve">§ 341</w:t>
        </w:r>
      </w:hyperlink>
      <w:r>
        <w:t xml:space="preserve"> Absatz 4 Satz 1.</w:t>
      </w:r>
    </w:p>
    <w:p>
      <w:pPr>
        <w:pStyle w:val="Heading4"/>
      </w:pPr>
      <w:bookmarkStart w:id="382" w:name="b381"/>
      <w:r>
        <w:t>Zweiter Titel Ordnungsgelder</w:t>
      </w:r>
      <w:bookmarkEnd w:id="382"/>
    </w:p>
    <w:p>
      <w:pPr>
        <w:pStyle w:val="Heading5"/>
      </w:pPr>
      <w:bookmarkStart w:id="383" w:name="b382"/>
      <w:r>
        <w:t>§ 335 Festsetzung von Ordnungsgeld; Verordnungsermächtigungen</w:t>
      </w:r>
      <w:r>
        <w:t xml:space="preserve"> </w:t>
      </w:r>
      <w:r>
        <w:rPr>
          <w:rStyle w:val="Suchmarke"/>
        </w:rPr>
        <w:t>#335#</w:t>
      </w:r>
      <w:bookmarkEnd w:id="383"/>
    </w:p>
    <w:p>
      <w:r>
        <w:t xml:space="preserve">(1) </w:t>
      </w:r>
      <w:r>
        <w:rPr>
          <w:rStyle w:val="Satznummer"/>
        </w:rPr>
        <w:t>1</w:t>
      </w:r>
      <w:r>
        <w:t>Gegen die Mitglieder des vertretungsberechtigten Organs einer Kapitalgesellschaft, die</w:t>
      </w:r>
    </w:p>
    <w:p>
      <w:pPr>
        <w:tabs>
          <w:tab w:pos="567" w:val="left"/>
        </w:tabs>
        <w:ind w:left="567" w:hanging="567"/>
      </w:pPr>
      <w:r>
        <w:t>1.</w:t>
      </w:r>
      <w:r>
        <w:tab/>
      </w:r>
      <w:hyperlink w:anchor="b364" w:history="1">
        <w:r>
          <w:rPr>
            <w:color w:val="0A3A8C"/>
            <w:u w:val="single"/>
          </w:rPr>
          <w:t xml:space="preserve">§ 325</w:t>
        </w:r>
      </w:hyperlink>
      <w:r>
        <w:t xml:space="preserve"> über die Pflicht zur Offenlegung des Jahresabschlusses, des Lageberichts, des Konzernabschlusses, des Konzernlageberichts und anderer Unterlagen der Rechnungslegung oder</w:t>
      </w:r>
    </w:p>
    <w:p>
      <w:pPr>
        <w:tabs>
          <w:tab w:pos="567" w:val="left"/>
        </w:tabs>
        <w:ind w:left="567" w:hanging="567"/>
      </w:pPr>
      <w:r>
        <w:t>2.</w:t>
      </w:r>
      <w:r>
        <w:tab/>
      </w:r>
      <w:hyperlink w:anchor="b365" w:history="1">
        <w:r>
          <w:rPr>
            <w:color w:val="0A3A8C"/>
            <w:u w:val="single"/>
          </w:rPr>
          <w:t xml:space="preserve">§ 325a</w:t>
        </w:r>
      </w:hyperlink>
      <w:r>
        <w:t xml:space="preserve"> über die Pflicht zur Offenlegung der Rechnungslegungsunterlagen der Hauptniederlassung</w:t>
      </w:r>
    </w:p>
    <w:p>
      <w:r>
        <w:t xml:space="preserve">nicht befolgen, ist wegen des pflichtwidrigen Unterlassens der rechtzeitigen Offenlegung vom Bundesamt für Justiz (Bundesamt) ein Ordnungsgeldverfahren nach den Absätzen 2 bis 6 durchzuführen; im Fall der Nummer 2 treten die in </w:t>
      </w:r>
      <w:hyperlink w:anchor="b26" w:history="1">
        <w:r>
          <w:rPr>
            <w:color w:val="0A3A8C"/>
            <w:u w:val="single"/>
          </w:rPr>
          <w:t xml:space="preserve">§ 13e</w:t>
        </w:r>
      </w:hyperlink>
      <w:r>
        <w:t xml:space="preserve"> Absatz 2 Satz 5 Nummer 3 genannten angemeldeten Personen, sobald sie angemeldet sind, an die Stelle der Mitglieder des vertretungsberechtigten Organs der Kapitalgesellschaft. </w:t>
      </w:r>
      <w:r>
        <w:rPr>
          <w:rStyle w:val="Satznummer"/>
        </w:rPr>
        <w:t>2</w:t>
      </w:r>
      <w:r>
        <w:t xml:space="preserve">Das Ordnungsgeldverfahren kann auch gegen die Kapitalgesellschaft durchgeführt werden, für die die Mitglieder des vertretungsberechtigten Organs die in Satz 1 Nr. 1 und 2 genannten Pflichten zu erfüllen haben. </w:t>
      </w:r>
      <w:r>
        <w:rPr>
          <w:rStyle w:val="Satznummer"/>
        </w:rPr>
        <w:t>3</w:t>
      </w:r>
      <w:r>
        <w:t xml:space="preserve">Dem Verfahren steht nicht entgegen, dass eine der Offenlegung vorausgehende Pflicht, insbesondere die Aufstellung des Jahres- oder Konzernabschlusses oder die unverzügliche Erteilung des Prüfauftrags, noch nicht erfüllt ist. </w:t>
      </w:r>
      <w:r>
        <w:rPr>
          <w:rStyle w:val="Satznummer"/>
        </w:rPr>
        <w:t>4</w:t>
      </w:r>
      <w:r>
        <w:t xml:space="preserve">Das Ordnungsgeld beträgt mindestens zweitausendfünfhundert und höchstens fünfundzwanzigtausend Euro. </w:t>
      </w:r>
      <w:r>
        <w:rPr>
          <w:rStyle w:val="Satznummer"/>
        </w:rPr>
        <w:t>5</w:t>
      </w:r>
      <w:r>
        <w:t>Eingenommene Ordnungsgelder fließen dem Bundesamt zu.</w:t>
      </w:r>
    </w:p>
    <w:p>
      <w:r>
        <w:t xml:space="preserve">(1a) </w:t>
      </w:r>
      <w:r>
        <w:rPr>
          <w:rStyle w:val="Satznummer"/>
        </w:rPr>
        <w:t>1</w:t>
      </w:r>
      <w:r>
        <w:t xml:space="preserve">Ist die Kapitalgesellschaft kapitalmarktorientiert im Sinne des </w:t>
      </w:r>
      <w:hyperlink w:anchor="b269" w:history="1">
        <w:r>
          <w:rPr>
            <w:color w:val="0A3A8C"/>
            <w:u w:val="single"/>
          </w:rPr>
          <w:t xml:space="preserve">§ 264d</w:t>
        </w:r>
      </w:hyperlink>
      <w:r>
        <w:t>, beträgt das Ordnungsgeld höchstens den höheren der folgenden Beträge:</w:t>
      </w:r>
    </w:p>
    <w:p>
      <w:pPr>
        <w:tabs>
          <w:tab w:pos="567" w:val="left"/>
        </w:tabs>
        <w:ind w:left="567" w:hanging="567"/>
      </w:pPr>
      <w:r>
        <w:t>1.</w:t>
      </w:r>
      <w:r>
        <w:tab/>
      </w:r>
      <w:r>
        <w:t>zehn Millionen Euro,</w:t>
      </w:r>
    </w:p>
    <w:p>
      <w:pPr>
        <w:tabs>
          <w:tab w:pos="567" w:val="left"/>
        </w:tabs>
        <w:ind w:left="567" w:hanging="567"/>
      </w:pPr>
      <w:r>
        <w:t>2.</w:t>
      </w:r>
      <w:r>
        <w:tab/>
      </w:r>
      <w:r>
        <w:t>5 Prozent des jährlichen Gesamtumsatzes, den die Kapitalgesellschaft im der Behördenentscheidung vorausgegangenen Geschäftsjahr erzielt hat, oder</w:t>
      </w:r>
    </w:p>
    <w:p>
      <w:pPr>
        <w:tabs>
          <w:tab w:pos="567" w:val="left"/>
        </w:tabs>
        <w:ind w:left="567" w:hanging="567"/>
      </w:pPr>
      <w:r>
        <w:t>3.</w:t>
      </w:r>
      <w:r>
        <w:tab/>
      </w:r>
      <w:r>
        <w:t>das Zweifache des aus der unterlassenen Offenlegung gezogenen wirtschaftlichen Vorteils; der wirtschaftliche Vorteil umfasst erzielte Gewinne und vermiedene Verluste und kann geschätzt werden.</w:t>
      </w:r>
    </w:p>
    <w:p>
      <w:r>
        <w:rPr>
          <w:rStyle w:val="Satznummer"/>
        </w:rPr>
        <w:t>2</w:t>
      </w:r>
      <w:r>
        <w:t>Wird das Ordnungsgeld einem Mitglied des gesetzlichen Vertretungsorgans der Kapitalgesellschaft angedroht, beträgt das Ordnungsgeld abweichend von Satz 1 höchstens den höheren der folgenden Beträge:</w:t>
      </w:r>
    </w:p>
    <w:p>
      <w:pPr>
        <w:tabs>
          <w:tab w:pos="567" w:val="left"/>
        </w:tabs>
        <w:ind w:left="567" w:hanging="567"/>
      </w:pPr>
      <w:r>
        <w:t>1.</w:t>
      </w:r>
      <w:r>
        <w:tab/>
      </w:r>
      <w:r>
        <w:t>zwei Millionen Euro oder</w:t>
      </w:r>
    </w:p>
    <w:p>
      <w:pPr>
        <w:tabs>
          <w:tab w:pos="567" w:val="left"/>
        </w:tabs>
        <w:ind w:left="567" w:hanging="567"/>
      </w:pPr>
      <w:r>
        <w:t>2.</w:t>
      </w:r>
      <w:r>
        <w:tab/>
      </w:r>
      <w:r>
        <w:t>das Zweifache des aus der unterlassenen Offenlegung gezogenen Vorteils; der wirtschaftliche Vorteil umfasst erzielte Gewinne und vermiedene Verluste und kann geschätzt werden.</w:t>
      </w:r>
    </w:p>
    <w:p>
      <w:r>
        <w:t xml:space="preserve">(1b) </w:t>
      </w:r>
      <w:r>
        <w:rPr>
          <w:rStyle w:val="Satznummer"/>
        </w:rPr>
        <w:t>1</w:t>
      </w:r>
      <w:r>
        <w:t>Gesamtumsatz im Sinne des Absatzes 1a Satz 1 Nummer 2 ist</w:t>
      </w:r>
    </w:p>
    <w:p>
      <w:pPr>
        <w:tabs>
          <w:tab w:pos="567" w:val="left"/>
        </w:tabs>
        <w:ind w:left="567" w:hanging="567"/>
      </w:pPr>
      <w:r>
        <w:t>1.</w:t>
      </w:r>
      <w:r>
        <w:tab/>
      </w:r>
      <w:r>
        <w:t xml:space="preserve">im Falle von Kapitalgesellschaften, die ihren Jahresabschluss nach den handelsrechtlichen Vorschriften oder dem Recht eines anderen Mitgliedstaats der Europäischen Union oder eines anderen Vertragsstaats des Abkommens über den Europäischen Wirtschaftsraum im Einklang mit der Richtlinie 2013/34/EU aufstellen, der Betrag der Umsatzerlöse nach </w:t>
      </w:r>
      <w:hyperlink w:anchor="b286" w:history="1">
        <w:r>
          <w:rPr>
            <w:color w:val="0A3A8C"/>
            <w:u w:val="single"/>
          </w:rPr>
          <w:t xml:space="preserve">§ 277</w:t>
        </w:r>
      </w:hyperlink>
      <w:r>
        <w:t xml:space="preserve"> Absatz 1 oder der Betrag der Nettoumsatzerlöse nach Maßgabe des auf die Gesellschaft anwendbaren nationalen Rechts im Einklang mit Artikel 2 Nummer 5 der Richtlinie 2013/34/EU,</w:t>
      </w:r>
    </w:p>
    <w:p>
      <w:pPr>
        <w:tabs>
          <w:tab w:pos="567" w:val="left"/>
        </w:tabs>
        <w:ind w:left="567" w:hanging="567"/>
      </w:pPr>
      <w:r>
        <w:t>2.</w:t>
      </w:r>
      <w:r>
        <w:tab/>
      </w:r>
      <w:r>
        <w:t>in allen Fällen, die nicht in Nummer 1 genannt sind, der Betrag der Umsatzerlöse, der sich bei Anwendung der Rechnungslegungsgrundsätze ergibt, die nach dem jeweiligen nationalen Recht für die Aufstellung des Jahresabschlusses der Kapitalgesellschaft gelten.</w:t>
      </w:r>
    </w:p>
    <w:p>
      <w:r>
        <w:rPr>
          <w:rStyle w:val="Satznummer"/>
        </w:rPr>
        <w:t>2</w:t>
      </w:r>
      <w:r>
        <w:t xml:space="preserve">Handelt es sich bei der Kapitalgesellschaft um ein Mutterunternehmen oder um ein Tochterunternehmen im Sinne von </w:t>
      </w:r>
      <w:hyperlink w:anchor="b306" w:history="1">
        <w:r>
          <w:rPr>
            <w:color w:val="0A3A8C"/>
            <w:u w:val="single"/>
          </w:rPr>
          <w:t xml:space="preserve">§ 290</w:t>
        </w:r>
      </w:hyperlink>
      <w:r>
        <w:t xml:space="preserve">, ist anstelle des Gesamtumsatzes der Kapitalgesellschaft der Gesamtumsatz im Konzernabschluss des Mutterunternehmens maßgeblich, der für den größten Kreis von Unternehmen aufgestellt wird. </w:t>
      </w:r>
      <w:r>
        <w:rPr>
          <w:rStyle w:val="Satznummer"/>
        </w:rPr>
        <w:t>3</w:t>
      </w:r>
      <w:r>
        <w:t>Ist ein Jahresabschluss oder Konzernabschluss für das maßgebliche Geschäftsjahr nicht verfügbar, ist der Jahres- oder Konzernabschluss für das unmittelbar vorausgehende Geschäftsjahr maßgeblich; ist auch dieser nicht verfügbar, kann der Gesamtumsatz geschätzt werden.</w:t>
      </w:r>
    </w:p>
    <w:p>
      <w:r>
        <w:t>(1c) Soweit dem Bundesamt Ermessen bei der Höhe eines Ordnungsgeldes zusteht, hat es auch frühere Verstöße der betroffenen Person zu berücksichtigen.</w:t>
      </w:r>
    </w:p>
    <w:p>
      <w:r>
        <w:t xml:space="preserve">(1d) </w:t>
      </w:r>
      <w:r>
        <w:rPr>
          <w:rStyle w:val="Satznummer"/>
        </w:rPr>
        <w:t>1</w:t>
      </w:r>
      <w:r>
        <w:t xml:space="preserve">Das Bundesamt unterrichtet die Bundesanstalt für Finanzdienstleistungsaufsicht unverzüglich über jedes Ordnungsgeld, das gemäß Absatz 1 gegen eine Kapitalgesellschaft im Sinne des </w:t>
      </w:r>
      <w:hyperlink w:anchor="b269" w:history="1">
        <w:r>
          <w:rPr>
            <w:color w:val="0A3A8C"/>
            <w:u w:val="single"/>
          </w:rPr>
          <w:t xml:space="preserve">§ 264d</w:t>
        </w:r>
      </w:hyperlink>
      <w:r>
        <w:t xml:space="preserve"> oder gegen ein Mitglied ihrer Vertretungsorgane festgesetzt wird. </w:t>
      </w:r>
      <w:r>
        <w:rPr>
          <w:rStyle w:val="Satznummer"/>
        </w:rPr>
        <w:t>2</w:t>
      </w:r>
      <w:r>
        <w:t xml:space="preserve">Wird gegen eine solche Ordnungsgeldfestsetzung Beschwerde eingelegt, unterrichtet das Bundesamt die Bundesanstalt für Finanzdienstleistungsaufsicht über diesen Umstand sowie über den Ausgang des Beschwerdeverfahrens. </w:t>
      </w:r>
      <w:r>
        <w:rPr>
          <w:rStyle w:val="Satznummer"/>
        </w:rPr>
        <w:t>3</w:t>
      </w:r>
      <w:r>
        <w:t>Für die Unterrichtung der Bundesanstalt nach Satz 1 gilt § 24b Absatz 2 des Wertpapierhandelsgesetzes entsprechend.</w:t>
      </w:r>
    </w:p>
    <w:p>
      <w:r>
        <w:t xml:space="preserve">(2) </w:t>
      </w:r>
      <w:r>
        <w:rPr>
          <w:rStyle w:val="Satznummer"/>
        </w:rPr>
        <w:t>1</w:t>
      </w:r>
      <w:r>
        <w:t xml:space="preserve">Auf das Verfahren sind die §§ 15 bis 19 Absatz 1 und 3, § 40 Abs. 1, § 388 Abs. 1, § 389 Abs. 3, § 390 Abs. 2 bis 6 des Gesetzes über das Verfahren in Familiensachen und in den Angelegenheiten der freiwilligen Gerichtsbarkeit sowie im Übrigen § 11 Nr. 1 und 2, § 12 Abs. 1 Nr. 1 bis 3, Abs. 2 und 3, §§ 14, 15, 20 Abs. 1 und 3, § 21 Abs. 1, §§ 23 und 26 des Verwaltungsverfahrensgesetzes nach Maßgabe der nachfolgenden Absätze entsprechend anzuwenden. </w:t>
      </w:r>
      <w:r>
        <w:rPr>
          <w:rStyle w:val="Satznummer"/>
        </w:rPr>
        <w:t>2</w:t>
      </w:r>
      <w:r>
        <w:t xml:space="preserve">Das Ordnungsgeldverfahren ist ein Justizverwaltungsverfahren. </w:t>
      </w:r>
      <w:r>
        <w:rPr>
          <w:rStyle w:val="Satznummer"/>
        </w:rPr>
        <w:t>3</w:t>
      </w:r>
      <w:r>
        <w:t>Zur Vertretung der Beteiligten sind auch befugt</w:t>
      </w:r>
    </w:p>
    <w:p>
      <w:pPr>
        <w:tabs>
          <w:tab w:pos="567" w:val="left"/>
        </w:tabs>
        <w:ind w:left="567" w:hanging="567"/>
      </w:pPr>
      <w:r>
        <w:t>1.</w:t>
      </w:r>
      <w:r>
        <w:tab/>
      </w:r>
      <w:r>
        <w:t>Wirtschaftsprüfer und vereidigte Buchprüfer,</w:t>
      </w:r>
    </w:p>
    <w:p>
      <w:pPr>
        <w:tabs>
          <w:tab w:pos="567" w:val="left"/>
        </w:tabs>
        <w:ind w:left="567" w:hanging="567"/>
      </w:pPr>
      <w:r>
        <w:t>2.</w:t>
      </w:r>
      <w:r>
        <w:tab/>
      </w:r>
      <w:r>
        <w:t>Steuerberater und Steuerbevollmächtigte,</w:t>
      </w:r>
    </w:p>
    <w:p>
      <w:pPr>
        <w:tabs>
          <w:tab w:pos="567" w:val="left"/>
        </w:tabs>
        <w:ind w:left="567" w:hanging="567"/>
      </w:pPr>
      <w:r>
        <w:t>3.</w:t>
      </w:r>
      <w:r>
        <w:tab/>
      </w:r>
      <w:r>
        <w:t>Personen und Vereinigungen im Sinne der §§ 3a und 3c des Steuerberatungsgesetzes im Rahmen ihrer Befugnisse nach § 3a des Steuerberatungsgesetzes,</w:t>
      </w:r>
    </w:p>
    <w:p>
      <w:pPr>
        <w:tabs>
          <w:tab w:pos="567" w:val="left"/>
        </w:tabs>
        <w:ind w:left="567" w:hanging="567"/>
      </w:pPr>
      <w:r>
        <w:t>4.</w:t>
      </w:r>
      <w:r>
        <w:tab/>
      </w:r>
      <w:r>
        <w:t>zu beschränkter geschäftsmäßiger Hilfeleistung in Steuersachen nach den §§ 3d und 3e des Steuerberatungsgesetzes berechtigte Personen im Rahmen dieser Befugnisse sowie</w:t>
      </w:r>
    </w:p>
    <w:p>
      <w:pPr>
        <w:tabs>
          <w:tab w:pos="567" w:val="left"/>
        </w:tabs>
        <w:ind w:left="567" w:hanging="567"/>
      </w:pPr>
      <w:r>
        <w:t>5.</w:t>
      </w:r>
      <w:r>
        <w:tab/>
      </w:r>
      <w:r>
        <w:t>Gesellschaften im Sinne des § 3 Satz 1 Nummer 2 und 3 des Steuerberatungsgesetzes, die durch Personen im Sinne des § 3 Satz 2 des Steuerberatungsgesetzes handeln.</w:t>
      </w:r>
    </w:p>
    <w:p>
      <w:r>
        <w:t xml:space="preserve">(2a) </w:t>
      </w:r>
      <w:r>
        <w:rPr>
          <w:rStyle w:val="Satznummer"/>
        </w:rPr>
        <w:t>1</w:t>
      </w:r>
      <w:r>
        <w:t xml:space="preserve">Die Akten einschließlich der Verfahrensakten in der Zwangsvollstreckung werden elektronisch geführt. </w:t>
      </w:r>
      <w:r>
        <w:rPr>
          <w:rStyle w:val="Satznummer"/>
        </w:rPr>
        <w:t>2</w:t>
      </w:r>
      <w:r>
        <w:t>Auf die elektronische Aktenführung und die elektronische Kommunikation ist § 110c des Gesetzes über Ordnungswidrigkeiten entsprechend anzuwenden, jedoch dessen Satz 1</w:t>
      </w:r>
    </w:p>
    <w:p>
      <w:pPr>
        <w:tabs>
          <w:tab w:pos="567" w:val="left"/>
        </w:tabs>
        <w:ind w:left="567" w:hanging="567"/>
      </w:pPr>
      <w:r>
        <w:t>1.</w:t>
      </w:r>
      <w:r>
        <w:tab/>
      </w:r>
      <w:r>
        <w:t>nicht in Verbindung mit dessen Satz 2 und § 32b der Strafprozessordnung auf</w:t>
      </w:r>
    </w:p>
    <w:p>
      <w:pPr>
        <w:tabs>
          <w:tab w:pos="1134" w:val="left"/>
        </w:tabs>
        <w:ind w:left="1134" w:hanging="567"/>
      </w:pPr>
      <w:r>
        <w:t>a)</w:t>
      </w:r>
      <w:r>
        <w:tab/>
      </w:r>
      <w:r>
        <w:t>die Androhung eines Ordnungsgeldes nach Absatz 3 Satz 1,</w:t>
      </w:r>
    </w:p>
    <w:p>
      <w:pPr>
        <w:tabs>
          <w:tab w:pos="1134" w:val="left"/>
        </w:tabs>
        <w:ind w:left="1134" w:hanging="567"/>
      </w:pPr>
      <w:r>
        <w:t>b)</w:t>
      </w:r>
      <w:r>
        <w:tab/>
      </w:r>
      <w:r>
        <w:t>die Kostenentscheidung nach Absatz 3 Satz 2 und</w:t>
      </w:r>
    </w:p>
    <w:p>
      <w:pPr>
        <w:tabs>
          <w:tab w:pos="1134" w:val="left"/>
        </w:tabs>
        <w:ind w:left="1134" w:hanging="567"/>
      </w:pPr>
      <w:r>
        <w:t>c)</w:t>
      </w:r>
      <w:r>
        <w:tab/>
      </w:r>
      <w:r>
        <w:t>den Erlass von Zwischenverfügungen;</w:t>
      </w:r>
    </w:p>
    <w:p>
      <w:pPr>
        <w:tabs>
          <w:tab w:pos="567" w:val="left"/>
        </w:tabs>
        <w:ind w:left="567" w:hanging="567"/>
      </w:pPr>
      <w:r>
        <w:t>2.</w:t>
      </w:r>
      <w:r>
        <w:tab/>
      </w:r>
      <w:r>
        <w:t>nicht in Verbindung mit den §§ 32d und 32e Absatz 3 Satz 1 und 2 der Strafprozessordnung auf das Verfahren insgesamt sowie</w:t>
      </w:r>
    </w:p>
    <w:p>
      <w:pPr>
        <w:tabs>
          <w:tab w:pos="567" w:val="left"/>
        </w:tabs>
        <w:ind w:left="567" w:hanging="567"/>
      </w:pPr>
      <w:r>
        <w:t>3.</w:t>
      </w:r>
      <w:r>
        <w:tab/>
      </w:r>
      <w:r>
        <w:t>einschließlich dessen Sätze 2 und 3 nicht auf die Beitreibung nach dem Justizbeitreibungsgesetz.</w:t>
      </w:r>
    </w:p>
    <w:p>
      <w:r>
        <w:rPr>
          <w:rStyle w:val="Satznummer"/>
        </w:rPr>
        <w:t>3</w:t>
      </w:r>
      <w:r>
        <w:t>Satz 2 gilt entsprechend auch für Verfügungen im Sinne der Absätze 3 und 4, die automatisiert erlassen werden können.</w:t>
      </w:r>
    </w:p>
    <w:p>
      <w:r>
        <w:t xml:space="preserve">(3) </w:t>
      </w:r>
      <w:r>
        <w:rPr>
          <w:rStyle w:val="Satznummer"/>
        </w:rPr>
        <w:t>1</w:t>
      </w:r>
      <w:r>
        <w:t xml:space="preserve">Den in Absatz 1 Satz 1 und 2 bezeichneten Beteiligten ist unter Androhung eines Ordnungsgeldes in bestimmter Höhe aufzugeben, innerhalb einer Frist von sechs Wochen vom Zugang der Androhung an ihrer gesetzlichen Verpflichtung nachzukommen oder die Unterlassung mittels Einspruchs gegen die Verfügung zu rechtfertigen. </w:t>
      </w:r>
      <w:r>
        <w:rPr>
          <w:rStyle w:val="Satznummer"/>
        </w:rPr>
        <w:t>2</w:t>
      </w:r>
      <w:r>
        <w:t xml:space="preserve">Mit der Androhung des Ordnungsgeldes sind den Beteiligten zugleich die Kosten des Verfahrens aufzuerlegen. </w:t>
      </w:r>
      <w:r>
        <w:rPr>
          <w:rStyle w:val="Satznummer"/>
        </w:rPr>
        <w:t>3</w:t>
      </w:r>
      <w:r>
        <w:t xml:space="preserve">Der Einspruch kann auf Einwendungen gegen die Entscheidung über die Kosten beschränkt werden. </w:t>
      </w:r>
      <w:r>
        <w:rPr>
          <w:rStyle w:val="Satznummer"/>
        </w:rPr>
        <w:t>4</w:t>
      </w:r>
      <w:r>
        <w:t xml:space="preserve">Der Einspruch gegen die Androhung des Ordnungsgeldes und gegen die Entscheidung über die Kosten hat keine aufschiebende Wirkung. </w:t>
      </w:r>
      <w:r>
        <w:rPr>
          <w:rStyle w:val="Satznummer"/>
        </w:rPr>
        <w:t>5</w:t>
      </w:r>
      <w:r>
        <w:t>Führt der Einspruch zu einer Einstellung des Verfahrens, ist zugleich auch die Kostenentscheidung nach Satz 2 aufzuheben.</w:t>
      </w:r>
    </w:p>
    <w:p>
      <w:r>
        <w:t xml:space="preserve">(4) </w:t>
      </w:r>
      <w:r>
        <w:rPr>
          <w:rStyle w:val="Satznummer"/>
        </w:rPr>
        <w:t>1</w:t>
      </w:r>
      <w:r>
        <w:t xml:space="preserve">Wenn die Beteiligten nicht spätestens sechs Wochen nach dem Zugang der Androhung der gesetzlichen Pflicht entsprochen oder die Unterlassung mittels Einspruchs gerechtfertigt haben, ist das Ordnungsgeld festzusetzen und zugleich die frühere Verfügung unter Androhung eines erneuten Ordnungsgeldes zu wiederholen. </w:t>
      </w:r>
      <w:r>
        <w:rPr>
          <w:rStyle w:val="Satznummer"/>
        </w:rPr>
        <w:t>2</w:t>
      </w:r>
      <w:r>
        <w:t>Haben die Beteiligten die gesetzliche Pflicht erst nach Ablauf der Sechswochenfrist erfüllt, hat das Bundesamt das Ordnungsgeld wie folgt herabzusetzen:</w:t>
      </w:r>
    </w:p>
    <w:p>
      <w:pPr>
        <w:tabs>
          <w:tab w:pos="567" w:val="left"/>
        </w:tabs>
        <w:ind w:left="567" w:hanging="567"/>
      </w:pPr>
      <w:r>
        <w:t>1.</w:t>
      </w:r>
      <w:r>
        <w:tab/>
      </w:r>
      <w:r>
        <w:t>auf einen Betrag von 500 Euro, wenn die Beteiligten von dem Recht einer Kleinstkapitalgesellschaft nach § 326 Absatz 2 Gebrauch gemacht haben;</w:t>
      </w:r>
    </w:p>
    <w:p>
      <w:pPr>
        <w:tabs>
          <w:tab w:pos="567" w:val="left"/>
        </w:tabs>
        <w:ind w:left="567" w:hanging="567"/>
      </w:pPr>
      <w:r>
        <w:t>2.</w:t>
      </w:r>
      <w:r>
        <w:tab/>
      </w:r>
      <w:r>
        <w:t xml:space="preserve">auf einen Betrag von 1 000 Euro, wenn es sich um eine kleine Kapitalgesellschaft im Sinne des </w:t>
      </w:r>
      <w:hyperlink w:anchor="b273" w:history="1">
        <w:r>
          <w:rPr>
            <w:color w:val="0A3A8C"/>
            <w:u w:val="single"/>
          </w:rPr>
          <w:t xml:space="preserve">§ 267</w:t>
        </w:r>
      </w:hyperlink>
      <w:r>
        <w:t xml:space="preserve"> Absatz 1 handelt;</w:t>
      </w:r>
    </w:p>
    <w:p>
      <w:pPr>
        <w:tabs>
          <w:tab w:pos="567" w:val="left"/>
        </w:tabs>
        <w:ind w:left="567" w:hanging="567"/>
      </w:pPr>
      <w:r>
        <w:t>3.</w:t>
      </w:r>
      <w:r>
        <w:tab/>
      </w:r>
      <w:r>
        <w:t>auf einen Betrag von 2 500 Euro, wenn ein höheres Ordnungsgeld angedroht worden ist und die Voraussetzungen der Nummern 1 und 2 nicht vorliegen, oder</w:t>
      </w:r>
    </w:p>
    <w:p>
      <w:pPr>
        <w:tabs>
          <w:tab w:pos="567" w:val="left"/>
        </w:tabs>
        <w:ind w:left="567" w:hanging="567"/>
      </w:pPr>
      <w:r>
        <w:t>4.</w:t>
      </w:r>
      <w:r>
        <w:tab/>
      </w:r>
      <w:r>
        <w:t>jeweils auf einen geringeren Betrag, wenn die Beteiligten die Sechswochenfrist nur geringfügig überschritten haben.</w:t>
      </w:r>
    </w:p>
    <w:p>
      <w:r>
        <w:rPr>
          <w:rStyle w:val="Satznummer"/>
        </w:rPr>
        <w:t>3</w:t>
      </w:r>
      <w:r>
        <w:t>Bei der Herabsetzung sind nur Umstände zu berücksichtigen, die vor der Entscheidung des Bundesamtes eingetreten sind.</w:t>
      </w:r>
    </w:p>
    <w:p>
      <w:r>
        <w:t xml:space="preserve">(5) </w:t>
      </w:r>
      <w:r>
        <w:rPr>
          <w:rStyle w:val="Satznummer"/>
        </w:rPr>
        <w:t>1</w:t>
      </w:r>
      <w:r>
        <w:t xml:space="preserve">Waren die Beteiligten unverschuldet gehindert, in der Sechswochenfrist nach Absatz 4 Einspruch einzulegen oder ihrer gesetzlichen Verpflichtung nachzukommen, hat ihnen das Bundesamt auf Antrag Wiedereinsetzung in den vorigen Stand zu gewähren. </w:t>
      </w:r>
      <w:r>
        <w:rPr>
          <w:rStyle w:val="Satznummer"/>
        </w:rPr>
        <w:t>2</w:t>
      </w:r>
      <w:r>
        <w:t xml:space="preserve">Das Verschulden eines Vertreters ist der vertretenen Person zuzurechnen. </w:t>
      </w:r>
      <w:r>
        <w:rPr>
          <w:rStyle w:val="Satznummer"/>
        </w:rPr>
        <w:t>3</w:t>
      </w:r>
      <w:r>
        <w:t xml:space="preserve">Ein Fehlen des Verschuldens wird vermutet, wenn eine Rechtsbehelfsbelehrung unterblieben ist oder fehlerhaft ist. </w:t>
      </w:r>
      <w:r>
        <w:rPr>
          <w:rStyle w:val="Satznummer"/>
        </w:rPr>
        <w:t>4</w:t>
      </w:r>
      <w:r>
        <w:t xml:space="preserve">Der Antrag auf Wiedereinsetzung ist binnen zwei Wochen nach Wegfall des Hindernisses schriftlich beim Bundesamt zu stellen. </w:t>
      </w:r>
      <w:r>
        <w:rPr>
          <w:rStyle w:val="Satznummer"/>
        </w:rPr>
        <w:t>5</w:t>
      </w:r>
      <w:r>
        <w:t xml:space="preserve">Die Tatsachen zur Begründung des Antrags sind bei der Antragstellung oder im Verfahren über den Antrag glaubhaft zu machen. </w:t>
      </w:r>
      <w:r>
        <w:rPr>
          <w:rStyle w:val="Satznummer"/>
        </w:rPr>
        <w:t>6</w:t>
      </w:r>
      <w:r>
        <w:t xml:space="preserve">Die versäumte Handlung ist spätestens sechs Wochen nach Wegfall des Hindernisses nachzuholen. </w:t>
      </w:r>
      <w:r>
        <w:rPr>
          <w:rStyle w:val="Satznummer"/>
        </w:rPr>
        <w:t>7</w:t>
      </w:r>
      <w:r>
        <w:t xml:space="preserve">Ist innerhalb eines Jahres seit dem Ablauf der Sechswochenfrist nach Absatz 4 weder Wiedereinsetzung beantragt noch die versäumte Handlung nachgeholt worden, kann Wiedereinsetzung nicht mehr gewährt werden. </w:t>
      </w:r>
      <w:r>
        <w:rPr>
          <w:rStyle w:val="Satznummer"/>
        </w:rPr>
        <w:t>8</w:t>
      </w:r>
      <w:r>
        <w:t xml:space="preserve">Die Wiedereinsetzung ist nicht anfechtbar; </w:t>
      </w:r>
      <w:hyperlink w:anchor="b383" w:history="1">
        <w:r>
          <w:rPr>
            <w:color w:val="0A3A8C"/>
            <w:u w:val="single"/>
          </w:rPr>
          <w:t xml:space="preserve">§ 335a</w:t>
        </w:r>
      </w:hyperlink>
      <w:r>
        <w:t xml:space="preserve"> Absatz 3 Satz 4 bleibt unberührt. </w:t>
      </w:r>
      <w:r>
        <w:rPr>
          <w:rStyle w:val="Satznummer"/>
        </w:rPr>
        <w:t>9</w:t>
      </w:r>
      <w:r>
        <w:t>Haben die Beteiligten Wiedereinsetzung nicht beantragt oder ist die Ablehnung des Wiedereinsetzungsantrags bestandskräftig geworden, können sich die Beteiligten mit der Beschwerde nicht mehr darauf berufen, dass sie unverschuldet gehindert waren, in der Sechswochenfrist Einspruch einzulegen oder ihrer gesetzlichen Verpflichtung nachzukommen.</w:t>
      </w:r>
    </w:p>
    <w:p>
      <w:r>
        <w:t>(5a) (weggefallen)</w:t>
      </w:r>
    </w:p>
    <w:p>
      <w:r>
        <w:t xml:space="preserve">(6) </w:t>
      </w:r>
      <w:r>
        <w:rPr>
          <w:rStyle w:val="Satznummer"/>
        </w:rPr>
        <w:t>1</w:t>
      </w:r>
      <w:r>
        <w:t xml:space="preserve">Liegen dem Bundesamt in einem Verfahren nach den Absätzen 1 bis 5 keine Anhaltspunkte über die Einstufung einer Gesellschaft im Sinne des </w:t>
      </w:r>
      <w:hyperlink w:anchor="b273" w:history="1">
        <w:r>
          <w:rPr>
            <w:color w:val="0A3A8C"/>
            <w:u w:val="single"/>
          </w:rPr>
          <w:t xml:space="preserve">§ 267</w:t>
        </w:r>
      </w:hyperlink>
      <w:r>
        <w:t xml:space="preserve"> Absatz 1 bis 3 oder des </w:t>
      </w:r>
      <w:hyperlink w:anchor="b274" w:history="1">
        <w:r>
          <w:rPr>
            <w:color w:val="0A3A8C"/>
            <w:u w:val="single"/>
          </w:rPr>
          <w:t xml:space="preserve">§ 267a</w:t>
        </w:r>
      </w:hyperlink>
      <w:r>
        <w:t xml:space="preserve"> vor, kann es den in Absatz 1 Satz 1 und 2 bezeichneten Beteiligten aufgeben, die Bilanzsumme nach Abzug eines auf der Aktivseite ausgewiesenen Fehlbetrags (</w:t>
      </w:r>
      <w:hyperlink w:anchor="b275" w:history="1">
        <w:r>
          <w:rPr>
            <w:color w:val="0A3A8C"/>
            <w:u w:val="single"/>
          </w:rPr>
          <w:t xml:space="preserve">§ 268</w:t>
        </w:r>
      </w:hyperlink>
      <w:r>
        <w:t xml:space="preserve"> Absatz 3), die Umsatzerlöse (</w:t>
      </w:r>
      <w:hyperlink w:anchor="b286" w:history="1">
        <w:r>
          <w:rPr>
            <w:color w:val="0A3A8C"/>
            <w:u w:val="single"/>
          </w:rPr>
          <w:t xml:space="preserve">§ 277</w:t>
        </w:r>
      </w:hyperlink>
      <w:r>
        <w:t xml:space="preserve"> Absatz 1) und die durchschnittliche Zahl der Arbeitnehmer (</w:t>
      </w:r>
      <w:hyperlink w:anchor="b273" w:history="1">
        <w:r>
          <w:rPr>
            <w:color w:val="0A3A8C"/>
            <w:u w:val="single"/>
          </w:rPr>
          <w:t xml:space="preserve">§ 267</w:t>
        </w:r>
      </w:hyperlink>
      <w:r>
        <w:t xml:space="preserve"> Absatz 5) für das betreffende Geschäftsjahr und für diejenigen Geschäftsjahre, die für die Einstufung erforderlich sind, anzugeben. </w:t>
      </w:r>
      <w:r>
        <w:rPr>
          <w:rStyle w:val="Satznummer"/>
        </w:rPr>
        <w:t>2</w:t>
      </w:r>
      <w:r>
        <w:t xml:space="preserve">Unterbleiben die Angaben nach Satz 1, so wird für das weitere Verfahren vermutet, dass die Erleichterungen der </w:t>
      </w:r>
      <w:hyperlink w:anchor="b366" w:history="1">
        <w:r>
          <w:rPr>
            <w:color w:val="0A3A8C"/>
            <w:u w:val="single"/>
          </w:rPr>
          <w:t xml:space="preserve">§§ 326</w:t>
        </w:r>
      </w:hyperlink>
      <w:r>
        <w:t xml:space="preserve"> und </w:t>
      </w:r>
      <w:hyperlink w:anchor="b367" w:history="1">
        <w:r>
          <w:rPr>
            <w:color w:val="0A3A8C"/>
            <w:u w:val="single"/>
          </w:rPr>
          <w:t xml:space="preserve">327</w:t>
        </w:r>
      </w:hyperlink>
      <w:r>
        <w:t xml:space="preserve"> nicht in Anspruch genommen werden können. </w:t>
      </w:r>
      <w:r>
        <w:rPr>
          <w:rStyle w:val="Satznummer"/>
        </w:rPr>
        <w:t>3</w:t>
      </w:r>
      <w:r>
        <w:t xml:space="preserve">Die Sätze 1 und 2 gelten für den Konzernabschluss und den Konzernlagebericht entsprechend mit der Maßgabe, dass an die Stelle der §§ 267, 326 und 327 der </w:t>
      </w:r>
      <w:hyperlink w:anchor="b310" w:history="1">
        <w:r>
          <w:rPr>
            <w:color w:val="0A3A8C"/>
            <w:u w:val="single"/>
          </w:rPr>
          <w:t xml:space="preserve">§ 293</w:t>
        </w:r>
      </w:hyperlink>
      <w:r>
        <w:t xml:space="preserve"> tritt.</w:t>
      </w:r>
    </w:p>
    <w:p>
      <w:r>
        <w:t xml:space="preserve">(7) </w:t>
      </w:r>
      <w:r>
        <w:rPr>
          <w:rStyle w:val="Satznummer"/>
        </w:rPr>
        <w:t>1</w:t>
      </w:r>
      <w:r>
        <w:t>Das Bundesministerium der Justiz kann zur näheren Ausgestaltung der elektronischen Aktenführung und elektronischen Kommunikation nach Absatz 2a in der ab dem 1. Januar 2018 geltenden Fassung durch Rechtsverordnung, die nicht der Zustimmung des Bundesrates bedarf,</w:t>
      </w:r>
    </w:p>
    <w:p>
      <w:pPr>
        <w:tabs>
          <w:tab w:pos="567" w:val="left"/>
        </w:tabs>
        <w:ind w:left="567" w:hanging="567"/>
      </w:pPr>
      <w:r>
        <w:t>1.</w:t>
      </w:r>
      <w:r>
        <w:tab/>
      </w:r>
      <w:r>
        <w:t>die Weiterführung von Akten in Papierform gestatten, die bereits vor Einführung der elektronischen Aktenführung in Papierform angelegt wurden,</w:t>
      </w:r>
    </w:p>
    <w:p>
      <w:pPr>
        <w:tabs>
          <w:tab w:pos="567" w:val="left"/>
        </w:tabs>
        <w:ind w:left="567" w:hanging="567"/>
      </w:pPr>
      <w:r>
        <w:t>2.</w:t>
      </w:r>
      <w:r>
        <w:tab/>
      </w:r>
      <w:r>
        <w:t>die organisatorischen und dem Stand der Technik entsprechenden technischen Rahmenbedingungen für die elektronische Aktenführung einschließlich der einzuhaltenden Anforderungen des Datenschutzes, der Datensicherheit und der Barrierefreiheit festlegen,</w:t>
      </w:r>
    </w:p>
    <w:p>
      <w:pPr>
        <w:tabs>
          <w:tab w:pos="567" w:val="left"/>
        </w:tabs>
        <w:ind w:left="567" w:hanging="567"/>
      </w:pPr>
      <w:r>
        <w:t>3.</w:t>
      </w:r>
      <w:r>
        <w:tab/>
      </w:r>
      <w:r>
        <w:t>die Standards für die Übermittlung elektronischer Akten zwischen dem Bundesamt und einer anderen Behörde oder einem Gericht näher bestimmen,</w:t>
      </w:r>
    </w:p>
    <w:p>
      <w:pPr>
        <w:tabs>
          <w:tab w:pos="567" w:val="left"/>
        </w:tabs>
        <w:ind w:left="567" w:hanging="567"/>
      </w:pPr>
      <w:r>
        <w:t>4.</w:t>
      </w:r>
      <w:r>
        <w:tab/>
      </w:r>
      <w:r>
        <w:t>die Standards für die Einsicht in elektronische Akten vorgeben,</w:t>
      </w:r>
    </w:p>
    <w:p>
      <w:pPr>
        <w:tabs>
          <w:tab w:pos="567" w:val="left"/>
        </w:tabs>
        <w:ind w:left="567" w:hanging="567"/>
      </w:pPr>
      <w:r>
        <w:t>5.</w:t>
      </w:r>
      <w:r>
        <w:tab/>
      </w:r>
      <w:r>
        <w:t>elektronische Formulare einführen und</w:t>
      </w:r>
    </w:p>
    <w:p>
      <w:pPr>
        <w:tabs>
          <w:tab w:pos="1134" w:val="left"/>
        </w:tabs>
        <w:ind w:left="1134" w:hanging="567"/>
      </w:pPr>
      <w:r>
        <w:t>a)</w:t>
      </w:r>
      <w:r>
        <w:tab/>
      </w:r>
      <w:r>
        <w:t>bestimmen, dass die in den Formularen enthaltenen Angaben ganz oder teilweise in strukturierter maschinenlesbarer Form zu übermitteln sind,</w:t>
      </w:r>
    </w:p>
    <w:p>
      <w:pPr>
        <w:tabs>
          <w:tab w:pos="1134" w:val="left"/>
        </w:tabs>
        <w:ind w:left="1134" w:hanging="567"/>
      </w:pPr>
      <w:r>
        <w:t>b)</w:t>
      </w:r>
      <w:r>
        <w:tab/>
      </w:r>
      <w:r>
        <w:t>eine Kommunikationsplattform vorgeben, auf der die Formulare im Internet zur Nutzung bereitzustellen sind, und</w:t>
      </w:r>
    </w:p>
    <w:p>
      <w:pPr>
        <w:tabs>
          <w:tab w:pos="1134" w:val="left"/>
        </w:tabs>
        <w:ind w:left="1134" w:hanging="567"/>
      </w:pPr>
      <w:r>
        <w:t>c)</w:t>
      </w:r>
      <w:r>
        <w:tab/>
      </w:r>
      <w:r>
        <w:t>bestimmen, dass eine Identifikation des Formularverwenders abweichend von Absatz 2a in Verbindung mit § 110c des Gesetzes über Ordnungswidrigkeiten und § 32a Absatz 3 der Strafprozessordnung durch Nutzung des elektronischen Identitätsnachweises nach § 18 des Personalausweisgesetzes, § 12 des eID-Karte-Gesetzes oder § 78 Absatz 5 des Aufenthaltsgesetzes erfolgen kann,</w:t>
      </w:r>
    </w:p>
    <w:p>
      <w:pPr>
        <w:tabs>
          <w:tab w:pos="567" w:val="left"/>
        </w:tabs>
        <w:ind w:left="567" w:hanging="567"/>
      </w:pPr>
      <w:r>
        <w:t>6.</w:t>
      </w:r>
      <w:r>
        <w:tab/>
      </w:r>
      <w:r>
        <w:t>Formanforderungen und weitere Einzelheiten für den automatisierten Erlass von Entscheidungen festlegen,</w:t>
      </w:r>
    </w:p>
    <w:p>
      <w:pPr>
        <w:tabs>
          <w:tab w:pos="567" w:val="left"/>
        </w:tabs>
        <w:ind w:left="567" w:hanging="567"/>
      </w:pPr>
      <w:r>
        <w:t>7.</w:t>
      </w:r>
      <w:r>
        <w:tab/>
      </w:r>
      <w:r>
        <w:t>die Einreichung elektronischer Dokumente, abweichend von Absatz 2a in Verbindung mit § 110c des Gesetzes über Ordnungswidrigkeiten und § 32a der Strafprozessordnung, erst zum 1. Januar des Jahres 2019 oder 2020 zulassen und</w:t>
      </w:r>
    </w:p>
    <w:p>
      <w:pPr>
        <w:tabs>
          <w:tab w:pos="567" w:val="left"/>
        </w:tabs>
        <w:ind w:left="567" w:hanging="567"/>
      </w:pPr>
      <w:r>
        <w:t>8.</w:t>
      </w:r>
      <w:r>
        <w:tab/>
      </w:r>
      <w:r>
        <w:t>die Weiterführung der Akten in der bisherigen elektronischen Form bis zu einem bestimmten Zeitpunkt vor dem 1. Januar 2026 gestatten.</w:t>
      </w:r>
    </w:p>
    <w:p>
      <w:r>
        <w:rPr>
          <w:rStyle w:val="Satznummer"/>
        </w:rPr>
        <w:t>2</w:t>
      </w:r>
      <w:r>
        <w:t>Das Bundesministerium der Justiz kann die Ermächtigungen des Satzes 1 durch Rechtsverordnung ohne Zustimmung des Bundesrates auf das Bundesamt für Justiz übertragen.</w:t>
      </w:r>
    </w:p>
    <w:p>
      <w:pPr>
        <w:pStyle w:val="Heading5"/>
      </w:pPr>
      <w:bookmarkStart w:id="384" w:name="b383"/>
      <w:r>
        <w:t>§ 335a Beschwerde gegen die Festsetzung von Ordnungsgeld; Rechtsbeschwerde; Verordnungsermächtigung</w:t>
      </w:r>
      <w:r>
        <w:t xml:space="preserve"> </w:t>
      </w:r>
      <w:r>
        <w:rPr>
          <w:rStyle w:val="Suchmarke"/>
        </w:rPr>
        <w:t>#335a#</w:t>
      </w:r>
      <w:bookmarkEnd w:id="384"/>
    </w:p>
    <w:p>
      <w:r>
        <w:t xml:space="preserve">(1) </w:t>
      </w:r>
      <w:r>
        <w:rPr>
          <w:rStyle w:val="Satznummer"/>
        </w:rPr>
        <w:t>1</w:t>
      </w:r>
      <w:r>
        <w:t xml:space="preserve">Gegen die Entscheidung, durch die das Ordnungsgeld festgesetzt oder der Einspruch oder der Antrag auf Wiedereinsetzung in den vorigen Stand verworfen wird, sowie gegen die Entscheidung nach </w:t>
      </w:r>
      <w:hyperlink w:anchor="b382" w:history="1">
        <w:r>
          <w:rPr>
            <w:color w:val="0A3A8C"/>
            <w:u w:val="single"/>
          </w:rPr>
          <w:t xml:space="preserve">§ 335</w:t>
        </w:r>
      </w:hyperlink>
      <w:r>
        <w:t xml:space="preserve"> Absatz 3 Satz 5 findet die Beschwerde nach den Vorschriften des Gesetzes über das Verfahren in Familiensachen und in den Angelegenheiten der freiwilligen Gerichtsbarkeit statt, soweit sich aus Satz 2 oder den nachstehenden Absätzen nichts anderes ergibt. </w:t>
      </w:r>
      <w:r>
        <w:rPr>
          <w:rStyle w:val="Satznummer"/>
        </w:rPr>
        <w:t>2</w:t>
      </w:r>
      <w:r>
        <w:t>Die Beschwerde hat aufschiebende Wirkung, wenn sie die Festsetzung eines Ordnungsgeldes zum Gegenstand hat.</w:t>
      </w:r>
    </w:p>
    <w:p>
      <w:r>
        <w:t xml:space="preserve">(2) </w:t>
      </w:r>
      <w:r>
        <w:rPr>
          <w:rStyle w:val="Satznummer"/>
        </w:rPr>
        <w:t>1</w:t>
      </w:r>
      <w:r>
        <w:t xml:space="preserve">Die Beschwerde ist binnen einer Frist von zwei Wochen einzulegen; über sie entscheidet das für den Sitz des Bundesamtes zuständige Landgericht. </w:t>
      </w:r>
      <w:r>
        <w:rPr>
          <w:rStyle w:val="Satznummer"/>
        </w:rPr>
        <w:t>2</w:t>
      </w:r>
      <w:r>
        <w:t xml:space="preserve">Zur Vermeidung von erheblichen Verfahrensrückständen oder zum Ausgleich einer übermäßigen Geschäftsbelastung wird die Landesregierung des Landes, in dem das Bundesamt seinen Sitz unterhält, ermächtigt, durch Rechtsverordnung die Entscheidung über die Rechtsmittel nach Satz 1 einem anderen Landgericht oder weiteren Landgerichten zu übertragen. </w:t>
      </w:r>
      <w:r>
        <w:rPr>
          <w:rStyle w:val="Satznummer"/>
        </w:rPr>
        <w:t>3</w:t>
      </w:r>
      <w:r>
        <w:t xml:space="preserve">Die Landesregierung kann diese Ermächtigung auf die Landesjustizverwaltung übertragen. </w:t>
      </w:r>
      <w:r>
        <w:rPr>
          <w:rStyle w:val="Satznummer"/>
        </w:rPr>
        <w:t>4</w:t>
      </w:r>
      <w:r>
        <w:t xml:space="preserve">Ist bei dem Landgericht eine Kammer für Handelssachen gebildet, so tritt diese Kammer an die Stelle der Zivilkammer. </w:t>
      </w:r>
      <w:r>
        <w:rPr>
          <w:rStyle w:val="Satznummer"/>
        </w:rPr>
        <w:t>5</w:t>
      </w:r>
      <w:r>
        <w:t xml:space="preserve">Entscheidet über die Beschwerde die Zivilkammer, so sind die §§ 348 und 348a der Zivilprozessordnung entsprechend anzuwenden; über eine bei der Kammer für Handelssachen anhängige Beschwerde entscheidet der Vorsitzende. </w:t>
      </w:r>
      <w:r>
        <w:rPr>
          <w:rStyle w:val="Satznummer"/>
        </w:rPr>
        <w:t>6</w:t>
      </w:r>
      <w:r>
        <w:t xml:space="preserve">Das Landgericht kann nach billigem Ermessen bestimmen, dass den Beteiligten die außergerichtlichen Kosten, die zur zweckentsprechenden Rechtsverfolgung notwendig waren, ganz oder teilweise aus der Staatskasse zu erstatten sind. </w:t>
      </w:r>
      <w:r>
        <w:rPr>
          <w:rStyle w:val="Satznummer"/>
        </w:rPr>
        <w:t>7</w:t>
      </w:r>
      <w:r>
        <w:t xml:space="preserve">Satz 6 gilt entsprechend, wenn das Bundesamt der Beschwerde abhilft. </w:t>
      </w:r>
      <w:r>
        <w:rPr>
          <w:rStyle w:val="Satznummer"/>
        </w:rPr>
        <w:t>8</w:t>
      </w:r>
      <w:hyperlink w:anchor="b115" w:history="1">
        <w:r>
          <w:rPr>
            <w:color w:val="0A3A8C"/>
            <w:u w:val="single"/>
          </w:rPr>
          <w:t xml:space="preserve">§ 91</w:t>
        </w:r>
      </w:hyperlink>
      <w:r>
        <w:t xml:space="preserve"> Absatz 1 Satz 2 und die §§ 103 bis 107 der Zivilprozessordnung gelten entsprechend. </w:t>
      </w:r>
      <w:r>
        <w:rPr>
          <w:rStyle w:val="Satznummer"/>
        </w:rPr>
        <w:t>9</w:t>
      </w:r>
      <w:hyperlink w:anchor="b382" w:history="1">
        <w:r>
          <w:rPr>
            <w:color w:val="0A3A8C"/>
            <w:u w:val="single"/>
          </w:rPr>
          <w:t xml:space="preserve">§ 335</w:t>
        </w:r>
      </w:hyperlink>
      <w:r>
        <w:t xml:space="preserve"> Absatz 2 Satz 3 ist anzuwenden.</w:t>
      </w:r>
    </w:p>
    <w:p>
      <w:r>
        <w:t xml:space="preserve">(3) </w:t>
      </w:r>
      <w:r>
        <w:rPr>
          <w:rStyle w:val="Satznummer"/>
        </w:rPr>
        <w:t>1</w:t>
      </w:r>
      <w:r>
        <w:t xml:space="preserve">Gegen die Beschwerdeentscheidung ist die Rechtsbeschwerde statthaft, wenn das Landgericht sie zugelassen hat. </w:t>
      </w:r>
      <w:r>
        <w:rPr>
          <w:rStyle w:val="Satznummer"/>
        </w:rPr>
        <w:t>2</w:t>
      </w:r>
      <w:r>
        <w:t xml:space="preserve">Für die Rechtsbeschwerde gelten die Vorschriften des Gesetzes über das Verfahren in Familiensachen und in den Angelegenheiten der freiwilligen Gerichtsbarkeit entsprechend, soweit sich aus diesem Absatz nichts anderes ergibt. </w:t>
      </w:r>
      <w:r>
        <w:rPr>
          <w:rStyle w:val="Satznummer"/>
        </w:rPr>
        <w:t>3</w:t>
      </w:r>
      <w:r>
        <w:t xml:space="preserve">Über die Rechtsbeschwerde entscheidet das für den Sitz des Landgerichts zuständige Oberlandesgericht. </w:t>
      </w:r>
      <w:r>
        <w:rPr>
          <w:rStyle w:val="Satznummer"/>
        </w:rPr>
        <w:t>4</w:t>
      </w:r>
      <w:r>
        <w:t xml:space="preserve">Die Rechtsbeschwerde steht auch dem Bundesamt zu und kann auch gegen eine vom Landgericht gewährte Wiedereinsetzung in die Sechswochenfrist nach § 335 Absatz 4 Satz 1 zur Erfüllung der gesetzlichen Offenlegungspflicht zugelassen werden. </w:t>
      </w:r>
      <w:r>
        <w:rPr>
          <w:rStyle w:val="Satznummer"/>
        </w:rPr>
        <w:t>5</w:t>
      </w:r>
      <w:r>
        <w:t xml:space="preserve">Vor dem Oberlandesgericht müssen sich die Beteiligten durch einen Rechtsanwalt vertreten lassen; dies gilt nicht für das Bundesamt. </w:t>
      </w:r>
      <w:r>
        <w:rPr>
          <w:rStyle w:val="Satznummer"/>
        </w:rPr>
        <w:t>6</w:t>
      </w:r>
      <w:r>
        <w:t>Absatz 1 Satz 2 und Absatz 2 Satz 6 und 8 gelten entsprechend.</w:t>
      </w:r>
    </w:p>
    <w:p>
      <w:r>
        <w:t>(4) Auf die elektronische Aktenführung des Gerichts und die Kommunikation mit dem Gericht nach den Absätzen 1 bis 3 sind die folgenden Vorschriften entsprechend anzuwenden:</w:t>
      </w:r>
    </w:p>
    <w:p>
      <w:pPr>
        <w:tabs>
          <w:tab w:pos="567" w:val="left"/>
        </w:tabs>
        <w:ind w:left="567" w:hanging="567"/>
      </w:pPr>
      <w:r>
        <w:t>1.</w:t>
      </w:r>
      <w:r>
        <w:tab/>
      </w:r>
      <w:r>
        <w:t>§ 110a Absatz 1 und § 110c des Gesetzes über Ordnungswidrigkeiten sowie</w:t>
      </w:r>
    </w:p>
    <w:p>
      <w:pPr>
        <w:tabs>
          <w:tab w:pos="567" w:val="left"/>
        </w:tabs>
        <w:ind w:left="567" w:hanging="567"/>
      </w:pPr>
      <w:r>
        <w:t>2.</w:t>
      </w:r>
      <w:r>
        <w:tab/>
      </w:r>
      <w:r>
        <w:t>§ 110a Absatz 2 Satz 1 und § 134 Satz 1 des Gesetzes über Ordnungswidrigkeiten mit der Maßgabe, dass die Landesregierung des Landes, in dem das Bundesamt seinen Sitz hat, die Rechtsverordnung erlässt und die Ermächtigungen durch Rechtsverordnung auf die Landesjustizverwaltung übertragen kann.</w:t>
      </w:r>
    </w:p>
    <w:p>
      <w:pPr>
        <w:pStyle w:val="Heading4"/>
      </w:pPr>
      <w:bookmarkStart w:id="385" w:name="b384"/>
      <w:r>
        <w:t>Dritter Titel Gemeinsame Vorschriften für Straf-, Bußgeld- und Ordnungsgeldverfahren</w:t>
      </w:r>
      <w:bookmarkEnd w:id="385"/>
    </w:p>
    <w:p>
      <w:pPr>
        <w:pStyle w:val="Heading5"/>
      </w:pPr>
      <w:bookmarkStart w:id="386" w:name="b385"/>
      <w:r>
        <w:t>§ 335b Anwendung der Straf- und Bußgeld- sowie der Ordnungsgeldvorschriften auf bestimmte offene Handelsgesellschaften und Kommanditgesellschaften</w:t>
      </w:r>
      <w:r>
        <w:t xml:space="preserve"> </w:t>
      </w:r>
      <w:r>
        <w:rPr>
          <w:rStyle w:val="Suchmarke"/>
        </w:rPr>
        <w:t>#335b#</w:t>
      </w:r>
      <w:bookmarkEnd w:id="386"/>
    </w:p>
    <w:p>
      <w:r>
        <w:rPr>
          <w:rStyle w:val="Satznummer"/>
        </w:rPr>
        <w:t>1</w:t>
      </w:r>
      <w:r>
        <w:t xml:space="preserve">Die Strafvorschriften der </w:t>
      </w:r>
      <w:hyperlink w:anchor="b375" w:history="1">
        <w:r>
          <w:rPr>
            <w:color w:val="0A3A8C"/>
            <w:u w:val="single"/>
          </w:rPr>
          <w:t xml:space="preserve">§§ 331</w:t>
        </w:r>
      </w:hyperlink>
      <w:r>
        <w:t xml:space="preserve"> bis </w:t>
      </w:r>
      <w:hyperlink w:anchor="b379" w:history="1">
        <w:r>
          <w:rPr>
            <w:color w:val="0A3A8C"/>
            <w:u w:val="single"/>
          </w:rPr>
          <w:t xml:space="preserve">333a</w:t>
        </w:r>
      </w:hyperlink>
      <w:r>
        <w:t xml:space="preserve">, die Bußgeldvorschrift des </w:t>
      </w:r>
      <w:hyperlink w:anchor="b380" w:history="1">
        <w:r>
          <w:rPr>
            <w:color w:val="0A3A8C"/>
            <w:u w:val="single"/>
          </w:rPr>
          <w:t xml:space="preserve">§ 334</w:t>
        </w:r>
      </w:hyperlink>
      <w:r>
        <w:t xml:space="preserve"> sowie die Ordnungsgeldvorschrift des </w:t>
      </w:r>
      <w:hyperlink w:anchor="b382" w:history="1">
        <w:r>
          <w:rPr>
            <w:color w:val="0A3A8C"/>
            <w:u w:val="single"/>
          </w:rPr>
          <w:t xml:space="preserve">§ 335</w:t>
        </w:r>
      </w:hyperlink>
      <w:r>
        <w:t xml:space="preserve"> gelten auch für offene Handelsgesellschaften und Kommanditgesellschaften im Sinn des </w:t>
      </w:r>
      <w:hyperlink w:anchor="b266" w:history="1">
        <w:r>
          <w:rPr>
            <w:color w:val="0A3A8C"/>
            <w:u w:val="single"/>
          </w:rPr>
          <w:t xml:space="preserve">§ 264a</w:t>
        </w:r>
      </w:hyperlink>
      <w:r>
        <w:t xml:space="preserve"> Abs. 1. </w:t>
      </w:r>
      <w:r>
        <w:rPr>
          <w:rStyle w:val="Satznummer"/>
        </w:rPr>
        <w:t>2</w:t>
      </w:r>
      <w:r>
        <w:t xml:space="preserve">Das Verfahren nach </w:t>
      </w:r>
      <w:hyperlink w:anchor="b382" w:history="1">
        <w:r>
          <w:rPr>
            <w:color w:val="0A3A8C"/>
            <w:u w:val="single"/>
          </w:rPr>
          <w:t xml:space="preserve">§ 335</w:t>
        </w:r>
      </w:hyperlink>
      <w:r>
        <w:t xml:space="preserve"> ist in diesem Fall gegen die persönlich haftenden Gesellschafter oder gegen die Mitglieder der vertretungsberechtigten Organe der persönlich haftenden Gesellschafter zu richten. </w:t>
      </w:r>
      <w:r>
        <w:rPr>
          <w:rStyle w:val="Satznummer"/>
        </w:rPr>
        <w:t>3</w:t>
      </w:r>
      <w:r>
        <w:t xml:space="preserve">Es kann auch gegen die offene Handelsgesellschaft oder gegen die Kommanditgesellschaft gerichtet werden. </w:t>
      </w:r>
      <w:r>
        <w:rPr>
          <w:rStyle w:val="Satznummer"/>
        </w:rPr>
        <w:t>4</w:t>
      </w:r>
      <w:hyperlink w:anchor="b383" w:history="1">
        <w:r>
          <w:rPr>
            <w:color w:val="0A3A8C"/>
            <w:u w:val="single"/>
          </w:rPr>
          <w:t xml:space="preserve">§ 335a</w:t>
        </w:r>
      </w:hyperlink>
      <w:r>
        <w:t xml:space="preserve"> ist entsprechend anzuwenden.</w:t>
      </w:r>
    </w:p>
    <w:p>
      <w:pPr>
        <w:pStyle w:val="Heading5"/>
      </w:pPr>
      <w:bookmarkStart w:id="387" w:name="b386"/>
      <w:r>
        <w:t>§ 335c Mitteilungen an die Abschlussprüferaufsichtsstelle</w:t>
      </w:r>
      <w:r>
        <w:t xml:space="preserve"> </w:t>
      </w:r>
      <w:r>
        <w:rPr>
          <w:rStyle w:val="Suchmarke"/>
        </w:rPr>
        <w:t>#335c#</w:t>
      </w:r>
      <w:bookmarkEnd w:id="387"/>
    </w:p>
    <w:p>
      <w:r>
        <w:t xml:space="preserve">(1) Das Bundesamt für Justiz übermittelt der Abschlussprüferaufsichtsstelle beim Bundesamt für Wirtschaft und Ausfuhrkontrolle alle Bußgeldentscheidungen nach </w:t>
      </w:r>
      <w:hyperlink w:anchor="b380" w:history="1">
        <w:r>
          <w:rPr>
            <w:color w:val="0A3A8C"/>
            <w:u w:val="single"/>
          </w:rPr>
          <w:t xml:space="preserve">§ 334</w:t>
        </w:r>
      </w:hyperlink>
      <w:r>
        <w:t xml:space="preserve"> Absatz 2a.</w:t>
      </w:r>
    </w:p>
    <w:p>
      <w:r>
        <w:t xml:space="preserve">(2) </w:t>
      </w:r>
      <w:r>
        <w:rPr>
          <w:rStyle w:val="Satznummer"/>
        </w:rPr>
        <w:t>1</w:t>
      </w:r>
      <w:r>
        <w:t xml:space="preserve">In Strafverfahren, die eine Straftat nach den §§ 332, 333 oder § 333a zum Gegenstand haben, übermittelt die Staatsanwaltschaft im Falle der Erhebung der öffentlichen Klage der Abschlussprüferaufsichtsstelle die das Verfahren abschließende Entscheidung. </w:t>
      </w:r>
      <w:r>
        <w:rPr>
          <w:rStyle w:val="Satznummer"/>
        </w:rPr>
        <w:t>2</w:t>
      </w:r>
      <w:r>
        <w:t>Ist gegen die Entscheidung ein Rechtsmittel eingelegt worden, ist die Entscheidung unter Hinweis auf das eingelegte Rechtsmittel zu übermitteln.</w:t>
      </w:r>
    </w:p>
    <w:p>
      <w:pPr>
        <w:pStyle w:val="Heading2"/>
      </w:pPr>
      <w:bookmarkStart w:id="388" w:name="b387"/>
      <w:r>
        <w:t>Dritter Abschnitt Ergänzende Vorschriften für eingetragene Genossenschaften</w:t>
      </w:r>
      <w:bookmarkEnd w:id="388"/>
    </w:p>
    <w:p>
      <w:pPr>
        <w:pStyle w:val="Heading3"/>
      </w:pPr>
      <w:bookmarkStart w:id="389" w:name="b388"/>
      <w:r>
        <w:t>§ 336 Pflicht zur Aufstellung von Jahresabschluß und Lagebericht</w:t>
      </w:r>
      <w:r>
        <w:t xml:space="preserve"> </w:t>
      </w:r>
      <w:r>
        <w:rPr>
          <w:rStyle w:val="Suchmarke"/>
        </w:rPr>
        <w:t>#336#</w:t>
      </w:r>
      <w:bookmarkEnd w:id="389"/>
    </w:p>
    <w:p>
      <w:r>
        <w:t xml:space="preserve">(1) </w:t>
      </w:r>
      <w:r>
        <w:rPr>
          <w:rStyle w:val="Satznummer"/>
        </w:rPr>
        <w:t>1</w:t>
      </w:r>
      <w:r>
        <w:t>Der Vorstand einer Genossenschaft hat den Jahresabschluß (</w:t>
      </w:r>
      <w:hyperlink w:anchor="b235" w:history="1">
        <w:r>
          <w:rPr>
            <w:color w:val="0A3A8C"/>
            <w:u w:val="single"/>
          </w:rPr>
          <w:t xml:space="preserve">§ 242</w:t>
        </w:r>
      </w:hyperlink>
      <w:r>
        <w:t xml:space="preserve">) um einen Anhang zu erweitern, der mit der Bilanz und der Gewinn- und Verlustrechnung eine Einheit bildet, sowie einen Lagebericht aufzustellen. </w:t>
      </w:r>
      <w:r>
        <w:rPr>
          <w:rStyle w:val="Satznummer"/>
        </w:rPr>
        <w:t>2</w:t>
      </w:r>
      <w:r>
        <w:t xml:space="preserve">Der Jahresabschluß und der Lagebericht sind in den ersten fünf Monaten des Geschäftsjahrs für das vergangene Geschäftsjahr aufzustellen. </w:t>
      </w:r>
      <w:r>
        <w:rPr>
          <w:rStyle w:val="Satznummer"/>
        </w:rPr>
        <w:t>3</w:t>
      </w:r>
      <w:r>
        <w:t xml:space="preserve">Ist die Genossenschaft kapitalmarktorientiert im Sinne des </w:t>
      </w:r>
      <w:hyperlink w:anchor="b269" w:history="1">
        <w:r>
          <w:rPr>
            <w:color w:val="0A3A8C"/>
            <w:u w:val="single"/>
          </w:rPr>
          <w:t xml:space="preserve">§ 264d</w:t>
        </w:r>
      </w:hyperlink>
      <w:r>
        <w:t xml:space="preserve"> und begibt sie nicht ausschließlich die von </w:t>
      </w:r>
      <w:hyperlink w:anchor="b368" w:history="1">
        <w:r>
          <w:rPr>
            <w:color w:val="0A3A8C"/>
            <w:u w:val="single"/>
          </w:rPr>
          <w:t xml:space="preserve">§ 327a</w:t>
        </w:r>
      </w:hyperlink>
      <w:r>
        <w:t xml:space="preserve"> erfassten Schuldtitel, beträgt die Frist nach Satz 2 vier Monate.</w:t>
      </w:r>
    </w:p>
    <w:p>
      <w:r>
        <w:t xml:space="preserve">(2) </w:t>
      </w:r>
      <w:r>
        <w:rPr>
          <w:rStyle w:val="Satznummer"/>
        </w:rPr>
        <w:t>1</w:t>
      </w:r>
      <w:r>
        <w:t>Auf den Jahresabschluss und den Lagebericht sind, soweit in diesem Abschnitt nichts anderes bestimmt ist, die folgenden Vorschriften entsprechend anzuwenden:</w:t>
      </w:r>
    </w:p>
    <w:p>
      <w:pPr>
        <w:tabs>
          <w:tab w:pos="567" w:val="left"/>
        </w:tabs>
        <w:ind w:left="567" w:hanging="567"/>
      </w:pPr>
      <w:r>
        <w:t>1.</w:t>
      </w:r>
      <w:r>
        <w:tab/>
      </w:r>
      <w:hyperlink w:anchor="b265" w:history="1">
        <w:r>
          <w:rPr>
            <w:color w:val="0A3A8C"/>
            <w:u w:val="single"/>
          </w:rPr>
          <w:t xml:space="preserve">§ 264</w:t>
        </w:r>
      </w:hyperlink>
      <w:r>
        <w:t xml:space="preserve"> Absatz 1 Satz 4 erster Halbsatz und Absatz 1a, 2,</w:t>
      </w:r>
    </w:p>
    <w:p>
      <w:pPr>
        <w:tabs>
          <w:tab w:pos="567" w:val="left"/>
        </w:tabs>
        <w:ind w:left="567" w:hanging="567"/>
      </w:pPr>
      <w:r>
        <w:t>2.</w:t>
      </w:r>
      <w:r>
        <w:tab/>
      </w:r>
      <w:r>
        <w:t xml:space="preserve">die </w:t>
      </w:r>
      <w:hyperlink w:anchor="b270" w:history="1">
        <w:r>
          <w:rPr>
            <w:color w:val="0A3A8C"/>
            <w:u w:val="single"/>
          </w:rPr>
          <w:t xml:space="preserve">§§ 265</w:t>
        </w:r>
      </w:hyperlink>
      <w:r>
        <w:t xml:space="preserve"> bis </w:t>
      </w:r>
      <w:hyperlink w:anchor="b302" w:history="1">
        <w:r>
          <w:rPr>
            <w:color w:val="0A3A8C"/>
            <w:u w:val="single"/>
          </w:rPr>
          <w:t xml:space="preserve">289e</w:t>
        </w:r>
      </w:hyperlink>
      <w:r>
        <w:t xml:space="preserve">, mit Ausnahme von </w:t>
      </w:r>
      <w:hyperlink w:anchor="b286" w:history="1">
        <w:r>
          <w:rPr>
            <w:color w:val="0A3A8C"/>
            <w:u w:val="single"/>
          </w:rPr>
          <w:t xml:space="preserve">§ 277</w:t>
        </w:r>
      </w:hyperlink>
      <w:r>
        <w:t xml:space="preserve"> Absatz 3 Satz 1 und </w:t>
      </w:r>
      <w:hyperlink w:anchor="b292" w:history="1">
        <w:r>
          <w:rPr>
            <w:color w:val="0A3A8C"/>
            <w:u w:val="single"/>
          </w:rPr>
          <w:t xml:space="preserve">§ 285</w:t>
        </w:r>
      </w:hyperlink>
      <w:r>
        <w:t xml:space="preserve"> Nummer 17,</w:t>
      </w:r>
    </w:p>
    <w:p>
      <w:pPr>
        <w:tabs>
          <w:tab w:pos="567" w:val="left"/>
        </w:tabs>
        <w:ind w:left="567" w:hanging="567"/>
      </w:pPr>
      <w:r>
        <w:t>3.</w:t>
      </w:r>
      <w:r>
        <w:tab/>
      </w:r>
      <w:hyperlink w:anchor="b303" w:history="1">
        <w:r>
          <w:rPr>
            <w:color w:val="0A3A8C"/>
            <w:u w:val="single"/>
          </w:rPr>
          <w:t xml:space="preserve">§ 289f</w:t>
        </w:r>
      </w:hyperlink>
      <w:r>
        <w:t xml:space="preserve"> Absatz 4 nach Maßgabe des § 9 Absatz 3 und 4 des Genossenschaftsgesetzes.</w:t>
      </w:r>
    </w:p>
    <w:p>
      <w:r>
        <w:rPr>
          <w:rStyle w:val="Satznummer"/>
        </w:rPr>
        <w:t>2</w:t>
      </w:r>
      <w:r>
        <w:t xml:space="preserve">Sonstige Vorschriften, die durch den Geschäftszweig bedingt sind, bleiben unberührt. </w:t>
      </w:r>
      <w:r>
        <w:rPr>
          <w:rStyle w:val="Satznummer"/>
        </w:rPr>
        <w:t>3</w:t>
      </w:r>
      <w:r>
        <w:t xml:space="preserve">Genossenschaften, die die Merkmale für Kleinstkapitalgesellschaften nach </w:t>
      </w:r>
      <w:hyperlink w:anchor="b274" w:history="1">
        <w:r>
          <w:rPr>
            <w:color w:val="0A3A8C"/>
            <w:u w:val="single"/>
          </w:rPr>
          <w:t xml:space="preserve">§ 267a</w:t>
        </w:r>
      </w:hyperlink>
      <w:r>
        <w:t xml:space="preserve"> Absatz 1 erfüllen (Kleinstgenossenschaften), dürfen auch die Erleichterungen für Kleinstkapitalgesellschaften nach näherer Maßgabe des </w:t>
      </w:r>
      <w:hyperlink w:anchor="b389" w:history="1">
        <w:r>
          <w:rPr>
            <w:color w:val="0A3A8C"/>
            <w:u w:val="single"/>
          </w:rPr>
          <w:t xml:space="preserve">§ 337</w:t>
        </w:r>
      </w:hyperlink>
      <w:r>
        <w:t xml:space="preserve"> Absatz 4 und </w:t>
      </w:r>
      <w:hyperlink w:anchor="b390" w:history="1">
        <w:r>
          <w:rPr>
            <w:color w:val="0A3A8C"/>
            <w:u w:val="single"/>
          </w:rPr>
          <w:t xml:space="preserve">§ 338</w:t>
        </w:r>
      </w:hyperlink>
      <w:r>
        <w:t xml:space="preserve"> Absatz 4 anwenden.</w:t>
      </w:r>
    </w:p>
    <w:p>
      <w:r>
        <w:t xml:space="preserve">(3) </w:t>
      </w:r>
      <w:hyperlink w:anchor="b372" w:history="1">
        <w:r>
          <w:rPr>
            <w:color w:val="0A3A8C"/>
            <w:u w:val="single"/>
          </w:rPr>
          <w:t xml:space="preserve">§ 330</w:t>
        </w:r>
      </w:hyperlink>
      <w:r>
        <w:t xml:space="preserve"> Abs. 1 über den Erlaß von Rechtsverordnungen ist entsprechend anzuwenden.</w:t>
      </w:r>
    </w:p>
    <w:p>
      <w:pPr>
        <w:pStyle w:val="Heading3"/>
      </w:pPr>
      <w:bookmarkStart w:id="390" w:name="b389"/>
      <w:r>
        <w:t>§ 337 Vorschriften zur Bilanz</w:t>
      </w:r>
      <w:r>
        <w:t xml:space="preserve"> </w:t>
      </w:r>
      <w:r>
        <w:rPr>
          <w:rStyle w:val="Suchmarke"/>
        </w:rPr>
        <w:t>#337#</w:t>
      </w:r>
      <w:bookmarkEnd w:id="390"/>
    </w:p>
    <w:p>
      <w:r>
        <w:t xml:space="preserve">(1) </w:t>
      </w:r>
      <w:r>
        <w:rPr>
          <w:rStyle w:val="Satznummer"/>
        </w:rPr>
        <w:t>1</w:t>
      </w:r>
      <w:r>
        <w:t xml:space="preserve">An Stelle des gezeichneten Kapitals ist der Betrag der Geschäftsguthaben der Mitglieder auszuweisen. </w:t>
      </w:r>
      <w:r>
        <w:rPr>
          <w:rStyle w:val="Satznummer"/>
        </w:rPr>
        <w:t>2</w:t>
      </w:r>
      <w:r>
        <w:t xml:space="preserve">Dabei ist der Betrag der Geschäftsguthaben der mit Ablauf des Geschäftsjahrs ausgeschiedenen Mitglieder gesondert anzugeben. </w:t>
      </w:r>
      <w:r>
        <w:rPr>
          <w:rStyle w:val="Satznummer"/>
        </w:rPr>
        <w:t>3</w:t>
      </w:r>
      <w:r>
        <w:t xml:space="preserve">Werden rückständige fällige Einzahlungen auf Geschäftsanteile in der Bilanz als Geschäftsguthaben ausgewiesen, so ist der entsprechende Betrag auf der Aktivseite unter der Bezeichnung "Rückständige fällige Einzahlungen auf Geschäftsanteile" einzustellen. </w:t>
      </w:r>
      <w:r>
        <w:rPr>
          <w:rStyle w:val="Satznummer"/>
        </w:rPr>
        <w:t>4</w:t>
      </w:r>
      <w:r>
        <w:t xml:space="preserve">Werden rückständige fällige Einzahlungen nicht als Geschäftsguthaben ausgewiesen, so ist der Betrag bei dem Posten "Geschäftsguthaben" zu vermerken. </w:t>
      </w:r>
      <w:r>
        <w:rPr>
          <w:rStyle w:val="Satznummer"/>
        </w:rPr>
        <w:t>5</w:t>
      </w:r>
      <w:r>
        <w:t xml:space="preserve">In beiden Fällen ist der Betrag mit dem Nennwert anzusetzen. </w:t>
      </w:r>
      <w:r>
        <w:rPr>
          <w:rStyle w:val="Satznummer"/>
        </w:rPr>
        <w:t>6</w:t>
      </w:r>
      <w:r>
        <w:t>Ein in der Satzung bestimmtes Mindestkapital ist gesondert anzugeben.</w:t>
      </w:r>
    </w:p>
    <w:p>
      <w:r>
        <w:t>(2) An Stelle der Gewinnrücklagen sind die Ergebnisrücklagen auszuweisen und wie folgt aufzugliedern:</w:t>
      </w:r>
    </w:p>
    <w:p>
      <w:pPr>
        <w:tabs>
          <w:tab w:pos="567" w:val="left"/>
        </w:tabs>
        <w:ind w:left="567" w:hanging="567"/>
      </w:pPr>
      <w:r>
        <w:t>1.</w:t>
      </w:r>
      <w:r>
        <w:tab/>
      </w:r>
      <w:r>
        <w:t>Gesetzliche Rücklage;</w:t>
      </w:r>
    </w:p>
    <w:p>
      <w:pPr>
        <w:tabs>
          <w:tab w:pos="567" w:val="left"/>
        </w:tabs>
        <w:ind w:left="567" w:hanging="567"/>
      </w:pPr>
      <w:r>
        <w:t>2.</w:t>
      </w:r>
      <w:r>
        <w:tab/>
      </w:r>
      <w:r>
        <w:t>andere Ergebnisrücklagen; die Ergebnisrücklage nach § 73 Abs. 3 des Genossenschaftsgesetzes und die Beträge, die aus dieser Ergebnisrücklage an ausgeschiedene Mitglieder auszuzahlen sind, müssen vermerkt werden.</w:t>
      </w:r>
    </w:p>
    <w:p>
      <w:r>
        <w:t>(3) Bei den Ergebnisrücklagen sind in der Bilanz oder im Anhang gesondert aufzuführen:</w:t>
      </w:r>
    </w:p>
    <w:p>
      <w:pPr>
        <w:tabs>
          <w:tab w:pos="567" w:val="left"/>
        </w:tabs>
        <w:ind w:left="567" w:hanging="567"/>
      </w:pPr>
      <w:r>
        <w:t>1.</w:t>
      </w:r>
      <w:r>
        <w:tab/>
      </w:r>
      <w:r>
        <w:t>Die Beträge, welche die Generalversammlung aus dem Bilanzgewinn des Vorjahrs eingestellt hat;</w:t>
      </w:r>
    </w:p>
    <w:p>
      <w:pPr>
        <w:tabs>
          <w:tab w:pos="567" w:val="left"/>
        </w:tabs>
        <w:ind w:left="567" w:hanging="567"/>
      </w:pPr>
      <w:r>
        <w:t>2.</w:t>
      </w:r>
      <w:r>
        <w:tab/>
      </w:r>
      <w:r>
        <w:t>die Beträge, die aus dem Jahresüberschuß des Geschäftsjahrs eingestellt werden;</w:t>
      </w:r>
    </w:p>
    <w:p>
      <w:pPr>
        <w:tabs>
          <w:tab w:pos="567" w:val="left"/>
        </w:tabs>
        <w:ind w:left="567" w:hanging="567"/>
      </w:pPr>
      <w:r>
        <w:t>3.</w:t>
      </w:r>
      <w:r>
        <w:tab/>
      </w:r>
      <w:r>
        <w:t>die Beträge, die für das Geschäftsjahr entnommen werden.</w:t>
      </w:r>
    </w:p>
    <w:p>
      <w:r>
        <w:t>(4) Kleinstgenossenschaften, die von der Erleichterung für Kleinstkapitalgesellschaften nach § 266 Absatz 1 Satz 4 Gebrauch machen, haben den Betrag der Geschäftsguthaben der Mitglieder sowie die gesetzliche Rücklage in der Bilanz im Passivposten A Eigenkapital wie folgt auszuweisen:</w:t>
      </w:r>
      <w:r>
        <w:br/>
      </w:r>
      <w:r>
        <w:t>Davon:</w:t>
      </w:r>
      <w:r>
        <w:br/>
      </w:r>
      <w:r>
        <w:t>Geschäftsguthaben der Mitglieder</w:t>
      </w:r>
      <w:r>
        <w:br/>
      </w:r>
      <w:r>
        <w:t>gesetzliche Rücklage.</w:t>
      </w:r>
    </w:p>
    <w:p>
      <w:pPr>
        <w:pStyle w:val="Heading3"/>
      </w:pPr>
      <w:bookmarkStart w:id="391" w:name="b390"/>
      <w:r>
        <w:t>§ 338 Vorschriften zum Anhang</w:t>
      </w:r>
      <w:r>
        <w:t xml:space="preserve"> </w:t>
      </w:r>
      <w:r>
        <w:rPr>
          <w:rStyle w:val="Suchmarke"/>
        </w:rPr>
        <w:t>#338#</w:t>
      </w:r>
      <w:bookmarkEnd w:id="391"/>
    </w:p>
    <w:p>
      <w:r>
        <w:t xml:space="preserve">(1) </w:t>
      </w:r>
      <w:r>
        <w:rPr>
          <w:rStyle w:val="Satznummer"/>
        </w:rPr>
        <w:t>1</w:t>
      </w:r>
      <w:r>
        <w:t xml:space="preserve">Im Anhang sind auch Angaben zu machen über die Zahl der im Laufe des Geschäftsjahrs eingetretenen oder ausgeschiedenen sowie die Zahl der am Schluß des Geschäftsjahrs der Genossenschaft angehörenden Mitglieder. </w:t>
      </w:r>
      <w:r>
        <w:rPr>
          <w:rStyle w:val="Satznummer"/>
        </w:rPr>
        <w:t>2</w:t>
      </w:r>
      <w:r>
        <w:t>Ferner sind der Gesamtbetrag, um welchen in diesem Jahr die Geschäftsguthaben sowie die Haftsummen der Mitglieder sich vermehrt oder vermindert haben, und der Betrag der Haftsummen anzugeben, für welche am Jahresschluß alle Mitglieder zusammen aufzukommen haben.</w:t>
      </w:r>
    </w:p>
    <w:p>
      <w:r>
        <w:t>(2) Im Anhang sind ferner anzugeben:</w:t>
      </w:r>
    </w:p>
    <w:p>
      <w:pPr>
        <w:tabs>
          <w:tab w:pos="567" w:val="left"/>
        </w:tabs>
        <w:ind w:left="567" w:hanging="567"/>
      </w:pPr>
      <w:r>
        <w:t>1.</w:t>
      </w:r>
      <w:r>
        <w:tab/>
      </w:r>
      <w:r>
        <w:t>Name und Anschrift des zuständigen Prüfungsverbandes, dem die Genossenschaft angehört;</w:t>
      </w:r>
    </w:p>
    <w:p>
      <w:pPr>
        <w:tabs>
          <w:tab w:pos="567" w:val="left"/>
        </w:tabs>
        <w:ind w:left="567" w:hanging="567"/>
      </w:pPr>
      <w:r>
        <w:t>2.</w:t>
      </w:r>
      <w:r>
        <w:tab/>
      </w:r>
      <w:r>
        <w:t>alle Mitglieder des Vorstands und des Aufsichtsrats, auch wenn sie im Geschäftsjahr oder später ausgeschieden sind, mit dem Familiennamen und mindestens einem ausgeschriebenen Vornamen; ein etwaiger Vorsitzender des Aufsichtsrats ist als solcher zu bezeichnen.</w:t>
      </w:r>
    </w:p>
    <w:p>
      <w:r>
        <w:t xml:space="preserve">(3) </w:t>
      </w:r>
      <w:r>
        <w:rPr>
          <w:rStyle w:val="Satznummer"/>
        </w:rPr>
        <w:t>1</w:t>
      </w:r>
      <w:r>
        <w:t xml:space="preserve">An Stelle der in </w:t>
      </w:r>
      <w:hyperlink w:anchor="b292" w:history="1">
        <w:r>
          <w:rPr>
            <w:color w:val="0A3A8C"/>
            <w:u w:val="single"/>
          </w:rPr>
          <w:t xml:space="preserve">§ 285</w:t>
        </w:r>
      </w:hyperlink>
      <w:r>
        <w:t xml:space="preserve"> Nr. 9 vorgeschriebenen Angaben über die an Mitglieder von Organen geleisteten Bezüge, Vorschüsse und Kredite sind lediglich die Forderungen anzugeben, die der Genossenschaft gegen Mitglieder des Vorstands oder Aufsichtsrats zustehen. </w:t>
      </w:r>
      <w:r>
        <w:rPr>
          <w:rStyle w:val="Satznummer"/>
        </w:rPr>
        <w:t>2</w:t>
      </w:r>
      <w:r>
        <w:t>Die Beträge dieser Forderungen können für jedes Organ in einer Summe zusammengefaßt werden.</w:t>
      </w:r>
    </w:p>
    <w:p>
      <w:r>
        <w:t>(4) Kleinstgenossenschaften brauchen den Jahresabschluss nicht um einen Anhang zu erweitern, wenn sie unter der Bilanz angeben:</w:t>
      </w:r>
    </w:p>
    <w:p>
      <w:pPr>
        <w:tabs>
          <w:tab w:pos="567" w:val="left"/>
        </w:tabs>
        <w:ind w:left="567" w:hanging="567"/>
      </w:pPr>
      <w:r>
        <w:t>1.</w:t>
      </w:r>
      <w:r>
        <w:tab/>
      </w:r>
      <w:r>
        <w:t xml:space="preserve">die in den </w:t>
      </w:r>
      <w:hyperlink w:anchor="b245" w:history="1">
        <w:r>
          <w:rPr>
            <w:color w:val="0A3A8C"/>
            <w:u w:val="single"/>
          </w:rPr>
          <w:t xml:space="preserve">§§ 251</w:t>
        </w:r>
      </w:hyperlink>
      <w:r>
        <w:t xml:space="preserve"> und </w:t>
      </w:r>
      <w:hyperlink w:anchor="b275" w:history="1">
        <w:r>
          <w:rPr>
            <w:color w:val="0A3A8C"/>
            <w:u w:val="single"/>
          </w:rPr>
          <w:t xml:space="preserve">268</w:t>
        </w:r>
      </w:hyperlink>
      <w:r>
        <w:t xml:space="preserve"> Absatz 7 genannten Angaben und</w:t>
      </w:r>
    </w:p>
    <w:p>
      <w:pPr>
        <w:tabs>
          <w:tab w:pos="567" w:val="left"/>
        </w:tabs>
        <w:ind w:left="567" w:hanging="567"/>
      </w:pPr>
      <w:r>
        <w:t>2.</w:t>
      </w:r>
      <w:r>
        <w:tab/>
      </w:r>
      <w:r>
        <w:t>die in den Absätzen 1, 2 Nummer 1 und Absatz 3 genannten Angaben.</w:t>
      </w:r>
    </w:p>
    <w:p>
      <w:pPr>
        <w:pStyle w:val="Heading3"/>
      </w:pPr>
      <w:bookmarkStart w:id="392" w:name="b391"/>
      <w:r>
        <w:t>§ 339 Offenlegung</w:t>
      </w:r>
      <w:r>
        <w:t xml:space="preserve"> </w:t>
      </w:r>
      <w:r>
        <w:rPr>
          <w:rStyle w:val="Suchmarke"/>
        </w:rPr>
        <w:t>#339#</w:t>
      </w:r>
      <w:bookmarkEnd w:id="392"/>
    </w:p>
    <w:p>
      <w:r>
        <w:t xml:space="preserve">(1) </w:t>
      </w:r>
      <w:r>
        <w:rPr>
          <w:rStyle w:val="Satznummer"/>
        </w:rPr>
        <w:t>1</w:t>
      </w:r>
      <w:r>
        <w:t xml:space="preserve">Der Vorstand hat unverzüglich nach der Generalversammlung über den Jahresabschluß, jedoch spätestens vor Ablauf des zwölften Monats des dem Abschlussstichtag nachfolgenden Geschäftsjahrs, den festgestellten Jahresabschluß, den Lagebericht, die Erklärungen nach </w:t>
      </w:r>
      <w:hyperlink w:anchor="b265" w:history="1">
        <w:r>
          <w:rPr>
            <w:color w:val="0A3A8C"/>
            <w:u w:val="single"/>
          </w:rPr>
          <w:t xml:space="preserve">§ 264</w:t>
        </w:r>
      </w:hyperlink>
      <w:r>
        <w:t xml:space="preserve"> Absatz 2 Satz 3 und </w:t>
      </w:r>
      <w:hyperlink w:anchor="b297" w:history="1">
        <w:r>
          <w:rPr>
            <w:color w:val="0A3A8C"/>
            <w:u w:val="single"/>
          </w:rPr>
          <w:t xml:space="preserve">§ 289</w:t>
        </w:r>
      </w:hyperlink>
      <w:r>
        <w:t xml:space="preserve"> Absatz 1 Satz 5 und den Bericht des Aufsichtsrats in deutscher Sprache der das Unternehmensregister führenden Stelle elektronisch zur Einstellung in das Unternehmensregister zu übermitteln. </w:t>
      </w:r>
      <w:r>
        <w:rPr>
          <w:rStyle w:val="Satznummer"/>
        </w:rPr>
        <w:t>2</w:t>
      </w:r>
      <w:r>
        <w:t xml:space="preserve">Ist die Erteilung eines Bestätigungsvermerks nach § 58 Abs. 2 des Genossenschaftsgesetzes oder nach Artikel 10 Absatz 1 der Verordnung (EU) Nr. 537/2014 vorgeschrieben, so ist dieser mit dem Jahresabschluß zu übermitteln; hat der Prüfungsverband die Bestätigung des Jahresabschlusses versagt, so muß dies auf dem übermittelten Jahresabschluß vermerkt und der Vermerk vom Prüfungsverband unterschrieben sein. </w:t>
      </w:r>
      <w:r>
        <w:rPr>
          <w:rStyle w:val="Satznummer"/>
        </w:rPr>
        <w:t>3</w:t>
      </w:r>
      <w:r>
        <w:t xml:space="preserve">Ist die Prüfung des Jahresabschlusses im Zeitpunkt der Übermittlung der Unterlagen nach Satz 1 nicht abgeschlossen, so ist der Bestätigungsvermerk oder der Vermerk über seine Versagung unverzüglich nach Abschluß der Prüfung zu übermitteln. </w:t>
      </w:r>
      <w:r>
        <w:rPr>
          <w:rStyle w:val="Satznummer"/>
        </w:rPr>
        <w:t>4</w:t>
      </w:r>
      <w:r>
        <w:t>Wird der Jahresabschluß oder der Lagebericht nach der Übermittlung geändert, so ist auch die geänderte Fassung zu übermitteln.</w:t>
      </w:r>
    </w:p>
    <w:p>
      <w:r>
        <w:t xml:space="preserve">(2) </w:t>
      </w:r>
      <w:hyperlink w:anchor="b364" w:history="1">
        <w:r>
          <w:rPr>
            <w:color w:val="0A3A8C"/>
            <w:u w:val="single"/>
          </w:rPr>
          <w:t xml:space="preserve">§ 325</w:t>
        </w:r>
      </w:hyperlink>
      <w:r>
        <w:t xml:space="preserve"> Absatz 2a, 2b, 4 und 6 sowie die </w:t>
      </w:r>
      <w:hyperlink w:anchor="b366" w:history="1">
        <w:r>
          <w:rPr>
            <w:color w:val="0A3A8C"/>
            <w:u w:val="single"/>
          </w:rPr>
          <w:t xml:space="preserve">§§ 326</w:t>
        </w:r>
      </w:hyperlink>
      <w:r>
        <w:t xml:space="preserve"> bis </w:t>
      </w:r>
      <w:hyperlink w:anchor="b370" w:history="1">
        <w:r>
          <w:rPr>
            <w:color w:val="0A3A8C"/>
            <w:u w:val="single"/>
          </w:rPr>
          <w:t xml:space="preserve">329</w:t>
        </w:r>
      </w:hyperlink>
      <w:r>
        <w:t xml:space="preserve"> sind entsprechend anzuwenden.</w:t>
      </w:r>
    </w:p>
    <w:p>
      <w:r>
        <w:t xml:space="preserve">(3) </w:t>
      </w:r>
      <w:r>
        <w:rPr>
          <w:rStyle w:val="Satznummer"/>
        </w:rPr>
        <w:t>1</w:t>
      </w:r>
      <w:r>
        <w:t xml:space="preserve">Die </w:t>
      </w:r>
      <w:hyperlink w:anchor="b382" w:history="1">
        <w:r>
          <w:rPr>
            <w:color w:val="0A3A8C"/>
            <w:u w:val="single"/>
          </w:rPr>
          <w:t xml:space="preserve">§§ 335</w:t>
        </w:r>
      </w:hyperlink>
      <w:r>
        <w:t xml:space="preserve"> und </w:t>
      </w:r>
      <w:hyperlink w:anchor="b383" w:history="1">
        <w:r>
          <w:rPr>
            <w:color w:val="0A3A8C"/>
            <w:u w:val="single"/>
          </w:rPr>
          <w:t xml:space="preserve">335a</w:t>
        </w:r>
      </w:hyperlink>
      <w:r>
        <w:t xml:space="preserve"> finden mit den Maßgaben entsprechende Anwendung, dass sich das Ordnungsgeldverfahren gegen die Mitglieder des Vorstands der Genossenschaft richtet und nur auf Antrag des Prüfungsverbandes, dem die Genossenschaft angehört, oder eines Mitglieds, Gläubigers oder Arbeitnehmers der Genossenschaft durchzuführen ist. </w:t>
      </w:r>
      <w:r>
        <w:rPr>
          <w:rStyle w:val="Satznummer"/>
        </w:rPr>
        <w:t>2</w:t>
      </w:r>
      <w:r>
        <w:t>Das Ordnungsgeldverfahren kann auch gegen die Genossenschaft durchgeführt werden, für die die Mitglieder des Vorstands die in Absatz 1 genannten Pflichten zu erfüllen haben.</w:t>
      </w:r>
    </w:p>
    <w:p>
      <w:pPr>
        <w:pStyle w:val="Heading2"/>
      </w:pPr>
      <w:bookmarkStart w:id="393" w:name="b392"/>
      <w:r>
        <w:t>Vierter Abschnitt Ergänzende Vorschriften für bestimmte Unternehmen</w:t>
      </w:r>
      <w:bookmarkEnd w:id="393"/>
    </w:p>
    <w:p>
      <w:pPr>
        <w:pStyle w:val="Heading3"/>
      </w:pPr>
      <w:bookmarkStart w:id="394" w:name="b393"/>
      <w:r>
        <w:t>Erster Unterabschnitt Ergänzende Vorschriften für Kreditinstitute, Finanzdienstleistungsinstitute, Wertpapierinstitute, Zahlungsinstitute und E-Geld-Institute</w:t>
      </w:r>
      <w:bookmarkEnd w:id="394"/>
    </w:p>
    <w:p>
      <w:pPr>
        <w:pStyle w:val="Heading4"/>
      </w:pPr>
      <w:bookmarkStart w:id="395" w:name="b394"/>
      <w:r>
        <w:t>Erster Titel Anwendungsbereich</w:t>
      </w:r>
      <w:bookmarkEnd w:id="395"/>
    </w:p>
    <w:p>
      <w:pPr>
        <w:pStyle w:val="Heading5"/>
      </w:pPr>
      <w:bookmarkStart w:id="396" w:name="b395"/>
      <w:r>
        <w:t>§ 340</w:t>
      </w:r>
      <w:r>
        <w:t xml:space="preserve"> </w:t>
      </w:r>
      <w:r>
        <w:rPr>
          <w:rStyle w:val="Suchmarke"/>
        </w:rPr>
        <w:t>#340#</w:t>
      </w:r>
      <w:bookmarkEnd w:id="396"/>
    </w:p>
    <w:p>
      <w:r>
        <w:t xml:space="preserve">(1) </w:t>
      </w:r>
      <w:r>
        <w:rPr>
          <w:rStyle w:val="Satznummer"/>
        </w:rPr>
        <w:t>1</w:t>
      </w:r>
      <w:r>
        <w:t xml:space="preserve">Dieser Unterabschnitt ist auf Kreditinstitute im Sinne des § 1 Abs. 1 des Gesetzes über das Kreditwesen anzuwenden, soweit sie nach dessen § 2 Abs. 1, 4 oder 5 von der Anwendung nicht ausgenommen sind, sowie auf Zweigniederlassungen von Unternehmen mit Sitz in einem Staat, der nicht Mitglied der Europäischen Gemeinschaft und auch nicht Vertragsstaat des Abkommens über den Europäischen Wirtschaftsraum ist, sofern die Zweigniederlassung nach § 53 Abs. 1 des Gesetzes über das Kreditwesen als Kreditinstitut gilt. </w:t>
      </w:r>
      <w:r>
        <w:rPr>
          <w:rStyle w:val="Satznummer"/>
        </w:rPr>
        <w:t>2</w:t>
      </w:r>
      <w:hyperlink w:anchor="b413" w:history="1">
        <w:r>
          <w:rPr>
            <w:color w:val="0A3A8C"/>
            <w:u w:val="single"/>
          </w:rPr>
          <w:t xml:space="preserve">§ 340l</w:t>
        </w:r>
      </w:hyperlink>
      <w:r>
        <w:t xml:space="preserve"> Abs. 2 und 3 ist außerdem auf Zweigniederlassungen im Sinne des § 53b Abs. 1 Satz 1 und Abs. 7 des Gesetzes über das Kreditwesen, auch in Verbindung mit einer Rechtsverordnung nach § 53c Nr. 1 dieses Gesetzes, anzuwenden, sofern diese Zweigniederlassungen Bankgeschäfte im Sinne des </w:t>
      </w:r>
      <w:hyperlink w:anchor="b2" w:history="1">
        <w:r>
          <w:rPr>
            <w:color w:val="0A3A8C"/>
            <w:u w:val="single"/>
          </w:rPr>
          <w:t xml:space="preserve">§ 1</w:t>
        </w:r>
      </w:hyperlink>
      <w:r>
        <w:t xml:space="preserve"> Abs. 1 Satz 2 Nr. 1 bis 5 und 7 bis 12 dieses Gesetzes betreiben. </w:t>
      </w:r>
      <w:r>
        <w:rPr>
          <w:rStyle w:val="Satznummer"/>
        </w:rPr>
        <w:t>3</w:t>
      </w:r>
      <w:r>
        <w:t>Zusätzliche Anforderungen auf Grund von Vorschriften, die wegen der Rechtsform oder für Zweigniederlassungen bestehen, bleiben unberührt.</w:t>
      </w:r>
    </w:p>
    <w:p>
      <w:r>
        <w:t>(2) Dieser Unterabschnitt ist auf Unternehmen der in § 2 Abs. 1 Nr. 4 und 5 des Gesetzes über das Kreditwesen bezeichneten Art insoweit ergänzend anzuwenden, als sie Bankgeschäfte betreiben, die nicht zu den ihnen eigentümlichen Geschäften gehören.</w:t>
      </w:r>
    </w:p>
    <w:p>
      <w:r>
        <w:t>(3) Dieser Unterabschnitt ist auf Wohnungsunternehmen mit Spareinrichtung nicht anzuwenden.</w:t>
      </w:r>
    </w:p>
    <w:p>
      <w:r>
        <w:t xml:space="preserve">(4) </w:t>
      </w:r>
      <w:r>
        <w:rPr>
          <w:rStyle w:val="Satznummer"/>
        </w:rPr>
        <w:t>1</w:t>
      </w:r>
      <w:r>
        <w:t xml:space="preserve">Dieser Unterabschnitt ist auch auf Finanzdienstleistungsinstitute im Sinne des § 1 Abs. 1a des Gesetzes über das Kreditwesen anzuwenden, soweit sie nicht nach dessen § 2 Abs. 6 oder 10 von der Anwendung ausgenommen sind, sowie auf Zweigniederlassungen von Unternehmen mit Sitz in einem anderen Staat, der nicht Mitglied der Europäischen Gemeinschaft und auch nicht Vertragsstaat des Abkommens über den Europäischen Wirtschaftsraum ist, sofern die Zweigniederlassung nach § 53 Abs. 1 des Gesetzes über das Kreditwesen als Finanzdienstleistungsinstitut gilt. </w:t>
      </w:r>
      <w:r>
        <w:rPr>
          <w:rStyle w:val="Satznummer"/>
        </w:rPr>
        <w:t>2</w:t>
      </w:r>
      <w:hyperlink w:anchor="b399" w:history="1">
        <w:r>
          <w:rPr>
            <w:color w:val="0A3A8C"/>
            <w:u w:val="single"/>
          </w:rPr>
          <w:t xml:space="preserve">§ 340c</w:t>
        </w:r>
      </w:hyperlink>
      <w:r>
        <w:t xml:space="preserve"> Abs. 1 ist nicht anzuwenden auf Finanzdienstleistungsinstitute und Kreditinstitute, soweit letztere Skontroführer im Sinne des § 27 Abs. 1 Satz 1 des Börsengesetzes und nicht CRR-Kreditinstitute im Sinne des § 1 Abs. 3d Satz 1 des Gesetzes über das Kreditwesen sind. </w:t>
      </w:r>
      <w:r>
        <w:rPr>
          <w:rStyle w:val="Satznummer"/>
        </w:rPr>
        <w:t>3</w:t>
      </w:r>
      <w:r>
        <w:t>Zusätzliche Anforderungen auf Grund von Vorschriften, die wegen der Rechtsform oder für Zweigniederlassungen bestehen, bleiben unberührt.</w:t>
      </w:r>
    </w:p>
    <w:p>
      <w:r>
        <w:t xml:space="preserve">(4a) </w:t>
      </w:r>
      <w:r>
        <w:rPr>
          <w:rStyle w:val="Satznummer"/>
        </w:rPr>
        <w:t>1</w:t>
      </w:r>
      <w:r>
        <w:t xml:space="preserve">Dieser Unterabschnitt ist auch auf Wertpapierinstitute im Sinne des § 2 Absatz 1 des Wertpapierinstitutsgesetzes anzuwenden, soweit sie nicht nach dessen § 3 von der Anwendung ausgenommen sind. </w:t>
      </w:r>
      <w:r>
        <w:rPr>
          <w:rStyle w:val="Satznummer"/>
        </w:rPr>
        <w:t>2</w:t>
      </w:r>
      <w:hyperlink w:anchor="b399" w:history="1">
        <w:r>
          <w:rPr>
            <w:color w:val="0A3A8C"/>
            <w:u w:val="single"/>
          </w:rPr>
          <w:t xml:space="preserve">§ 340c</w:t>
        </w:r>
      </w:hyperlink>
      <w:r>
        <w:t xml:space="preserve"> Absatz 1 ist nicht anzuwenden auf Wertpapierinstitute, wenn diese Skontroführer im Sinne des § 27 Absatz 1 Satz 1 des Börsengesetzes sind. </w:t>
      </w:r>
      <w:r>
        <w:rPr>
          <w:rStyle w:val="Satznummer"/>
        </w:rPr>
        <w:t>3</w:t>
      </w:r>
      <w:r>
        <w:t>Zusätzliche Anforderungen auf Grund von Vorschriften, die wegen der Rechtsform bestehen, bleiben unberührt.</w:t>
      </w:r>
    </w:p>
    <w:p>
      <w:r>
        <w:t xml:space="preserve">(5) </w:t>
      </w:r>
      <w:r>
        <w:rPr>
          <w:rStyle w:val="Satznummer"/>
        </w:rPr>
        <w:t>1</w:t>
      </w:r>
      <w:r>
        <w:t xml:space="preserve">Dieser Unterabschnitt ist auch auf Institute im Sinne des § 1 Absatz 3 des Zahlungsdiensteaufsichtsgesetzes anzuwenden. </w:t>
      </w:r>
      <w:r>
        <w:rPr>
          <w:rStyle w:val="Satznummer"/>
        </w:rPr>
        <w:t>2</w:t>
      </w:r>
      <w:r>
        <w:t>Zusätzliche Anforderungen auf Grund von Vorschriften, die wegen der Rechtsform oder für Zweigniederlassungen bestehen, bleiben unberührt.</w:t>
      </w:r>
    </w:p>
    <w:p>
      <w:pPr>
        <w:pStyle w:val="Heading4"/>
      </w:pPr>
      <w:bookmarkStart w:id="397" w:name="b396"/>
      <w:r>
        <w:t>Zweiter Titel Jahresabschluß, Lagebericht, Zwischenabschluß</w:t>
      </w:r>
      <w:bookmarkEnd w:id="397"/>
    </w:p>
    <w:p>
      <w:pPr>
        <w:pStyle w:val="Heading5"/>
      </w:pPr>
      <w:bookmarkStart w:id="398" w:name="b397"/>
      <w:r>
        <w:t>§ 340a Anzuwendende Vorschriften</w:t>
      </w:r>
      <w:r>
        <w:t xml:space="preserve"> </w:t>
      </w:r>
      <w:r>
        <w:rPr>
          <w:rStyle w:val="Suchmarke"/>
        </w:rPr>
        <w:t>#340a#</w:t>
      </w:r>
      <w:bookmarkEnd w:id="398"/>
    </w:p>
    <w:p>
      <w:r>
        <w:t xml:space="preserve">(1) </w:t>
      </w:r>
      <w:r>
        <w:rPr>
          <w:rStyle w:val="Satznummer"/>
        </w:rPr>
        <w:t>1</w:t>
      </w:r>
      <w:r>
        <w:t xml:space="preserve">Kreditinstitute, auch wenn sie nicht in der Rechtsform einer Kapitalgesellschaft betrieben werden, haben auf ihren Jahresabschluß die für große Kapitalgesellschaften geltenden Vorschriften des Ersten Unterabschnitts des Zweiten Abschnitts anzuwenden, soweit in den Vorschriften dieses Unterabschnitts nichts anderes bestimmt ist. </w:t>
      </w:r>
      <w:r>
        <w:rPr>
          <w:rStyle w:val="Satznummer"/>
        </w:rPr>
        <w:t>2</w:t>
      </w:r>
      <w:r>
        <w:t>Kreditinstitute haben außerdem einen Lagebericht nach den für große Kapitalgesellschaften geltenden Bestimmungen aufzustellen.</w:t>
      </w:r>
    </w:p>
    <w:p>
      <w:r>
        <w:t xml:space="preserve">(1a) </w:t>
      </w:r>
      <w:r>
        <w:rPr>
          <w:rStyle w:val="Satznummer"/>
        </w:rPr>
        <w:t>1</w:t>
      </w:r>
      <w:r>
        <w:t xml:space="preserve">Ein Kreditinstitut hat seinen Lagebericht um eine nichtfinanzielle Erklärung zu erweitern, wenn es in entsprechender Anwendung des </w:t>
      </w:r>
      <w:hyperlink w:anchor="b273" w:history="1">
        <w:r>
          <w:rPr>
            <w:color w:val="0A3A8C"/>
            <w:u w:val="single"/>
          </w:rPr>
          <w:t xml:space="preserve">§ 267</w:t>
        </w:r>
      </w:hyperlink>
      <w:r>
        <w:t xml:space="preserve"> Absatz 3 Satz 1 und Absatz 4 bis 5 als groß gilt und im Jahresdurchschnitt mehr als 500 Arbeitnehmer beschäftigt. </w:t>
      </w:r>
      <w:r>
        <w:rPr>
          <w:rStyle w:val="Satznummer"/>
        </w:rPr>
        <w:t>2</w:t>
      </w:r>
      <w:r>
        <w:t xml:space="preserve">Wenn die nichtfinanzielle Erklärung einen besonderen Abschnitt des Lageberichts bildet, darf das Kreditinstitut auf die an anderer Stelle im Lagebericht enthaltenen nichtfinanziellen Angaben verweisen. </w:t>
      </w:r>
      <w:r>
        <w:rPr>
          <w:rStyle w:val="Satznummer"/>
        </w:rPr>
        <w:t>3</w:t>
      </w:r>
      <w:hyperlink w:anchor="b299" w:history="1">
        <w:r>
          <w:rPr>
            <w:color w:val="0A3A8C"/>
            <w:u w:val="single"/>
          </w:rPr>
          <w:t xml:space="preserve">§ 289b</w:t>
        </w:r>
      </w:hyperlink>
      <w:r>
        <w:t xml:space="preserve"> Absatz 2 bis 4 und die </w:t>
      </w:r>
      <w:hyperlink w:anchor="b300" w:history="1">
        <w:r>
          <w:rPr>
            <w:color w:val="0A3A8C"/>
            <w:u w:val="single"/>
          </w:rPr>
          <w:t xml:space="preserve">§§ 289c</w:t>
        </w:r>
      </w:hyperlink>
      <w:r>
        <w:t xml:space="preserve"> bis </w:t>
      </w:r>
      <w:hyperlink w:anchor="b302" w:history="1">
        <w:r>
          <w:rPr>
            <w:color w:val="0A3A8C"/>
            <w:u w:val="single"/>
          </w:rPr>
          <w:t xml:space="preserve">289e</w:t>
        </w:r>
      </w:hyperlink>
      <w:r>
        <w:t xml:space="preserve"> sind entsprechend anzuwenden.</w:t>
      </w:r>
    </w:p>
    <w:p>
      <w:r>
        <w:t xml:space="preserve">(1b) </w:t>
      </w:r>
      <w:r>
        <w:rPr>
          <w:rStyle w:val="Satznummer"/>
        </w:rPr>
        <w:t>1</w:t>
      </w:r>
      <w:r>
        <w:t xml:space="preserve">Ein Kreditinstitut, das nach Absatz 1 in Verbindung mit </w:t>
      </w:r>
      <w:hyperlink w:anchor="b303" w:history="1">
        <w:r>
          <w:rPr>
            <w:color w:val="0A3A8C"/>
            <w:u w:val="single"/>
          </w:rPr>
          <w:t xml:space="preserve">§ 289f</w:t>
        </w:r>
      </w:hyperlink>
      <w:r>
        <w:t xml:space="preserve"> Absatz 1 eine Erklärung zur Unternehmensführung zu erstellen hat, hat darin Angaben nach </w:t>
      </w:r>
      <w:hyperlink w:anchor="b303" w:history="1">
        <w:r>
          <w:rPr>
            <w:color w:val="0A3A8C"/>
            <w:u w:val="single"/>
          </w:rPr>
          <w:t xml:space="preserve">§ 289f</w:t>
        </w:r>
      </w:hyperlink>
      <w:r>
        <w:t xml:space="preserve"> Absatz 2 Nummer 6 aufzunehmen, wenn es in entsprechender Anwendung des </w:t>
      </w:r>
      <w:hyperlink w:anchor="b273" w:history="1">
        <w:r>
          <w:rPr>
            <w:color w:val="0A3A8C"/>
            <w:u w:val="single"/>
          </w:rPr>
          <w:t xml:space="preserve">§ 267</w:t>
        </w:r>
      </w:hyperlink>
      <w:r>
        <w:t xml:space="preserve"> Absatz 3 Satz 1 und Absatz 4 bis 5 als groß gilt. </w:t>
      </w:r>
      <w:r>
        <w:rPr>
          <w:rStyle w:val="Satznummer"/>
        </w:rPr>
        <w:t>2</w:t>
      </w:r>
      <w:r>
        <w:t xml:space="preserve">Ein Kreditinstitut, das eine Genossenschaft ist, hat </w:t>
      </w:r>
      <w:hyperlink w:anchor="b303" w:history="1">
        <w:r>
          <w:rPr>
            <w:color w:val="0A3A8C"/>
            <w:u w:val="single"/>
          </w:rPr>
          <w:t xml:space="preserve">§ 289f</w:t>
        </w:r>
      </w:hyperlink>
      <w:r>
        <w:t xml:space="preserve"> Absatz 4 nach Maßgabe des § 9 Absatz 3 und 4 des Genossenschaftsgesetzes anzuwenden.</w:t>
      </w:r>
    </w:p>
    <w:p>
      <w:r>
        <w:t xml:space="preserve">(2) </w:t>
      </w:r>
      <w:r>
        <w:rPr>
          <w:rStyle w:val="Satznummer"/>
        </w:rPr>
        <w:t>1</w:t>
      </w:r>
      <w:hyperlink w:anchor="b265" w:history="1">
        <w:r>
          <w:rPr>
            <w:color w:val="0A3A8C"/>
            <w:u w:val="single"/>
          </w:rPr>
          <w:t xml:space="preserve">§ 264</w:t>
        </w:r>
      </w:hyperlink>
      <w:r>
        <w:t xml:space="preserve"> Absatz 3, </w:t>
      </w:r>
      <w:hyperlink w:anchor="b267" w:history="1">
        <w:r>
          <w:rPr>
            <w:color w:val="0A3A8C"/>
            <w:u w:val="single"/>
          </w:rPr>
          <w:t xml:space="preserve">§§ 264b</w:t>
        </w:r>
      </w:hyperlink>
      <w:r>
        <w:t xml:space="preserve">, </w:t>
      </w:r>
      <w:hyperlink w:anchor="b270" w:history="1">
        <w:r>
          <w:rPr>
            <w:color w:val="0A3A8C"/>
            <w:u w:val="single"/>
          </w:rPr>
          <w:t xml:space="preserve">265</w:t>
        </w:r>
      </w:hyperlink>
      <w:r>
        <w:t xml:space="preserve"> Absatz 6 und 7, </w:t>
      </w:r>
      <w:hyperlink w:anchor="b273" w:history="1">
        <w:r>
          <w:rPr>
            <w:color w:val="0A3A8C"/>
            <w:u w:val="single"/>
          </w:rPr>
          <w:t xml:space="preserve">§§ 267</w:t>
        </w:r>
      </w:hyperlink>
      <w:r>
        <w:t xml:space="preserve">, </w:t>
      </w:r>
      <w:hyperlink w:anchor="b275" w:history="1">
        <w:r>
          <w:rPr>
            <w:color w:val="0A3A8C"/>
            <w:u w:val="single"/>
          </w:rPr>
          <w:t xml:space="preserve">268</w:t>
        </w:r>
      </w:hyperlink>
      <w:r>
        <w:t xml:space="preserve"> Abs. 4 Satz 1, Abs. 5 Satz 1 und 2, </w:t>
      </w:r>
      <w:hyperlink w:anchor="b285" w:history="1">
        <w:r>
          <w:rPr>
            <w:color w:val="0A3A8C"/>
            <w:u w:val="single"/>
          </w:rPr>
          <w:t xml:space="preserve">§§ 276</w:t>
        </w:r>
      </w:hyperlink>
      <w:r>
        <w:t xml:space="preserve">, </w:t>
      </w:r>
      <w:hyperlink w:anchor="b286" w:history="1">
        <w:r>
          <w:rPr>
            <w:color w:val="0A3A8C"/>
            <w:u w:val="single"/>
          </w:rPr>
          <w:t xml:space="preserve">277</w:t>
        </w:r>
      </w:hyperlink>
      <w:r>
        <w:t xml:space="preserve"> Abs. 1, 2, 3 Satz 1, </w:t>
      </w:r>
      <w:hyperlink w:anchor="b291" w:history="1">
        <w:r>
          <w:rPr>
            <w:color w:val="0A3A8C"/>
            <w:u w:val="single"/>
          </w:rPr>
          <w:t xml:space="preserve">§ 284</w:t>
        </w:r>
      </w:hyperlink>
      <w:r>
        <w:t xml:space="preserve"> Absatz 2 Nummer 3, </w:t>
      </w:r>
      <w:hyperlink w:anchor="b292" w:history="1">
        <w:r>
          <w:rPr>
            <w:color w:val="0A3A8C"/>
            <w:u w:val="single"/>
          </w:rPr>
          <w:t xml:space="preserve">§ 285</w:t>
        </w:r>
      </w:hyperlink>
      <w:r>
        <w:t xml:space="preserve"> Nr. 8 und 12, </w:t>
      </w:r>
      <w:hyperlink w:anchor="b295" w:history="1">
        <w:r>
          <w:rPr>
            <w:color w:val="0A3A8C"/>
            <w:u w:val="single"/>
          </w:rPr>
          <w:t xml:space="preserve">§ 288</w:t>
        </w:r>
      </w:hyperlink>
      <w:r>
        <w:t xml:space="preserve"> sind nicht anzuwenden. </w:t>
      </w:r>
      <w:r>
        <w:rPr>
          <w:rStyle w:val="Satznummer"/>
        </w:rPr>
        <w:t>2</w:t>
      </w:r>
      <w:r>
        <w:t xml:space="preserve">An Stelle von § 247 Abs. 1, §§ 251, 266, 268 Absatz 7, §§ 275, 284 Absatz 3, § 285 Nummer 1, 2, 4, 9 Buchstabe c und Nummer 27 sind die durch Rechtsverordnung erlassenen Formblätter und anderen Vorschriften anzuwenden. </w:t>
      </w:r>
      <w:r>
        <w:rPr>
          <w:rStyle w:val="Satznummer"/>
        </w:rPr>
        <w:t>3</w:t>
      </w:r>
      <w:hyperlink w:anchor="b240" w:history="1">
        <w:r>
          <w:rPr>
            <w:color w:val="0A3A8C"/>
            <w:u w:val="single"/>
          </w:rPr>
          <w:t xml:space="preserve">§ 246</w:t>
        </w:r>
      </w:hyperlink>
      <w:r>
        <w:t xml:space="preserve"> Abs. 2 ist nicht anzuwenden, soweit abweichende Vorschriften bestehen. </w:t>
      </w:r>
      <w:r>
        <w:rPr>
          <w:rStyle w:val="Satznummer"/>
        </w:rPr>
        <w:t>4</w:t>
      </w:r>
      <w:hyperlink w:anchor="b292" w:history="1">
        <w:r>
          <w:rPr>
            <w:color w:val="0A3A8C"/>
            <w:u w:val="single"/>
          </w:rPr>
          <w:t xml:space="preserve">§ 285</w:t>
        </w:r>
      </w:hyperlink>
      <w:r>
        <w:t xml:space="preserve"> Nummer 31 ist nicht anzuwenden; unter den Posten „außerordentliche Erträge“ und „außerordentliche Aufwendungen“ sind Erträge und Aufwendungen auszuweisen, die außerhalb der gewöhnlichen Geschäftstätigkeit anfallen. </w:t>
      </w:r>
      <w:r>
        <w:rPr>
          <w:rStyle w:val="Satznummer"/>
        </w:rPr>
        <w:t>5</w:t>
      </w:r>
      <w:r>
        <w:t>Im Anhang sind diese Posten hinsichtlich ihres Betrags und ihrer Art zu erläutern, soweit die ausgewiesenen Beträge für die Beurteilung der Ertragslage nicht von untergeordneter Bedeutung sind.</w:t>
      </w:r>
    </w:p>
    <w:p>
      <w:r>
        <w:t xml:space="preserve">(3) </w:t>
      </w:r>
      <w:r>
        <w:rPr>
          <w:rStyle w:val="Satznummer"/>
        </w:rPr>
        <w:t>1</w:t>
      </w:r>
      <w:r>
        <w:t xml:space="preserve">Sofern Kreditinstitute einer prüferischen Durchsicht zu unterziehende Zwischenabschlüsse zur Ermittlung von Zwischenergebnissen im Sinne des Artikels 26 Absatz 2 der Verordnung (EU) Nr. 575/2013 des Europäischen Parlaments und des Rates vom 26. Juni 2013 über Aufsichtsanforderungen an Kreditinstitute und Wertpapierfirmen und zur Änderung der Verordnung (EU) Nr. 646/2012 (ABl. L 176 vom 27.6.2013, S. 1) aufstellen, sind auf diese die für den Jahresabschluss geltenden Rechnungslegungsgrundsätze anzuwenden. </w:t>
      </w:r>
      <w:r>
        <w:rPr>
          <w:rStyle w:val="Satznummer"/>
        </w:rPr>
        <w:t>2</w:t>
      </w:r>
      <w:r>
        <w:t xml:space="preserve">Die Vorschriften über die Bestellung des Abschlussprüfers sind auf die prüferische Durchsicht entsprechend anzuwenden. </w:t>
      </w:r>
      <w:r>
        <w:rPr>
          <w:rStyle w:val="Satznummer"/>
        </w:rPr>
        <w:t>3</w:t>
      </w:r>
      <w:r>
        <w:t xml:space="preserve">Die prüferische Durchsicht ist so anzulegen, dass bei gewissenhafter Berufsausübung ausgeschlossen werden kann, dass der Zwischenabschluss in wesentlichen Belangen den anzuwendenden Rechnungslegungsgrundsätzen widerspricht. </w:t>
      </w:r>
      <w:r>
        <w:rPr>
          <w:rStyle w:val="Satznummer"/>
        </w:rPr>
        <w:t>4</w:t>
      </w:r>
      <w:r>
        <w:t xml:space="preserve">Der Abschlussprüfer hat das Ergebnis der prüferischen Durchsicht in einer Bescheinigung zusammenzufassen. </w:t>
      </w:r>
      <w:r>
        <w:rPr>
          <w:rStyle w:val="Satznummer"/>
        </w:rPr>
        <w:t>5</w:t>
      </w:r>
      <w:hyperlink w:anchor="b356" w:history="1">
        <w:r>
          <w:rPr>
            <w:color w:val="0A3A8C"/>
            <w:u w:val="single"/>
          </w:rPr>
          <w:t xml:space="preserve">§ 320</w:t>
        </w:r>
      </w:hyperlink>
      <w:r>
        <w:t xml:space="preserve"> und </w:t>
      </w:r>
      <w:hyperlink w:anchor="b360" w:history="1">
        <w:r>
          <w:rPr>
            <w:color w:val="0A3A8C"/>
            <w:u w:val="single"/>
          </w:rPr>
          <w:t xml:space="preserve">§ 323</w:t>
        </w:r>
      </w:hyperlink>
      <w:r>
        <w:t xml:space="preserve"> gelten entsprechend.</w:t>
      </w:r>
    </w:p>
    <w:p>
      <w:r>
        <w:t>(4) Zusätzlich haben Kreditinstitute im Anhang zum Jahresabschluß anzugeben:</w:t>
      </w:r>
    </w:p>
    <w:p>
      <w:pPr>
        <w:tabs>
          <w:tab w:pos="567" w:val="left"/>
        </w:tabs>
        <w:ind w:left="567" w:hanging="567"/>
      </w:pPr>
      <w:r>
        <w:t>1.</w:t>
      </w:r>
      <w:r>
        <w:tab/>
      </w:r>
      <w:r>
        <w:t>alle Mandate in gesetzlich zu bildenden Aufsichtsgremien von großen Kapitalgesellschaften (</w:t>
      </w:r>
      <w:hyperlink w:anchor="b273" w:history="1">
        <w:r>
          <w:rPr>
            <w:color w:val="0A3A8C"/>
            <w:u w:val="single"/>
          </w:rPr>
          <w:t xml:space="preserve">§ 267</w:t>
        </w:r>
      </w:hyperlink>
      <w:r>
        <w:t xml:space="preserve"> Abs. 3), die von gesetzlichen Vertretern oder anderen Mitarbeitern wahrgenommen werden;</w:t>
      </w:r>
    </w:p>
    <w:p>
      <w:pPr>
        <w:tabs>
          <w:tab w:pos="567" w:val="left"/>
        </w:tabs>
        <w:ind w:left="567" w:hanging="567"/>
      </w:pPr>
      <w:r>
        <w:t>2.</w:t>
      </w:r>
      <w:r>
        <w:tab/>
      </w:r>
      <w:r>
        <w:t>alle Beteiligungen an großen Kapitalgesellschaften, die fünf vom Hundert der Stimmrechte überschreiten.</w:t>
      </w:r>
    </w:p>
    <w:p>
      <w:pPr>
        <w:pStyle w:val="Heading5"/>
      </w:pPr>
      <w:bookmarkStart w:id="399" w:name="b398"/>
      <w:r>
        <w:t>§ 340b Pensionsgeschäfte</w:t>
      </w:r>
      <w:r>
        <w:t xml:space="preserve"> </w:t>
      </w:r>
      <w:r>
        <w:rPr>
          <w:rStyle w:val="Suchmarke"/>
        </w:rPr>
        <w:t>#340b#</w:t>
      </w:r>
      <w:bookmarkEnd w:id="399"/>
    </w:p>
    <w:p>
      <w:r>
        <w:t>(1) Pensionsgeschäfte sind Verträge, durch die ein Kreditinstitut oder der Kunde eines Kreditinstituts (Pensionsgeber) ihm gehörende Vermögensgegenstände einem anderen Kreditinstitut oder einem seiner Kunden (Pensionsnehmer) gegen Zahlung eines Betrags überträgt und in denen gleichzeitig vereinbart wird, daß die Vermögensgegenstände später gegen Entrichtung des empfangenen oder eines im voraus vereinbarten anderen Betrags an den Pensionsgeber zurückübertragen werden müssen oder können.</w:t>
      </w:r>
    </w:p>
    <w:p>
      <w:r>
        <w:t>(2) Übernimmt der Pensionsnehmer die Verpflichtung, die Vermögensgegenstände zu einem bestimmten oder vom Pensionsgeber zu bestimmenden Zeitpunkt zurückzuübertragen, so handelt es sich um ein echtes Pensionsgeschäft.</w:t>
      </w:r>
    </w:p>
    <w:p>
      <w:r>
        <w:t>(3) Ist der Pensionsnehmer lediglich berechtigt, die Vermögensgegenstände zu einem vorher bestimmten oder von ihm noch zu bestimmenden Zeitpunkt zurückzuübertragen, so handelt es sich um ein unechtes Pensionsgeschäft.</w:t>
      </w:r>
    </w:p>
    <w:p>
      <w:r>
        <w:t xml:space="preserve">(4) </w:t>
      </w:r>
      <w:r>
        <w:rPr>
          <w:rStyle w:val="Satznummer"/>
        </w:rPr>
        <w:t>1</w:t>
      </w:r>
      <w:r>
        <w:t xml:space="preserve">Im Falle von echten Pensionsgeschäften sind die übertragenen Vermögensgegenstände in der Bilanz des Pensionsgebers weiterhin auszuweisen. </w:t>
      </w:r>
      <w:r>
        <w:rPr>
          <w:rStyle w:val="Satznummer"/>
        </w:rPr>
        <w:t>2</w:t>
      </w:r>
      <w:r>
        <w:t xml:space="preserve">Der Pensionsgeber hat in Höhe des für die Übertragung erhaltenen Betrags eine Verbindlichkeit gegenüber dem Pensionsnehmer auszuweisen. </w:t>
      </w:r>
      <w:r>
        <w:rPr>
          <w:rStyle w:val="Satznummer"/>
        </w:rPr>
        <w:t>3</w:t>
      </w:r>
      <w:r>
        <w:t xml:space="preserve">Ist für die Rückübertragung ein höherer oder ein niedrigerer Betrag vereinbart, so ist der Unterschiedsbetrag über die Laufzeit des Pensionsgeschäfts zu verteilen. </w:t>
      </w:r>
      <w:r>
        <w:rPr>
          <w:rStyle w:val="Satznummer"/>
        </w:rPr>
        <w:t>4</w:t>
      </w:r>
      <w:r>
        <w:t xml:space="preserve">Außerdem hat der Pensionsgeber den Buchwert der in Pension gegebenen Vermögensgegenstände im Anhang anzugeben. </w:t>
      </w:r>
      <w:r>
        <w:rPr>
          <w:rStyle w:val="Satznummer"/>
        </w:rPr>
        <w:t>5</w:t>
      </w:r>
      <w:r>
        <w:t xml:space="preserve">Der Pensionsnehmer darf die ihm in Pension gegebenen Vermögensgegenstände nicht in seiner Bilanz ausweisen; er hat in Höhe des für die Übertragung gezahlten Betrags eine Forderung an den Pensionsgeber in seiner Bilanz auszuweisen. </w:t>
      </w:r>
      <w:r>
        <w:rPr>
          <w:rStyle w:val="Satznummer"/>
        </w:rPr>
        <w:t>6</w:t>
      </w:r>
      <w:r>
        <w:t>Ist für die Rückübertragung ein höherer oder ein niedrigerer Betrag vereinbart, so ist der Unterschiedsbetrag über die Laufzeit des Pensionsgeschäfts zu verteilen.</w:t>
      </w:r>
    </w:p>
    <w:p>
      <w:r>
        <w:t xml:space="preserve">(5) </w:t>
      </w:r>
      <w:r>
        <w:rPr>
          <w:rStyle w:val="Satznummer"/>
        </w:rPr>
        <w:t>1</w:t>
      </w:r>
      <w:r>
        <w:t xml:space="preserve">Im Falle von unechten Pensionsgeschäften sind die Vermögensgegenstände nicht in der Bilanz des Pensionsgebers, sondern in der Bilanz des Pensionsnehmers auszuweisen. </w:t>
      </w:r>
      <w:r>
        <w:rPr>
          <w:rStyle w:val="Satznummer"/>
        </w:rPr>
        <w:t>2</w:t>
      </w:r>
      <w:r>
        <w:t>Der Pensionsgeber hat unter der Bilanz den für den Fall der Rückübertragung vereinbarten Betrag anzugeben.</w:t>
      </w:r>
    </w:p>
    <w:p>
      <w:r>
        <w:t>(6) Devisentermingeschäfte, Finanztermingeschäfte und ähnliche Geschäfte sowie die Ausgabe eigener Schuldverschreibungen auf abgekürzte Zeit gelten nicht als Pensionsgeschäfte im Sinne dieser Vorschrift.</w:t>
      </w:r>
    </w:p>
    <w:p>
      <w:pPr>
        <w:pStyle w:val="Heading5"/>
      </w:pPr>
      <w:bookmarkStart w:id="400" w:name="b399"/>
      <w:r>
        <w:t>§ 340c Vorschriften zur Gewinn- und Verlustrechnung und zum Anhang</w:t>
      </w:r>
      <w:r>
        <w:t xml:space="preserve"> </w:t>
      </w:r>
      <w:r>
        <w:rPr>
          <w:rStyle w:val="Suchmarke"/>
        </w:rPr>
        <w:t>#340c#</w:t>
      </w:r>
      <w:bookmarkEnd w:id="400"/>
    </w:p>
    <w:p>
      <w:r>
        <w:t xml:space="preserve">(1) </w:t>
      </w:r>
      <w:r>
        <w:rPr>
          <w:rStyle w:val="Satznummer"/>
        </w:rPr>
        <w:t>1</w:t>
      </w:r>
      <w:r>
        <w:t xml:space="preserve">Als Ertrag oder Aufwand des Handelsbestands ist der Unterschiedsbetrag aller Erträge und Aufwendungen aus Geschäften mit Finanzinstrumenten des Handelsbestands und dem Handel mit Edelmetallen sowie der zugehörigen Erträge aus Zuschreibungen und Aufwendungen aus Abschreibungen auszuweisen. </w:t>
      </w:r>
      <w:r>
        <w:rPr>
          <w:rStyle w:val="Satznummer"/>
        </w:rPr>
        <w:t>2</w:t>
      </w:r>
      <w:r>
        <w:t>In die Verrechnung sind außerdem die Aufwendungen für die Bildung von Rückstellungen für drohende Verluste aus den in Satz 1 bezeichneten Geschäften und die Erträge aus der Auflösung dieser Rückstellungen einzubeziehen.</w:t>
      </w:r>
    </w:p>
    <w:p>
      <w:r>
        <w:t xml:space="preserve">(2) </w:t>
      </w:r>
      <w:r>
        <w:rPr>
          <w:rStyle w:val="Satznummer"/>
        </w:rPr>
        <w:t>1</w:t>
      </w:r>
      <w:r>
        <w:t xml:space="preserve">Die Aufwendungen aus Abschreibungen auf Beteiligungen, Anteile an verbundenen Unternehmen und wie Anlagevermögen behandelte Wertpapiere dürfen mit den Erträgen aus Zuschreibungen zu solchen Vermögensgegenständen verrechnet und in einem Aufwand- oder Ertragsposten ausgewiesen werden. </w:t>
      </w:r>
      <w:r>
        <w:rPr>
          <w:rStyle w:val="Satznummer"/>
        </w:rPr>
        <w:t>2</w:t>
      </w:r>
      <w:r>
        <w:t>In die Verrechnung nach Satz 1 dürfen auch die Aufwendungen und Erträge aus Geschäften mit solchen Vermögensgegenständen einbezogen werden.</w:t>
      </w:r>
    </w:p>
    <w:p>
      <w:r>
        <w:t>(3) Kreditinstitute, die dem haftenden Eigenkapital nicht realisierte Reserven nach § 10 Abs. 2b Satz 1 Nr. 6 oder 7 des Gesetzes über das Kreditwesen in der bis zum 31. Dezember 2013 geltenden Fassung zurechnen, haben den Betrag, mit dem diese Reserven dem haftenden Eigenkapital zugerechnet werden, im Anhang zur Bilanz und zur Gewinn- und Verlustrechnung anzugeben.</w:t>
      </w:r>
    </w:p>
    <w:p>
      <w:pPr>
        <w:pStyle w:val="Heading5"/>
      </w:pPr>
      <w:bookmarkStart w:id="401" w:name="b400"/>
      <w:r>
        <w:t>§ 340d Fristengliederung</w:t>
      </w:r>
      <w:r>
        <w:t xml:space="preserve"> </w:t>
      </w:r>
      <w:r>
        <w:rPr>
          <w:rStyle w:val="Suchmarke"/>
        </w:rPr>
        <w:t>#340d#</w:t>
      </w:r>
      <w:bookmarkEnd w:id="401"/>
    </w:p>
    <w:p>
      <w:r>
        <w:rPr>
          <w:rStyle w:val="Satznummer"/>
        </w:rPr>
        <w:t>1</w:t>
      </w:r>
      <w:r>
        <w:t xml:space="preserve">Die Forderungen und Verbindlichkeiten sind im Anhang nach der Fristigkeit zu gliedern. </w:t>
      </w:r>
      <w:r>
        <w:rPr>
          <w:rStyle w:val="Satznummer"/>
        </w:rPr>
        <w:t>2</w:t>
      </w:r>
      <w:r>
        <w:t>Für die Gliederung nach der Fristigkeit ist die Restlaufzeit am Bilanzstichtag maßgebend.</w:t>
      </w:r>
    </w:p>
    <w:p>
      <w:pPr>
        <w:pStyle w:val="Heading4"/>
      </w:pPr>
      <w:bookmarkStart w:id="402" w:name="b401"/>
      <w:r>
        <w:t>Dritter Titel Bewertungsvorschriften</w:t>
      </w:r>
      <w:bookmarkEnd w:id="402"/>
    </w:p>
    <w:p>
      <w:pPr>
        <w:pStyle w:val="Heading5"/>
      </w:pPr>
      <w:bookmarkStart w:id="403" w:name="b402"/>
      <w:r>
        <w:t>§ 340e Bewertung von Vermögensgegenständen</w:t>
      </w:r>
      <w:r>
        <w:t xml:space="preserve"> </w:t>
      </w:r>
      <w:r>
        <w:rPr>
          <w:rStyle w:val="Suchmarke"/>
        </w:rPr>
        <w:t>#340e#</w:t>
      </w:r>
      <w:bookmarkEnd w:id="403"/>
    </w:p>
    <w:p>
      <w:r>
        <w:t xml:space="preserve">(1) </w:t>
      </w:r>
      <w:r>
        <w:rPr>
          <w:rStyle w:val="Satznummer"/>
        </w:rPr>
        <w:t>1</w:t>
      </w:r>
      <w:r>
        <w:t xml:space="preserve">Kreditinstitute haben Beteiligungen einschließlich der Anteile an verbundenen Unternehmen, Konzessionen, gewerbliche Schutzrechte und ähnliche Rechte und Werte sowie Lizenzen an solchen Rechten und Werten, Grundstücke, grundstücksgleiche Rechte und Bauten einschließlich der Bauten auf fremden Grundstücken, technische Anlagen und Maschinen, andere Anlagen, Betriebs- und Geschäftsausstattung sowie Anlagen im Bau nach den für das Anlagevermögen geltenden Vorschriften zu bewerten, es sei denn, daß sie nicht dazu bestimmt sind, dauernd dem Geschäftsbetrieb zu dienen; in diesem Falle sind sie nach Satz 2 zu bewerten. </w:t>
      </w:r>
      <w:r>
        <w:rPr>
          <w:rStyle w:val="Satznummer"/>
        </w:rPr>
        <w:t>2</w:t>
      </w:r>
      <w:r>
        <w:t xml:space="preserve">Andere Vermögensgegenstände, insbesondere Forderungen und Wertpapiere, sind nach den für das Umlaufvermögen geltenden Vorschriften zu bewerten, es sei denn, daß sie dazu bestimmt werden, dauernd dem Geschäftsbetrieb zu dienen; in diesem Falle sind sie nach Satz 1 zu bewerten. </w:t>
      </w:r>
      <w:r>
        <w:rPr>
          <w:rStyle w:val="Satznummer"/>
        </w:rPr>
        <w:t>3</w:t>
      </w:r>
      <w:hyperlink w:anchor="b248" w:history="1">
        <w:r>
          <w:rPr>
            <w:color w:val="0A3A8C"/>
            <w:u w:val="single"/>
          </w:rPr>
          <w:t xml:space="preserve">§ 253</w:t>
        </w:r>
      </w:hyperlink>
      <w:r>
        <w:t xml:space="preserve"> Absatz 3 Satz 6 ist nur auf Beteiligungen und Anteile an verbundenen Unternehmen im Sinn des Satzes 1 sowie Wertpapiere und Forderungen im Sinn des Satzes 2, die dauernd dem Geschäftsbetrieb zu dienen bestimmt sind, anzuwenden.</w:t>
      </w:r>
    </w:p>
    <w:p>
      <w:r>
        <w:t xml:space="preserve">(2) </w:t>
      </w:r>
      <w:r>
        <w:rPr>
          <w:rStyle w:val="Satznummer"/>
        </w:rPr>
        <w:t>1</w:t>
      </w:r>
      <w:r>
        <w:t xml:space="preserve">Abweichend von </w:t>
      </w:r>
      <w:hyperlink w:anchor="b248" w:history="1">
        <w:r>
          <w:rPr>
            <w:color w:val="0A3A8C"/>
            <w:u w:val="single"/>
          </w:rPr>
          <w:t xml:space="preserve">§ 253</w:t>
        </w:r>
      </w:hyperlink>
      <w:r>
        <w:t xml:space="preserve"> Abs. 1 Satz 1 dürfen Hypothekendarlehen und andere Forderungen mit ihrem Nennbetrag angesetzt werden, soweit der Unterschiedsbetrag zwischen dem Nennbetrag und dem Auszahlungsbetrag oder den Anschaffungskosten Zinscharakter hat. </w:t>
      </w:r>
      <w:r>
        <w:rPr>
          <w:rStyle w:val="Satznummer"/>
        </w:rPr>
        <w:t>2</w:t>
      </w:r>
      <w:r>
        <w:t xml:space="preserve">Ist der Nennbetrag höher als der Auszahlungsbetrag oder die Anschaffungskosten, so ist der Unterschiedsbetrag in den Rechnungsabgrenzungsposten auf der Passivseite aufzunehmen; er ist planmäßig aufzulösen und in seiner jeweiligen Höhe in der Bilanz oder im Anhang gesondert anzugeben. </w:t>
      </w:r>
      <w:r>
        <w:rPr>
          <w:rStyle w:val="Satznummer"/>
        </w:rPr>
        <w:t>3</w:t>
      </w:r>
      <w:r>
        <w:t>Ist der Nennbetrag niedriger als der Auszahlungsbetrag oder die Anschaffungskosten, so darf der Unterschiedsbetrag in den Rechnungsabgrenzungsposten auf der Aktivseite aufgenommen werden; er ist planmäßig aufzulösen und in seiner jeweiligen Höhe in der Bilanz oder im Anhang gesondert anzugeben.</w:t>
      </w:r>
    </w:p>
    <w:p>
      <w:r>
        <w:t xml:space="preserve">(3) </w:t>
      </w:r>
      <w:r>
        <w:rPr>
          <w:rStyle w:val="Satznummer"/>
        </w:rPr>
        <w:t>1</w:t>
      </w:r>
      <w:r>
        <w:t xml:space="preserve">Finanzinstrumente des Handelsbestands sind zum beizulegenden Zeitwert abzüglich eines Risikoabschlags zu bewerten. </w:t>
      </w:r>
      <w:r>
        <w:rPr>
          <w:rStyle w:val="Satznummer"/>
        </w:rPr>
        <w:t>2</w:t>
      </w:r>
      <w:r>
        <w:t xml:space="preserve">Eine Umgliederung in den Handelsbestand ist ausgeschlossen. </w:t>
      </w:r>
      <w:r>
        <w:rPr>
          <w:rStyle w:val="Satznummer"/>
        </w:rPr>
        <w:t>3</w:t>
      </w:r>
      <w:r>
        <w:t xml:space="preserve">Das Gleiche gilt für eine Umgliederung aus dem Handelsbestand, es sei denn, außergewöhnliche Umstände, insbesondere schwerwiegende Beeinträchtigungen der Handelbarkeit der Finanzinstrumente, führen zu einer Aufgabe der Handelsabsicht durch das Kreditinstitut. </w:t>
      </w:r>
      <w:r>
        <w:rPr>
          <w:rStyle w:val="Satznummer"/>
        </w:rPr>
        <w:t>4</w:t>
      </w:r>
      <w:r>
        <w:t>Finanzinstrumente des Handelsbestands können nachträglich in eine Bewertungseinheit einbezogen werden; sie sind bei Beendigung der Bewertungseinheit wieder in den Handelsbestand umzugliedern.</w:t>
      </w:r>
    </w:p>
    <w:p>
      <w:r>
        <w:t xml:space="preserve">(4) </w:t>
      </w:r>
      <w:r>
        <w:rPr>
          <w:rStyle w:val="Satznummer"/>
        </w:rPr>
        <w:t>1</w:t>
      </w:r>
      <w:r>
        <w:t xml:space="preserve">In der Bilanz ist dem Sonderposten „Fonds für allgemeine Bankrisiken“ nach § 340g in jedem Geschäftsjahr ein Betrag, der mindestens 10 vom Hundert der Nettoerträge des Handelsbestands entspricht, zuzuführen und dort gesondert auszuweisen. </w:t>
      </w:r>
      <w:r>
        <w:rPr>
          <w:rStyle w:val="Satznummer"/>
        </w:rPr>
        <w:t>2</w:t>
      </w:r>
      <w:r>
        <w:t>Dieser Posten darf nur aufgelöst werden</w:t>
      </w:r>
    </w:p>
    <w:p>
      <w:pPr>
        <w:tabs>
          <w:tab w:pos="567" w:val="left"/>
        </w:tabs>
        <w:ind w:left="567" w:hanging="567"/>
      </w:pPr>
      <w:r>
        <w:t>1.</w:t>
      </w:r>
      <w:r>
        <w:tab/>
      </w:r>
      <w:r>
        <w:t>zum Ausgleich von Nettoaufwendungen des Handelsbestands sowie</w:t>
      </w:r>
    </w:p>
    <w:p>
      <w:pPr>
        <w:tabs>
          <w:tab w:pos="567" w:val="left"/>
        </w:tabs>
        <w:ind w:left="567" w:hanging="567"/>
      </w:pPr>
      <w:r>
        <w:t>2.</w:t>
      </w:r>
      <w:r>
        <w:tab/>
      </w:r>
      <w:r>
        <w:t>zum Ausgleich eines Jahresfehlbetrags, soweit er nicht durch einen Gewinnvortrag aus dem Vorjahr gedeckt ist,</w:t>
      </w:r>
    </w:p>
    <w:p>
      <w:pPr>
        <w:tabs>
          <w:tab w:pos="567" w:val="left"/>
        </w:tabs>
        <w:ind w:left="567" w:hanging="567"/>
      </w:pPr>
      <w:r>
        <w:t>3.</w:t>
      </w:r>
      <w:r>
        <w:tab/>
      </w:r>
      <w:r>
        <w:t>zum Ausgleich eines Verlustvortrags aus dem Vorjahr, soweit er nicht durch einen Jahresüberschuss gedeckt ist, oder</w:t>
      </w:r>
    </w:p>
    <w:p>
      <w:pPr>
        <w:tabs>
          <w:tab w:pos="567" w:val="left"/>
        </w:tabs>
        <w:ind w:left="567" w:hanging="567"/>
      </w:pPr>
      <w:r>
        <w:t>4.</w:t>
      </w:r>
      <w:r>
        <w:tab/>
      </w:r>
      <w:r>
        <w:t>soweit er 50 vom Hundert des Durchschnitts der letzten fünf jährlichen Nettoerträge des Handelsbestands übersteigt.</w:t>
      </w:r>
    </w:p>
    <w:p>
      <w:r>
        <w:rPr>
          <w:rStyle w:val="Satznummer"/>
        </w:rPr>
        <w:t>3</w:t>
      </w:r>
      <w:r>
        <w:t>Auflösungen, die nach Satz 2 erfolgen, sind im Anhang anzugeben und zu erläutern.</w:t>
      </w:r>
    </w:p>
    <w:p>
      <w:pPr>
        <w:pStyle w:val="Heading5"/>
      </w:pPr>
      <w:bookmarkStart w:id="404" w:name="b403"/>
      <w:r>
        <w:t>§ 340f Vorsorge für allgemeine Bankrisiken</w:t>
      </w:r>
      <w:r>
        <w:t xml:space="preserve"> </w:t>
      </w:r>
      <w:r>
        <w:rPr>
          <w:rStyle w:val="Suchmarke"/>
        </w:rPr>
        <w:t>#340f#</w:t>
      </w:r>
      <w:bookmarkEnd w:id="404"/>
    </w:p>
    <w:p>
      <w:r>
        <w:t xml:space="preserve">(1) </w:t>
      </w:r>
      <w:r>
        <w:rPr>
          <w:rStyle w:val="Satznummer"/>
        </w:rPr>
        <w:t>1</w:t>
      </w:r>
      <w:r>
        <w:t xml:space="preserve">Kreditinstitute dürfen Forderungen an Kreditinstitute und Kunden, Schuldverschreibungen und andere festverzinsliche Wertpapiere sowie Aktien und andere nicht festverzinsliche Wertpapiere, die weder wie Anlagevermögen behandelt werden noch Teil des Handelsbestands sind, mit einem niedrigeren als dem nach </w:t>
      </w:r>
      <w:hyperlink w:anchor="b248" w:history="1">
        <w:r>
          <w:rPr>
            <w:color w:val="0A3A8C"/>
            <w:u w:val="single"/>
          </w:rPr>
          <w:t xml:space="preserve">§ 253</w:t>
        </w:r>
      </w:hyperlink>
      <w:r>
        <w:t xml:space="preserve"> Abs. 1 Satz 1, Abs. 4 vorgeschriebenen oder zugelassenen Wert ansetzen, soweit dies nach vernünftiger kaufmännischer Beurteilung zur Sicherung gegen die besonderen Risiken des Geschäftszweigs der Kreditinstitute notwendig ist. </w:t>
      </w:r>
      <w:r>
        <w:rPr>
          <w:rStyle w:val="Satznummer"/>
        </w:rPr>
        <w:t>2</w:t>
      </w:r>
      <w:r>
        <w:t xml:space="preserve">Der Betrag der auf diese Weise gebildeten Vorsorgereserven darf vier vom Hundert des Gesamtbetrags der in Satz 1 bezeichneten Vermögensgegenstände, der sich bei deren Bewertung nach </w:t>
      </w:r>
      <w:hyperlink w:anchor="b248" w:history="1">
        <w:r>
          <w:rPr>
            <w:color w:val="0A3A8C"/>
            <w:u w:val="single"/>
          </w:rPr>
          <w:t xml:space="preserve">§ 253</w:t>
        </w:r>
      </w:hyperlink>
      <w:r>
        <w:t xml:space="preserve"> Abs. 1 Satz 1, Abs. 4 ergibt, nicht übersteigen. </w:t>
      </w:r>
      <w:r>
        <w:rPr>
          <w:rStyle w:val="Satznummer"/>
        </w:rPr>
        <w:t>3</w:t>
      </w:r>
      <w:r>
        <w:t>Ein niedrigerer Wertansatz darf beibehalten werden.</w:t>
      </w:r>
    </w:p>
    <w:p>
      <w:r>
        <w:t>(2) (weggefallen)</w:t>
      </w:r>
    </w:p>
    <w:p>
      <w:r>
        <w:t>(3) Aufwendungen und Erträge aus der Anwendung von Absatz 1 und aus Geschäften mit in Absatz 1 bezeichneten Wertpapieren und Aufwendungen aus Abschreibungen sowie Erträge aus Zuschreibungen zu diesen Wertpapieren dürfen mit den Aufwendungen aus Abschreibungen auf Forderungen, Zuführungen zu Rückstellungen für Eventualverbindlichkeiten und für Kreditrisiken sowie mit den Erträgen aus Zuschreibungen zu Forderungen oder aus deren Eingang nach teilweiser oder vollständiger Abschreibung und aus Auflösungen von Rückstellungen für Eventualverbindlichkeiten und für Kreditrisiken verrechnet und in der Gewinn- und Verlustrechnung in einem Aufwand- oder Ertragsposten ausgewiesen werden.</w:t>
      </w:r>
    </w:p>
    <w:p>
      <w:r>
        <w:t>(4) Angaben über die Bildung und Auflösung von Vorsorgereserven nach Absatz 1 sowie über vorgenommene Verrechnungen nach Absatz 3 brauchen im Jahresabschluß, Lagebericht, Konzernabschluß und Konzernlagebericht nicht gemacht zu werden.</w:t>
      </w:r>
    </w:p>
    <w:p>
      <w:pPr>
        <w:pStyle w:val="Heading5"/>
      </w:pPr>
      <w:bookmarkStart w:id="405" w:name="b404"/>
      <w:r>
        <w:t>§ 340g Sonderposten für allgemeine Bankrisiken</w:t>
      </w:r>
      <w:r>
        <w:t xml:space="preserve"> </w:t>
      </w:r>
      <w:r>
        <w:rPr>
          <w:rStyle w:val="Suchmarke"/>
        </w:rPr>
        <w:t>#340g#</w:t>
      </w:r>
      <w:bookmarkEnd w:id="405"/>
    </w:p>
    <w:p>
      <w:r>
        <w:t>(1) Kreditinstitute dürfen auf der Passivseite ihrer Bilanz zur Sicherung gegen allgemeine Bankrisiken einen Sonderposten "Fonds für allgemeine Bankrisiken" bilden, soweit dies nach vernünftiger kaufmännischer Beurteilung wegen der besonderen Risiken des Geschäftszweigs der Kreditinstitute notwendig ist.</w:t>
      </w:r>
    </w:p>
    <w:p>
      <w:r>
        <w:t>(2) Die Zuführungen zum Sonderposten oder die Erträge aus der Auflösung des Sonderpostens sind in der Gewinn- und Verlustrechnung gesondert auszuweisen.</w:t>
      </w:r>
    </w:p>
    <w:p>
      <w:pPr>
        <w:pStyle w:val="Heading4"/>
      </w:pPr>
      <w:bookmarkStart w:id="406" w:name="b405"/>
      <w:r>
        <w:t>Vierter Titel Währungsumrechnung</w:t>
      </w:r>
      <w:bookmarkEnd w:id="406"/>
    </w:p>
    <w:p>
      <w:pPr>
        <w:pStyle w:val="Heading5"/>
      </w:pPr>
      <w:bookmarkStart w:id="407" w:name="b406"/>
      <w:r>
        <w:t>§ 340h Währungsumrechnung</w:t>
      </w:r>
      <w:r>
        <w:t xml:space="preserve"> </w:t>
      </w:r>
      <w:r>
        <w:rPr>
          <w:rStyle w:val="Suchmarke"/>
        </w:rPr>
        <w:t>#340h#</w:t>
      </w:r>
      <w:bookmarkEnd w:id="407"/>
    </w:p>
    <w:p>
      <w:hyperlink w:anchor="b252" w:history="1">
        <w:r>
          <w:rPr>
            <w:color w:val="0A3A8C"/>
            <w:u w:val="single"/>
          </w:rPr>
          <w:t xml:space="preserve">§ 256a</w:t>
        </w:r>
      </w:hyperlink>
      <w:r>
        <w:t xml:space="preserve"> gilt mit der Maßgabe, dass Erträge, die sich aus der Währungsumrechnung ergeben, in der Gewinn- und Verlustrechnung zu berücksichtigen sind, soweit die Vermögensgegenstände, Schulden oder Termingeschäfte durch Vermögensgegenstände, Schulden oder andere Termingeschäfte in derselben Währung besonders gedeckt sind.</w:t>
      </w:r>
    </w:p>
    <w:p>
      <w:pPr>
        <w:pStyle w:val="Heading4"/>
      </w:pPr>
      <w:bookmarkStart w:id="408" w:name="b407"/>
      <w:r>
        <w:t>Fünfter Titel Konzernabschluß, Konzernlagebericht, Konzernzwischenabschluß</w:t>
      </w:r>
      <w:bookmarkEnd w:id="408"/>
    </w:p>
    <w:p>
      <w:pPr>
        <w:pStyle w:val="Heading5"/>
      </w:pPr>
      <w:bookmarkStart w:id="409" w:name="b408"/>
      <w:r>
        <w:t>§ 340i Pflicht zur Aufstellung</w:t>
      </w:r>
      <w:r>
        <w:t xml:space="preserve"> </w:t>
      </w:r>
      <w:r>
        <w:rPr>
          <w:rStyle w:val="Suchmarke"/>
        </w:rPr>
        <w:t>#340i#</w:t>
      </w:r>
      <w:bookmarkEnd w:id="409"/>
    </w:p>
    <w:p>
      <w:r>
        <w:t xml:space="preserve">(1) </w:t>
      </w:r>
      <w:r>
        <w:rPr>
          <w:rStyle w:val="Satznummer"/>
        </w:rPr>
        <w:t>1</w:t>
      </w:r>
      <w:r>
        <w:t xml:space="preserve">Kreditinstitute, auch wenn sie nicht in der Rechtsform einer Kapitalgesellschaft betrieben werden, haben unabhängig von ihrer Größe einen Konzernabschluß und einen Konzernlagebericht nach den Vorschriften des Zweiten Unterabschnitts des Zweiten Abschnitts über den Konzernabschluß und Konzernlagebericht aufzustellen, soweit in den Vorschriften dieses Unterabschnitts nichts anderes bestimmt ist. </w:t>
      </w:r>
      <w:r>
        <w:rPr>
          <w:rStyle w:val="Satznummer"/>
        </w:rPr>
        <w:t>2</w:t>
      </w:r>
      <w:r>
        <w:t>Zusätzliche Anforderungen auf Grund von Vorschriften, die wegen der Rechtsform bestehen, bleiben unberührt.</w:t>
      </w:r>
    </w:p>
    <w:p>
      <w:r>
        <w:t xml:space="preserve">(2) </w:t>
      </w:r>
      <w:r>
        <w:rPr>
          <w:rStyle w:val="Satznummer"/>
        </w:rPr>
        <w:t>1</w:t>
      </w:r>
      <w:r>
        <w:t xml:space="preserve">Auf den Konzernabschluß sind, soweit seine Eigenart keine Abweichung bedingt, die </w:t>
      </w:r>
      <w:hyperlink w:anchor="b397" w:history="1">
        <w:r>
          <w:rPr>
            <w:color w:val="0A3A8C"/>
            <w:u w:val="single"/>
          </w:rPr>
          <w:t xml:space="preserve">§§ 340a</w:t>
        </w:r>
      </w:hyperlink>
      <w:r>
        <w:t xml:space="preserve"> bis </w:t>
      </w:r>
      <w:hyperlink w:anchor="b404" w:history="1">
        <w:r>
          <w:rPr>
            <w:color w:val="0A3A8C"/>
            <w:u w:val="single"/>
          </w:rPr>
          <w:t xml:space="preserve">340g</w:t>
        </w:r>
      </w:hyperlink>
      <w:r>
        <w:t xml:space="preserve"> über den Jahresabschluß und die für die Rechtsform und den Geschäftszweig der in den Konzernabschluß einbezogenen Unternehmen mit Sitz im Geltungsbereich dieses Gesetzes geltenden Vorschriften entsprechend anzuwenden, soweit sie für große Kapitalgesellschaften gelten. </w:t>
      </w:r>
      <w:r>
        <w:rPr>
          <w:rStyle w:val="Satznummer"/>
        </w:rPr>
        <w:t>2</w:t>
      </w:r>
      <w:r>
        <w:t xml:space="preserve">Die §§ 293, 298 Absatz 1, § 314 Abs. 1 Nr. 1, 3, 6 Buchstabe c und Nummer 23 sind nicht anzuwenden. </w:t>
      </w:r>
      <w:r>
        <w:rPr>
          <w:rStyle w:val="Satznummer"/>
        </w:rPr>
        <w:t>3</w:t>
      </w:r>
      <w:r>
        <w:t xml:space="preserve">In den Fällen des </w:t>
      </w:r>
      <w:hyperlink w:anchor="b347" w:history="1">
        <w:r>
          <w:rPr>
            <w:color w:val="0A3A8C"/>
            <w:u w:val="single"/>
          </w:rPr>
          <w:t xml:space="preserve">§ 315e</w:t>
        </w:r>
      </w:hyperlink>
      <w:r>
        <w:t xml:space="preserve"> Abs. 1 finden von den in Absatz 1 genannten Vorschriften nur die §§ 290 bis 292, 315e Anwendung; die Sätze 1 und 2 dieses Absatzes sowie </w:t>
      </w:r>
      <w:hyperlink w:anchor="b409" w:history="1">
        <w:r>
          <w:rPr>
            <w:color w:val="0A3A8C"/>
            <w:u w:val="single"/>
          </w:rPr>
          <w:t xml:space="preserve">§ 340j</w:t>
        </w:r>
      </w:hyperlink>
      <w:r>
        <w:t xml:space="preserve"> sind nicht anzuwenden. </w:t>
      </w:r>
      <w:r>
        <w:rPr>
          <w:rStyle w:val="Satznummer"/>
        </w:rPr>
        <w:t>4</w:t>
      </w:r>
      <w:r>
        <w:t xml:space="preserve">Soweit </w:t>
      </w:r>
      <w:hyperlink w:anchor="b347" w:history="1">
        <w:r>
          <w:rPr>
            <w:color w:val="0A3A8C"/>
            <w:u w:val="single"/>
          </w:rPr>
          <w:t xml:space="preserve">§ 315e</w:t>
        </w:r>
      </w:hyperlink>
      <w:r>
        <w:t xml:space="preserve"> Absatz 1 auf § 314 Absatz 1 Nummer 6 Buchstabe c verweist, tritt an dessen Stelle </w:t>
      </w:r>
      <w:hyperlink w:anchor="b52" w:history="1">
        <w:r>
          <w:rPr>
            <w:color w:val="0A3A8C"/>
            <w:u w:val="single"/>
          </w:rPr>
          <w:t xml:space="preserve">§ 34</w:t>
        </w:r>
      </w:hyperlink>
      <w:r>
        <w:t xml:space="preserve"> Absatz 2 Nummer 2 in Verbindung mit § 37 der Kreditinstituts-Rechnungslegungsverordnung in der Fassung der Bekanntmachung vom 11. Dezember 1998 (BGBl. I S. 3658), die zuletzt durch Artikel 8 Absatz 13 des Gesetzes vom 17. Juli 2015 (BGBl. I S. 1245) geändert worden ist, in der jeweils geltenden Fassung. </w:t>
      </w:r>
      <w:r>
        <w:rPr>
          <w:rStyle w:val="Satznummer"/>
        </w:rPr>
        <w:t>5</w:t>
      </w:r>
      <w:r>
        <w:t xml:space="preserve">Im Übrigen findet die Kreditinstituts-Rechnungslegungsverordnung in den Fällen des </w:t>
      </w:r>
      <w:hyperlink w:anchor="b347" w:history="1">
        <w:r>
          <w:rPr>
            <w:color w:val="0A3A8C"/>
            <w:u w:val="single"/>
          </w:rPr>
          <w:t xml:space="preserve">§ 315e</w:t>
        </w:r>
      </w:hyperlink>
      <w:r>
        <w:t xml:space="preserve"> Absatz 1 keine Anwendung.</w:t>
      </w:r>
    </w:p>
    <w:p>
      <w:r>
        <w:t>(3) Als Kreditinstitute im Sinne dieses Titels gelten auch Mutterunternehmen, deren einziger Zweck darin besteht, Beteiligungen an Tochterunternehmen zu erwerben sowie die Verwaltung und Verwertung dieser Beteiligungen wahrzunehmen, sofern diese Tochterunternehmen ausschließlich oder überwiegend Kreditinstitute sind.</w:t>
      </w:r>
    </w:p>
    <w:p>
      <w:r>
        <w:t xml:space="preserve">(4) </w:t>
      </w:r>
      <w:r>
        <w:rPr>
          <w:rStyle w:val="Satznummer"/>
        </w:rPr>
        <w:t>1</w:t>
      </w:r>
      <w:r>
        <w:t xml:space="preserve">Sofern Kreditinstitute einer prüferischen Durchsicht zu unterziehende Konzernzwischenabschlüsse zur Ermittlung von Konzernzwischenergebnissen im Sinne des Artikels 26 Absatz 2 in Verbindung mit Artikel 11 der Verordnung (EU) Nr. 575/2013 aufstellen, sind auf diese die für den Konzernabschluss geltenden Rechnungslegungsgrundsätze anzuwenden. </w:t>
      </w:r>
      <w:r>
        <w:rPr>
          <w:rStyle w:val="Satznummer"/>
        </w:rPr>
        <w:t>2</w:t>
      </w:r>
      <w:r>
        <w:t xml:space="preserve">Die Vorschriften über die Bestellung des Abschlussprüfers sind auf die prüferische Durchsicht entsprechend anzuwenden. </w:t>
      </w:r>
      <w:r>
        <w:rPr>
          <w:rStyle w:val="Satznummer"/>
        </w:rPr>
        <w:t>3</w:t>
      </w:r>
      <w:r>
        <w:t xml:space="preserve">Die prüferische Durchsicht ist so anzulegen, dass bei gewissenhafter Berufsausübung ausgeschlossen werden kann, dass der Zwischenabschluss in wesentlichen Belangen den anzuwendenden Rechnungslegungsgrundsätzen widerspricht. </w:t>
      </w:r>
      <w:r>
        <w:rPr>
          <w:rStyle w:val="Satznummer"/>
        </w:rPr>
        <w:t>4</w:t>
      </w:r>
      <w:r>
        <w:t xml:space="preserve">Der Abschlussprüfer hat das Ergebnis der prüferischen Durchsicht in einer Bescheinigung zusammenzufassen. </w:t>
      </w:r>
      <w:r>
        <w:rPr>
          <w:rStyle w:val="Satznummer"/>
        </w:rPr>
        <w:t>5</w:t>
      </w:r>
      <w:hyperlink w:anchor="b356" w:history="1">
        <w:r>
          <w:rPr>
            <w:color w:val="0A3A8C"/>
            <w:u w:val="single"/>
          </w:rPr>
          <w:t xml:space="preserve">§ 320</w:t>
        </w:r>
      </w:hyperlink>
      <w:r>
        <w:t xml:space="preserve"> und </w:t>
      </w:r>
      <w:hyperlink w:anchor="b360" w:history="1">
        <w:r>
          <w:rPr>
            <w:color w:val="0A3A8C"/>
            <w:u w:val="single"/>
          </w:rPr>
          <w:t xml:space="preserve">§ 323</w:t>
        </w:r>
      </w:hyperlink>
      <w:r>
        <w:t xml:space="preserve"> gelten entsprechend.</w:t>
      </w:r>
    </w:p>
    <w:p>
      <w:r>
        <w:t xml:space="preserve">(5) </w:t>
      </w:r>
      <w:r>
        <w:rPr>
          <w:rStyle w:val="Satznummer"/>
        </w:rPr>
        <w:t>1</w:t>
      </w:r>
      <w:r>
        <w:t>Ein Kreditinstitut, das ein Mutterunternehmen (</w:t>
      </w:r>
      <w:hyperlink w:anchor="b306" w:history="1">
        <w:r>
          <w:rPr>
            <w:color w:val="0A3A8C"/>
            <w:u w:val="single"/>
          </w:rPr>
          <w:t xml:space="preserve">§ 290</w:t>
        </w:r>
      </w:hyperlink>
      <w:r>
        <w:t>) ist, hat den Konzernlagebericht um eine nichtfinanzielle Konzernerklärung zu erweitern, wenn auf die in den Konzernabschluss einzubeziehenden Unternehmen die folgenden Merkmale zutreffen:</w:t>
      </w:r>
    </w:p>
    <w:p>
      <w:pPr>
        <w:tabs>
          <w:tab w:pos="567" w:val="left"/>
        </w:tabs>
        <w:ind w:left="567" w:hanging="567"/>
      </w:pPr>
      <w:r>
        <w:t>1.</w:t>
      </w:r>
      <w:r>
        <w:tab/>
      </w:r>
      <w:r>
        <w:t xml:space="preserve">sie erfüllen die in </w:t>
      </w:r>
      <w:hyperlink w:anchor="b310" w:history="1">
        <w:r>
          <w:rPr>
            <w:color w:val="0A3A8C"/>
            <w:u w:val="single"/>
          </w:rPr>
          <w:t xml:space="preserve">§ 293</w:t>
        </w:r>
      </w:hyperlink>
      <w:r>
        <w:t xml:space="preserve"> Absatz 1 Satz 1 Nummer 1 oder 2 geregelten Voraussetzungen für eine größenabhängige Befreiung nicht und</w:t>
      </w:r>
    </w:p>
    <w:p>
      <w:pPr>
        <w:tabs>
          <w:tab w:pos="567" w:val="left"/>
        </w:tabs>
        <w:ind w:left="567" w:hanging="567"/>
      </w:pPr>
      <w:r>
        <w:t>2.</w:t>
      </w:r>
      <w:r>
        <w:tab/>
      </w:r>
      <w:r>
        <w:t>bei ihnen sind insgesamt im Jahresdurchschnitt mehr als 500 Arbeitnehmer beschäftigt.</w:t>
      </w:r>
    </w:p>
    <w:p>
      <w:r>
        <w:rPr>
          <w:rStyle w:val="Satznummer"/>
        </w:rPr>
        <w:t>2</w:t>
      </w:r>
      <w:hyperlink w:anchor="b273" w:history="1">
        <w:r>
          <w:rPr>
            <w:color w:val="0A3A8C"/>
            <w:u w:val="single"/>
          </w:rPr>
          <w:t xml:space="preserve">§ 267</w:t>
        </w:r>
      </w:hyperlink>
      <w:r>
        <w:t xml:space="preserve"> Absatz 4 bis 5, </w:t>
      </w:r>
      <w:hyperlink w:anchor="b317" w:history="1">
        <w:r>
          <w:rPr>
            <w:color w:val="0A3A8C"/>
            <w:u w:val="single"/>
          </w:rPr>
          <w:t xml:space="preserve">§ 298</w:t>
        </w:r>
      </w:hyperlink>
      <w:r>
        <w:t xml:space="preserve"> Absatz 2, </w:t>
      </w:r>
      <w:hyperlink w:anchor="b343" w:history="1">
        <w:r>
          <w:rPr>
            <w:color w:val="0A3A8C"/>
            <w:u w:val="single"/>
          </w:rPr>
          <w:t xml:space="preserve">§ 315b</w:t>
        </w:r>
      </w:hyperlink>
      <w:r>
        <w:t xml:space="preserve"> Absatz 2 bis 4 und </w:t>
      </w:r>
      <w:hyperlink w:anchor="b344" w:history="1">
        <w:r>
          <w:rPr>
            <w:color w:val="0A3A8C"/>
            <w:u w:val="single"/>
          </w:rPr>
          <w:t xml:space="preserve">§ 315c</w:t>
        </w:r>
      </w:hyperlink>
      <w:r>
        <w:t xml:space="preserve"> sind entsprechend anzuwenden. </w:t>
      </w:r>
      <w:r>
        <w:rPr>
          <w:rStyle w:val="Satznummer"/>
        </w:rPr>
        <w:t>3</w:t>
      </w:r>
      <w:r>
        <w:t>Wenn die nichtfinanzielle Konzernerklärung einen besonderen Abschnitt des Konzernlageberichts bildet, darf das Kreditinstitut auf die an anderer Stelle im Konzernlagebericht enthaltenen nichtfinanziellen Angaben verweisen.</w:t>
      </w:r>
    </w:p>
    <w:p>
      <w:r>
        <w:t xml:space="preserve">(6) Ein Kreditinstitut, das nach Absatz 1 in Verbindung mit </w:t>
      </w:r>
      <w:hyperlink w:anchor="b345" w:history="1">
        <w:r>
          <w:rPr>
            <w:color w:val="0A3A8C"/>
            <w:u w:val="single"/>
          </w:rPr>
          <w:t xml:space="preserve">§ 315d</w:t>
        </w:r>
      </w:hyperlink>
      <w:r>
        <w:t xml:space="preserve"> eine Konzernerklärung zur Unternehmensführung zu erstellen hat, hat darin Angaben nach </w:t>
      </w:r>
      <w:hyperlink w:anchor="b345" w:history="1">
        <w:r>
          <w:rPr>
            <w:color w:val="0A3A8C"/>
            <w:u w:val="single"/>
          </w:rPr>
          <w:t xml:space="preserve">§ 315d</w:t>
        </w:r>
      </w:hyperlink>
      <w:r>
        <w:t xml:space="preserve"> in Verbindung mit </w:t>
      </w:r>
      <w:hyperlink w:anchor="b303" w:history="1">
        <w:r>
          <w:rPr>
            <w:color w:val="0A3A8C"/>
            <w:u w:val="single"/>
          </w:rPr>
          <w:t xml:space="preserve">§ 289f</w:t>
        </w:r>
      </w:hyperlink>
      <w:r>
        <w:t xml:space="preserve"> Absatz 2 Nummer 6 aufzunehmen, wenn die in den Konzernabschluss einzubeziehenden Unternehmen die in </w:t>
      </w:r>
      <w:hyperlink w:anchor="b310" w:history="1">
        <w:r>
          <w:rPr>
            <w:color w:val="0A3A8C"/>
            <w:u w:val="single"/>
          </w:rPr>
          <w:t xml:space="preserve">§ 293</w:t>
        </w:r>
      </w:hyperlink>
      <w:r>
        <w:t xml:space="preserve"> Absatz 1 Satz 1 Nummer 1 oder 2 geregelten Voraussetzungen für eine Befreiung nicht erfüllen.</w:t>
      </w:r>
    </w:p>
    <w:p>
      <w:pPr>
        <w:pStyle w:val="Heading5"/>
      </w:pPr>
      <w:bookmarkStart w:id="410" w:name="b409"/>
      <w:r>
        <w:t>§ 340j Einzubeziehende Unternehmen</w:t>
      </w:r>
      <w:r>
        <w:t xml:space="preserve"> </w:t>
      </w:r>
      <w:r>
        <w:rPr>
          <w:rStyle w:val="Suchmarke"/>
        </w:rPr>
        <w:t>#340j#</w:t>
      </w:r>
      <w:bookmarkEnd w:id="410"/>
    </w:p>
    <w:p>
      <w:r>
        <w:t>Bezieht ein Kreditinstitut ein Tochterunternehmen, das Kreditinstitut ist, nach § 296 Abs. 1 Nr. 3 in seinen Konzernabschluß nicht ein und ist der vorübergehende Besitz von Aktien oder Anteilen dieses Unternehmens auf eine finanzielle Stützungsaktion zur Sanierung oder Rettung des genannten Unternehmens zurückzuführen, so hat es den Jahresabschluß dieses Unternehmens seinem Konzernabschluß beizufügen und im Konzernanhang zusätzliche Angaben über die Art und die Bedingungen der finanziellen Stützungsaktion zu machen.</w:t>
      </w:r>
    </w:p>
    <w:p>
      <w:pPr>
        <w:pStyle w:val="Heading4"/>
      </w:pPr>
      <w:bookmarkStart w:id="411" w:name="b410"/>
      <w:r>
        <w:t>Sechster Titel Prüfung</w:t>
      </w:r>
      <w:bookmarkEnd w:id="411"/>
    </w:p>
    <w:p>
      <w:pPr>
        <w:pStyle w:val="Heading5"/>
      </w:pPr>
      <w:bookmarkStart w:id="412" w:name="b411"/>
      <w:r>
        <w:t>§ 340k</w:t>
      </w:r>
      <w:r>
        <w:t xml:space="preserve"> </w:t>
      </w:r>
      <w:r>
        <w:rPr>
          <w:rStyle w:val="Suchmarke"/>
        </w:rPr>
        <w:t>#340k#</w:t>
      </w:r>
      <w:bookmarkEnd w:id="412"/>
    </w:p>
    <w:p>
      <w:r>
        <w:t xml:space="preserve">(1) </w:t>
      </w:r>
      <w:r>
        <w:rPr>
          <w:rStyle w:val="Satznummer"/>
        </w:rPr>
        <w:t>1</w:t>
      </w:r>
      <w:r>
        <w:t xml:space="preserve">Kreditinstitute haben unabhängig von ihrer Größe ihren Jahresabschluß und Lagebericht sowie ihren Konzernabschluß und Konzernlagebericht unbeschadet der Vorschriften der §§ 28 und 29 des Gesetzes über das Kreditwesen nach den Vorschriften des Dritten Unterabschnitts des Zweiten Abschnitts über die Prüfung prüfen zu lassen; </w:t>
      </w:r>
      <w:hyperlink w:anchor="b353" w:history="1">
        <w:r>
          <w:rPr>
            <w:color w:val="0A3A8C"/>
            <w:u w:val="single"/>
          </w:rPr>
          <w:t xml:space="preserve">§ 319</w:t>
        </w:r>
      </w:hyperlink>
      <w:r>
        <w:t xml:space="preserve"> Absatz 1 Satz 2 ist nicht anzuwenden. </w:t>
      </w:r>
      <w:r>
        <w:rPr>
          <w:rStyle w:val="Satznummer"/>
        </w:rPr>
        <w:t>2</w:t>
      </w:r>
      <w:r>
        <w:t xml:space="preserve">Die Prüfung ist spätestens vor Ablauf des fünften Monats des dem Abschlußstichtag nachfolgenden Geschäftsjahrs vorzunehmen. </w:t>
      </w:r>
      <w:r>
        <w:rPr>
          <w:rStyle w:val="Satznummer"/>
        </w:rPr>
        <w:t>3</w:t>
      </w:r>
      <w:r>
        <w:t xml:space="preserve">Der Jahresabschluß ist nach der Prüfung unverzüglich festzustellen. </w:t>
      </w:r>
      <w:r>
        <w:rPr>
          <w:rStyle w:val="Satznummer"/>
        </w:rPr>
        <w:t>4</w:t>
      </w:r>
      <w:r>
        <w:t xml:space="preserve">Die Vorschriften des Dritten Unterabschnitts des Zweiten Abschnitts sind auf Kreditinstitute, die Unternehmen von öffentlichem Interesse nach </w:t>
      </w:r>
      <w:hyperlink w:anchor="b350" w:history="1">
        <w:r>
          <w:rPr>
            <w:color w:val="0A3A8C"/>
            <w:u w:val="single"/>
          </w:rPr>
          <w:t xml:space="preserve">§ 316a</w:t>
        </w:r>
      </w:hyperlink>
      <w:r>
        <w:t xml:space="preserve"> Satz 2 Nummer 1 oder 2 sind, nur insoweit anzuwenden, als nicht die Verordnung (EU) Nr. 537/2014 anzuwenden ist.</w:t>
      </w:r>
    </w:p>
    <w:p>
      <w:r>
        <w:t xml:space="preserve">(2) </w:t>
      </w:r>
      <w:r>
        <w:rPr>
          <w:rStyle w:val="Satznummer"/>
        </w:rPr>
        <w:t>1</w:t>
      </w:r>
      <w:r>
        <w:t xml:space="preserve">Ist das Kreditinstitut eine Genossenschaft oder ein rechtsfähiger wirtschaftlicher Verein, so ist die Prüfung abweichend von § 319 Abs. 1 Satz 1 von dem Prüfungsverband durchzuführen, dem das Kreditinstitut als Mitglied angehört, sofern mehr als die Hälfte der geschäftsführenden Mitglieder des Vorstands dieses Prüfungsverbands Wirtschaftsprüfer sind. </w:t>
      </w:r>
      <w:r>
        <w:rPr>
          <w:rStyle w:val="Satznummer"/>
        </w:rPr>
        <w:t>2</w:t>
      </w:r>
      <w:r>
        <w:t xml:space="preserve">Hat der Prüfungsverband nur zwei Vorstandsmitglieder, so muß einer von ihnen Wirtschaftsprüfer sein. </w:t>
      </w:r>
      <w:r>
        <w:rPr>
          <w:rStyle w:val="Satznummer"/>
        </w:rPr>
        <w:t>3</w:t>
      </w:r>
      <w:hyperlink w:anchor="b353" w:history="1">
        <w:r>
          <w:rPr>
            <w:color w:val="0A3A8C"/>
            <w:u w:val="single"/>
          </w:rPr>
          <w:t xml:space="preserve">§ 319</w:t>
        </w:r>
      </w:hyperlink>
      <w:r>
        <w:t xml:space="preserve"> Abs. 2 und 3 ist auf die gesetzlichen Vertreter des Prüfungsverbandes und auf alle vom Prüfungsverband beschäftigten Personen, die das Ergebnis der Prüfung beeinflussen können, entsprechend anzuwenden; </w:t>
      </w:r>
      <w:hyperlink w:anchor="b353" w:history="1">
        <w:r>
          <w:rPr>
            <w:color w:val="0A3A8C"/>
            <w:u w:val="single"/>
          </w:rPr>
          <w:t xml:space="preserve">§ 319</w:t>
        </w:r>
      </w:hyperlink>
      <w:r>
        <w:t xml:space="preserve"> Abs. 3 Satz 1 Nr. 2 ist auf Mitglieder des Aufsichtsorgans des Prüfungsverbandes nicht anzuwenden, sofern sichergestellt ist, dass der Abschlussprüfer die Prüfung unabhängig von den Weisungen durch das Aufsichtsorgan durchführen kann. </w:t>
      </w:r>
      <w:r>
        <w:rPr>
          <w:rStyle w:val="Satznummer"/>
        </w:rPr>
        <w:t>4</w:t>
      </w:r>
      <w:hyperlink w:anchor="b353" w:history="1">
        <w:r>
          <w:rPr>
            <w:color w:val="0A3A8C"/>
            <w:u w:val="single"/>
          </w:rPr>
          <w:t xml:space="preserve">§ 319</w:t>
        </w:r>
      </w:hyperlink>
      <w:r>
        <w:t xml:space="preserve"> Absatz 1 Satz 3 und 4 gilt entsprechend mit der Maßgabe, dass der Prüfungsverband über einen Auszug hinsichtlich seiner Eintragung nach § 40a der Wirtschaftsprüferordnung verfügen muss, bei erstmaliger Durchführung einer Prüfung nach Absatz 1 Satz 1 spätestens sechs Wochen nach deren Beginn. </w:t>
      </w:r>
      <w:r>
        <w:rPr>
          <w:rStyle w:val="Satznummer"/>
        </w:rPr>
        <w:t>5</w:t>
      </w:r>
      <w:r>
        <w:t>Ist das Mutterunternehmen eine Genossenschaft, so ist der Prüfungsverband, dem die Genossenschaft angehört, unter den Voraussetzungen der Sätze 1 bis 4 auch Abschlußprüfer des Konzernabschlusses und des Konzernlageberichts.</w:t>
      </w:r>
    </w:p>
    <w:p>
      <w:r>
        <w:t xml:space="preserve">(2a) </w:t>
      </w:r>
      <w:r>
        <w:rPr>
          <w:rStyle w:val="Satznummer"/>
        </w:rPr>
        <w:t>1</w:t>
      </w:r>
      <w:r>
        <w:t xml:space="preserve">Bei der Prüfung des Jahresabschlusses der in Absatz 2 bezeichneten Kreditinstitute durch einen Prüfungsverband darf der gesetzlich vorgeschriebene Bestätigungsvermerk nur von Wirtschaftsprüfern unterzeichnet werden. </w:t>
      </w:r>
      <w:r>
        <w:rPr>
          <w:rStyle w:val="Satznummer"/>
        </w:rPr>
        <w:t>2</w:t>
      </w:r>
      <w:r>
        <w:t xml:space="preserve">Die im Prüfungsverband tätigen Wirtschaftsprüfer haben ihre Prüfungstätigkeit unabhängig, gewissenhaft, verschwiegen und eigenverantwortlich auszuüben. </w:t>
      </w:r>
      <w:r>
        <w:rPr>
          <w:rStyle w:val="Satznummer"/>
        </w:rPr>
        <w:t>3</w:t>
      </w:r>
      <w:r>
        <w:t xml:space="preserve">Sie haben sich insbesondere bei der Erstattung von Prüfungsberichten unparteiisch zu verhalten. </w:t>
      </w:r>
      <w:r>
        <w:rPr>
          <w:rStyle w:val="Satznummer"/>
        </w:rPr>
        <w:t>4</w:t>
      </w:r>
      <w:r>
        <w:t xml:space="preserve">Weisungen dürfen ihnen hinsichtlich ihrer Prüfungstätigkeit von Personen, die nicht Wirtschaftsprüfer sind, nicht erteilt werden. </w:t>
      </w:r>
      <w:r>
        <w:rPr>
          <w:rStyle w:val="Satznummer"/>
        </w:rPr>
        <w:t>5</w:t>
      </w:r>
      <w:r>
        <w:t>Die Zahl der im Verband tätigen Wirtschaftsprüfer muss so bemessen sein, dass die den Bestätigungsvermerk unterschreibenden Wirtschaftsprüfer die Prüfung verantwortlich durchführen können.</w:t>
      </w:r>
    </w:p>
    <w:p>
      <w:r>
        <w:t xml:space="preserve">(3) </w:t>
      </w:r>
      <w:r>
        <w:rPr>
          <w:rStyle w:val="Satznummer"/>
        </w:rPr>
        <w:t>1</w:t>
      </w:r>
      <w:r>
        <w:t xml:space="preserve">Ist das Kreditinstitut eine Sparkasse, so dürfen die nach Absatz 1 vorgeschriebenen Prüfungen abweichend von § 319 Abs. 1 Satz 1 von der Prüfungsstelle eines Sparkassen- und Giroverbands durchgeführt werden. </w:t>
      </w:r>
      <w:r>
        <w:rPr>
          <w:rStyle w:val="Satznummer"/>
        </w:rPr>
        <w:t>2</w:t>
      </w:r>
      <w:r>
        <w:t xml:space="preserve">Die Prüfung darf von der Prüfungsstelle jedoch nur durchgeführt werden, wenn der Leiter der Prüfungsstelle die Voraussetzungen des </w:t>
      </w:r>
      <w:hyperlink w:anchor="b353" w:history="1">
        <w:r>
          <w:rPr>
            <w:color w:val="0A3A8C"/>
            <w:u w:val="single"/>
          </w:rPr>
          <w:t xml:space="preserve">§ 319</w:t>
        </w:r>
      </w:hyperlink>
      <w:r>
        <w:t xml:space="preserve"> Abs. 1 Satz 1 und 2 erfüllt; § 319 Absatz 2, 3 und 5 sowie Artikel 5 Absatz 1, 4 Unterabsatz 1 und Absatz 5 der Verordnung (EU) Nr. 537/2014 sind auf alle vom Sparkassen- und Giroverband beschäftigten Personen, die das Ergebnis der Prüfung beeinflussen können, entsprechend anzuwenden. </w:t>
      </w:r>
      <w:r>
        <w:rPr>
          <w:rStyle w:val="Satznummer"/>
        </w:rPr>
        <w:t>3</w:t>
      </w:r>
      <w:r>
        <w:t xml:space="preserve">Auf die Prüfungsstellen findet Artikel 5 der Verordnung (EU) Nr. 537/2014 keine Anwendung. </w:t>
      </w:r>
      <w:r>
        <w:rPr>
          <w:rStyle w:val="Satznummer"/>
        </w:rPr>
        <w:t>4</w:t>
      </w:r>
      <w:r>
        <w:t xml:space="preserve">Außerdem muß sichergestellt sein, daß der Abschlußprüfer die Prüfung unabhängig von den Weisungen der Organe des Sparkassen- und Giroverbands durchführen kann. </w:t>
      </w:r>
      <w:r>
        <w:rPr>
          <w:rStyle w:val="Satznummer"/>
        </w:rPr>
        <w:t>5</w:t>
      </w:r>
      <w:r>
        <w:t xml:space="preserve">Soweit das Landesrecht nichts anderes vorsieht, findet </w:t>
      </w:r>
      <w:hyperlink w:anchor="b353" w:history="1">
        <w:r>
          <w:rPr>
            <w:color w:val="0A3A8C"/>
            <w:u w:val="single"/>
          </w:rPr>
          <w:t xml:space="preserve">§ 319</w:t>
        </w:r>
      </w:hyperlink>
      <w:r>
        <w:t xml:space="preserve"> Absatz 1 Satz 3 und 4 mit der Maßgabe Anwendung, dass die Prüfungsstelle über einen Auszug hinsichtlich ihrer Eintragung nach § 40a der Wirtschaftsprüferordnung verfügen muss, bei erstmaliger Durchführung einer Prüfung nach Absatz 1 Satz 1 spätestens sechs Wochen nach deren Beginn.</w:t>
      </w:r>
    </w:p>
    <w:p>
      <w:r>
        <w:t xml:space="preserve">(4) </w:t>
      </w:r>
      <w:r>
        <w:rPr>
          <w:rStyle w:val="Satznummer"/>
        </w:rPr>
        <w:t>1</w:t>
      </w:r>
      <w:r>
        <w:t xml:space="preserve">Ist das Kreditinstitut eine Sparkasse, finden Artikel 4 Absatz 3 Unterabsatz 2 sowie die Artikel 16, 17 und 19 der Verordnung (EU) Nr. 537/2014 keine Anwendung. </w:t>
      </w:r>
      <w:r>
        <w:rPr>
          <w:rStyle w:val="Satznummer"/>
        </w:rPr>
        <w:t>2</w:t>
      </w:r>
      <w:r>
        <w:t xml:space="preserve">Artikel 4 Absatz 3 Unterabsatz 1 sowie Artikel 10 Absatz 2 Buchstabe g der Verordnung (EU) Nr. 537/2014 finden auf alle vom Sparkassen- und Giroverband beschäftigten Personen, die das Ergebnis der Prüfung beeinflussen können, entsprechende Anwendung. </w:t>
      </w:r>
      <w:r>
        <w:rPr>
          <w:rStyle w:val="Satznummer"/>
        </w:rPr>
        <w:t>3</w:t>
      </w:r>
      <w:r>
        <w:t>Auf die Prüfungsstellen finden Artikel 4 Absatz 2 und 3 Unterabsatz 1 sowie Artikel 10 Absatz 2 Buchstabe g der Verordnung (EU) Nr. 537/2014 keine Anwendung.</w:t>
      </w:r>
    </w:p>
    <w:p>
      <w:r>
        <w:t xml:space="preserve">(5) </w:t>
      </w:r>
      <w:r>
        <w:rPr>
          <w:rStyle w:val="Satznummer"/>
        </w:rPr>
        <w:t>1</w:t>
      </w:r>
      <w:r>
        <w:t xml:space="preserve">Kreditinstitute, die Unternehmen von öffentlichem Interesse nach </w:t>
      </w:r>
      <w:hyperlink w:anchor="b350" w:history="1">
        <w:r>
          <w:rPr>
            <w:color w:val="0A3A8C"/>
            <w:u w:val="single"/>
          </w:rPr>
          <w:t xml:space="preserve">§ 316a</w:t>
        </w:r>
      </w:hyperlink>
      <w:r>
        <w:t xml:space="preserve"> Satz 2 Nummer 1 oder 2 sind und keinen Aufsichts- oder Verwaltungsrat haben, der die Voraussetzungen des § 100 Absatz 5 des Aktiengesetzes erfüllen muss, haben </w:t>
      </w:r>
      <w:hyperlink w:anchor="b361" w:history="1">
        <w:r>
          <w:rPr>
            <w:color w:val="0A3A8C"/>
            <w:u w:val="single"/>
          </w:rPr>
          <w:t xml:space="preserve">§ 324</w:t>
        </w:r>
      </w:hyperlink>
      <w:r>
        <w:t xml:space="preserve"> anzuwenden, auch wenn sie nicht in der Rechtsform einer Kapitalgesellschaft oder einer Personenhandelsgesellschaft im Sinne des </w:t>
      </w:r>
      <w:hyperlink w:anchor="b266" w:history="1">
        <w:r>
          <w:rPr>
            <w:color w:val="0A3A8C"/>
            <w:u w:val="single"/>
          </w:rPr>
          <w:t xml:space="preserve">§ 264a</w:t>
        </w:r>
      </w:hyperlink>
      <w:r>
        <w:t xml:space="preserve"> Absatz 1 betrieben werden. </w:t>
      </w:r>
      <w:r>
        <w:rPr>
          <w:rStyle w:val="Satznummer"/>
        </w:rPr>
        <w:t>2</w:t>
      </w:r>
      <w:r>
        <w:t xml:space="preserve">Dies gilt für Sparkassen im Sinn des Absatzes 3 sowie sonstige landesrechtliche öffentlich-rechtliche Kreditinstitute nur, soweit das Landesrecht nichts anderes vorsieht. </w:t>
      </w:r>
      <w:r>
        <w:rPr>
          <w:rStyle w:val="Satznummer"/>
        </w:rPr>
        <w:t>3</w:t>
      </w:r>
      <w:r>
        <w:t xml:space="preserve">§ 36 Absatz 4 und § 53 Absatz 3 des Genossenschaftsgesetzes bleiben unberührt. </w:t>
      </w:r>
      <w:r>
        <w:rPr>
          <w:rStyle w:val="Satznummer"/>
        </w:rPr>
        <w:t>4</w:t>
      </w:r>
      <w:hyperlink w:anchor="b361" w:history="1">
        <w:r>
          <w:rPr>
            <w:color w:val="0A3A8C"/>
            <w:u w:val="single"/>
          </w:rPr>
          <w:t xml:space="preserve">§ 324</w:t>
        </w:r>
      </w:hyperlink>
      <w:r>
        <w:t xml:space="preserve"> Absatz 3 Satz 1 ist nicht anwendbar auf Kreditinstitute in der Rechtsform der Genossenschaft, auf Sparkassen und auf sonstige landesrechtliche öffentlich-rechtliche Kreditinstitute.</w:t>
      </w:r>
    </w:p>
    <w:p>
      <w:pPr>
        <w:pStyle w:val="Heading4"/>
      </w:pPr>
      <w:bookmarkStart w:id="413" w:name="b412"/>
      <w:r>
        <w:t>Siebenter Titel Offenlegung</w:t>
      </w:r>
      <w:bookmarkEnd w:id="413"/>
    </w:p>
    <w:p>
      <w:pPr>
        <w:pStyle w:val="Heading5"/>
      </w:pPr>
      <w:bookmarkStart w:id="414" w:name="b413"/>
      <w:r>
        <w:t>§ 340l</w:t>
      </w:r>
      <w:r>
        <w:t xml:space="preserve"> </w:t>
      </w:r>
      <w:r>
        <w:rPr>
          <w:rStyle w:val="Suchmarke"/>
        </w:rPr>
        <w:t>#340l#</w:t>
      </w:r>
      <w:bookmarkEnd w:id="414"/>
    </w:p>
    <w:p>
      <w:r>
        <w:t xml:space="preserve">(1) </w:t>
      </w:r>
      <w:r>
        <w:rPr>
          <w:rStyle w:val="Satznummer"/>
        </w:rPr>
        <w:t>1</w:t>
      </w:r>
      <w:r>
        <w:t xml:space="preserve">Kreditinstitute haben den Jahresabschluß und den Lagebericht sowie den Konzernabschluß und den Konzernlagebericht und die anderen in </w:t>
      </w:r>
      <w:hyperlink w:anchor="b364" w:history="1">
        <w:r>
          <w:rPr>
            <w:color w:val="0A3A8C"/>
            <w:u w:val="single"/>
          </w:rPr>
          <w:t xml:space="preserve">§ 325</w:t>
        </w:r>
      </w:hyperlink>
      <w:r>
        <w:t xml:space="preserve"> bezeichneten Unterlagen, sofern sie zu erstellen sind, in deutscher Sprache nach </w:t>
      </w:r>
      <w:hyperlink w:anchor="b364" w:history="1">
        <w:r>
          <w:rPr>
            <w:color w:val="0A3A8C"/>
            <w:u w:val="single"/>
          </w:rPr>
          <w:t xml:space="preserve">§ 325</w:t>
        </w:r>
      </w:hyperlink>
      <w:r>
        <w:t xml:space="preserve"> Absatz 1 Satz 2 und Absatz 1a bis 5 sowie den </w:t>
      </w:r>
      <w:hyperlink w:anchor="b368" w:history="1">
        <w:r>
          <w:rPr>
            <w:color w:val="0A3A8C"/>
            <w:u w:val="single"/>
          </w:rPr>
          <w:t xml:space="preserve">§§ 327a</w:t>
        </w:r>
      </w:hyperlink>
      <w:r>
        <w:t xml:space="preserve"> und </w:t>
      </w:r>
      <w:hyperlink w:anchor="b369" w:history="1">
        <w:r>
          <w:rPr>
            <w:color w:val="0A3A8C"/>
            <w:u w:val="single"/>
          </w:rPr>
          <w:t xml:space="preserve">328</w:t>
        </w:r>
      </w:hyperlink>
      <w:r>
        <w:t xml:space="preserve"> offenzulegen; </w:t>
      </w:r>
      <w:hyperlink w:anchor="b370" w:history="1">
        <w:r>
          <w:rPr>
            <w:color w:val="0A3A8C"/>
            <w:u w:val="single"/>
          </w:rPr>
          <w:t xml:space="preserve">§ 329</w:t>
        </w:r>
      </w:hyperlink>
      <w:r>
        <w:t xml:space="preserve"> Absatz 1, 2 und 4 ist entsprechend anzuwenden. </w:t>
      </w:r>
      <w:r>
        <w:rPr>
          <w:rStyle w:val="Satznummer"/>
        </w:rPr>
        <w:t>2</w:t>
      </w:r>
      <w:r>
        <w:t xml:space="preserve">Kreditinstitute, die nicht Zweigniederlassungen sind, haben die in Satz 1 bezeichneten Unterlagen außerdem in jedem anderen Mitgliedstaat der Europäischen Gemeinschaft und in jedem anderen Vertragsstaat des Abkommens über den Europäischen Wirtschaftsraum offenzulegen, in dem sie eine Zweigniederlassung errichtet haben. </w:t>
      </w:r>
      <w:r>
        <w:rPr>
          <w:rStyle w:val="Satznummer"/>
        </w:rPr>
        <w:t>3</w:t>
      </w:r>
      <w:r>
        <w:t>Die Offenlegung nach Satz 2 richtet sich nach dem Recht des jeweiligen Mitgliedstaats oder Vertragsstaats.</w:t>
      </w:r>
    </w:p>
    <w:p>
      <w:r>
        <w:t xml:space="preserve">(2) </w:t>
      </w:r>
      <w:r>
        <w:rPr>
          <w:rStyle w:val="Satznummer"/>
        </w:rPr>
        <w:t>1</w:t>
      </w:r>
      <w:r>
        <w:t xml:space="preserve">Zweigniederlassungen im Geltungsbereich dieses Gesetzes von Unternehmen mit Sitz in einem anderen Staat haben die in Absatz 1 Satz 1 bezeichneten Unterlagen ihrer Hauptniederlassung, die nach deren Recht aufgestellt und geprüft worden sind, nach </w:t>
      </w:r>
      <w:hyperlink w:anchor="b364" w:history="1">
        <w:r>
          <w:rPr>
            <w:color w:val="0A3A8C"/>
            <w:u w:val="single"/>
          </w:rPr>
          <w:t xml:space="preserve">§ 325</w:t>
        </w:r>
      </w:hyperlink>
      <w:r>
        <w:t xml:space="preserve"> Absatz 1 Satz 2 und Absatz 1a bis 5 sowie den </w:t>
      </w:r>
      <w:hyperlink w:anchor="b368" w:history="1">
        <w:r>
          <w:rPr>
            <w:color w:val="0A3A8C"/>
            <w:u w:val="single"/>
          </w:rPr>
          <w:t xml:space="preserve">§§ 327a</w:t>
        </w:r>
      </w:hyperlink>
      <w:r>
        <w:t xml:space="preserve"> und </w:t>
      </w:r>
      <w:hyperlink w:anchor="b369" w:history="1">
        <w:r>
          <w:rPr>
            <w:color w:val="0A3A8C"/>
            <w:u w:val="single"/>
          </w:rPr>
          <w:t xml:space="preserve">328</w:t>
        </w:r>
      </w:hyperlink>
      <w:r>
        <w:t xml:space="preserve"> offenzulegen; </w:t>
      </w:r>
      <w:hyperlink w:anchor="b370" w:history="1">
        <w:r>
          <w:rPr>
            <w:color w:val="0A3A8C"/>
            <w:u w:val="single"/>
          </w:rPr>
          <w:t xml:space="preserve">§ 329</w:t>
        </w:r>
      </w:hyperlink>
      <w:r>
        <w:t xml:space="preserve"> ist entsprechend anzuwenden. </w:t>
      </w:r>
      <w:r>
        <w:rPr>
          <w:rStyle w:val="Satznummer"/>
        </w:rPr>
        <w:t>2</w:t>
      </w:r>
      <w:r>
        <w:t xml:space="preserve">Unternehmen mit Sitz in einem Drittstaat im Sinn des § 3 Abs. 1 Satz 1 der Wirtschaftsprüferordnung, deren Wertpapiere im Sinn des § 2 Absatz 1 des Wertpapierhandelsgesetzes an einer inländischen Börse zum Handel am regulierten Markt zugelassen sind, haben zudem eine Bescheinigung der Wirtschaftsprüferkammer gemäß § 134 Abs. 2a der Wirtschaftsprüferordnung über die Eintragung des Abschlussprüfers oder eine Bestätigung der Wirtschaftsprüferkammer gemäß § 134 Abs. 4 Satz 8 der Wirtschaftsprüferordnung über die Befreiung von der Eintragungsverpflichtung offenzulegen. </w:t>
      </w:r>
      <w:r>
        <w:rPr>
          <w:rStyle w:val="Satznummer"/>
        </w:rPr>
        <w:t>3</w:t>
      </w:r>
      <w:r>
        <w:t>Satz 2 ist nicht anzuwenden, soweit ausschließlich Schuldtitel im Sinne des § 2 Absatz 1 Nummer 3 des Wertpapierhandelsgesetzes</w:t>
      </w:r>
    </w:p>
    <w:p>
      <w:pPr>
        <w:tabs>
          <w:tab w:pos="567" w:val="left"/>
        </w:tabs>
        <w:ind w:left="567" w:hanging="567"/>
      </w:pPr>
      <w:r>
        <w:t>1.</w:t>
      </w:r>
      <w:r>
        <w:tab/>
      </w:r>
      <w:r>
        <w:t>mit einer Mindeststückelung zu je 100 000 Euro oder einem entsprechenden Betrag anderer Währung an einer inländischen Börse zum Handel am regulierten Markt zugelassen sind oder</w:t>
      </w:r>
    </w:p>
    <w:p>
      <w:pPr>
        <w:tabs>
          <w:tab w:pos="567" w:val="left"/>
        </w:tabs>
        <w:ind w:left="567" w:hanging="567"/>
      </w:pPr>
      <w:r>
        <w:t>2.</w:t>
      </w:r>
      <w:r>
        <w:tab/>
      </w:r>
      <w:r>
        <w:t>mit einer Mindeststückelung zu je 50 000 Euro oder einem entsprechenden Betrag anderer Währung an einer inländischen Börse zum Handel am regulierten Markt zugelassen sind und diese Schuldtitel vor dem 31. Dezember 2010 begeben worden sind.</w:t>
      </w:r>
    </w:p>
    <w:p>
      <w:r>
        <w:rPr>
          <w:rStyle w:val="Satznummer"/>
        </w:rPr>
        <w:t>4</w:t>
      </w:r>
      <w:r>
        <w:t xml:space="preserve">Zweigniederlassungen im Geltungsbereich dieses Gesetzes von Unternehmen mit Sitz in einem Staat, der nicht Mitglied der Europäischen Gemeinschaft und auch nicht Vertragsstaat des Abkommens über den Europäischen Wirtschaftsraum ist, brauchen auf ihre eigene Geschäftstätigkeit bezogene gesonderte Rechnungslegungsunterlagen nach Absatz 1 Satz 1 nicht offenzulegen, sofern die nach den Sätzen 1 und 2 offenzulegenden Unterlagen nach einem an die Richtlinie 86/635/EWG angepaßten Recht aufgestellt und geprüft worden oder den nach einem dieser Rechte aufgestellten Unterlagen gleichwertig sind. </w:t>
      </w:r>
      <w:r>
        <w:rPr>
          <w:rStyle w:val="Satznummer"/>
        </w:rPr>
        <w:t>5</w:t>
      </w:r>
      <w:r>
        <w:t xml:space="preserve">Die Unterlagen sind in deutscher Sprache zu übermitteln. </w:t>
      </w:r>
      <w:r>
        <w:rPr>
          <w:rStyle w:val="Satznummer"/>
        </w:rPr>
        <w:t>6</w:t>
      </w:r>
      <w:r>
        <w:t>Soweit dies nicht die Amtssprache am Sitz der Hauptniederlassung ist, können die Unterlagen der Hauptniederlassung auch</w:t>
      </w:r>
    </w:p>
    <w:p>
      <w:pPr>
        <w:tabs>
          <w:tab w:pos="567" w:val="left"/>
        </w:tabs>
        <w:ind w:left="567" w:hanging="567"/>
      </w:pPr>
      <w:r>
        <w:t>1.</w:t>
      </w:r>
      <w:r>
        <w:tab/>
      </w:r>
      <w:r>
        <w:t>in englischer Sprache oder</w:t>
      </w:r>
    </w:p>
    <w:p>
      <w:pPr>
        <w:tabs>
          <w:tab w:pos="567" w:val="left"/>
        </w:tabs>
        <w:ind w:left="567" w:hanging="567"/>
      </w:pPr>
      <w:r>
        <w:t>2.</w:t>
      </w:r>
      <w:r>
        <w:tab/>
      </w:r>
      <w:r>
        <w:t>in einer von dem Register der Hauptniederlassung beglaubigten Abschrift oder,</w:t>
      </w:r>
    </w:p>
    <w:p>
      <w:pPr>
        <w:tabs>
          <w:tab w:pos="567" w:val="left"/>
        </w:tabs>
        <w:ind w:left="567" w:hanging="567"/>
      </w:pPr>
      <w:r>
        <w:t>3.</w:t>
      </w:r>
      <w:r>
        <w:tab/>
      </w:r>
      <w:r>
        <w:t>wenn eine dem Register vergleichbare Einrichtung nicht vorhanden oder diese nicht zur Beglaubigung befugt ist, in einer von einem Wirtschaftsprüfer bescheinigten Abschrift, verbunden mit der Erklärung, dass entweder eine dem Register vergleichbare Einrichtung nicht vorhanden oder diese nicht zur Beglaubigung befugt ist,</w:t>
      </w:r>
    </w:p>
    <w:p>
      <w:r>
        <w:t>übermittelt werden; von der Beglaubigung des Registers ist eine beglaubigte Übersetzung in deutscher Sprache zu übermitteln.</w:t>
      </w:r>
    </w:p>
    <w:p>
      <w:r>
        <w:t xml:space="preserve">(3) </w:t>
      </w:r>
      <w:hyperlink w:anchor="b391" w:history="1">
        <w:r>
          <w:rPr>
            <w:color w:val="0A3A8C"/>
            <w:u w:val="single"/>
          </w:rPr>
          <w:t xml:space="preserve">§ 339</w:t>
        </w:r>
      </w:hyperlink>
      <w:r>
        <w:t xml:space="preserve"> ist auf Kreditinstitute, die Genossenschaften sind, nicht anzuwenden.</w:t>
      </w:r>
    </w:p>
    <w:p>
      <w:r>
        <w:t xml:space="preserve">(4) Macht ein Kreditinstitut von dem Wahlrecht nach § 325 Absatz 2a Satz 1 Gebrauch, sind </w:t>
      </w:r>
      <w:hyperlink w:anchor="b364" w:history="1">
        <w:r>
          <w:rPr>
            <w:color w:val="0A3A8C"/>
            <w:u w:val="single"/>
          </w:rPr>
          <w:t xml:space="preserve">§ 325</w:t>
        </w:r>
      </w:hyperlink>
      <w:r>
        <w:t xml:space="preserve"> Absatz 2a Satz 3 und 5 mit folgenden Maßgaben anzuwenden:</w:t>
      </w:r>
    </w:p>
    <w:p>
      <w:pPr>
        <w:tabs>
          <w:tab w:pos="567" w:val="left"/>
        </w:tabs>
        <w:ind w:left="567" w:hanging="567"/>
      </w:pPr>
      <w:r>
        <w:t>1.</w:t>
      </w:r>
      <w:r>
        <w:tab/>
      </w:r>
      <w:r>
        <w:t xml:space="preserve">Die in </w:t>
      </w:r>
      <w:hyperlink w:anchor="b364" w:history="1">
        <w:r>
          <w:rPr>
            <w:color w:val="0A3A8C"/>
            <w:u w:val="single"/>
          </w:rPr>
          <w:t xml:space="preserve">§ 325</w:t>
        </w:r>
      </w:hyperlink>
      <w:r>
        <w:t xml:space="preserve"> Abs. 2a Satz 3 genannten Vorschriften des Ersten Unterabschnitts des Zweiten Abschnitts des Dritten Buchs sind auch auf Kreditinstitute anzuwenden, die nicht in der Rechtsform einer Kapitalgesellschaft betrieben werden.</w:t>
      </w:r>
    </w:p>
    <w:p>
      <w:pPr>
        <w:tabs>
          <w:tab w:pos="567" w:val="left"/>
        </w:tabs>
        <w:ind w:left="567" w:hanging="567"/>
      </w:pPr>
      <w:r>
        <w:t>2.</w:t>
      </w:r>
      <w:r>
        <w:tab/>
      </w:r>
      <w:r>
        <w:t xml:space="preserve">§ 285 Nummer 8 Buchstabe b findet keine Anwendung; der Personalaufwand des Geschäftsjahrs ist jedoch im Anhang zum Einzelabschluss nach </w:t>
      </w:r>
      <w:hyperlink w:anchor="b364" w:history="1">
        <w:r>
          <w:rPr>
            <w:color w:val="0A3A8C"/>
            <w:u w:val="single"/>
          </w:rPr>
          <w:t xml:space="preserve">§ 325</w:t>
        </w:r>
      </w:hyperlink>
      <w:r>
        <w:t xml:space="preserve"> Absatz 2a gemäß der Gliederung nach Formblatt 3 im Posten Allgemeine Verwaltungsaufwendungen Unterposten Buchstabe a Personalaufwand der Kreditinstituts-Rechnungslegungsverordnung in der Fassung der Bekanntmachung vom 11. Dezember 1998 (BGBl. I S. 3658) in der jeweils geltenden Fassung anzugeben, sofern diese Angaben nicht gesondert in der Gewinn- und Verlustrechnung erscheinen.</w:t>
      </w:r>
    </w:p>
    <w:p>
      <w:pPr>
        <w:tabs>
          <w:tab w:pos="567" w:val="left"/>
        </w:tabs>
        <w:ind w:left="567" w:hanging="567"/>
      </w:pPr>
      <w:r>
        <w:t>3.</w:t>
      </w:r>
      <w:r>
        <w:tab/>
      </w:r>
      <w:r>
        <w:t>An Stelle des § 285 Nr. 9 Buchstabe c gilt § 34 Abs. 2 Nr. 2 der Kreditinstituts-Rechnungslegungsverordnung in der Fassung der Bekanntmachung vom 11. Dezember 1998 (BGBl. I S. 3658) in der jeweils geltenden Fassung.</w:t>
      </w:r>
    </w:p>
    <w:p>
      <w:pPr>
        <w:tabs>
          <w:tab w:pos="567" w:val="left"/>
        </w:tabs>
        <w:ind w:left="567" w:hanging="567"/>
      </w:pPr>
      <w:r>
        <w:t>4.</w:t>
      </w:r>
      <w:r>
        <w:tab/>
      </w:r>
      <w:r>
        <w:t xml:space="preserve">Für den Anhang gilt zusätzlich die Vorschrift des </w:t>
      </w:r>
      <w:hyperlink w:anchor="b397" w:history="1">
        <w:r>
          <w:rPr>
            <w:color w:val="0A3A8C"/>
            <w:u w:val="single"/>
          </w:rPr>
          <w:t xml:space="preserve">§ 340a</w:t>
        </w:r>
      </w:hyperlink>
      <w:r>
        <w:t xml:space="preserve"> Abs. 4.</w:t>
      </w:r>
    </w:p>
    <w:p>
      <w:pPr>
        <w:tabs>
          <w:tab w:pos="567" w:val="left"/>
        </w:tabs>
        <w:ind w:left="567" w:hanging="567"/>
      </w:pPr>
      <w:r>
        <w:t>5.</w:t>
      </w:r>
      <w:r>
        <w:tab/>
      </w:r>
      <w:r>
        <w:t>Im Übrigen finden die Bestimmungen des Zweiten bis Vierten Titels dieses Unterabschnitts sowie der Kreditinstituts-Rechnungslegungsverordnung keine Anwendung.</w:t>
      </w:r>
    </w:p>
    <w:p>
      <w:pPr>
        <w:pStyle w:val="Heading4"/>
      </w:pPr>
      <w:bookmarkStart w:id="415" w:name="b414"/>
      <w:r>
        <w:t>Achter Titel Straf- und Bußgeldvorschriften, Ordnungsgelder</w:t>
      </w:r>
      <w:bookmarkEnd w:id="415"/>
    </w:p>
    <w:p>
      <w:pPr>
        <w:pStyle w:val="Heading5"/>
      </w:pPr>
      <w:bookmarkStart w:id="416" w:name="b415"/>
      <w:r>
        <w:t>§ 340m Strafvorschriften</w:t>
      </w:r>
      <w:r>
        <w:t xml:space="preserve"> </w:t>
      </w:r>
      <w:r>
        <w:rPr>
          <w:rStyle w:val="Suchmarke"/>
        </w:rPr>
        <w:t>#340m#</w:t>
      </w:r>
      <w:bookmarkEnd w:id="416"/>
    </w:p>
    <w:p>
      <w:r>
        <w:t xml:space="preserve">(1) </w:t>
      </w:r>
      <w:r>
        <w:rPr>
          <w:rStyle w:val="Satznummer"/>
        </w:rPr>
        <w:t>1</w:t>
      </w:r>
      <w:r>
        <w:t xml:space="preserve">Die Strafvorschriften der </w:t>
      </w:r>
      <w:hyperlink w:anchor="b375" w:history="1">
        <w:r>
          <w:rPr>
            <w:color w:val="0A3A8C"/>
            <w:u w:val="single"/>
          </w:rPr>
          <w:t xml:space="preserve">§§ 331</w:t>
        </w:r>
      </w:hyperlink>
      <w:r>
        <w:t xml:space="preserve"> bis </w:t>
      </w:r>
      <w:hyperlink w:anchor="b378" w:history="1">
        <w:r>
          <w:rPr>
            <w:color w:val="0A3A8C"/>
            <w:u w:val="single"/>
          </w:rPr>
          <w:t xml:space="preserve">333</w:t>
        </w:r>
      </w:hyperlink>
      <w:r>
        <w:t xml:space="preserve"> sind auch auf nicht in der Rechtsform einer Kapitalgesellschaft betriebene Kreditinstitute, auf Finanzdienstleistungsinstitute im Sinne des </w:t>
      </w:r>
      <w:hyperlink w:anchor="b395" w:history="1">
        <w:r>
          <w:rPr>
            <w:color w:val="0A3A8C"/>
            <w:u w:val="single"/>
          </w:rPr>
          <w:t xml:space="preserve">§ 340</w:t>
        </w:r>
      </w:hyperlink>
      <w:r>
        <w:t xml:space="preserve"> Absatz 4, auf Wertpapierinstitute im Sinne des </w:t>
      </w:r>
      <w:hyperlink w:anchor="b395" w:history="1">
        <w:r>
          <w:rPr>
            <w:color w:val="0A3A8C"/>
            <w:u w:val="single"/>
          </w:rPr>
          <w:t xml:space="preserve">§ 340</w:t>
        </w:r>
      </w:hyperlink>
      <w:r>
        <w:t xml:space="preserve"> Absatz 4a Satz 1 sowie auf Institute im Sinne des </w:t>
      </w:r>
      <w:hyperlink w:anchor="b395" w:history="1">
        <w:r>
          <w:rPr>
            <w:color w:val="0A3A8C"/>
            <w:u w:val="single"/>
          </w:rPr>
          <w:t xml:space="preserve">§ 340</w:t>
        </w:r>
      </w:hyperlink>
      <w:r>
        <w:t xml:space="preserve"> Absatz 5 anzuwenden. </w:t>
      </w:r>
      <w:r>
        <w:rPr>
          <w:rStyle w:val="Satznummer"/>
        </w:rPr>
        <w:t>2</w:t>
      </w:r>
      <w:hyperlink w:anchor="b375" w:history="1">
        <w:r>
          <w:rPr>
            <w:color w:val="0A3A8C"/>
            <w:u w:val="single"/>
          </w:rPr>
          <w:t xml:space="preserve">§ 331</w:t>
        </w:r>
      </w:hyperlink>
      <w:r>
        <w:t xml:space="preserve"> ist darüber hinaus auch anzuwenden auf die Verletzung von Pflichten durch</w:t>
      </w:r>
    </w:p>
    <w:p>
      <w:pPr>
        <w:tabs>
          <w:tab w:pos="567" w:val="left"/>
        </w:tabs>
        <w:ind w:left="567" w:hanging="567"/>
      </w:pPr>
      <w:r>
        <w:t>1.</w:t>
      </w:r>
      <w:r>
        <w:tab/>
      </w:r>
      <w:r>
        <w:t xml:space="preserve">den Geschäftsleiter (§ 1 Absatz 2 des Kreditwesengesetzes) eines nicht in der Rechtsform der Kapitalgesellschaft betriebenen Kreditinstituts oder Finanzdienstleistungsinstituts im Sinne des </w:t>
      </w:r>
      <w:hyperlink w:anchor="b395" w:history="1">
        <w:r>
          <w:rPr>
            <w:color w:val="0A3A8C"/>
            <w:u w:val="single"/>
          </w:rPr>
          <w:t xml:space="preserve">§ 340</w:t>
        </w:r>
      </w:hyperlink>
      <w:r>
        <w:t xml:space="preserve"> Absatz 4 Satz 1,</w:t>
      </w:r>
    </w:p>
    <w:p>
      <w:pPr>
        <w:tabs>
          <w:tab w:pos="567" w:val="left"/>
        </w:tabs>
        <w:ind w:left="567" w:hanging="567"/>
      </w:pPr>
      <w:r>
        <w:t>1a.</w:t>
      </w:r>
      <w:r>
        <w:tab/>
      </w:r>
      <w:r>
        <w:t xml:space="preserve">den Geschäftsleiter (§ 2 Absatz 36 des Wertpapierinstitutsgesetzes) eines nicht in der Rechtsform der Kapitalgesellschaft betriebenen Wertpapierinstituts im Sinne des </w:t>
      </w:r>
      <w:hyperlink w:anchor="b395" w:history="1">
        <w:r>
          <w:rPr>
            <w:color w:val="0A3A8C"/>
            <w:u w:val="single"/>
          </w:rPr>
          <w:t xml:space="preserve">§ 340</w:t>
        </w:r>
      </w:hyperlink>
      <w:r>
        <w:t xml:space="preserve"> Absatz 4a Satz 1,</w:t>
      </w:r>
    </w:p>
    <w:p>
      <w:pPr>
        <w:tabs>
          <w:tab w:pos="567" w:val="left"/>
        </w:tabs>
        <w:ind w:left="567" w:hanging="567"/>
      </w:pPr>
      <w:r>
        <w:t>2.</w:t>
      </w:r>
      <w:r>
        <w:tab/>
      </w:r>
      <w:r>
        <w:t xml:space="preserve">den Geschäftsleiter (§ 1 Absatz 8 Satz 1 und 2 des Zahlungsdiensteaufsichtsgesetzes) eines nicht in der Rechtsform der Kapitalgesellschaft betriebenen Instituts im Sinne des </w:t>
      </w:r>
      <w:hyperlink w:anchor="b395" w:history="1">
        <w:r>
          <w:rPr>
            <w:color w:val="0A3A8C"/>
            <w:u w:val="single"/>
          </w:rPr>
          <w:t xml:space="preserve">§ 340</w:t>
        </w:r>
      </w:hyperlink>
      <w:r>
        <w:t xml:space="preserve"> Absatz 5,</w:t>
      </w:r>
    </w:p>
    <w:p>
      <w:pPr>
        <w:tabs>
          <w:tab w:pos="567" w:val="left"/>
        </w:tabs>
        <w:ind w:left="567" w:hanging="567"/>
      </w:pPr>
      <w:r>
        <w:t>3.</w:t>
      </w:r>
      <w:r>
        <w:tab/>
      </w:r>
      <w:r>
        <w:t xml:space="preserve">den Inhaber eines in der Rechtsform des Einzelkaufmanns betriebenen Finanzdienstleistungsinstituts im Sinne des </w:t>
      </w:r>
      <w:hyperlink w:anchor="b395" w:history="1">
        <w:r>
          <w:rPr>
            <w:color w:val="0A3A8C"/>
            <w:u w:val="single"/>
          </w:rPr>
          <w:t xml:space="preserve">§ 340</w:t>
        </w:r>
      </w:hyperlink>
      <w:r>
        <w:t xml:space="preserve"> Absatz 4 Satz 1 oder Wertpapierinstituts im Sinne des </w:t>
      </w:r>
      <w:hyperlink w:anchor="b395" w:history="1">
        <w:r>
          <w:rPr>
            <w:color w:val="0A3A8C"/>
            <w:u w:val="single"/>
          </w:rPr>
          <w:t xml:space="preserve">§ 340</w:t>
        </w:r>
      </w:hyperlink>
      <w:r>
        <w:t xml:space="preserve"> Absatz 4a Satz 1 und</w:t>
      </w:r>
    </w:p>
    <w:p>
      <w:pPr>
        <w:tabs>
          <w:tab w:pos="567" w:val="left"/>
        </w:tabs>
        <w:ind w:left="567" w:hanging="567"/>
      </w:pPr>
      <w:r>
        <w:t>4.</w:t>
      </w:r>
      <w:r>
        <w:tab/>
      </w:r>
      <w:r>
        <w:t>den Geschäftsleiter im Sinne des § 53 Absatz 2 Nummer 1 des Kreditwesengesetzes.</w:t>
      </w:r>
    </w:p>
    <w:p>
      <w:r>
        <w:t xml:space="preserve">(2) Mit Freiheitsstrafe bis zu einem Jahr oder mit Geldstrafe wird bestraft, wer als Mitglied eines nach </w:t>
      </w:r>
      <w:hyperlink w:anchor="b411" w:history="1">
        <w:r>
          <w:rPr>
            <w:color w:val="0A3A8C"/>
            <w:u w:val="single"/>
          </w:rPr>
          <w:t xml:space="preserve">§ 340k</w:t>
        </w:r>
      </w:hyperlink>
      <w:r>
        <w:t xml:space="preserve"> Absatz 5 Satz 1 in Verbindung mit </w:t>
      </w:r>
      <w:hyperlink w:anchor="b361" w:history="1">
        <w:r>
          <w:rPr>
            <w:color w:val="0A3A8C"/>
            <w:u w:val="single"/>
          </w:rPr>
          <w:t xml:space="preserve">§ 324</w:t>
        </w:r>
      </w:hyperlink>
      <w:r>
        <w:t xml:space="preserve"> Absatz 1 Satz 1 eingerichteten Prüfungsausschusses eines Kreditinstituts im Sinne des </w:t>
      </w:r>
      <w:hyperlink w:anchor="b395" w:history="1">
        <w:r>
          <w:rPr>
            <w:color w:val="0A3A8C"/>
            <w:u w:val="single"/>
          </w:rPr>
          <w:t xml:space="preserve">§ 340</w:t>
        </w:r>
      </w:hyperlink>
      <w:r>
        <w:t xml:space="preserve"> Absatz 1 Satz 1, eines Finanzdienstleistungsinstituts im Sinne des </w:t>
      </w:r>
      <w:hyperlink w:anchor="b395" w:history="1">
        <w:r>
          <w:rPr>
            <w:color w:val="0A3A8C"/>
            <w:u w:val="single"/>
          </w:rPr>
          <w:t xml:space="preserve">§ 340</w:t>
        </w:r>
      </w:hyperlink>
      <w:r>
        <w:t xml:space="preserve"> Absatz 4 Satz 1, eines Wertpapierinstituts im Sinne des </w:t>
      </w:r>
      <w:hyperlink w:anchor="b395" w:history="1">
        <w:r>
          <w:rPr>
            <w:color w:val="0A3A8C"/>
            <w:u w:val="single"/>
          </w:rPr>
          <w:t xml:space="preserve">§ 340</w:t>
        </w:r>
      </w:hyperlink>
      <w:r>
        <w:t xml:space="preserve"> Absatz 4a Satz 1 oder eines Instituts im Sinne des § 1 Absatz 3 des Zahlungsdiensteaufsichtsgesetzes</w:t>
      </w:r>
    </w:p>
    <w:p>
      <w:pPr>
        <w:tabs>
          <w:tab w:pos="567" w:val="left"/>
        </w:tabs>
        <w:ind w:left="567" w:hanging="567"/>
      </w:pPr>
      <w:r>
        <w:t>1.</w:t>
      </w:r>
      <w:r>
        <w:tab/>
      </w:r>
      <w:r>
        <w:t xml:space="preserve">eine in </w:t>
      </w:r>
      <w:hyperlink w:anchor="b416" w:history="1">
        <w:r>
          <w:rPr>
            <w:color w:val="0A3A8C"/>
            <w:u w:val="single"/>
          </w:rPr>
          <w:t xml:space="preserve">§ 340n</w:t>
        </w:r>
      </w:hyperlink>
      <w:r>
        <w:t xml:space="preserve"> Absatz 2a bezeichnete Handlung begeht und dafür einen Vermögensvorteil erhält oder sich versprechen lässt oder</w:t>
      </w:r>
    </w:p>
    <w:p>
      <w:pPr>
        <w:tabs>
          <w:tab w:pos="567" w:val="left"/>
        </w:tabs>
        <w:ind w:left="567" w:hanging="567"/>
      </w:pPr>
      <w:r>
        <w:t>2.</w:t>
      </w:r>
      <w:r>
        <w:tab/>
      </w:r>
      <w:r>
        <w:t xml:space="preserve">eine in </w:t>
      </w:r>
      <w:hyperlink w:anchor="b416" w:history="1">
        <w:r>
          <w:rPr>
            <w:color w:val="0A3A8C"/>
            <w:u w:val="single"/>
          </w:rPr>
          <w:t xml:space="preserve">§ 340n</w:t>
        </w:r>
      </w:hyperlink>
      <w:r>
        <w:t xml:space="preserve"> Absatz 2a bezeichnete Handlung beharrlich wiederholt.</w:t>
      </w:r>
    </w:p>
    <w:p>
      <w:r>
        <w:t xml:space="preserve">(3) </w:t>
      </w:r>
      <w:hyperlink w:anchor="b386" w:history="1">
        <w:r>
          <w:rPr>
            <w:color w:val="0A3A8C"/>
            <w:u w:val="single"/>
          </w:rPr>
          <w:t xml:space="preserve">§ 335c</w:t>
        </w:r>
      </w:hyperlink>
      <w:r>
        <w:t xml:space="preserve"> Absatz 2 gilt in den Fällen des Absatzes 1 Satz 1 in Verbindung mit </w:t>
      </w:r>
      <w:hyperlink w:anchor="b377" w:history="1">
        <w:r>
          <w:rPr>
            <w:color w:val="0A3A8C"/>
            <w:u w:val="single"/>
          </w:rPr>
          <w:t xml:space="preserve">§ 332</w:t>
        </w:r>
      </w:hyperlink>
      <w:r>
        <w:t xml:space="preserve"> oder </w:t>
      </w:r>
      <w:hyperlink w:anchor="b378" w:history="1">
        <w:r>
          <w:rPr>
            <w:color w:val="0A3A8C"/>
            <w:u w:val="single"/>
          </w:rPr>
          <w:t xml:space="preserve">§ 333</w:t>
        </w:r>
      </w:hyperlink>
      <w:r>
        <w:t xml:space="preserve"> und des Absatzes 2 entsprechend.</w:t>
      </w:r>
    </w:p>
    <w:p>
      <w:pPr>
        <w:pStyle w:val="Heading5"/>
      </w:pPr>
      <w:bookmarkStart w:id="417" w:name="b416"/>
      <w:r>
        <w:t>§ 340n Bußgeldvorschriften</w:t>
      </w:r>
      <w:r>
        <w:t xml:space="preserve"> </w:t>
      </w:r>
      <w:r>
        <w:rPr>
          <w:rStyle w:val="Suchmarke"/>
        </w:rPr>
        <w:t>#340n#</w:t>
      </w:r>
      <w:bookmarkEnd w:id="417"/>
    </w:p>
    <w:p>
      <w:r>
        <w:t xml:space="preserve">(1) </w:t>
      </w:r>
      <w:r>
        <w:rPr>
          <w:rStyle w:val="Satznummer"/>
        </w:rPr>
        <w:t>1</w:t>
      </w:r>
      <w:r>
        <w:t xml:space="preserve">Ordnungswidrig handelt, wer als Geschäftsleiter im Sinne des </w:t>
      </w:r>
      <w:hyperlink w:anchor="b2" w:history="1">
        <w:r>
          <w:rPr>
            <w:color w:val="0A3A8C"/>
            <w:u w:val="single"/>
          </w:rPr>
          <w:t xml:space="preserve">§ 1</w:t>
        </w:r>
      </w:hyperlink>
      <w:r>
        <w:t xml:space="preserve"> Absatz 2 oder des § 53 Absatz 2 Nummer 1 des Kreditwesengesetzes eines Kreditinstituts oder Finanzdienstleistungsinstituts im Sinne des </w:t>
      </w:r>
      <w:hyperlink w:anchor="b395" w:history="1">
        <w:r>
          <w:rPr>
            <w:color w:val="0A3A8C"/>
            <w:u w:val="single"/>
          </w:rPr>
          <w:t xml:space="preserve">§ 340</w:t>
        </w:r>
      </w:hyperlink>
      <w:r>
        <w:t xml:space="preserve"> Absatz 4 Satz 1 oder als Geschäftsleiter im Sinne des § 2 Absatz 36 des Wertpapierinstitutsgesetzes eines Wertpapierinstituts im Sinne des </w:t>
      </w:r>
      <w:hyperlink w:anchor="b395" w:history="1">
        <w:r>
          <w:rPr>
            <w:color w:val="0A3A8C"/>
            <w:u w:val="single"/>
          </w:rPr>
          <w:t xml:space="preserve">§ 340</w:t>
        </w:r>
      </w:hyperlink>
      <w:r>
        <w:t xml:space="preserve"> Absatz 4a Satz 1 oder als Geschäftsleiter im Sinne des § 1 Absatz 8 Satz 1 und 2 des Zahlungsdiensteaufsichtsgesetzes eines Instituts im Sinne des § 1 Absatz 3 des Zahlungsdiensteaufsichtsgesetzes oder als Inhaber eines in der Rechtsform des Einzelkaufmanns betriebenen Finanzdienstleistungsinstituts im Sinne des </w:t>
      </w:r>
      <w:hyperlink w:anchor="b395" w:history="1">
        <w:r>
          <w:rPr>
            <w:color w:val="0A3A8C"/>
            <w:u w:val="single"/>
          </w:rPr>
          <w:t xml:space="preserve">§ 340</w:t>
        </w:r>
      </w:hyperlink>
      <w:r>
        <w:t xml:space="preserve"> Absatz 4 Satz 1 oder Wertpapierinstituts im Sinne des </w:t>
      </w:r>
      <w:hyperlink w:anchor="b395" w:history="1">
        <w:r>
          <w:rPr>
            <w:color w:val="0A3A8C"/>
            <w:u w:val="single"/>
          </w:rPr>
          <w:t xml:space="preserve">§ 340</w:t>
        </w:r>
      </w:hyperlink>
      <w:r>
        <w:t xml:space="preserve"> Absatz 4a Satz 1 oder als Mitglied des Aufsichtsrats eines der vorgenannten Unternehmen</w:t>
      </w:r>
    </w:p>
    <w:p>
      <w:pPr>
        <w:tabs>
          <w:tab w:pos="567" w:val="left"/>
        </w:tabs>
        <w:ind w:left="567" w:hanging="567"/>
      </w:pPr>
      <w:r>
        <w:t>1.</w:t>
      </w:r>
      <w:r>
        <w:tab/>
      </w:r>
      <w:r>
        <w:t>bei der Aufstellung oder Feststellung des Jahresabschlusses oder bei der Aufstellung des Zwischenabschlusses gemäß § 340a Abs. 3 einer Vorschrift</w:t>
      </w:r>
    </w:p>
    <w:p>
      <w:pPr>
        <w:tabs>
          <w:tab w:pos="1134" w:val="left"/>
        </w:tabs>
        <w:ind w:left="1134" w:hanging="567"/>
      </w:pPr>
      <w:r>
        <w:t>a)</w:t>
      </w:r>
      <w:r>
        <w:tab/>
      </w:r>
      <w:r>
        <w:t xml:space="preserve">des </w:t>
      </w:r>
      <w:hyperlink w:anchor="b236" w:history="1">
        <w:r>
          <w:rPr>
            <w:color w:val="0A3A8C"/>
            <w:u w:val="single"/>
          </w:rPr>
          <w:t xml:space="preserve">§ 243</w:t>
        </w:r>
      </w:hyperlink>
      <w:r>
        <w:t xml:space="preserve"> Abs. 1 oder 2, der </w:t>
      </w:r>
      <w:hyperlink w:anchor="b237" w:history="1">
        <w:r>
          <w:rPr>
            <w:color w:val="0A3A8C"/>
            <w:u w:val="single"/>
          </w:rPr>
          <w:t xml:space="preserve">§§ 244</w:t>
        </w:r>
      </w:hyperlink>
      <w:r>
        <w:t xml:space="preserve">, </w:t>
      </w:r>
      <w:hyperlink w:anchor="b238" w:history="1">
        <w:r>
          <w:rPr>
            <w:color w:val="0A3A8C"/>
            <w:u w:val="single"/>
          </w:rPr>
          <w:t xml:space="preserve">245</w:t>
        </w:r>
      </w:hyperlink>
      <w:r>
        <w:t xml:space="preserve">, </w:t>
      </w:r>
      <w:hyperlink w:anchor="b240" w:history="1">
        <w:r>
          <w:rPr>
            <w:color w:val="0A3A8C"/>
            <w:u w:val="single"/>
          </w:rPr>
          <w:t xml:space="preserve">246</w:t>
        </w:r>
      </w:hyperlink>
      <w:r>
        <w:t xml:space="preserve"> Abs. 1 oder 2, dieser in Verbindung mit </w:t>
      </w:r>
      <w:hyperlink w:anchor="b397" w:history="1">
        <w:r>
          <w:rPr>
            <w:color w:val="0A3A8C"/>
            <w:u w:val="single"/>
          </w:rPr>
          <w:t xml:space="preserve">§ 340a</w:t>
        </w:r>
      </w:hyperlink>
      <w:r>
        <w:t xml:space="preserve"> Abs. 2 Satz 3, des </w:t>
      </w:r>
      <w:hyperlink w:anchor="b240" w:history="1">
        <w:r>
          <w:rPr>
            <w:color w:val="0A3A8C"/>
            <w:u w:val="single"/>
          </w:rPr>
          <w:t xml:space="preserve">§ 246</w:t>
        </w:r>
      </w:hyperlink>
      <w:r>
        <w:t xml:space="preserve"> Abs. 3 Satz 1, des </w:t>
      </w:r>
      <w:hyperlink w:anchor="b241" w:history="1">
        <w:r>
          <w:rPr>
            <w:color w:val="0A3A8C"/>
            <w:u w:val="single"/>
          </w:rPr>
          <w:t xml:space="preserve">§ 247</w:t>
        </w:r>
      </w:hyperlink>
      <w:r>
        <w:t xml:space="preserve"> Abs. 2 oder 3, der </w:t>
      </w:r>
      <w:hyperlink w:anchor="b242" w:history="1">
        <w:r>
          <w:rPr>
            <w:color w:val="0A3A8C"/>
            <w:u w:val="single"/>
          </w:rPr>
          <w:t xml:space="preserve">§§ 248</w:t>
        </w:r>
      </w:hyperlink>
      <w:r>
        <w:t xml:space="preserve">, </w:t>
      </w:r>
      <w:hyperlink w:anchor="b243" w:history="1">
        <w:r>
          <w:rPr>
            <w:color w:val="0A3A8C"/>
            <w:u w:val="single"/>
          </w:rPr>
          <w:t xml:space="preserve">249</w:t>
        </w:r>
      </w:hyperlink>
      <w:r>
        <w:t xml:space="preserve"> Abs. 1 Satz 1 oder Abs. 2, des </w:t>
      </w:r>
      <w:hyperlink w:anchor="b244" w:history="1">
        <w:r>
          <w:rPr>
            <w:color w:val="0A3A8C"/>
            <w:u w:val="single"/>
          </w:rPr>
          <w:t xml:space="preserve">§ 250</w:t>
        </w:r>
      </w:hyperlink>
      <w:r>
        <w:t xml:space="preserve"> Abs. 1 oder Abs. 2, des </w:t>
      </w:r>
      <w:hyperlink w:anchor="b265" w:history="1">
        <w:r>
          <w:rPr>
            <w:color w:val="0A3A8C"/>
            <w:u w:val="single"/>
          </w:rPr>
          <w:t xml:space="preserve">§ 264</w:t>
        </w:r>
      </w:hyperlink>
      <w:r>
        <w:t xml:space="preserve"> Absatz 1a oder Absatz 2, des </w:t>
      </w:r>
      <w:hyperlink w:anchor="b398" w:history="1">
        <w:r>
          <w:rPr>
            <w:color w:val="0A3A8C"/>
            <w:u w:val="single"/>
          </w:rPr>
          <w:t xml:space="preserve">§ 340b</w:t>
        </w:r>
      </w:hyperlink>
      <w:r>
        <w:t xml:space="preserve"> Abs. 4 oder 5 oder des </w:t>
      </w:r>
      <w:hyperlink w:anchor="b399" w:history="1">
        <w:r>
          <w:rPr>
            <w:color w:val="0A3A8C"/>
            <w:u w:val="single"/>
          </w:rPr>
          <w:t xml:space="preserve">§ 340c</w:t>
        </w:r>
      </w:hyperlink>
      <w:r>
        <w:t xml:space="preserve"> Abs. 1 über Form oder Inhalt,</w:t>
      </w:r>
    </w:p>
    <w:p>
      <w:pPr>
        <w:tabs>
          <w:tab w:pos="1134" w:val="left"/>
        </w:tabs>
        <w:ind w:left="1134" w:hanging="567"/>
      </w:pPr>
      <w:r>
        <w:t>b)</w:t>
      </w:r>
      <w:r>
        <w:tab/>
      </w:r>
      <w:r>
        <w:t xml:space="preserve">des </w:t>
      </w:r>
      <w:hyperlink w:anchor="b248" w:history="1">
        <w:r>
          <w:rPr>
            <w:color w:val="0A3A8C"/>
            <w:u w:val="single"/>
          </w:rPr>
          <w:t xml:space="preserve">§ 253</w:t>
        </w:r>
      </w:hyperlink>
      <w:r>
        <w:t xml:space="preserve"> Abs. 1 Satz 1, 2, 3 oder 4, Abs. 2 Satz 1, auch in Verbindung mit Satz 2, Absatz 3 Satz 1, 2, 3, 4 oder Satz 5, Abs. 4 oder 5, der </w:t>
      </w:r>
      <w:hyperlink w:anchor="b249" w:history="1">
        <w:r>
          <w:rPr>
            <w:color w:val="0A3A8C"/>
            <w:u w:val="single"/>
          </w:rPr>
          <w:t xml:space="preserve">§§ 254</w:t>
        </w:r>
      </w:hyperlink>
      <w:r>
        <w:t xml:space="preserve">, </w:t>
      </w:r>
      <w:hyperlink w:anchor="b252" w:history="1">
        <w:r>
          <w:rPr>
            <w:color w:val="0A3A8C"/>
            <w:u w:val="single"/>
          </w:rPr>
          <w:t xml:space="preserve">256a</w:t>
        </w:r>
      </w:hyperlink>
      <w:r>
        <w:t xml:space="preserve">, </w:t>
      </w:r>
      <w:hyperlink w:anchor="b402" w:history="1">
        <w:r>
          <w:rPr>
            <w:color w:val="0A3A8C"/>
            <w:u w:val="single"/>
          </w:rPr>
          <w:t xml:space="preserve">340e</w:t>
        </w:r>
      </w:hyperlink>
      <w:r>
        <w:t xml:space="preserve"> Abs. 1 Satz 1 oder 2, Abs. 3 Satz 1, 2, 3 oder 4 Halbsatz 2, Abs. 4 Satz 1 oder 2, des </w:t>
      </w:r>
      <w:hyperlink w:anchor="b403" w:history="1">
        <w:r>
          <w:rPr>
            <w:color w:val="0A3A8C"/>
            <w:u w:val="single"/>
          </w:rPr>
          <w:t xml:space="preserve">§ 340f</w:t>
        </w:r>
      </w:hyperlink>
      <w:r>
        <w:t xml:space="preserve"> Abs. 1 Satz 2 oder des </w:t>
      </w:r>
      <w:hyperlink w:anchor="b404" w:history="1">
        <w:r>
          <w:rPr>
            <w:color w:val="0A3A8C"/>
            <w:u w:val="single"/>
          </w:rPr>
          <w:t xml:space="preserve">§ 340g</w:t>
        </w:r>
      </w:hyperlink>
      <w:r>
        <w:t xml:space="preserve"> Abs. 2 über die Bewertung,</w:t>
      </w:r>
    </w:p>
    <w:p>
      <w:pPr>
        <w:tabs>
          <w:tab w:pos="1134" w:val="left"/>
        </w:tabs>
        <w:ind w:left="1134" w:hanging="567"/>
      </w:pPr>
      <w:r>
        <w:t>c)</w:t>
      </w:r>
      <w:r>
        <w:tab/>
      </w:r>
      <w:r>
        <w:t xml:space="preserve">des </w:t>
      </w:r>
      <w:hyperlink w:anchor="b270" w:history="1">
        <w:r>
          <w:rPr>
            <w:color w:val="0A3A8C"/>
            <w:u w:val="single"/>
          </w:rPr>
          <w:t xml:space="preserve">§ 265</w:t>
        </w:r>
      </w:hyperlink>
      <w:r>
        <w:t xml:space="preserve"> Abs. 2, 3 oder 4, des </w:t>
      </w:r>
      <w:hyperlink w:anchor="b275" w:history="1">
        <w:r>
          <w:rPr>
            <w:color w:val="0A3A8C"/>
            <w:u w:val="single"/>
          </w:rPr>
          <w:t xml:space="preserve">§ 268</w:t>
        </w:r>
      </w:hyperlink>
      <w:r>
        <w:t xml:space="preserve"> Abs. 3 oder 6, der </w:t>
      </w:r>
      <w:hyperlink w:anchor="b279" w:history="1">
        <w:r>
          <w:rPr>
            <w:color w:val="0A3A8C"/>
            <w:u w:val="single"/>
          </w:rPr>
          <w:t xml:space="preserve">§§ 272</w:t>
        </w:r>
      </w:hyperlink>
      <w:r>
        <w:t xml:space="preserve">, </w:t>
      </w:r>
      <w:hyperlink w:anchor="b281" w:history="1">
        <w:r>
          <w:rPr>
            <w:color w:val="0A3A8C"/>
            <w:u w:val="single"/>
          </w:rPr>
          <w:t xml:space="preserve">274</w:t>
        </w:r>
      </w:hyperlink>
      <w:r>
        <w:t xml:space="preserve"> oder des </w:t>
      </w:r>
      <w:hyperlink w:anchor="b286" w:history="1">
        <w:r>
          <w:rPr>
            <w:color w:val="0A3A8C"/>
            <w:u w:val="single"/>
          </w:rPr>
          <w:t xml:space="preserve">§ 277</w:t>
        </w:r>
      </w:hyperlink>
      <w:r>
        <w:t xml:space="preserve"> Abs. 3 Satz 2 über die Gliederung,</w:t>
      </w:r>
    </w:p>
    <w:p>
      <w:pPr>
        <w:tabs>
          <w:tab w:pos="1134" w:val="left"/>
        </w:tabs>
        <w:ind w:left="1134" w:hanging="567"/>
      </w:pPr>
      <w:r>
        <w:t>d)</w:t>
      </w:r>
      <w:r>
        <w:tab/>
      </w:r>
      <w:r>
        <w:t xml:space="preserve">des </w:t>
      </w:r>
      <w:hyperlink w:anchor="b291" w:history="1">
        <w:r>
          <w:rPr>
            <w:color w:val="0A3A8C"/>
            <w:u w:val="single"/>
          </w:rPr>
          <w:t xml:space="preserve">§ 284</w:t>
        </w:r>
      </w:hyperlink>
      <w:r>
        <w:t xml:space="preserve"> Absatz 1, 2 Nummer 1, 2 oder Nummer 4, Absatz 3 oder des § 285 Nummer 3, 3a, 7, 9 Buchstabe a oder Buchstabe b, Nummer 10 bis 11b, 13 bis 15a, 16 bis 26, 28 bis 33 oder Nummer 34 über die im Anhang zu machenden Angaben,</w:t>
      </w:r>
    </w:p>
    <w:p>
      <w:pPr>
        <w:tabs>
          <w:tab w:pos="567" w:val="left"/>
        </w:tabs>
        <w:ind w:left="567" w:hanging="567"/>
      </w:pPr>
      <w:r>
        <w:t>2.</w:t>
      </w:r>
      <w:r>
        <w:tab/>
      </w:r>
      <w:r>
        <w:t>bei der Aufstellung des Konzernabschlusses oder des Konzernzwischenabschlusses gemäß § 340i Abs. 4 einer Vorschrift</w:t>
      </w:r>
    </w:p>
    <w:p>
      <w:pPr>
        <w:tabs>
          <w:tab w:pos="1134" w:val="left"/>
        </w:tabs>
        <w:ind w:left="1134" w:hanging="567"/>
      </w:pPr>
      <w:r>
        <w:t>a)</w:t>
      </w:r>
      <w:r>
        <w:tab/>
      </w:r>
      <w:r>
        <w:t xml:space="preserve">des </w:t>
      </w:r>
      <w:hyperlink w:anchor="b312" w:history="1">
        <w:r>
          <w:rPr>
            <w:color w:val="0A3A8C"/>
            <w:u w:val="single"/>
          </w:rPr>
          <w:t xml:space="preserve">§ 294</w:t>
        </w:r>
      </w:hyperlink>
      <w:r>
        <w:t xml:space="preserve"> Abs. 1 über den Konsolidierungskreis,</w:t>
      </w:r>
    </w:p>
    <w:p>
      <w:pPr>
        <w:tabs>
          <w:tab w:pos="1134" w:val="left"/>
        </w:tabs>
        <w:ind w:left="1134" w:hanging="567"/>
      </w:pPr>
      <w:r>
        <w:t>b)</w:t>
      </w:r>
      <w:r>
        <w:tab/>
      </w:r>
      <w:r>
        <w:t xml:space="preserve">des </w:t>
      </w:r>
      <w:hyperlink w:anchor="b316" w:history="1">
        <w:r>
          <w:rPr>
            <w:color w:val="0A3A8C"/>
            <w:u w:val="single"/>
          </w:rPr>
          <w:t xml:space="preserve">§ 297</w:t>
        </w:r>
      </w:hyperlink>
      <w:r>
        <w:t xml:space="preserve"> Absatz 1a, 2 oder Absatz 3 oder des </w:t>
      </w:r>
      <w:hyperlink w:anchor="b408" w:history="1">
        <w:r>
          <w:rPr>
            <w:color w:val="0A3A8C"/>
            <w:u w:val="single"/>
          </w:rPr>
          <w:t xml:space="preserve">§ 340i</w:t>
        </w:r>
      </w:hyperlink>
      <w:r>
        <w:t xml:space="preserve"> Abs. 2 Satz 1 in Verbindung mit einer der in Nummer 1 Buchstabe a bezeichneten Vorschriften über Form oder Inhalt,</w:t>
      </w:r>
    </w:p>
    <w:p>
      <w:pPr>
        <w:tabs>
          <w:tab w:pos="1134" w:val="left"/>
        </w:tabs>
        <w:ind w:left="1134" w:hanging="567"/>
      </w:pPr>
      <w:r>
        <w:t>c)</w:t>
      </w:r>
      <w:r>
        <w:tab/>
      </w:r>
      <w:r>
        <w:t xml:space="preserve">des </w:t>
      </w:r>
      <w:hyperlink w:anchor="b320" w:history="1">
        <w:r>
          <w:rPr>
            <w:color w:val="0A3A8C"/>
            <w:u w:val="single"/>
          </w:rPr>
          <w:t xml:space="preserve">§ 300</w:t>
        </w:r>
      </w:hyperlink>
      <w:r>
        <w:t xml:space="preserve"> über die Konsolidierungsgrundsätze oder das Vollständigkeitsgebot,</w:t>
      </w:r>
    </w:p>
    <w:p>
      <w:pPr>
        <w:tabs>
          <w:tab w:pos="1134" w:val="left"/>
        </w:tabs>
        <w:ind w:left="1134" w:hanging="567"/>
      </w:pPr>
      <w:r>
        <w:t>d)</w:t>
      </w:r>
      <w:r>
        <w:tab/>
      </w:r>
      <w:r>
        <w:t xml:space="preserve">des </w:t>
      </w:r>
      <w:hyperlink w:anchor="b329" w:history="1">
        <w:r>
          <w:rPr>
            <w:color w:val="0A3A8C"/>
            <w:u w:val="single"/>
          </w:rPr>
          <w:t xml:space="preserve">§ 308</w:t>
        </w:r>
      </w:hyperlink>
      <w:r>
        <w:t xml:space="preserve"> Abs. 1 Satz 1 in Verbindung mit den in Nummer 1 Buchstabe b bezeichneten Vorschriften, des </w:t>
      </w:r>
      <w:hyperlink w:anchor="b329" w:history="1">
        <w:r>
          <w:rPr>
            <w:color w:val="0A3A8C"/>
            <w:u w:val="single"/>
          </w:rPr>
          <w:t xml:space="preserve">§ 308</w:t>
        </w:r>
      </w:hyperlink>
      <w:r>
        <w:t xml:space="preserve"> Abs. 2 oder des </w:t>
      </w:r>
      <w:hyperlink w:anchor="b330" w:history="1">
        <w:r>
          <w:rPr>
            <w:color w:val="0A3A8C"/>
            <w:u w:val="single"/>
          </w:rPr>
          <w:t xml:space="preserve">§ 308a</w:t>
        </w:r>
      </w:hyperlink>
      <w:r>
        <w:t xml:space="preserve"> über die Bewertung,</w:t>
      </w:r>
    </w:p>
    <w:p>
      <w:pPr>
        <w:tabs>
          <w:tab w:pos="1134" w:val="left"/>
        </w:tabs>
        <w:ind w:left="1134" w:hanging="567"/>
      </w:pPr>
      <w:r>
        <w:t>e)</w:t>
      </w:r>
      <w:r>
        <w:tab/>
      </w:r>
      <w:r>
        <w:t xml:space="preserve">des </w:t>
      </w:r>
      <w:hyperlink w:anchor="b335" w:history="1">
        <w:r>
          <w:rPr>
            <w:color w:val="0A3A8C"/>
            <w:u w:val="single"/>
          </w:rPr>
          <w:t xml:space="preserve">§ 311</w:t>
        </w:r>
      </w:hyperlink>
      <w:r>
        <w:t xml:space="preserve"> Abs. 1 Satz 1 in Verbindung mit </w:t>
      </w:r>
      <w:hyperlink w:anchor="b336" w:history="1">
        <w:r>
          <w:rPr>
            <w:color w:val="0A3A8C"/>
            <w:u w:val="single"/>
          </w:rPr>
          <w:t xml:space="preserve">§ 312</w:t>
        </w:r>
      </w:hyperlink>
      <w:r>
        <w:t xml:space="preserve"> über die Behandlung assoziierter Unternehmen oder</w:t>
      </w:r>
    </w:p>
    <w:p>
      <w:pPr>
        <w:tabs>
          <w:tab w:pos="1134" w:val="left"/>
        </w:tabs>
        <w:ind w:left="1134" w:hanging="567"/>
      </w:pPr>
      <w:r>
        <w:t>f)</w:t>
      </w:r>
      <w:r>
        <w:tab/>
      </w:r>
      <w:r>
        <w:t xml:space="preserve">des </w:t>
      </w:r>
      <w:hyperlink w:anchor="b329" w:history="1">
        <w:r>
          <w:rPr>
            <w:color w:val="0A3A8C"/>
            <w:u w:val="single"/>
          </w:rPr>
          <w:t xml:space="preserve">§ 308</w:t>
        </w:r>
      </w:hyperlink>
      <w:r>
        <w:t xml:space="preserve"> Abs. 1 Satz 3, des </w:t>
      </w:r>
      <w:hyperlink w:anchor="b338" w:history="1">
        <w:r>
          <w:rPr>
            <w:color w:val="0A3A8C"/>
            <w:u w:val="single"/>
          </w:rPr>
          <w:t xml:space="preserve">§ 313</w:t>
        </w:r>
      </w:hyperlink>
      <w:r>
        <w:t xml:space="preserve"> oder des </w:t>
      </w:r>
      <w:hyperlink w:anchor="b339" w:history="1">
        <w:r>
          <w:rPr>
            <w:color w:val="0A3A8C"/>
            <w:u w:val="single"/>
          </w:rPr>
          <w:t xml:space="preserve">§ 314</w:t>
        </w:r>
      </w:hyperlink>
      <w:r>
        <w:t xml:space="preserve"> über die im Konzernanhang zu machenden Angaben,</w:t>
      </w:r>
    </w:p>
    <w:p>
      <w:pPr>
        <w:tabs>
          <w:tab w:pos="567" w:val="left"/>
        </w:tabs>
        <w:ind w:left="567" w:hanging="567"/>
      </w:pPr>
      <w:r>
        <w:t>3.</w:t>
      </w:r>
      <w:r>
        <w:tab/>
      </w:r>
      <w:r>
        <w:t xml:space="preserve">bei der Aufstellung des Lageberichts oder der Erstellung eines gesonderten nichtfinanziellen Berichts einer Vorschrift des </w:t>
      </w:r>
      <w:hyperlink w:anchor="b297" w:history="1">
        <w:r>
          <w:rPr>
            <w:color w:val="0A3A8C"/>
            <w:u w:val="single"/>
          </w:rPr>
          <w:t xml:space="preserve">§ 289</w:t>
        </w:r>
      </w:hyperlink>
      <w:r>
        <w:t xml:space="preserve"> oder des </w:t>
      </w:r>
      <w:hyperlink w:anchor="b298" w:history="1">
        <w:r>
          <w:rPr>
            <w:color w:val="0A3A8C"/>
            <w:u w:val="single"/>
          </w:rPr>
          <w:t xml:space="preserve">§ 289a</w:t>
        </w:r>
      </w:hyperlink>
      <w:r>
        <w:t xml:space="preserve">, des </w:t>
      </w:r>
      <w:hyperlink w:anchor="b303" w:history="1">
        <w:r>
          <w:rPr>
            <w:color w:val="0A3A8C"/>
            <w:u w:val="single"/>
          </w:rPr>
          <w:t xml:space="preserve">§ 289f</w:t>
        </w:r>
      </w:hyperlink>
      <w:r>
        <w:t xml:space="preserve">, auch in Verbindung mit </w:t>
      </w:r>
      <w:hyperlink w:anchor="b397" w:history="1">
        <w:r>
          <w:rPr>
            <w:color w:val="0A3A8C"/>
            <w:u w:val="single"/>
          </w:rPr>
          <w:t xml:space="preserve">§ 340a</w:t>
        </w:r>
      </w:hyperlink>
      <w:r>
        <w:t xml:space="preserve"> Absatz 1b, oder des </w:t>
      </w:r>
      <w:hyperlink w:anchor="b397" w:history="1">
        <w:r>
          <w:rPr>
            <w:color w:val="0A3A8C"/>
            <w:u w:val="single"/>
          </w:rPr>
          <w:t xml:space="preserve">§ 340a</w:t>
        </w:r>
      </w:hyperlink>
      <w:r>
        <w:t xml:space="preserve"> Absatz 1a, auch in Verbindung mit </w:t>
      </w:r>
      <w:hyperlink w:anchor="b299" w:history="1">
        <w:r>
          <w:rPr>
            <w:color w:val="0A3A8C"/>
            <w:u w:val="single"/>
          </w:rPr>
          <w:t xml:space="preserve">§ 289b</w:t>
        </w:r>
      </w:hyperlink>
      <w:r>
        <w:t xml:space="preserve"> Absatz 2 oder 3 oder mit den </w:t>
      </w:r>
      <w:hyperlink w:anchor="b300" w:history="1">
        <w:r>
          <w:rPr>
            <w:color w:val="0A3A8C"/>
            <w:u w:val="single"/>
          </w:rPr>
          <w:t xml:space="preserve">§§ 289c</w:t>
        </w:r>
      </w:hyperlink>
      <w:r>
        <w:t xml:space="preserve">, </w:t>
      </w:r>
      <w:hyperlink w:anchor="b301" w:history="1">
        <w:r>
          <w:rPr>
            <w:color w:val="0A3A8C"/>
            <w:u w:val="single"/>
          </w:rPr>
          <w:t xml:space="preserve">289d</w:t>
        </w:r>
      </w:hyperlink>
      <w:r>
        <w:t xml:space="preserve"> oder </w:t>
      </w:r>
      <w:hyperlink w:anchor="b302" w:history="1">
        <w:r>
          <w:rPr>
            <w:color w:val="0A3A8C"/>
            <w:u w:val="single"/>
          </w:rPr>
          <w:t xml:space="preserve">§ 289e</w:t>
        </w:r>
      </w:hyperlink>
      <w:r>
        <w:t xml:space="preserve"> Absatz 2, über den Inhalt des Lageberichts oder des gesonderten nichtfinanziellen Berichts,</w:t>
      </w:r>
    </w:p>
    <w:p>
      <w:pPr>
        <w:tabs>
          <w:tab w:pos="567" w:val="left"/>
        </w:tabs>
        <w:ind w:left="567" w:hanging="567"/>
      </w:pPr>
      <w:r>
        <w:t>4.</w:t>
      </w:r>
      <w:r>
        <w:tab/>
      </w:r>
      <w:r>
        <w:t xml:space="preserve">bei der Aufstellung des Konzernlageberichts oder der Erstellung eines gesonderten nichtfinanziellen Konzernberichts einer Vorschrift des </w:t>
      </w:r>
      <w:hyperlink w:anchor="b341" w:history="1">
        <w:r>
          <w:rPr>
            <w:color w:val="0A3A8C"/>
            <w:u w:val="single"/>
          </w:rPr>
          <w:t xml:space="preserve">§ 315</w:t>
        </w:r>
      </w:hyperlink>
      <w:r>
        <w:t xml:space="preserve"> oder des </w:t>
      </w:r>
      <w:hyperlink w:anchor="b342" w:history="1">
        <w:r>
          <w:rPr>
            <w:color w:val="0A3A8C"/>
            <w:u w:val="single"/>
          </w:rPr>
          <w:t xml:space="preserve">§ 315a</w:t>
        </w:r>
      </w:hyperlink>
      <w:r>
        <w:t xml:space="preserve">, des </w:t>
      </w:r>
      <w:hyperlink w:anchor="b345" w:history="1">
        <w:r>
          <w:rPr>
            <w:color w:val="0A3A8C"/>
            <w:u w:val="single"/>
          </w:rPr>
          <w:t xml:space="preserve">§ 315d</w:t>
        </w:r>
      </w:hyperlink>
      <w:r>
        <w:t xml:space="preserve">, auch in Verbindung mit </w:t>
      </w:r>
      <w:hyperlink w:anchor="b408" w:history="1">
        <w:r>
          <w:rPr>
            <w:color w:val="0A3A8C"/>
            <w:u w:val="single"/>
          </w:rPr>
          <w:t xml:space="preserve">§ 340i</w:t>
        </w:r>
      </w:hyperlink>
      <w:r>
        <w:t xml:space="preserve"> Absatz 6, oder des </w:t>
      </w:r>
      <w:hyperlink w:anchor="b408" w:history="1">
        <w:r>
          <w:rPr>
            <w:color w:val="0A3A8C"/>
            <w:u w:val="single"/>
          </w:rPr>
          <w:t xml:space="preserve">§ 340i</w:t>
        </w:r>
      </w:hyperlink>
      <w:r>
        <w:t xml:space="preserve"> Absatz 5, auch in Verbindung mit </w:t>
      </w:r>
      <w:hyperlink w:anchor="b343" w:history="1">
        <w:r>
          <w:rPr>
            <w:color w:val="0A3A8C"/>
            <w:u w:val="single"/>
          </w:rPr>
          <w:t xml:space="preserve">§ 315b</w:t>
        </w:r>
      </w:hyperlink>
      <w:r>
        <w:t xml:space="preserve"> Absatz 2 oder 3 oder </w:t>
      </w:r>
      <w:hyperlink w:anchor="b344" w:history="1">
        <w:r>
          <w:rPr>
            <w:color w:val="0A3A8C"/>
            <w:u w:val="single"/>
          </w:rPr>
          <w:t xml:space="preserve">§ 315c</w:t>
        </w:r>
      </w:hyperlink>
      <w:r>
        <w:t>, über den Inhalt des Konzernlageberichts oder des gesonderten nichtfinanziellen Konzernberichts,</w:t>
      </w:r>
    </w:p>
    <w:p>
      <w:pPr>
        <w:tabs>
          <w:tab w:pos="567" w:val="left"/>
        </w:tabs>
        <w:ind w:left="567" w:hanging="567"/>
      </w:pPr>
      <w:r>
        <w:t>5.</w:t>
      </w:r>
      <w:r>
        <w:tab/>
      </w:r>
      <w:r>
        <w:t xml:space="preserve">bei der Offenlegung, Veröffentlichung oder Vervielfältigung einer Vorschrift des </w:t>
      </w:r>
      <w:hyperlink w:anchor="b369" w:history="1">
        <w:r>
          <w:rPr>
            <w:color w:val="0A3A8C"/>
            <w:u w:val="single"/>
          </w:rPr>
          <w:t xml:space="preserve">§ 328</w:t>
        </w:r>
      </w:hyperlink>
      <w:r>
        <w:t xml:space="preserve"> über Form, Format oder Inhalt oder</w:t>
      </w:r>
    </w:p>
    <w:p>
      <w:pPr>
        <w:tabs>
          <w:tab w:pos="567" w:val="left"/>
        </w:tabs>
        <w:ind w:left="567" w:hanging="567"/>
      </w:pPr>
      <w:r>
        <w:t>6.</w:t>
      </w:r>
      <w:r>
        <w:tab/>
      </w:r>
      <w:r>
        <w:t xml:space="preserve">einer auf Grund des </w:t>
      </w:r>
      <w:hyperlink w:anchor="b372" w:history="1">
        <w:r>
          <w:rPr>
            <w:color w:val="0A3A8C"/>
            <w:u w:val="single"/>
          </w:rPr>
          <w:t xml:space="preserve">§ 330</w:t>
        </w:r>
      </w:hyperlink>
      <w:r>
        <w:t xml:space="preserve"> Abs. 2 in Verbindung mit Abs. 1 Satz 1 erlassenen Rechtsverordnung, soweit sie für einen bestimmten Tatbestand auf diese Bußgeldvorschrift verweist,</w:t>
      </w:r>
    </w:p>
    <w:p>
      <w:r>
        <w:t xml:space="preserve">zuwiderhandelt. </w:t>
      </w:r>
      <w:r>
        <w:rPr>
          <w:rStyle w:val="Satznummer"/>
        </w:rPr>
        <w:t>2</w:t>
      </w:r>
      <w:r>
        <w:t xml:space="preserve">In den Fällen des Satzes 1 Nummer 3 wird eine Zuwiderhandlung gegen eine Vorschrift des </w:t>
      </w:r>
      <w:hyperlink w:anchor="b303" w:history="1">
        <w:r>
          <w:rPr>
            <w:color w:val="0A3A8C"/>
            <w:u w:val="single"/>
          </w:rPr>
          <w:t xml:space="preserve">§ 289f</w:t>
        </w:r>
      </w:hyperlink>
      <w:r>
        <w:t xml:space="preserve"> Absatz 2 Nummer 4, auch in Verbindung mit Absatz 3 oder 4 Satz 1, nicht dadurch ausgeschlossen, dass die Festlegungen oder Begründungen nach § 76 Absatz 4 oder § 111 Absatz 5 des Aktiengesetzes, nach § 36 oder § 52 Absatz 2 des Gesetzes betreffend die Gesellschaften mit beschränkter Haftung oder nach § 9 Absatz 3 oder 4 des Genossenschaftsgesetzes ganz oder zum Teil unterblieben sind. </w:t>
      </w:r>
      <w:r>
        <w:rPr>
          <w:rStyle w:val="Satznummer"/>
        </w:rPr>
        <w:t>3</w:t>
      </w:r>
      <w:r>
        <w:t xml:space="preserve">In den Fällen des Satzes 1 Nummer 4 wird eine Zuwiderhandlung gegen eine Vorschrift des </w:t>
      </w:r>
      <w:hyperlink w:anchor="b345" w:history="1">
        <w:r>
          <w:rPr>
            <w:color w:val="0A3A8C"/>
            <w:u w:val="single"/>
          </w:rPr>
          <w:t xml:space="preserve">§ 315d</w:t>
        </w:r>
      </w:hyperlink>
      <w:r>
        <w:t xml:space="preserve"> in Verbindung mit </w:t>
      </w:r>
      <w:hyperlink w:anchor="b303" w:history="1">
        <w:r>
          <w:rPr>
            <w:color w:val="0A3A8C"/>
            <w:u w:val="single"/>
          </w:rPr>
          <w:t xml:space="preserve">§ 289f</w:t>
        </w:r>
      </w:hyperlink>
      <w:r>
        <w:t xml:space="preserve"> Absatz 2 Nummer 4 nicht dadurch ausgeschlossen, dass die Festlegungen oder Begründungen nach § 76 Absatz 4 oder § 111 Absatz 5 des Aktiengesetzes ganz oder zum Teil unterblieben sind.</w:t>
      </w:r>
    </w:p>
    <w:p>
      <w:r>
        <w:t xml:space="preserve">(2) </w:t>
      </w:r>
      <w:r>
        <w:rPr>
          <w:rStyle w:val="Satznummer"/>
        </w:rPr>
        <w:t>1</w:t>
      </w:r>
      <w:r>
        <w:t xml:space="preserve">Ordnungswidrig handelt, wer einen Bestätigungsvermerk nach </w:t>
      </w:r>
      <w:hyperlink w:anchor="b359" w:history="1">
        <w:r>
          <w:rPr>
            <w:color w:val="0A3A8C"/>
            <w:u w:val="single"/>
          </w:rPr>
          <w:t xml:space="preserve">§ 322</w:t>
        </w:r>
      </w:hyperlink>
      <w:r>
        <w:t xml:space="preserve"> Absatz 1 erteilt zu dem Abschluss</w:t>
      </w:r>
    </w:p>
    <w:p>
      <w:pPr>
        <w:tabs>
          <w:tab w:pos="567" w:val="left"/>
        </w:tabs>
        <w:ind w:left="567" w:hanging="567"/>
      </w:pPr>
      <w:r>
        <w:t>1.</w:t>
      </w:r>
      <w:r>
        <w:tab/>
      </w:r>
      <w:r>
        <w:t xml:space="preserve">eines Instituts, das ein Unternehmen von öffentlichem Interesse nach </w:t>
      </w:r>
      <w:hyperlink w:anchor="b350" w:history="1">
        <w:r>
          <w:rPr>
            <w:color w:val="0A3A8C"/>
            <w:u w:val="single"/>
          </w:rPr>
          <w:t xml:space="preserve">§ 316a</w:t>
        </w:r>
      </w:hyperlink>
      <w:r>
        <w:t xml:space="preserve"> Satz 2 Nummer 1 oder 2 ist, oder</w:t>
      </w:r>
    </w:p>
    <w:p>
      <w:pPr>
        <w:tabs>
          <w:tab w:pos="567" w:val="left"/>
        </w:tabs>
        <w:ind w:left="567" w:hanging="567"/>
      </w:pPr>
      <w:r>
        <w:t>2.</w:t>
      </w:r>
      <w:r>
        <w:tab/>
      </w:r>
      <w:r>
        <w:t>eines Instituts, das nicht in Nummer 1 genannt ist,</w:t>
      </w:r>
    </w:p>
    <w:p>
      <w:r>
        <w:t xml:space="preserve">obwohl nach </w:t>
      </w:r>
      <w:hyperlink w:anchor="b353" w:history="1">
        <w:r>
          <w:rPr>
            <w:color w:val="0A3A8C"/>
            <w:u w:val="single"/>
          </w:rPr>
          <w:t xml:space="preserve">§ 319</w:t>
        </w:r>
      </w:hyperlink>
      <w:r>
        <w:t xml:space="preserve"> Absatz 2 oder 3, jeweils auch in Verbindung mit Absatz 5, oder nach </w:t>
      </w:r>
      <w:hyperlink w:anchor="b355" w:history="1">
        <w:r>
          <w:rPr>
            <w:color w:val="0A3A8C"/>
            <w:u w:val="single"/>
          </w:rPr>
          <w:t xml:space="preserve">§ 319b</w:t>
        </w:r>
      </w:hyperlink>
      <w:r>
        <w:t xml:space="preserve"> Absatz 1 Satz 1 oder 2, jeweils auch in Verbindung mit Absatz 2, er, nach </w:t>
      </w:r>
      <w:hyperlink w:anchor="b353" w:history="1">
        <w:r>
          <w:rPr>
            <w:color w:val="0A3A8C"/>
            <w:u w:val="single"/>
          </w:rPr>
          <w:t xml:space="preserve">§ 319</w:t>
        </w:r>
      </w:hyperlink>
      <w:r>
        <w:t xml:space="preserve"> Absatz 4 Satz 1 oder 2, jeweils auch in Verbindung mit Absatz 5, oder nach </w:t>
      </w:r>
      <w:hyperlink w:anchor="b355" w:history="1">
        <w:r>
          <w:rPr>
            <w:color w:val="0A3A8C"/>
            <w:u w:val="single"/>
          </w:rPr>
          <w:t xml:space="preserve">§ 319b</w:t>
        </w:r>
      </w:hyperlink>
      <w:r>
        <w:t xml:space="preserve"> Absatz 1 Satz 1 oder 2, jeweils auch in Verbindung mit Absatz 2, die Wirtschaftsprüfungsgesellschaft oder die Buchführungsgesellschaft, für die er tätig wird, oder nach </w:t>
      </w:r>
      <w:hyperlink w:anchor="b411" w:history="1">
        <w:r>
          <w:rPr>
            <w:color w:val="0A3A8C"/>
            <w:u w:val="single"/>
          </w:rPr>
          <w:t xml:space="preserve">§ 340k</w:t>
        </w:r>
      </w:hyperlink>
      <w:r>
        <w:t xml:space="preserve"> Absatz 2 Satz 1 und 2 oder Absatz 3 Satz 2 erster Halbsatz der Prüfungsverband oder die Prüfungsstelle, für den oder für die er tätig wird, nicht Abschlussprüfer sein darf. </w:t>
      </w:r>
      <w:r>
        <w:rPr>
          <w:rStyle w:val="Satznummer"/>
        </w:rPr>
        <w:t>2</w:t>
      </w:r>
      <w:r>
        <w:t xml:space="preserve">Ordnungswidrig handelt auch, wer einen Bestätigungsvermerk nach </w:t>
      </w:r>
      <w:hyperlink w:anchor="b359" w:history="1">
        <w:r>
          <w:rPr>
            <w:color w:val="0A3A8C"/>
            <w:u w:val="single"/>
          </w:rPr>
          <w:t xml:space="preserve">§ 322</w:t>
        </w:r>
      </w:hyperlink>
      <w:r>
        <w:t xml:space="preserve"> Absatz 1 erteilt zu dem Abschluss eines Instituts, das ein Unternehmen von öffentlichem Interesse nach </w:t>
      </w:r>
      <w:hyperlink w:anchor="b350" w:history="1">
        <w:r>
          <w:rPr>
            <w:color w:val="0A3A8C"/>
            <w:u w:val="single"/>
          </w:rPr>
          <w:t xml:space="preserve">§ 316a</w:t>
        </w:r>
      </w:hyperlink>
      <w:r>
        <w:t xml:space="preserve"> Satz 2 Nummer 1 oder 2 ist, obwohl</w:t>
      </w:r>
    </w:p>
    <w:p>
      <w:pPr>
        <w:tabs>
          <w:tab w:pos="567" w:val="left"/>
        </w:tabs>
        <w:ind w:left="567" w:hanging="567"/>
      </w:pPr>
      <w:r>
        <w:t>1.</w:t>
      </w:r>
      <w:r>
        <w:tab/>
      </w:r>
      <w:r>
        <w:t>er oder die Prüfungsgesellschaft, für die er tätig wird, oder ein Mitglied des Netzwerks, dem er oder die Prüfungsgesellschaft, für die er tätig wird, angehört, einer Vorschrift des Artikels 5 Absatz 4 Unterabsatz 1 Satz 1 oder Absatz 5 Unterabsatz 2 Satz 2 der Verordnung (EU) Nr. 537/2014 zuwiderhandelt oder</w:t>
      </w:r>
    </w:p>
    <w:p>
      <w:pPr>
        <w:tabs>
          <w:tab w:pos="567" w:val="left"/>
        </w:tabs>
        <w:ind w:left="567" w:hanging="567"/>
      </w:pPr>
      <w:r>
        <w:t>2.</w:t>
      </w:r>
      <w:r>
        <w:tab/>
      </w:r>
      <w:r>
        <w:t>er oder die Prüfungsgesellschaft, für die er tätig wird, nach Artikel 17 Absatz 3 der Verordnung (EU) Nr. 537/2014 die Abschlussprüfung nicht durchführen darf.</w:t>
      </w:r>
    </w:p>
    <w:p>
      <w:r>
        <w:rPr>
          <w:rStyle w:val="Satznummer"/>
        </w:rPr>
        <w:t>3</w:t>
      </w:r>
      <w:r>
        <w:t xml:space="preserve">Abschluss im Sinne der Sätze 1 und 2 ist ein Jahresabschluss, ein Einzelabschluss nach </w:t>
      </w:r>
      <w:hyperlink w:anchor="b364" w:history="1">
        <w:r>
          <w:rPr>
            <w:color w:val="0A3A8C"/>
            <w:u w:val="single"/>
          </w:rPr>
          <w:t xml:space="preserve">§ 325</w:t>
        </w:r>
      </w:hyperlink>
      <w:r>
        <w:t xml:space="preserve"> Absatz 2a oder ein Konzernabschluss, der aufgrund gesetzlicher Vorschriften zu prüfen ist. </w:t>
      </w:r>
      <w:r>
        <w:rPr>
          <w:rStyle w:val="Satznummer"/>
        </w:rPr>
        <w:t>4</w:t>
      </w:r>
      <w:r>
        <w:t xml:space="preserve">Institut im Sinne der Sätze 1 und 2 ist ein Kreditinstitut im Sinne des </w:t>
      </w:r>
      <w:hyperlink w:anchor="b395" w:history="1">
        <w:r>
          <w:rPr>
            <w:color w:val="0A3A8C"/>
            <w:u w:val="single"/>
          </w:rPr>
          <w:t xml:space="preserve">§ 340</w:t>
        </w:r>
      </w:hyperlink>
      <w:r>
        <w:t xml:space="preserve"> Absatz 1 Satz 1, ein Finanzdienstleistungsinstitut im Sinne des </w:t>
      </w:r>
      <w:hyperlink w:anchor="b395" w:history="1">
        <w:r>
          <w:rPr>
            <w:color w:val="0A3A8C"/>
            <w:u w:val="single"/>
          </w:rPr>
          <w:t xml:space="preserve">§ 340</w:t>
        </w:r>
      </w:hyperlink>
      <w:r>
        <w:t xml:space="preserve"> Absatz 4 Satz 1, ein Wertpapierinstitut im Sinne des </w:t>
      </w:r>
      <w:hyperlink w:anchor="b395" w:history="1">
        <w:r>
          <w:rPr>
            <w:color w:val="0A3A8C"/>
            <w:u w:val="single"/>
          </w:rPr>
          <w:t xml:space="preserve">§ 340</w:t>
        </w:r>
      </w:hyperlink>
      <w:r>
        <w:t xml:space="preserve"> Absatz 4a Satz 1 oder ein Institut im Sinne des § 1 Absatz 3 des Zahlungsdiensteaufsichtsgesetzes.</w:t>
      </w:r>
    </w:p>
    <w:p>
      <w:r>
        <w:t>(2a) Ordnungswidrig handelt, wer</w:t>
      </w:r>
    </w:p>
    <w:p>
      <w:pPr>
        <w:tabs>
          <w:tab w:pos="567" w:val="left"/>
        </w:tabs>
        <w:ind w:left="567" w:hanging="567"/>
      </w:pPr>
      <w:r>
        <w:t>1.</w:t>
      </w:r>
      <w:r>
        <w:tab/>
      </w:r>
      <w:r>
        <w:t xml:space="preserve">als Mitglied eines nach </w:t>
      </w:r>
      <w:hyperlink w:anchor="b361" w:history="1">
        <w:r>
          <w:rPr>
            <w:color w:val="0A3A8C"/>
            <w:u w:val="single"/>
          </w:rPr>
          <w:t xml:space="preserve">§ 324</w:t>
        </w:r>
      </w:hyperlink>
      <w:r>
        <w:t xml:space="preserve"> Absatz 1 Satz 1, auch in Verbindung mit </w:t>
      </w:r>
      <w:hyperlink w:anchor="b411" w:history="1">
        <w:r>
          <w:rPr>
            <w:color w:val="0A3A8C"/>
            <w:u w:val="single"/>
          </w:rPr>
          <w:t xml:space="preserve">§ 340k</w:t>
        </w:r>
      </w:hyperlink>
      <w:r>
        <w:t xml:space="preserve"> Absatz 5 Satz 1, eingerichteten Prüfungsausschusses eines Instituts im Sinne des Absatzes 2 Satz 4, das keine Sparkasse ist,</w:t>
      </w:r>
    </w:p>
    <w:p>
      <w:pPr>
        <w:tabs>
          <w:tab w:pos="1134" w:val="left"/>
        </w:tabs>
        <w:ind w:left="1134" w:hanging="567"/>
      </w:pPr>
      <w:r>
        <w:t>a)</w:t>
      </w:r>
      <w:r>
        <w:tab/>
      </w:r>
      <w:r>
        <w:t>die Unabhängigkeit des Abschlussprüfers oder der Prüfungsgesellschaft nicht nach Maßgabe des Artikels 4 Absatz 3 Unterabsatz 2, des Artikels 5 Absatz 4 Unterabsatz 1 Satz 1 oder des Artikels 6 Absatz 2 der Verordnung (EU) Nr. 537/2014 überwacht,</w:t>
      </w:r>
    </w:p>
    <w:p>
      <w:pPr>
        <w:tabs>
          <w:tab w:pos="1134" w:val="left"/>
        </w:tabs>
        <w:ind w:left="1134" w:hanging="567"/>
      </w:pPr>
      <w:r>
        <w:t>b)</w:t>
      </w:r>
      <w:r>
        <w:tab/>
      </w:r>
      <w:r>
        <w:t>eine Empfehlung für die Bestellung eines Abschlussprüfers oder einer Prüfungsgesellschaft vorlegt, die den Anforderungen nach Artikel 16 Absatz 2 Unterabsatz 2 oder 3 der Verordnung (EU) Nr. 537/2014 nicht entspricht oder der ein Auswahlverfahren nach Artikel 16 Absatz 3 Unterabsatz 1 der Verordnung (EU) Nr. 537/2014 nicht vorangegangen ist, oder</w:t>
      </w:r>
    </w:p>
    <w:p>
      <w:pPr>
        <w:tabs>
          <w:tab w:pos="1134" w:val="left"/>
        </w:tabs>
        <w:ind w:left="1134" w:hanging="567"/>
      </w:pPr>
      <w:r>
        <w:t>c)</w:t>
      </w:r>
      <w:r>
        <w:tab/>
      </w:r>
      <w:r>
        <w:t>den Gesellschaftern oder der sonst für die Bestellung des Abschlussprüfers zuständigen Stelle einen Vorschlag für die Bestellung eines Abschlussprüfers oder einer Prüfungsgesellschaft vorlegt, der den Anforderungen nach Artikel 16 Absatz 5 Unterabsatz 1 der Verordnung (EU) Nr. 537/2014 nicht entspricht, oder</w:t>
      </w:r>
    </w:p>
    <w:p>
      <w:pPr>
        <w:tabs>
          <w:tab w:pos="567" w:val="left"/>
        </w:tabs>
        <w:ind w:left="567" w:hanging="567"/>
      </w:pPr>
      <w:r>
        <w:t>2.</w:t>
      </w:r>
      <w:r>
        <w:tab/>
      </w:r>
      <w:r>
        <w:t xml:space="preserve">als Mitglied eines nach </w:t>
      </w:r>
      <w:hyperlink w:anchor="b411" w:history="1">
        <w:r>
          <w:rPr>
            <w:color w:val="0A3A8C"/>
            <w:u w:val="single"/>
          </w:rPr>
          <w:t xml:space="preserve">§ 340k</w:t>
        </w:r>
      </w:hyperlink>
      <w:r>
        <w:t xml:space="preserve"> Absatz 5 in Verbindung mit </w:t>
      </w:r>
      <w:hyperlink w:anchor="b361" w:history="1">
        <w:r>
          <w:rPr>
            <w:color w:val="0A3A8C"/>
            <w:u w:val="single"/>
          </w:rPr>
          <w:t xml:space="preserve">§ 324</w:t>
        </w:r>
      </w:hyperlink>
      <w:r>
        <w:t xml:space="preserve"> Absatz 1 Satz 1 eingerichteten Prüfungsausschusses eines Instituts im Sinne des Absatzes 2 Satz 4, das eine Sparkasse ist, die Unabhängigkeit der in </w:t>
      </w:r>
      <w:hyperlink w:anchor="b411" w:history="1">
        <w:r>
          <w:rPr>
            <w:color w:val="0A3A8C"/>
            <w:u w:val="single"/>
          </w:rPr>
          <w:t xml:space="preserve">§ 340k</w:t>
        </w:r>
      </w:hyperlink>
      <w:r>
        <w:t xml:space="preserve"> Absatz 3 Satz 2 zweiter Halbsatz genannten Personen nicht nach Maßgabe des Artikels 5 Absatz 4 Unterabsatz 1 Satz 1 der Verordnung (EU) Nr. 537/2014 in Verbindung mit </w:t>
      </w:r>
      <w:hyperlink w:anchor="b411" w:history="1">
        <w:r>
          <w:rPr>
            <w:color w:val="0A3A8C"/>
            <w:u w:val="single"/>
          </w:rPr>
          <w:t xml:space="preserve">§ 340k</w:t>
        </w:r>
      </w:hyperlink>
      <w:r>
        <w:t xml:space="preserve"> Absatz 3 Satz 2 oder nach Maßgabe des Artikels 6 Absatz 2 der Verordnung (EU) Nr. 537/2014 überwacht.</w:t>
      </w:r>
    </w:p>
    <w:p>
      <w:r>
        <w:t xml:space="preserve">(3) </w:t>
      </w:r>
      <w:r>
        <w:rPr>
          <w:rStyle w:val="Satznummer"/>
        </w:rPr>
        <w:t>1</w:t>
      </w:r>
      <w:r>
        <w:t xml:space="preserve">Die Ordnungswidrigkeit kann in den Fällen des Absatzes 2 Satz 1 Nummer 1 und Satz 2 sowie des Absatzes 2a mit einer Geldbuße bis zu fünfhunderttausend Euro, in den Fällen der Absätze 1 und 2 Satz 1 Nummer 2 mit einer Geldbuße bis zu fünfzigtausend Euro geahndet werden. </w:t>
      </w:r>
      <w:r>
        <w:rPr>
          <w:rStyle w:val="Satznummer"/>
        </w:rPr>
        <w:t>2</w:t>
      </w:r>
      <w:r>
        <w:t xml:space="preserve">Ist das Kreditinstitut kapitalmarktorientiert im Sinne des </w:t>
      </w:r>
      <w:hyperlink w:anchor="b269" w:history="1">
        <w:r>
          <w:rPr>
            <w:color w:val="0A3A8C"/>
            <w:u w:val="single"/>
          </w:rPr>
          <w:t xml:space="preserve">§ 264d</w:t>
        </w:r>
      </w:hyperlink>
      <w:r>
        <w:t>, beträgt die Geldbuße in den Fällen des Absatzes 1 höchstens den höheren der folgenden Beträge:</w:t>
      </w:r>
    </w:p>
    <w:p>
      <w:pPr>
        <w:tabs>
          <w:tab w:pos="567" w:val="left"/>
        </w:tabs>
        <w:ind w:left="567" w:hanging="567"/>
      </w:pPr>
      <w:r>
        <w:t>1.</w:t>
      </w:r>
      <w:r>
        <w:tab/>
      </w:r>
      <w:r>
        <w:t>zwei Millionen Euro oder</w:t>
      </w:r>
    </w:p>
    <w:p>
      <w:pPr>
        <w:tabs>
          <w:tab w:pos="567" w:val="left"/>
        </w:tabs>
        <w:ind w:left="567" w:hanging="567"/>
      </w:pPr>
      <w:r>
        <w:t>2.</w:t>
      </w:r>
      <w:r>
        <w:tab/>
      </w:r>
      <w:r>
        <w:t>das Zweifache des aus der Ordnungswidrigkeit gezogenen wirtschaftlichen Vorteils, wobei der wirtschaftliche Vorteil erzielte Gewinne und vermiedene Verluste umfasst und geschätzt werden kann.</w:t>
      </w:r>
    </w:p>
    <w:p>
      <w:r>
        <w:t xml:space="preserve">(3a) </w:t>
      </w:r>
      <w:r>
        <w:rPr>
          <w:rStyle w:val="Satznummer"/>
        </w:rPr>
        <w:t>1</w:t>
      </w:r>
      <w:r>
        <w:t xml:space="preserve">Wird gegen ein Kreditinstitut, das kapitalmarktorientiert im Sinne des </w:t>
      </w:r>
      <w:hyperlink w:anchor="b269" w:history="1">
        <w:r>
          <w:rPr>
            <w:color w:val="0A3A8C"/>
            <w:u w:val="single"/>
          </w:rPr>
          <w:t xml:space="preserve">§ 264d</w:t>
        </w:r>
      </w:hyperlink>
      <w:r>
        <w:t xml:space="preserve"> ist, in den Fällen des Absatzes 1 eine Geldbuße nach § 30 des Gesetzes über Ordnungswidrigkeiten verhängt, beträgt diese Geldbuße höchstens den höchsten der folgenden Beträge:</w:t>
      </w:r>
    </w:p>
    <w:p>
      <w:pPr>
        <w:tabs>
          <w:tab w:pos="567" w:val="left"/>
        </w:tabs>
        <w:ind w:left="567" w:hanging="567"/>
      </w:pPr>
      <w:r>
        <w:t>1.</w:t>
      </w:r>
      <w:r>
        <w:tab/>
      </w:r>
      <w:r>
        <w:t>zehn Millionen Euro,</w:t>
      </w:r>
    </w:p>
    <w:p>
      <w:pPr>
        <w:tabs>
          <w:tab w:pos="567" w:val="left"/>
        </w:tabs>
        <w:ind w:left="567" w:hanging="567"/>
      </w:pPr>
      <w:r>
        <w:t>2.</w:t>
      </w:r>
      <w:r>
        <w:tab/>
      </w:r>
      <w:r>
        <w:t>5 Prozent des jährlichen Gesamtumsatzes, den das Kreditinstitut im der Behördenentscheidung vorausgegangenen Geschäftsjahr erzielt hat oder</w:t>
      </w:r>
    </w:p>
    <w:p>
      <w:pPr>
        <w:tabs>
          <w:tab w:pos="567" w:val="left"/>
        </w:tabs>
        <w:ind w:left="567" w:hanging="567"/>
      </w:pPr>
      <w:r>
        <w:t>3.</w:t>
      </w:r>
      <w:r>
        <w:tab/>
      </w:r>
      <w:r>
        <w:t>das Zweifache des aus der Ordnungswidrigkeit gezogenen wirtschaftlichen Vorteils, wobei der wirtschaftliche Vorteil erzielte Gewinne und vermiedene Verluste umfasst und geschätzt werden kann.</w:t>
      </w:r>
    </w:p>
    <w:p>
      <w:r>
        <w:rPr>
          <w:rStyle w:val="Satznummer"/>
        </w:rPr>
        <w:t>2</w:t>
      </w:r>
      <w:r>
        <w:t>In den Fällen des Absatzes 3 Satz 1 in Verbindung mit Absatz 2 Satz 1 Nummer 1 oder Satz 2 ist § 30 Absatz 2 Satz 3 des Gesetzes über Ordnungswidrigkeiten anzuwenden.</w:t>
      </w:r>
    </w:p>
    <w:p>
      <w:r>
        <w:t xml:space="preserve">(3b) </w:t>
      </w:r>
      <w:r>
        <w:rPr>
          <w:rStyle w:val="Satznummer"/>
        </w:rPr>
        <w:t>1</w:t>
      </w:r>
      <w:r>
        <w:t>Gesamtumsatz im Sinne des Absatzes 3a Satz 1 Nummer 2 ist</w:t>
      </w:r>
    </w:p>
    <w:p>
      <w:pPr>
        <w:tabs>
          <w:tab w:pos="567" w:val="left"/>
        </w:tabs>
        <w:ind w:left="567" w:hanging="567"/>
      </w:pPr>
      <w:r>
        <w:t>1.</w:t>
      </w:r>
      <w:r>
        <w:tab/>
      </w:r>
      <w:r>
        <w:t>im Falle von Kreditinstituten, die ihren Jahresabschluss nach den handelsrechtlichen Vorschriften oder dem Recht eines anderen Mitgliedstaats der Europäischen Union oder eines anderen Vertragsstaats des Abkommens über den Europäischen Wirtschaftsraum im Einklang mit der Richtlinie 86/635/EWG des Rates vom 8. Dezember 1986 über den Jahresabschluß und den konsolidierten Abschluß von Banken und anderen Finanzinstituten (ABl. L 372 vom 31.12.1986, S. 1; L 316 vom 23.11.1988, S. 51), die zuletzt durch die Richtlinie 2006/46/EG (ABl. L 224 vom 16.8.2006, S. 1) geändert worden ist, aufstellen, der Gesamtbetrag derjenigen Posten, die nach den auf das Kreditinstitut anwendbaren handelsrechtlichen Vorschriften oder nach dem auf das Kreditinstitut anwendbaren nationalen Recht den in Artikel 27 Nummer 1, 3, 4, 6 und 7 oder Artikel 28 Buchstabe B Nummer 1 bis 4 und 7 der Richtlinie 86/635/EWG genannten Posten entsprechen,</w:t>
      </w:r>
    </w:p>
    <w:p>
      <w:pPr>
        <w:tabs>
          <w:tab w:pos="567" w:val="left"/>
        </w:tabs>
        <w:ind w:left="567" w:hanging="567"/>
      </w:pPr>
      <w:r>
        <w:t>2.</w:t>
      </w:r>
      <w:r>
        <w:tab/>
      </w:r>
      <w:r>
        <w:t>in Fällen, die nicht in Nummer 1 genannt sind, der Betrag der Umsatzerlöse, der sich bei Anwendung der Rechnungslegungsgrundsätze ergibt, die nach dem jeweiligen nationalen Recht für die Aufstellung des Jahresabschlusses des Unternehmens gelten.</w:t>
      </w:r>
    </w:p>
    <w:p>
      <w:r>
        <w:rPr>
          <w:rStyle w:val="Satznummer"/>
        </w:rPr>
        <w:t>2</w:t>
      </w:r>
      <w:r>
        <w:t xml:space="preserve">Handelt es sich bei dem Kreditinstitut um ein Mutterunternehmen oder um ein Tochterunternehmen im Sinne des </w:t>
      </w:r>
      <w:hyperlink w:anchor="b306" w:history="1">
        <w:r>
          <w:rPr>
            <w:color w:val="0A3A8C"/>
            <w:u w:val="single"/>
          </w:rPr>
          <w:t xml:space="preserve">§ 290</w:t>
        </w:r>
      </w:hyperlink>
      <w:r>
        <w:t xml:space="preserve">, ist anstelle des Gesamtumsatzes des Kreditinstituts der jeweilige Gesamtbetrag im Konzernabschluss des Mutterunternehmens maßgeblich, der für den größten Kreis von Unternehmen aufgestellt wird. </w:t>
      </w:r>
      <w:r>
        <w:rPr>
          <w:rStyle w:val="Satznummer"/>
        </w:rPr>
        <w:t>3</w:t>
      </w:r>
      <w:r>
        <w:t>Ist ein Jahres- oder Konzernabschluss für das maßgebliche Geschäftsjahr nicht verfügbar, ist der Jahres- oder Konzernabschluss für das unmittelbar vorausgehende Geschäftsjahr maßgeblich; ist auch dieser nicht verfügbar, kann der Gesamtumsatz geschätzt werden.</w:t>
      </w:r>
    </w:p>
    <w:p>
      <w:r>
        <w:t>(4) Verwaltungsbehörde im Sinn des § 36 Abs. 1 Nr. 1 des Gesetzes über Ordnungswidrigkeiten ist in den Fällen der Absätze 1 und 2a die Bundesanstalt für Finanzdienstleistungsaufsicht, in den Fällen des Absatzes 2 die Abschlussprüferaufsichtsstelle beim Bundesamt für Wirtschaft und Ausfuhrkontrolle.</w:t>
      </w:r>
    </w:p>
    <w:p>
      <w:r>
        <w:t>(5) Die Bundesanstalt für Finanzdienstleistungsaufsicht übermittelt der Abschlussprüferaufsichtsstelle beim Bundesamt für Wirtschaft und Ausfuhrkontrolle alle Bußgeldentscheidungen nach Absatz 2a.</w:t>
      </w:r>
    </w:p>
    <w:p>
      <w:pPr>
        <w:pStyle w:val="Heading5"/>
      </w:pPr>
      <w:bookmarkStart w:id="418" w:name="b417"/>
      <w:r>
        <w:t>§ 340o Festsetzung von Ordnungsgeld</w:t>
      </w:r>
      <w:r>
        <w:t xml:space="preserve"> </w:t>
      </w:r>
      <w:r>
        <w:rPr>
          <w:rStyle w:val="Suchmarke"/>
        </w:rPr>
        <w:t>#340o#</w:t>
      </w:r>
      <w:bookmarkEnd w:id="418"/>
    </w:p>
    <w:p>
      <w:r>
        <w:t>(1) Personen, die</w:t>
      </w:r>
    </w:p>
    <w:p>
      <w:pPr>
        <w:tabs>
          <w:tab w:pos="567" w:val="left"/>
        </w:tabs>
        <w:ind w:left="567" w:hanging="567"/>
      </w:pPr>
      <w:r>
        <w:t>1.</w:t>
      </w:r>
      <w:r>
        <w:tab/>
      </w:r>
      <w:r>
        <w:t xml:space="preserve">als Geschäftsleiter im Sinne des § 1 Absatz 2 des Kreditwesengesetzes eines Kreditinstituts oder Finanzdienstleistungsinstituts im Sinne des </w:t>
      </w:r>
      <w:hyperlink w:anchor="b395" w:history="1">
        <w:r>
          <w:rPr>
            <w:color w:val="0A3A8C"/>
            <w:u w:val="single"/>
          </w:rPr>
          <w:t xml:space="preserve">§ 340</w:t>
        </w:r>
      </w:hyperlink>
      <w:r>
        <w:t xml:space="preserve"> Absatz 4 Satz 1 oder als Geschäftsleiter im Sinne des § 2 Absatz 36 des Wertpapierinstitutsgesetzes eines Wertpapierinstituts im Sinne des </w:t>
      </w:r>
      <w:hyperlink w:anchor="b395" w:history="1">
        <w:r>
          <w:rPr>
            <w:color w:val="0A3A8C"/>
            <w:u w:val="single"/>
          </w:rPr>
          <w:t xml:space="preserve">§ 340</w:t>
        </w:r>
      </w:hyperlink>
      <w:r>
        <w:t xml:space="preserve"> Absatz 4a Satz 1 oder als Geschäftsleiter im Sinne des § 1 Absatz 8 Satz 1 und 2 des Zahlungsdiensteaufsichtsgesetzes eines Instituts im Sinne des § 1 Absatz 3 des Zahlungsdiensteaufsichtsgesetzes oder als Inhaber eines in der Rechtsform des Einzelkaufmanns betriebenen Finanzdienstleistungsinstituts im Sinne des </w:t>
      </w:r>
      <w:hyperlink w:anchor="b395" w:history="1">
        <w:r>
          <w:rPr>
            <w:color w:val="0A3A8C"/>
            <w:u w:val="single"/>
          </w:rPr>
          <w:t xml:space="preserve">§ 340</w:t>
        </w:r>
      </w:hyperlink>
      <w:r>
        <w:t xml:space="preserve"> Absatz 4 Satz 1 oder Wertpapierinstituts im Sinne des § 340 Absatz 4a Satz 1 den </w:t>
      </w:r>
      <w:hyperlink w:anchor="b413" w:history="1">
        <w:r>
          <w:rPr>
            <w:color w:val="0A3A8C"/>
            <w:u w:val="single"/>
          </w:rPr>
          <w:t xml:space="preserve">§ 340l</w:t>
        </w:r>
      </w:hyperlink>
      <w:r>
        <w:t xml:space="preserve"> Absatz 1 Satz 1 in Verbindung mit </w:t>
      </w:r>
      <w:hyperlink w:anchor="b364" w:history="1">
        <w:r>
          <w:rPr>
            <w:color w:val="0A3A8C"/>
            <w:u w:val="single"/>
          </w:rPr>
          <w:t xml:space="preserve">§ 325</w:t>
        </w:r>
      </w:hyperlink>
      <w:r>
        <w:t xml:space="preserve"> Absatz 1 Satz 2 und Absatz 1a bis 5 über die Pflicht zur Offenlegung des Jahresabschlusses, des Lageberichts, des Konzernabschlusses, des Konzernlageberichts und anderer Unterlagen der Rechnungslegung oder</w:t>
      </w:r>
    </w:p>
    <w:p>
      <w:pPr>
        <w:tabs>
          <w:tab w:pos="567" w:val="left"/>
        </w:tabs>
        <w:ind w:left="567" w:hanging="567"/>
      </w:pPr>
      <w:r>
        <w:t>2.</w:t>
      </w:r>
      <w:r>
        <w:tab/>
      </w:r>
      <w:r>
        <w:t xml:space="preserve">als Geschäftsleiter von Zweigniederlassungen im Sinn des § 53 Abs. 1 des Kreditwesengesetzes </w:t>
      </w:r>
      <w:hyperlink w:anchor="b413" w:history="1">
        <w:r>
          <w:rPr>
            <w:color w:val="0A3A8C"/>
            <w:u w:val="single"/>
          </w:rPr>
          <w:t xml:space="preserve">§ 340l</w:t>
        </w:r>
      </w:hyperlink>
      <w:r>
        <w:t xml:space="preserve"> Abs. 1 oder Abs. 2 über die Offenlegung der Rechnungslegungsunterlagen</w:t>
      </w:r>
    </w:p>
    <w:p>
      <w:r>
        <w:t>nicht befolgen, sind hierzu vom Bundesamt für Justiz durch Festsetzung von Ordnungsgeld anzuhalten.</w:t>
      </w:r>
    </w:p>
    <w:p>
      <w:r>
        <w:t xml:space="preserve">(2) Die </w:t>
      </w:r>
      <w:hyperlink w:anchor="b382" w:history="1">
        <w:r>
          <w:rPr>
            <w:color w:val="0A3A8C"/>
            <w:u w:val="single"/>
          </w:rPr>
          <w:t xml:space="preserve">§§ 335</w:t>
        </w:r>
      </w:hyperlink>
      <w:r>
        <w:t xml:space="preserve"> bis </w:t>
      </w:r>
      <w:hyperlink w:anchor="b385" w:history="1">
        <w:r>
          <w:rPr>
            <w:color w:val="0A3A8C"/>
            <w:u w:val="single"/>
          </w:rPr>
          <w:t xml:space="preserve">335b</w:t>
        </w:r>
      </w:hyperlink>
      <w:r>
        <w:t xml:space="preserve"> sind mit der Maßgabe entsprechend anzuwenden, dass Gesamtumsatz im Sinne des § 335 Absatz 1a Satz 1 Nummer 2 Folgendes ist:</w:t>
      </w:r>
    </w:p>
    <w:p>
      <w:pPr>
        <w:tabs>
          <w:tab w:pos="567" w:val="left"/>
        </w:tabs>
        <w:ind w:left="567" w:hanging="567"/>
      </w:pPr>
      <w:r>
        <w:t>1.</w:t>
      </w:r>
      <w:r>
        <w:tab/>
      </w:r>
      <w:r>
        <w:t>im Falle von Unternehmen, die ihren Jahresabschluss nach den handelsrechtlichen Vorschriften oder dem Recht eines anderen Mitgliedstaats der Europäischen Union oder eines anderen Vertragsstaats des Abkommens über den Europäischen Wirtschaftsraum im Einklang mit der Richtlinie 86/635/EWG aufstellen, der Gesamtbetrag derjenigen Posten, die nach den auf das Unternehmen anwendbaren handelsrechtlichen Vorschriften oder nach dem auf das Unternehmen anwendbaren nationalen Recht den in Artikel 27 Nummer 1, 3, 4, 6 und 7 oder Artikel 28 Buchstabe B Nummer 1 bis 4 und 7 der Richtlinie 86/635/EWG genannten Posten entsprechen,</w:t>
      </w:r>
    </w:p>
    <w:p>
      <w:pPr>
        <w:tabs>
          <w:tab w:pos="567" w:val="left"/>
        </w:tabs>
        <w:ind w:left="567" w:hanging="567"/>
      </w:pPr>
      <w:r>
        <w:t>2.</w:t>
      </w:r>
      <w:r>
        <w:tab/>
      </w:r>
      <w:r>
        <w:t>in Fällen, die nicht in Nummer 1 genannt sind, der Betrag der Umsatzerlöse, der sich bei Anwendung der Rechnungslegungsgrundsätze ergibt, die nach dem jeweiligen nationalen Recht für die Aufstellung des Jahresabschlusses des Unternehmens gelten.</w:t>
      </w:r>
    </w:p>
    <w:p>
      <w:pPr>
        <w:pStyle w:val="Heading3"/>
      </w:pPr>
      <w:bookmarkStart w:id="419" w:name="b418"/>
      <w:r>
        <w:t>Zweiter Unterabschnitt Ergänzende Vorschriften für Versicherungsunternehmen und Pensionsfonds</w:t>
      </w:r>
      <w:bookmarkEnd w:id="419"/>
    </w:p>
    <w:p>
      <w:pPr>
        <w:pStyle w:val="Heading4"/>
      </w:pPr>
      <w:bookmarkStart w:id="420" w:name="b419"/>
      <w:r>
        <w:t>Erster Titel Anwendungsbereich</w:t>
      </w:r>
      <w:bookmarkEnd w:id="420"/>
    </w:p>
    <w:p>
      <w:pPr>
        <w:pStyle w:val="Heading5"/>
      </w:pPr>
      <w:bookmarkStart w:id="421" w:name="b420"/>
      <w:r>
        <w:t>§ 341</w:t>
      </w:r>
      <w:r>
        <w:t xml:space="preserve"> </w:t>
      </w:r>
      <w:r>
        <w:rPr>
          <w:rStyle w:val="Suchmarke"/>
        </w:rPr>
        <w:t>#341#</w:t>
      </w:r>
      <w:bookmarkEnd w:id="421"/>
    </w:p>
    <w:p>
      <w:r>
        <w:t xml:space="preserve">(1) </w:t>
      </w:r>
      <w:r>
        <w:rPr>
          <w:rStyle w:val="Satznummer"/>
        </w:rPr>
        <w:t>1</w:t>
      </w:r>
      <w:r>
        <w:t xml:space="preserve">Dieser Unterabschnitt ist, soweit nichts anderes bestimmt ist, auf Unternehmen, die den Betrieb von Versicherungsgeschäften zum Gegenstand haben und nicht Träger der Sozialversicherung sind (Versicherungsunternehmen), anzuwenden. </w:t>
      </w:r>
      <w:r>
        <w:rPr>
          <w:rStyle w:val="Satznummer"/>
        </w:rPr>
        <w:t>2</w:t>
      </w:r>
      <w:r>
        <w:t>Dies gilt nicht für solche Versicherungsunternehmen, die auf Grund von Gesetz, Tarifvertrag oder Satzung ausschließlich für ihre Mitglieder oder die durch Gesetz oder Satzung begünstigten Personen Leistungen erbringen oder als nicht rechtsfähige Einrichtungen ihre Aufwendungen im Umlageverfahren decken, es sei denn, sie sind Aktiengesellschaften, Versicherungsvereine auf Gegenseitigkeit oder rechtsfähige kommunale Schadenversicherungsunternehmen.</w:t>
      </w:r>
    </w:p>
    <w:p>
      <w:r>
        <w:t xml:space="preserve">(2) </w:t>
      </w:r>
      <w:r>
        <w:rPr>
          <w:rStyle w:val="Satznummer"/>
        </w:rPr>
        <w:t>1</w:t>
      </w:r>
      <w:r>
        <w:t xml:space="preserve">Versicherungsunternehmen im Sinne des Absatzes 1 sind auch Niederlassungen im Geltungsbereich dieses Gesetzes von Versicherungsunternehmen mit Sitz in einem anderen Staat, wenn sie zum Betrieb des Direktversicherungsgeschäfts der Erlaubnis durch die deutsche Versicherungsaufsichtsbehörde bedürfen. </w:t>
      </w:r>
      <w:r>
        <w:rPr>
          <w:rStyle w:val="Satznummer"/>
        </w:rPr>
        <w:t>2</w:t>
      </w:r>
      <w:r>
        <w:t>Niederlassungen von Versicherungsunternehmen mit Sitz in einem Mitgliedstaat der Europäischen Union oder einem anderen Vertragsstaat des Abkommens über den Europäischen Wirtschaftsraum, die keiner Erlaubnis zum Betrieb des Direktversicherungsgeschäfts durch die deutsche Versicherungsaufsichtsbehörde bedürfen, haben die ergänzenden Vorschriften über den Ansatz und die Bewertung von Vermögensgegenständen und Schulden des Ersten bis Vierten Titels dieses Unterabschnitts und der Versicherungsunternehmens-Rechnungslegungsverordnung in ihrer jeweils geltenden Fassung anzuwenden.</w:t>
      </w:r>
    </w:p>
    <w:p>
      <w:r>
        <w:t>(3) Zusätzliche Anforderungen auf Grund von Vorschriften, die wegen der Rechtsform oder für Niederlassungen bestehen, bleiben unberührt.</w:t>
      </w:r>
    </w:p>
    <w:p>
      <w:r>
        <w:t xml:space="preserve">(4) </w:t>
      </w:r>
      <w:r>
        <w:rPr>
          <w:rStyle w:val="Satznummer"/>
        </w:rPr>
        <w:t>1</w:t>
      </w:r>
      <w:r>
        <w:t xml:space="preserve">Die Vorschriften des Ersten bis Siebenten Titels dieses Unterabschnitts sind mit Ausnahme von Absatz 1 Satz 2 auf Pensionsfonds (§ 236 Absatz 1 des Versicherungsaufsichtsgesetzes) entsprechend anzuwenden. </w:t>
      </w:r>
      <w:r>
        <w:rPr>
          <w:rStyle w:val="Satznummer"/>
        </w:rPr>
        <w:t>2</w:t>
      </w:r>
      <w:hyperlink w:anchor="b426" w:history="1">
        <w:r>
          <w:rPr>
            <w:color w:val="0A3A8C"/>
            <w:u w:val="single"/>
          </w:rPr>
          <w:t xml:space="preserve">§ 341d</w:t>
        </w:r>
      </w:hyperlink>
      <w:r>
        <w:t xml:space="preserve"> ist mit der Maßgabe anzuwenden, dass Kapitalanlagen für Rechnung und Risiko von Arbeitnehmern und Arbeitgebern mit dem Zeitwert unter Berücksichtigung des Grundsatzes der Vorsicht zu bewerten sind; </w:t>
      </w:r>
      <w:hyperlink w:anchor="b424" w:history="1">
        <w:r>
          <w:rPr>
            <w:color w:val="0A3A8C"/>
            <w:u w:val="single"/>
          </w:rPr>
          <w:t xml:space="preserve">§§ 341b</w:t>
        </w:r>
      </w:hyperlink>
      <w:r>
        <w:t xml:space="preserve">, </w:t>
      </w:r>
      <w:hyperlink w:anchor="b425" w:history="1">
        <w:r>
          <w:rPr>
            <w:color w:val="0A3A8C"/>
            <w:u w:val="single"/>
          </w:rPr>
          <w:t xml:space="preserve">341c</w:t>
        </w:r>
      </w:hyperlink>
      <w:r>
        <w:t xml:space="preserve"> sind insoweit nicht anzuwenden.</w:t>
      </w:r>
    </w:p>
    <w:p>
      <w:pPr>
        <w:pStyle w:val="Heading4"/>
      </w:pPr>
      <w:bookmarkStart w:id="422" w:name="b421"/>
      <w:r>
        <w:t>Zweiter Titel Jahresabschluß, Lagebericht</w:t>
      </w:r>
      <w:bookmarkEnd w:id="422"/>
    </w:p>
    <w:p>
      <w:pPr>
        <w:pStyle w:val="Heading5"/>
      </w:pPr>
      <w:bookmarkStart w:id="423" w:name="b422"/>
      <w:r>
        <w:t>§ 341a Anzuwendende Vorschriften</w:t>
      </w:r>
      <w:r>
        <w:t xml:space="preserve"> </w:t>
      </w:r>
      <w:r>
        <w:rPr>
          <w:rStyle w:val="Suchmarke"/>
        </w:rPr>
        <w:t>#341a#</w:t>
      </w:r>
      <w:bookmarkEnd w:id="423"/>
    </w:p>
    <w:p>
      <w:r>
        <w:t xml:space="preserve">(1) </w:t>
      </w:r>
      <w:r>
        <w:rPr>
          <w:rStyle w:val="Satznummer"/>
        </w:rPr>
        <w:t>1</w:t>
      </w:r>
      <w:r>
        <w:t xml:space="preserve">Versicherungsunternehmen haben einen Jahresabschluß und einen Lagebericht nach den für große Kapitalgesellschaften geltenden Vorschriften des Ersten Unterabschnitts des Zweiten Abschnitts in den ersten vier Monaten des Geschäftsjahres für das vergangene Geschäftsjahr aufzustellen und dem Abschlußprüfer zur Durchführung der Prüfung vorzulegen; die Frist des </w:t>
      </w:r>
      <w:hyperlink w:anchor="b265" w:history="1">
        <w:r>
          <w:rPr>
            <w:color w:val="0A3A8C"/>
            <w:u w:val="single"/>
          </w:rPr>
          <w:t xml:space="preserve">§ 264</w:t>
        </w:r>
      </w:hyperlink>
      <w:r>
        <w:t xml:space="preserve"> Abs. 1 Satz 3 gilt nicht. </w:t>
      </w:r>
      <w:r>
        <w:rPr>
          <w:rStyle w:val="Satznummer"/>
        </w:rPr>
        <w:t>2</w:t>
      </w:r>
      <w:r>
        <w:t xml:space="preserve">Ist das Versicherungsunternehmen eine Kapitalgesellschaft im Sinn des </w:t>
      </w:r>
      <w:hyperlink w:anchor="b364" w:history="1">
        <w:r>
          <w:rPr>
            <w:color w:val="0A3A8C"/>
            <w:u w:val="single"/>
          </w:rPr>
          <w:t xml:space="preserve">§ 325</w:t>
        </w:r>
      </w:hyperlink>
      <w:r>
        <w:t xml:space="preserve"> Abs. 4 Satz 1 und nicht zugleich im Sinn des </w:t>
      </w:r>
      <w:hyperlink w:anchor="b368" w:history="1">
        <w:r>
          <w:rPr>
            <w:color w:val="0A3A8C"/>
            <w:u w:val="single"/>
          </w:rPr>
          <w:t xml:space="preserve">§ 327a</w:t>
        </w:r>
      </w:hyperlink>
      <w:r>
        <w:t>, beträgt die Frist nach Satz 1 vier Monate.</w:t>
      </w:r>
    </w:p>
    <w:p>
      <w:r>
        <w:t xml:space="preserve">(1a) </w:t>
      </w:r>
      <w:r>
        <w:rPr>
          <w:rStyle w:val="Satznummer"/>
        </w:rPr>
        <w:t>1</w:t>
      </w:r>
      <w:r>
        <w:t xml:space="preserve">Ein Versicherungsunternehmen hat seinen Lagebericht um eine nichtfinanzielle Erklärung zu erweitern, wenn es in entsprechender Anwendung des </w:t>
      </w:r>
      <w:hyperlink w:anchor="b273" w:history="1">
        <w:r>
          <w:rPr>
            <w:color w:val="0A3A8C"/>
            <w:u w:val="single"/>
          </w:rPr>
          <w:t xml:space="preserve">§ 267</w:t>
        </w:r>
      </w:hyperlink>
      <w:r>
        <w:t xml:space="preserve"> Absatz 3 Satz 1 und Absatz 4 bis 5 als groß gilt und im Jahresdurchschnitt mehr als 500 Arbeitnehmer beschäftigt. </w:t>
      </w:r>
      <w:r>
        <w:rPr>
          <w:rStyle w:val="Satznummer"/>
        </w:rPr>
        <w:t>2</w:t>
      </w:r>
      <w:r>
        <w:t xml:space="preserve">Wenn die nichtfinanzielle Erklärung einen besonderen Abschnitt des Lageberichts bildet, darf das Versicherungsunternehmen auf die an anderer Stelle im Lagebericht enthaltenen nichtfinanziellen Angaben verweisen. </w:t>
      </w:r>
      <w:r>
        <w:rPr>
          <w:rStyle w:val="Satznummer"/>
        </w:rPr>
        <w:t>3</w:t>
      </w:r>
      <w:hyperlink w:anchor="b299" w:history="1">
        <w:r>
          <w:rPr>
            <w:color w:val="0A3A8C"/>
            <w:u w:val="single"/>
          </w:rPr>
          <w:t xml:space="preserve">§ 289b</w:t>
        </w:r>
      </w:hyperlink>
      <w:r>
        <w:t xml:space="preserve"> Absatz 2 bis 4 und die </w:t>
      </w:r>
      <w:hyperlink w:anchor="b300" w:history="1">
        <w:r>
          <w:rPr>
            <w:color w:val="0A3A8C"/>
            <w:u w:val="single"/>
          </w:rPr>
          <w:t xml:space="preserve">§§ 289c</w:t>
        </w:r>
      </w:hyperlink>
      <w:r>
        <w:t xml:space="preserve"> bis </w:t>
      </w:r>
      <w:hyperlink w:anchor="b302" w:history="1">
        <w:r>
          <w:rPr>
            <w:color w:val="0A3A8C"/>
            <w:u w:val="single"/>
          </w:rPr>
          <w:t xml:space="preserve">289e</w:t>
        </w:r>
      </w:hyperlink>
      <w:r>
        <w:t xml:space="preserve"> sind entsprechend anzuwenden.</w:t>
      </w:r>
    </w:p>
    <w:p>
      <w:r>
        <w:t xml:space="preserve">(1b) Ein Versicherungsunternehmen, das nach Absatz 1 in Verbindung mit </w:t>
      </w:r>
      <w:hyperlink w:anchor="b303" w:history="1">
        <w:r>
          <w:rPr>
            <w:color w:val="0A3A8C"/>
            <w:u w:val="single"/>
          </w:rPr>
          <w:t xml:space="preserve">§ 289f</w:t>
        </w:r>
      </w:hyperlink>
      <w:r>
        <w:t xml:space="preserve"> Absatz 1 eine Erklärung zur Unternehmensführung zu erstellen hat, hat darin Angaben nach </w:t>
      </w:r>
      <w:hyperlink w:anchor="b303" w:history="1">
        <w:r>
          <w:rPr>
            <w:color w:val="0A3A8C"/>
            <w:u w:val="single"/>
          </w:rPr>
          <w:t xml:space="preserve">§ 289f</w:t>
        </w:r>
      </w:hyperlink>
      <w:r>
        <w:t xml:space="preserve"> Absatz 2 Nummer 6 aufzunehmen, wenn es in entsprechender Anwendung des </w:t>
      </w:r>
      <w:hyperlink w:anchor="b273" w:history="1">
        <w:r>
          <w:rPr>
            <w:color w:val="0A3A8C"/>
            <w:u w:val="single"/>
          </w:rPr>
          <w:t xml:space="preserve">§ 267</w:t>
        </w:r>
      </w:hyperlink>
      <w:r>
        <w:t xml:space="preserve"> Absatz 3 Satz 1 und Absatz 4 bis 5 als groß gilt.</w:t>
      </w:r>
    </w:p>
    <w:p>
      <w:r>
        <w:t xml:space="preserve">(2) </w:t>
      </w:r>
      <w:r>
        <w:rPr>
          <w:rStyle w:val="Satznummer"/>
        </w:rPr>
        <w:t>1</w:t>
      </w:r>
      <w:r>
        <w:t xml:space="preserve">§ 264 Absatz 3, § 265 Absatz 6, §§ 267, 268 Abs. 4 Satz 1, Abs. 5 Satz 1 und 2, §§ 276, 277 Abs. 1 und 2, § 285 Nr. 8 Buchstabe a und </w:t>
      </w:r>
      <w:hyperlink w:anchor="b295" w:history="1">
        <w:r>
          <w:rPr>
            <w:color w:val="0A3A8C"/>
            <w:u w:val="single"/>
          </w:rPr>
          <w:t xml:space="preserve">§ 288</w:t>
        </w:r>
      </w:hyperlink>
      <w:r>
        <w:t xml:space="preserve"> sind nicht anzuwenden. </w:t>
      </w:r>
      <w:r>
        <w:rPr>
          <w:rStyle w:val="Satznummer"/>
        </w:rPr>
        <w:t>2</w:t>
      </w:r>
      <w:r>
        <w:t xml:space="preserve">Anstelle von § 247 Abs. 1, §§ 251, 265 Abs. 7, §§ 266, 268 Absatz 7, §§ 275, 284 Absatz 3, § 285 Nummer 4 und 8 Buchstabe b sowie </w:t>
      </w:r>
      <w:hyperlink w:anchor="b293" w:history="1">
        <w:r>
          <w:rPr>
            <w:color w:val="0A3A8C"/>
            <w:u w:val="single"/>
          </w:rPr>
          <w:t xml:space="preserve">§ 286</w:t>
        </w:r>
      </w:hyperlink>
      <w:r>
        <w:t xml:space="preserve"> Abs. 2 sind die durch Rechtsverordnung erlassenen Formblätter und anderen Vorschriften anzuwenden. </w:t>
      </w:r>
      <w:r>
        <w:rPr>
          <w:rStyle w:val="Satznummer"/>
        </w:rPr>
        <w:t>3</w:t>
      </w:r>
      <w:hyperlink w:anchor="b240" w:history="1">
        <w:r>
          <w:rPr>
            <w:color w:val="0A3A8C"/>
            <w:u w:val="single"/>
          </w:rPr>
          <w:t xml:space="preserve">§ 246</w:t>
        </w:r>
      </w:hyperlink>
      <w:r>
        <w:t xml:space="preserve"> Abs. 2 ist nicht anzuwenden, soweit abweichende Vorschriften bestehen. </w:t>
      </w:r>
      <w:r>
        <w:rPr>
          <w:rStyle w:val="Satznummer"/>
        </w:rPr>
        <w:t>4</w:t>
      </w:r>
      <w:hyperlink w:anchor="b292" w:history="1">
        <w:r>
          <w:rPr>
            <w:color w:val="0A3A8C"/>
            <w:u w:val="single"/>
          </w:rPr>
          <w:t xml:space="preserve">§ 285</w:t>
        </w:r>
      </w:hyperlink>
      <w:r>
        <w:t xml:space="preserve"> Nr. 3a gilt mit der Maßgabe, daß die Angaben für solche finanzielle Verpflichtungen nicht zu machen sind, die im Rahmen des Versicherungsgeschäfts entstehen. </w:t>
      </w:r>
      <w:r>
        <w:rPr>
          <w:rStyle w:val="Satznummer"/>
        </w:rPr>
        <w:t>5</w:t>
      </w:r>
      <w:hyperlink w:anchor="b292" w:history="1">
        <w:r>
          <w:rPr>
            <w:color w:val="0A3A8C"/>
            <w:u w:val="single"/>
          </w:rPr>
          <w:t xml:space="preserve">§ 285</w:t>
        </w:r>
      </w:hyperlink>
      <w:r>
        <w:t xml:space="preserve"> Nummer 31 ist nicht anzuwenden; unter den Posten „außerordentliche Erträge“ und „außerordentliche Aufwendungen“ sind Erträge und Aufwendungen auszuweisen, die außerhalb der gewöhnlichen Geschäftstätigkeit anfallen. </w:t>
      </w:r>
      <w:r>
        <w:rPr>
          <w:rStyle w:val="Satznummer"/>
        </w:rPr>
        <w:t>6</w:t>
      </w:r>
      <w:r>
        <w:t>Im Anhang sind diese Posten hinsichtlich ihres Betrags und ihrer Art zu erläutern, soweit die ausgewiesenen Beträge für die Beurteilung der Ertragslage nicht von untergeordneter Bedeutung sind.</w:t>
      </w:r>
    </w:p>
    <w:p>
      <w:r>
        <w:t>(3) Auf Krankenversicherungsunternehmen, die das Krankenversicherungsgeschäft ausschließlich oder überwiegend nach Art der Lebensversicherung betreiben, sind die für die Rechnungslegung der Lebensversicherungsunternehmen geltenden Vorschriften entsprechend anzuwenden.</w:t>
      </w:r>
    </w:p>
    <w:p>
      <w:r>
        <w:t xml:space="preserve">(4) Auf Versicherungsunternehmen, die nicht Aktiengesellschaften, Kommanditgesellschaften auf Aktien oder kleinere Vereine sind, sind </w:t>
      </w:r>
      <w:hyperlink w:anchor="b191" w:history="1">
        <w:r>
          <w:rPr>
            <w:color w:val="0A3A8C"/>
            <w:u w:val="single"/>
          </w:rPr>
          <w:t xml:space="preserve">§ 152</w:t>
        </w:r>
      </w:hyperlink>
      <w:r>
        <w:t xml:space="preserve"> Abs. 2 und 3 sowie die §§ 170 bis 176 des Aktiengesetzes entsprechend anzuwenden.</w:t>
      </w:r>
    </w:p>
    <w:p>
      <w:r>
        <w:t xml:space="preserve">(5) </w:t>
      </w:r>
      <w:r>
        <w:rPr>
          <w:rStyle w:val="Satznummer"/>
        </w:rPr>
        <w:t>1</w:t>
      </w:r>
      <w:r>
        <w:t xml:space="preserve">Bei Versicherungsunternehmen, die ausschließlich die Rückversicherung betreiben oder deren Beiträge aus in Rückdeckung übernommenen Versicherungen die übrigen Beiträge übersteigen, verlängert sich die in Absatz 1 Satz 1 erster Halbsatz genannte Frist von vier Monaten auf zehn Monate, sofern das Geschäftsjahr mit dem Kalenderjahr übereinstimmt; die Hauptversammlung oder die Versammlung der obersten Vertretung, die den Jahresabschluß entgegennimmt oder festzustellen hat, muß abweichend von § 175 Abs. 1 Satz 2 des Aktiengesetzes spätestens 14 Monate nach dem Ende des vergangenen Geschäftsjahres stattfinden. </w:t>
      </w:r>
      <w:r>
        <w:rPr>
          <w:rStyle w:val="Satznummer"/>
        </w:rPr>
        <w:t>2</w:t>
      </w:r>
      <w:r>
        <w:t>Die Frist von vier Monaten nach Absatz 1 Satz 2 verlängert sich in den Fällen des Satzes 1 nicht.</w:t>
      </w:r>
    </w:p>
    <w:p>
      <w:pPr>
        <w:pStyle w:val="Heading4"/>
      </w:pPr>
      <w:bookmarkStart w:id="424" w:name="b423"/>
      <w:r>
        <w:t>Dritter Titel Bewertungsvorschriften</w:t>
      </w:r>
      <w:bookmarkEnd w:id="424"/>
    </w:p>
    <w:p>
      <w:pPr>
        <w:pStyle w:val="Heading5"/>
      </w:pPr>
      <w:bookmarkStart w:id="425" w:name="b424"/>
      <w:r>
        <w:t>§ 341b Bewertung von Vermögensgegenständen</w:t>
      </w:r>
      <w:r>
        <w:t xml:space="preserve"> </w:t>
      </w:r>
      <w:r>
        <w:rPr>
          <w:rStyle w:val="Suchmarke"/>
        </w:rPr>
        <w:t>#341b#</w:t>
      </w:r>
      <w:bookmarkEnd w:id="425"/>
    </w:p>
    <w:p>
      <w:r>
        <w:t xml:space="preserve">(1) </w:t>
      </w:r>
      <w:r>
        <w:rPr>
          <w:rStyle w:val="Satznummer"/>
        </w:rPr>
        <w:t>1</w:t>
      </w:r>
      <w:r>
        <w:t xml:space="preserve">Versicherungsunternehmen haben immaterielle Vermögensgegenstände, soweit sie entgeltlich erworben wurden, Grundstücke, grundstücksgleiche Rechte und Bauten einschließlich der Bauten auf fremden Grundstücken, technische Anlagen und Maschinen, andere Anlagen, Betriebs- und Geschäftsausstattung, Anlagen im Bau und Vorräte nach den für das Anlagevermögen geltenden Vorschriften zu bewerten. </w:t>
      </w:r>
      <w:r>
        <w:rPr>
          <w:rStyle w:val="Satznummer"/>
        </w:rPr>
        <w:t>2</w:t>
      </w:r>
      <w:r>
        <w:t xml:space="preserve">Satz 1 ist vorbehaltlich Absatz 2 und </w:t>
      </w:r>
      <w:hyperlink w:anchor="b425" w:history="1">
        <w:r>
          <w:rPr>
            <w:color w:val="0A3A8C"/>
            <w:u w:val="single"/>
          </w:rPr>
          <w:t xml:space="preserve">§ 341c</w:t>
        </w:r>
      </w:hyperlink>
      <w:r>
        <w:t xml:space="preserve"> auch auf Kapitalanlagen anzuwenden, soweit es sich hierbei um Beteiligungen, Anteile an verbundenen Unternehmen, Ausleihungen an verbundene Unternehmen oder an Unternehmen, mit denen ein Beteiligungsverhältnis besteht, Namensschuldverschreibungen, Hypothekendarlehen und andere Forderungen und Rechte, sonstige Ausleihungen und Depotforderungen aus dem in Rückdeckung übernommenen Versicherungsgeschäft handelt. </w:t>
      </w:r>
      <w:r>
        <w:rPr>
          <w:rStyle w:val="Satznummer"/>
        </w:rPr>
        <w:t>3</w:t>
      </w:r>
      <w:hyperlink w:anchor="b248" w:history="1">
        <w:r>
          <w:rPr>
            <w:color w:val="0A3A8C"/>
            <w:u w:val="single"/>
          </w:rPr>
          <w:t xml:space="preserve">§ 253</w:t>
        </w:r>
      </w:hyperlink>
      <w:r>
        <w:t xml:space="preserve"> Absatz 3 Satz 6 ist nur auf die in Satz 2 bezeichneten Vermögensgegenstände anzuwenden.</w:t>
      </w:r>
    </w:p>
    <w:p>
      <w:r>
        <w:t xml:space="preserve">(2) Auf Kapitalanlagen, soweit es sich hierbei um Aktien einschließlich der eigenen Anteile, Anteile oder Aktien an Investmentvermögen sowie sonstige festverzinsliche und nicht festverzinsliche Wertpapiere handelt, sind die für das Umlaufvermögen geltenden </w:t>
      </w:r>
      <w:hyperlink w:anchor="b248" w:history="1">
        <w:r>
          <w:rPr>
            <w:color w:val="0A3A8C"/>
            <w:u w:val="single"/>
          </w:rPr>
          <w:t xml:space="preserve">§ 253</w:t>
        </w:r>
      </w:hyperlink>
      <w:r>
        <w:t xml:space="preserve"> Abs. 1 Satz 1, Abs. 4 und 5, </w:t>
      </w:r>
      <w:hyperlink w:anchor="b251" w:history="1">
        <w:r>
          <w:rPr>
            <w:color w:val="0A3A8C"/>
            <w:u w:val="single"/>
          </w:rPr>
          <w:t xml:space="preserve">§ 256</w:t>
        </w:r>
      </w:hyperlink>
      <w:r>
        <w:t xml:space="preserve"> anzuwenden, es sei denn, dass sie dazu bestimmt werden, dauernd dem Geschäftsbetrieb zu dienen; in diesem Fall sind sie nach den für das Anlagevermögen geltenden Vorschriften zu bewerten.</w:t>
      </w:r>
    </w:p>
    <w:p>
      <w:r>
        <w:t xml:space="preserve">(3) </w:t>
      </w:r>
      <w:hyperlink w:anchor="b251" w:history="1">
        <w:r>
          <w:rPr>
            <w:color w:val="0A3A8C"/>
            <w:u w:val="single"/>
          </w:rPr>
          <w:t xml:space="preserve">§ 256</w:t>
        </w:r>
      </w:hyperlink>
      <w:r>
        <w:t xml:space="preserve"> Satz 2 in Verbindung mit </w:t>
      </w:r>
      <w:hyperlink w:anchor="b230" w:history="1">
        <w:r>
          <w:rPr>
            <w:color w:val="0A3A8C"/>
            <w:u w:val="single"/>
          </w:rPr>
          <w:t xml:space="preserve">§ 240</w:t>
        </w:r>
      </w:hyperlink>
      <w:r>
        <w:t xml:space="preserve"> Abs. 3 über die Bewertung zum Festwert ist auf Grundstücke, Bauten und im Bau befindliche Anlagen nicht anzuwenden.</w:t>
      </w:r>
    </w:p>
    <w:p>
      <w:r>
        <w:t>(4) Verträge, die von Pensionsfonds bei Lebensversicherungsunternehmen zur Deckung von Verpflichtungen gegenüber Versorgungsberechtigten eingegangen werden, sind mit dem Zeitwert unter Berücksichtigung des Grundsatzes der Vorsicht zu bewerten; die Absätze 1 bis 3 sind insoweit nicht anzuwenden.</w:t>
      </w:r>
    </w:p>
    <w:p>
      <w:pPr>
        <w:pStyle w:val="Heading5"/>
      </w:pPr>
      <w:bookmarkStart w:id="426" w:name="b425"/>
      <w:r>
        <w:t>§ 341c Namensschuldverschreibungen, Hypothekendarlehen und andere Forderungen</w:t>
      </w:r>
      <w:r>
        <w:t xml:space="preserve"> </w:t>
      </w:r>
      <w:r>
        <w:rPr>
          <w:rStyle w:val="Suchmarke"/>
        </w:rPr>
        <w:t>#341c#</w:t>
      </w:r>
      <w:bookmarkEnd w:id="426"/>
    </w:p>
    <w:p>
      <w:r>
        <w:t xml:space="preserve">(1) Abweichend von </w:t>
      </w:r>
      <w:hyperlink w:anchor="b248" w:history="1">
        <w:r>
          <w:rPr>
            <w:color w:val="0A3A8C"/>
            <w:u w:val="single"/>
          </w:rPr>
          <w:t xml:space="preserve">§ 253</w:t>
        </w:r>
      </w:hyperlink>
      <w:r>
        <w:t xml:space="preserve"> Abs. 1 Satz 1 dürfen Namensschuldverschreibungen mit ihrem Nennbetrag angesetzt werden.</w:t>
      </w:r>
    </w:p>
    <w:p>
      <w:r>
        <w:t xml:space="preserve">(2) </w:t>
      </w:r>
      <w:r>
        <w:rPr>
          <w:rStyle w:val="Satznummer"/>
        </w:rPr>
        <w:t>1</w:t>
      </w:r>
      <w:r>
        <w:t xml:space="preserve">Ist der Nennbetrag höher als die Anschaffungskosten, so ist der Unterschiedsbetrag in den Rechnungsabgrenzungsposten auf der Passivseite aufzunehmen, planmäßig aufzulösen und in seiner jeweiligen Höhe in der Bilanz oder im Anhang gesondert anzugeben. </w:t>
      </w:r>
      <w:r>
        <w:rPr>
          <w:rStyle w:val="Satznummer"/>
        </w:rPr>
        <w:t>2</w:t>
      </w:r>
      <w:r>
        <w:t>Ist der Nennbetrag niedriger als die Anschaffungskosten, darf der Unterschiedsbetrag in den Rechnungsabgrenzungsposten auf der Aktivseite aufgenommen werden; er ist planmäßig aufzulösen und in seiner jeweiligen Höhe in der Bilanz oder im Anhang gesondert anzugeben.</w:t>
      </w:r>
    </w:p>
    <w:p>
      <w:r>
        <w:t>(3) Bei Hypothekendarlehen und anderen Forderungen dürfen die Anschaffungskosten zuzüglich oder abzüglich der kumulierten Amortisation einer Differenz zwischen den Anschaffungskosten und dem Rückzahlungsbetrag unter Anwendung der Effektivzinsmethode angesetzt werden.</w:t>
      </w:r>
    </w:p>
    <w:p>
      <w:pPr>
        <w:pStyle w:val="Heading5"/>
      </w:pPr>
      <w:bookmarkStart w:id="427" w:name="b426"/>
      <w:r>
        <w:t>§ 341d Anlagestock der fondsgebundenen Lebensversicherung</w:t>
      </w:r>
      <w:r>
        <w:t xml:space="preserve"> </w:t>
      </w:r>
      <w:r>
        <w:rPr>
          <w:rStyle w:val="Suchmarke"/>
        </w:rPr>
        <w:t>#341d#</w:t>
      </w:r>
      <w:bookmarkEnd w:id="427"/>
    </w:p>
    <w:p>
      <w:r>
        <w:t xml:space="preserve">Kapitalanlagen für Rechnung und Risiko von Inhabern von Lebensversicherungsverträgen, bei denen das Anlagerisiko vom Versicherungsnehmer getragen wird, sind mit dem Zeitwert unter Berücksichtigung des Grundsatzes der Vorsicht zu bewerten; die </w:t>
      </w:r>
      <w:hyperlink w:anchor="b424" w:history="1">
        <w:r>
          <w:rPr>
            <w:color w:val="0A3A8C"/>
            <w:u w:val="single"/>
          </w:rPr>
          <w:t xml:space="preserve">§§ 341b</w:t>
        </w:r>
      </w:hyperlink>
      <w:r>
        <w:t xml:space="preserve">, </w:t>
      </w:r>
      <w:hyperlink w:anchor="b425" w:history="1">
        <w:r>
          <w:rPr>
            <w:color w:val="0A3A8C"/>
            <w:u w:val="single"/>
          </w:rPr>
          <w:t xml:space="preserve">341c</w:t>
        </w:r>
      </w:hyperlink>
      <w:r>
        <w:t xml:space="preserve"> sind nicht anzuwenden.</w:t>
      </w:r>
    </w:p>
    <w:p>
      <w:pPr>
        <w:pStyle w:val="Heading4"/>
      </w:pPr>
      <w:bookmarkStart w:id="428" w:name="b427"/>
      <w:r>
        <w:t>Vierter Titel Versicherungstechnische Rückstellungen</w:t>
      </w:r>
      <w:bookmarkEnd w:id="428"/>
    </w:p>
    <w:p>
      <w:pPr>
        <w:pStyle w:val="Heading5"/>
      </w:pPr>
      <w:bookmarkStart w:id="429" w:name="b428"/>
      <w:r>
        <w:t>§ 341e Allgemeine Bilanzierungsgrundsätze</w:t>
      </w:r>
      <w:r>
        <w:t xml:space="preserve"> </w:t>
      </w:r>
      <w:r>
        <w:rPr>
          <w:rStyle w:val="Suchmarke"/>
        </w:rPr>
        <w:t>#341e#</w:t>
      </w:r>
      <w:bookmarkEnd w:id="429"/>
    </w:p>
    <w:p>
      <w:r>
        <w:t xml:space="preserve">(1) </w:t>
      </w:r>
      <w:r>
        <w:rPr>
          <w:rStyle w:val="Satznummer"/>
        </w:rPr>
        <w:t>1</w:t>
      </w:r>
      <w:r>
        <w:t xml:space="preserve">Versicherungsunternehmen haben versicherungstechnische Rückstellungen auch insoweit zu bilden, wie dies nach vernünftiger kaufmännischer Beurteilung notwendig ist, um die dauernde Erfüllbarkeit der Verpflichtungen aus den Versicherungsverträgen sicherzustellen. </w:t>
      </w:r>
      <w:r>
        <w:rPr>
          <w:rStyle w:val="Satznummer"/>
        </w:rPr>
        <w:t>2</w:t>
      </w:r>
      <w:r>
        <w:t xml:space="preserve">Dabei sind mit Ausnahme der Vorschriften der §§ 74 bis 87 des Versicherungsaufsichtsgesetzes die im Interesse der Versicherten erlassenen aufsichtsrechtlichen Vorschriften über die bei der Berechnung der Rückstellungen zu verwendenden Rechnungsgrundlagen einschließlich des dafür anzusetzenden Rechnungszinsfußes und über die Zuweisung bestimmter Kapitalerträge zu den Rückstellungen zu berücksichtigen. </w:t>
      </w:r>
      <w:r>
        <w:rPr>
          <w:rStyle w:val="Satznummer"/>
        </w:rPr>
        <w:t>3</w:t>
      </w:r>
      <w:r>
        <w:t xml:space="preserve">Die Rückstellungen sind nach den Wertverhältnissen am Abschlussstichtag zu bewerten und nicht nach </w:t>
      </w:r>
      <w:hyperlink w:anchor="b248" w:history="1">
        <w:r>
          <w:rPr>
            <w:color w:val="0A3A8C"/>
            <w:u w:val="single"/>
          </w:rPr>
          <w:t xml:space="preserve">§ 253</w:t>
        </w:r>
      </w:hyperlink>
      <w:r>
        <w:t xml:space="preserve"> Abs. 2 abzuzinsen.</w:t>
      </w:r>
    </w:p>
    <w:p>
      <w:r>
        <w:t xml:space="preserve">(2) Versicherungstechnische Rückstellungen sind außer in den Fällen der </w:t>
      </w:r>
      <w:hyperlink w:anchor="b429" w:history="1">
        <w:r>
          <w:rPr>
            <w:color w:val="0A3A8C"/>
            <w:u w:val="single"/>
          </w:rPr>
          <w:t xml:space="preserve">§§ 341f</w:t>
        </w:r>
      </w:hyperlink>
      <w:r>
        <w:t xml:space="preserve"> bis </w:t>
      </w:r>
      <w:hyperlink w:anchor="b431" w:history="1">
        <w:r>
          <w:rPr>
            <w:color w:val="0A3A8C"/>
            <w:u w:val="single"/>
          </w:rPr>
          <w:t xml:space="preserve">341h</w:t>
        </w:r>
      </w:hyperlink>
      <w:r>
        <w:t xml:space="preserve"> insbesondere zu bilden</w:t>
      </w:r>
    </w:p>
    <w:p>
      <w:pPr>
        <w:tabs>
          <w:tab w:pos="567" w:val="left"/>
        </w:tabs>
        <w:ind w:left="567" w:hanging="567"/>
      </w:pPr>
      <w:r>
        <w:t>1.</w:t>
      </w:r>
      <w:r>
        <w:tab/>
      </w:r>
      <w:r>
        <w:t>für den Teil der Beiträge, der Ertrag für eine bestimmte Zeit nach dem Abschlußstichtag darstellt (Beitragsüberträge);</w:t>
      </w:r>
    </w:p>
    <w:p>
      <w:pPr>
        <w:tabs>
          <w:tab w:pos="567" w:val="left"/>
        </w:tabs>
        <w:ind w:left="567" w:hanging="567"/>
      </w:pPr>
      <w:r>
        <w:t>2.</w:t>
      </w:r>
      <w:r>
        <w:tab/>
      </w:r>
      <w:r>
        <w:t>für erfolgsabhängige und erfolgsunabhängige Beitragsrückerstattungen, soweit die ausschließliche Verwendung der Rückstellung zu diesem Zweck durch Gesetz, Satzung, geschäftsplanmäßige Erklärung oder vertragliche Vereinbarung gesichert ist (Rückstellung für Beitragsrückerstattung);</w:t>
      </w:r>
    </w:p>
    <w:p>
      <w:pPr>
        <w:tabs>
          <w:tab w:pos="567" w:val="left"/>
        </w:tabs>
        <w:ind w:left="567" w:hanging="567"/>
      </w:pPr>
      <w:r>
        <w:t>3.</w:t>
      </w:r>
      <w:r>
        <w:tab/>
      </w:r>
      <w:r>
        <w:t>für Verluste, mit denen nach dem Abschlußstichtag aus bis zum Ende des Geschäftsjahres geschlossenen Verträgen zu rechnen ist (Rückstellung für drohende Verluste aus dem Versicherungsgeschäft).</w:t>
      </w:r>
    </w:p>
    <w:p>
      <w:r>
        <w:t xml:space="preserve">(3) Soweit eine Bewertung nach </w:t>
      </w:r>
      <w:hyperlink w:anchor="b247" w:history="1">
        <w:r>
          <w:rPr>
            <w:color w:val="0A3A8C"/>
            <w:u w:val="single"/>
          </w:rPr>
          <w:t xml:space="preserve">§ 252</w:t>
        </w:r>
      </w:hyperlink>
      <w:r>
        <w:t xml:space="preserve"> Abs. 1 Nr. 3 oder </w:t>
      </w:r>
      <w:hyperlink w:anchor="b230" w:history="1">
        <w:r>
          <w:rPr>
            <w:color w:val="0A3A8C"/>
            <w:u w:val="single"/>
          </w:rPr>
          <w:t xml:space="preserve">§ 240</w:t>
        </w:r>
      </w:hyperlink>
      <w:r>
        <w:t xml:space="preserve"> Abs. 4 nicht möglich ist oder der damit verbundene Aufwand unverhältnismäßig wäre, können die Rückstellungen auf Grund von Näherungsverfahren geschätzt werden, wenn anzunehmen ist, daß diese zu annähernd gleichen Ergebnissen wie Einzelberechnungen führen.</w:t>
      </w:r>
    </w:p>
    <w:p>
      <w:pPr>
        <w:pStyle w:val="Heading5"/>
      </w:pPr>
      <w:bookmarkStart w:id="430" w:name="b429"/>
      <w:r>
        <w:t>§ 341f Deckungsrückstellung</w:t>
      </w:r>
      <w:r>
        <w:t xml:space="preserve"> </w:t>
      </w:r>
      <w:r>
        <w:rPr>
          <w:rStyle w:val="Suchmarke"/>
        </w:rPr>
        <w:t>#341f#</w:t>
      </w:r>
      <w:bookmarkEnd w:id="430"/>
    </w:p>
    <w:p>
      <w:r>
        <w:t xml:space="preserve">(1) </w:t>
      </w:r>
      <w:r>
        <w:rPr>
          <w:rStyle w:val="Satznummer"/>
        </w:rPr>
        <w:t>1</w:t>
      </w:r>
      <w:r>
        <w:t xml:space="preserve">Deckungsrückstellungen sind für die Verpflichtungen aus dem Lebensversicherungs- und dem nach Art der Lebensversicherung betriebenen Versicherungsgeschäft in Höhe ihres versicherungsmathematisch errechneten Wertes einschließlich bereits zugeteilter Überschußanteile mit Ausnahme der verzinslich angesammelten Überschußanteile und nach Abzug des versicherungsmathematisch ermittelten Barwerts der künftigen Beiträge zu bilden (prospektive Methode). </w:t>
      </w:r>
      <w:r>
        <w:rPr>
          <w:rStyle w:val="Satznummer"/>
        </w:rPr>
        <w:t>2</w:t>
      </w:r>
      <w:r>
        <w:t>Ist eine Ermittlung des Wertes der künftigen Verpflichtungen und der künftigen Beiträge nicht möglich, hat die Berechnung auf Grund der aufgezinsten Einnahmen und Ausgaben der vorangegangenen Geschäftsjahre zu erfolgen (retrospektive Methode).</w:t>
      </w:r>
    </w:p>
    <w:p>
      <w:r>
        <w:t>(2) Bei der Bildung der Deckungsrückstellung sind auch gegenüber den Versicherten eingegangene Zinssatzverpflichtungen zu berücksichtigen, sofern die derzeitigen oder zu erwartenden Erträge der Vermögenswerte des Unternehmens für die Deckung dieser Verpflichtungen nicht ausreichen.</w:t>
      </w:r>
    </w:p>
    <w:p>
      <w:r>
        <w:t xml:space="preserve">(3) </w:t>
      </w:r>
      <w:r>
        <w:rPr>
          <w:rStyle w:val="Satznummer"/>
        </w:rPr>
        <w:t>1</w:t>
      </w:r>
      <w:r>
        <w:t xml:space="preserve">In der Krankenversicherung, die nach Art der Lebensversicherung betrieben wird, ist als Deckungsrückstellung eine Alterungsrückstellung zu bilden; hierunter fallen auch der Rückstellung bereits zugeführte Beträge aus der Rückstellung für Beitragsrückerstattung sowie Zuschreibungen, die dem Aufbau einer Anwartschaft auf Beitragsermäßigung im Alter dienen. </w:t>
      </w:r>
      <w:r>
        <w:rPr>
          <w:rStyle w:val="Satznummer"/>
        </w:rPr>
        <w:t>2</w:t>
      </w:r>
      <w:r>
        <w:t>Bei der Berechnung sind die für die Berechnung der Prämien geltenden aufsichtsrechtlichen Bestimmungen zu berücksichtigen.</w:t>
      </w:r>
    </w:p>
    <w:p>
      <w:pPr>
        <w:pStyle w:val="Heading5"/>
      </w:pPr>
      <w:bookmarkStart w:id="431" w:name="b430"/>
      <w:r>
        <w:t>§ 341g Rückstellung für noch nicht abgewickelte Versicherungsfälle</w:t>
      </w:r>
      <w:r>
        <w:t xml:space="preserve"> </w:t>
      </w:r>
      <w:r>
        <w:rPr>
          <w:rStyle w:val="Suchmarke"/>
        </w:rPr>
        <w:t>#341g#</w:t>
      </w:r>
      <w:bookmarkEnd w:id="431"/>
    </w:p>
    <w:p>
      <w:r>
        <w:t xml:space="preserve">(1) </w:t>
      </w:r>
      <w:r>
        <w:rPr>
          <w:rStyle w:val="Satznummer"/>
        </w:rPr>
        <w:t>1</w:t>
      </w:r>
      <w:r>
        <w:t xml:space="preserve">Rückstellungen für noch nicht abgewickelte Versicherungsfälle sind für die Verpflichtungen aus den bis zum Ende des Geschäftsjahres eingetretenen, aber noch nicht abgewickelten Versicherungsfällen zu bilden. </w:t>
      </w:r>
      <w:r>
        <w:rPr>
          <w:rStyle w:val="Satznummer"/>
        </w:rPr>
        <w:t>2</w:t>
      </w:r>
      <w:r>
        <w:t>Hierbei sind die gesamten Schadenregulierungsaufwendungen zu berücksichtigen.</w:t>
      </w:r>
    </w:p>
    <w:p>
      <w:r>
        <w:t xml:space="preserve">(2) </w:t>
      </w:r>
      <w:r>
        <w:rPr>
          <w:rStyle w:val="Satznummer"/>
        </w:rPr>
        <w:t>1</w:t>
      </w:r>
      <w:r>
        <w:t xml:space="preserve">Für bis zum Abschlußstichtag eingetretene, aber bis zur inventurmäßigen Erfassung noch nicht gemeldete Versicherungsfälle ist die Rückstellung pauschal zu bewerten. </w:t>
      </w:r>
      <w:r>
        <w:rPr>
          <w:rStyle w:val="Satznummer"/>
        </w:rPr>
        <w:t>2</w:t>
      </w:r>
      <w:r>
        <w:t>Dabei sind die bisherigen Erfahrungen in bezug auf die Anzahl der nach dem Abschlußstichtag gemeldeten Versicherungsfälle und die Höhe der damit verbundenen Aufwendungen zu berücksichtigen.</w:t>
      </w:r>
    </w:p>
    <w:p>
      <w:r>
        <w:t xml:space="preserve">(3) </w:t>
      </w:r>
      <w:r>
        <w:rPr>
          <w:rStyle w:val="Satznummer"/>
        </w:rPr>
        <w:t>1</w:t>
      </w:r>
      <w:r>
        <w:t xml:space="preserve">Bei Krankenversicherungsunternehmen ist die Rückstellung anhand eines statistischen Näherungsverfahrens zu ermitteln. </w:t>
      </w:r>
      <w:r>
        <w:rPr>
          <w:rStyle w:val="Satznummer"/>
        </w:rPr>
        <w:t>2</w:t>
      </w:r>
      <w:r>
        <w:t>Dabei ist von den in den ersten Monaten des nach dem Abschlußstichtag folgenden Geschäftsjahres erfolgten Zahlungen für die bis zum Abschlußstichtag eingetretenen Versicherungsfälle auszugehen.</w:t>
      </w:r>
    </w:p>
    <w:p>
      <w:r>
        <w:t>(4) Bei Mitversicherungen muß die Rückstellung der Höhe nach anteilig zumindest derjenigen entsprechen, die der führende Versicherer nach den Vorschriften oder der Übung in dem Land bilden muß, von dem aus er tätig wird.</w:t>
      </w:r>
    </w:p>
    <w:p>
      <w:r>
        <w:t>(5) Sind die Versicherungsleistungen auf Grund rechtskräftigen Urteils, Vergleichs oder Anerkenntnisses in Form einer Rente zu erbringen, so müssen die Rückstellungsbeträge nach anerkannten versicherungsmathematischen Methoden berechnet werden.</w:t>
      </w:r>
    </w:p>
    <w:p>
      <w:pPr>
        <w:pStyle w:val="Heading5"/>
      </w:pPr>
      <w:bookmarkStart w:id="432" w:name="b431"/>
      <w:r>
        <w:t>§ 341h Schwankungsrückstellung und ähnliche Rückstellungen</w:t>
      </w:r>
      <w:r>
        <w:t xml:space="preserve"> </w:t>
      </w:r>
      <w:r>
        <w:rPr>
          <w:rStyle w:val="Suchmarke"/>
        </w:rPr>
        <w:t>#341h#</w:t>
      </w:r>
      <w:bookmarkEnd w:id="432"/>
    </w:p>
    <w:p>
      <w:r>
        <w:t>(1) Schwankungsrückstellungen sind zum Ausgleich der Schwankungen im Schadenverlauf künftiger Jahre zu bilden, wenn insbesondere</w:t>
      </w:r>
    </w:p>
    <w:p>
      <w:pPr>
        <w:tabs>
          <w:tab w:pos="567" w:val="left"/>
        </w:tabs>
        <w:ind w:left="567" w:hanging="567"/>
      </w:pPr>
      <w:r>
        <w:t>1.</w:t>
      </w:r>
      <w:r>
        <w:tab/>
      </w:r>
      <w:r>
        <w:t>nach den Erfahrungen in dem betreffenden Versicherungszweig mit erheblichen Schwankungen der jährlichen Aufwendungen für Versicherungsfälle zu rechnen ist,</w:t>
      </w:r>
    </w:p>
    <w:p>
      <w:pPr>
        <w:tabs>
          <w:tab w:pos="567" w:val="left"/>
        </w:tabs>
        <w:ind w:left="567" w:hanging="567"/>
      </w:pPr>
      <w:r>
        <w:t>2.</w:t>
      </w:r>
      <w:r>
        <w:tab/>
      </w:r>
      <w:r>
        <w:t>die Schwankungen nicht jeweils durch Beiträge ausgeglichen werden und</w:t>
      </w:r>
    </w:p>
    <w:p>
      <w:pPr>
        <w:tabs>
          <w:tab w:pos="567" w:val="left"/>
        </w:tabs>
        <w:ind w:left="567" w:hanging="567"/>
      </w:pPr>
      <w:r>
        <w:t>3.</w:t>
      </w:r>
      <w:r>
        <w:tab/>
      </w:r>
      <w:r>
        <w:t>die Schwankungen nicht durch Rückversicherungen gedeckt sind.</w:t>
      </w:r>
    </w:p>
    <w:p>
      <w:r>
        <w:t>(2) Für Risiken gleicher Art, bei denen der Ausgleich von Leistung und Gegenleistung wegen des hohen Schadenrisikos im Einzelfall nach versicherungsmathematischen Grundsätzen nicht im Geschäftsjahr, sondern nur in einem am Abschlußstichtag nicht bestimmbaren Zeitraum gefunden werden kann, ist eine Rückstellung zu bilden und in der Bilanz als "ähnliche Rückstellung" unter den Schwankungsrückstellungen auszuweisen.</w:t>
      </w:r>
    </w:p>
    <w:p>
      <w:pPr>
        <w:pStyle w:val="Heading4"/>
      </w:pPr>
      <w:bookmarkStart w:id="433" w:name="b432"/>
      <w:r>
        <w:t>Fünfter Titel Konzernabschluß, Konzernlagebericht</w:t>
      </w:r>
      <w:bookmarkEnd w:id="433"/>
    </w:p>
    <w:p>
      <w:pPr>
        <w:pStyle w:val="Heading5"/>
      </w:pPr>
      <w:bookmarkStart w:id="434" w:name="b433"/>
      <w:r>
        <w:t>§ 341i Aufstellung, Fristen</w:t>
      </w:r>
      <w:r>
        <w:t xml:space="preserve"> </w:t>
      </w:r>
      <w:r>
        <w:rPr>
          <w:rStyle w:val="Suchmarke"/>
        </w:rPr>
        <w:t>#341i#</w:t>
      </w:r>
      <w:bookmarkEnd w:id="434"/>
    </w:p>
    <w:p>
      <w:r>
        <w:t xml:space="preserve">(1) </w:t>
      </w:r>
      <w:r>
        <w:rPr>
          <w:rStyle w:val="Satznummer"/>
        </w:rPr>
        <w:t>1</w:t>
      </w:r>
      <w:r>
        <w:t xml:space="preserve">Versicherungsunternehmen, auch wenn sie nicht in der Rechtsform einer Kapitalgesellschaft betrieben werden, haben unabhängig von ihrer Größe einen Konzernabschluß und einen Konzernlagebericht aufzustellen. </w:t>
      </w:r>
      <w:r>
        <w:rPr>
          <w:rStyle w:val="Satznummer"/>
        </w:rPr>
        <w:t>2</w:t>
      </w:r>
      <w:r>
        <w:t>Zusätzliche Anforderungen auf Grund von Vorschriften, die wegen der Rechtsform bestehen, bleiben unberührt.</w:t>
      </w:r>
    </w:p>
    <w:p>
      <w:r>
        <w:t>(2) Als Versicherungsunternehmen im Sinne dieses Titels gelten auch Mutterunternehmen, deren einziger oder hauptsächlicher Zweck darin besteht, Beteiligungen an Tochterunternehmen zu erwerben, diese Beteiligungen zu verwalten und rentabel zu machen, sofern diese Tochterunternehmen ausschließlich oder überwiegend Versicherungsunternehmen sind.</w:t>
      </w:r>
    </w:p>
    <w:p>
      <w:r>
        <w:t xml:space="preserve">(3) </w:t>
      </w:r>
      <w:r>
        <w:rPr>
          <w:rStyle w:val="Satznummer"/>
        </w:rPr>
        <w:t>1</w:t>
      </w:r>
      <w:r>
        <w:t xml:space="preserve">Die gesetzlichen Vertreter eines Mutterunternehmens haben den Konzernabschluß und den Konzernlagebericht abweichend von </w:t>
      </w:r>
      <w:hyperlink w:anchor="b306" w:history="1">
        <w:r>
          <w:rPr>
            <w:color w:val="0A3A8C"/>
            <w:u w:val="single"/>
          </w:rPr>
          <w:t xml:space="preserve">§ 290</w:t>
        </w:r>
      </w:hyperlink>
      <w:r>
        <w:t xml:space="preserve"> Abs. 1 innerhalb von zwei Monaten nach Ablauf der Aufstellungsfrist für den zuletzt aufzustellenden und in den Konzernabschluß einzubeziehenden Abschluß, spätestens jedoch innerhalb von zwölf Monaten nach dem Stichtag des Konzernabschlusses, für das vergangene Konzerngeschäftsjahr aufzustellen und dem Abschlußprüfer des Konzernabschlusses vorzulegen; ist das Mutterunternehmen eine Kapitalgesellschaft im Sinn des </w:t>
      </w:r>
      <w:hyperlink w:anchor="b364" w:history="1">
        <w:r>
          <w:rPr>
            <w:color w:val="0A3A8C"/>
            <w:u w:val="single"/>
          </w:rPr>
          <w:t xml:space="preserve">§ 325</w:t>
        </w:r>
      </w:hyperlink>
      <w:r>
        <w:t xml:space="preserve"> Abs. 4 Satz 1 und nicht zugleich im Sinn des </w:t>
      </w:r>
      <w:hyperlink w:anchor="b368" w:history="1">
        <w:r>
          <w:rPr>
            <w:color w:val="0A3A8C"/>
            <w:u w:val="single"/>
          </w:rPr>
          <w:t xml:space="preserve">§ 327a</w:t>
        </w:r>
      </w:hyperlink>
      <w:r>
        <w:t xml:space="preserve">, tritt an die Stelle der Frist von längstens zwölf eine Frist von längstens vier Monaten. </w:t>
      </w:r>
      <w:r>
        <w:rPr>
          <w:rStyle w:val="Satznummer"/>
        </w:rPr>
        <w:t>2</w:t>
      </w:r>
      <w:hyperlink w:anchor="b318" w:history="1">
        <w:r>
          <w:rPr>
            <w:color w:val="0A3A8C"/>
            <w:u w:val="single"/>
          </w:rPr>
          <w:t xml:space="preserve">§ 299</w:t>
        </w:r>
      </w:hyperlink>
      <w:r>
        <w:t xml:space="preserve"> Abs. 2 Satz 2 ist mit der Maßgabe anzuwenden, daß der Stichtag des Jahresabschlusses eines Unternehmens nicht länger als sechs Monate vor dem Stichtag des Konzernabschlusses liegen darf.</w:t>
      </w:r>
    </w:p>
    <w:p>
      <w:r>
        <w:t>(4) Der Konzernabschluß und der Konzernlagebericht sind abweichend von § 175 Abs. 1 Satz 1 des Aktiengesetzes spätestens der nächsten nach Ablauf der Aufstellungsfrist für den Konzernabschluß und Konzernlagebericht einzuberufenden Hauptversammlung, die einen Jahresabschluß des Mutterunternehmens entgegennimmt oder festzustellen hat, vorzulegen.</w:t>
      </w:r>
    </w:p>
    <w:p>
      <w:pPr>
        <w:pStyle w:val="Heading5"/>
      </w:pPr>
      <w:bookmarkStart w:id="435" w:name="b434"/>
      <w:r>
        <w:t>§ 341j Anzuwendende Vorschriften</w:t>
      </w:r>
      <w:r>
        <w:t xml:space="preserve"> </w:t>
      </w:r>
      <w:r>
        <w:rPr>
          <w:rStyle w:val="Suchmarke"/>
        </w:rPr>
        <w:t>#341j#</w:t>
      </w:r>
      <w:bookmarkEnd w:id="435"/>
    </w:p>
    <w:p>
      <w:r>
        <w:t xml:space="preserve">(1) </w:t>
      </w:r>
      <w:r>
        <w:rPr>
          <w:rStyle w:val="Satznummer"/>
        </w:rPr>
        <w:t>1</w:t>
      </w:r>
      <w:r>
        <w:t xml:space="preserve">Auf den Konzernabschluß und den Konzernlagebericht sind die Vorschriften des Zweiten Unterabschnitts des Zweiten Abschnitts über den Konzernabschluß und den Konzernlagebericht und, soweit die Eigenart des Konzernabschlusses keine Abweichungen bedingt, die </w:t>
      </w:r>
      <w:hyperlink w:anchor="b422" w:history="1">
        <w:r>
          <w:rPr>
            <w:color w:val="0A3A8C"/>
            <w:u w:val="single"/>
          </w:rPr>
          <w:t xml:space="preserve">§§ 341a</w:t>
        </w:r>
      </w:hyperlink>
      <w:r>
        <w:t xml:space="preserve"> bis </w:t>
      </w:r>
      <w:hyperlink w:anchor="b431" w:history="1">
        <w:r>
          <w:rPr>
            <w:color w:val="0A3A8C"/>
            <w:u w:val="single"/>
          </w:rPr>
          <w:t xml:space="preserve">341h</w:t>
        </w:r>
      </w:hyperlink>
      <w:r>
        <w:t xml:space="preserve"> über den Jahresabschluß sowie die für die Rechtsform und den Geschäftszweig der in den Konzernabschluß einbezogenen Unternehmen mit Sitz im Geltungsbereich dieses Gesetzes geltenden Vorschriften entsprechend anzuwenden, soweit sie für große Kapitalgesellschaften gelten. </w:t>
      </w:r>
      <w:r>
        <w:rPr>
          <w:rStyle w:val="Satznummer"/>
        </w:rPr>
        <w:t>2</w:t>
      </w:r>
      <w:r>
        <w:t xml:space="preserve">Die </w:t>
      </w:r>
      <w:hyperlink w:anchor="b310" w:history="1">
        <w:r>
          <w:rPr>
            <w:color w:val="0A3A8C"/>
            <w:u w:val="single"/>
          </w:rPr>
          <w:t xml:space="preserve">§§ 293</w:t>
        </w:r>
      </w:hyperlink>
      <w:r>
        <w:t xml:space="preserve">, </w:t>
      </w:r>
      <w:hyperlink w:anchor="b317" w:history="1">
        <w:r>
          <w:rPr>
            <w:color w:val="0A3A8C"/>
            <w:u w:val="single"/>
          </w:rPr>
          <w:t xml:space="preserve">298</w:t>
        </w:r>
      </w:hyperlink>
      <w:r>
        <w:t xml:space="preserve"> Absatz 1 sowie </w:t>
      </w:r>
      <w:hyperlink w:anchor="b339" w:history="1">
        <w:r>
          <w:rPr>
            <w:color w:val="0A3A8C"/>
            <w:u w:val="single"/>
          </w:rPr>
          <w:t xml:space="preserve">§ 314</w:t>
        </w:r>
      </w:hyperlink>
      <w:r>
        <w:t xml:space="preserve"> Absatz 1 Nummer 3 und 23 sind nicht anzuwenden. </w:t>
      </w:r>
      <w:r>
        <w:rPr>
          <w:rStyle w:val="Satznummer"/>
        </w:rPr>
        <w:t>3</w:t>
      </w:r>
      <w:hyperlink w:anchor="b339" w:history="1">
        <w:r>
          <w:rPr>
            <w:color w:val="0A3A8C"/>
            <w:u w:val="single"/>
          </w:rPr>
          <w:t xml:space="preserve">§ 314</w:t>
        </w:r>
      </w:hyperlink>
      <w:r>
        <w:t xml:space="preserve"> Abs. 1 Nr. 2a gilt mit der Maßgabe, daß die Angaben für solche finanzielle Verpflichtungen nicht zu machen sind, die im Rahmen des Versicherungsgeschäfts entstehen. </w:t>
      </w:r>
      <w:r>
        <w:rPr>
          <w:rStyle w:val="Satznummer"/>
        </w:rPr>
        <w:t>4</w:t>
      </w:r>
      <w:r>
        <w:t xml:space="preserve">In den Fällen des </w:t>
      </w:r>
      <w:hyperlink w:anchor="b347" w:history="1">
        <w:r>
          <w:rPr>
            <w:color w:val="0A3A8C"/>
            <w:u w:val="single"/>
          </w:rPr>
          <w:t xml:space="preserve">§ 315e</w:t>
        </w:r>
      </w:hyperlink>
      <w:r>
        <w:t xml:space="preserve"> Abs. 1 finden abweichend von Satz 1 nur die §§ 290 bis 292, 315e Anwendung; die Sätze 2 und 3 dieses Absatzes und Absatz 2, </w:t>
      </w:r>
      <w:hyperlink w:anchor="b433" w:history="1">
        <w:r>
          <w:rPr>
            <w:color w:val="0A3A8C"/>
            <w:u w:val="single"/>
          </w:rPr>
          <w:t xml:space="preserve">§ 341i</w:t>
        </w:r>
      </w:hyperlink>
      <w:r>
        <w:t xml:space="preserve"> Abs. 3 Satz 2 sowie die Bestimmungen der Versicherungsunternehmens-Rechnungslegungsverordnung vom 8. November 1994 (BGBl. I S. 3378) und der Pensionsfonds-Rechnungslegungsverordnung vom 25. Februar 2003 (BGBl. I S. 246) in ihren jeweils geltenden Fassungen sind nicht anzuwenden.</w:t>
      </w:r>
    </w:p>
    <w:p>
      <w:r>
        <w:t xml:space="preserve">(2) </w:t>
      </w:r>
      <w:hyperlink w:anchor="b324" w:history="1">
        <w:r>
          <w:rPr>
            <w:color w:val="0A3A8C"/>
            <w:u w:val="single"/>
          </w:rPr>
          <w:t xml:space="preserve">§ 304</w:t>
        </w:r>
      </w:hyperlink>
      <w:r>
        <w:t xml:space="preserve"> Abs. 1 braucht nicht angewendet zu werden, wenn die Lieferungen oder Leistungen zu üblichen Marktbedingungen vorgenommen worden sind und Rechtsansprüche der Versicherungsnehmer begründet haben.</w:t>
      </w:r>
    </w:p>
    <w:p>
      <w:r>
        <w:t>(3) Auf Versicherungsunternehmen, die nicht Aktiengesellschaften, Kommanditgesellschaften auf Aktien oder kleinere Vereine sind, ist § 170 Abs. 1 und 3 des Aktiengesetzes entsprechend anzuwenden.</w:t>
      </w:r>
    </w:p>
    <w:p>
      <w:r>
        <w:t xml:space="preserve">(4) </w:t>
      </w:r>
      <w:r>
        <w:rPr>
          <w:rStyle w:val="Satznummer"/>
        </w:rPr>
        <w:t>1</w:t>
      </w:r>
      <w:r>
        <w:t>Ein Versicherungsunternehmen, das ein Mutterunternehmen (</w:t>
      </w:r>
      <w:hyperlink w:anchor="b306" w:history="1">
        <w:r>
          <w:rPr>
            <w:color w:val="0A3A8C"/>
            <w:u w:val="single"/>
          </w:rPr>
          <w:t xml:space="preserve">§ 290</w:t>
        </w:r>
      </w:hyperlink>
      <w:r>
        <w:t>) ist, hat den Konzernlagebericht um eine nichtfinanzielle Konzernerklärung zu erweitern, wenn auf die in den Konzernabschluss einzubeziehenden Unternehmen die folgenden Merkmale zutreffen:</w:t>
      </w:r>
    </w:p>
    <w:p>
      <w:pPr>
        <w:tabs>
          <w:tab w:pos="567" w:val="left"/>
        </w:tabs>
        <w:ind w:left="567" w:hanging="567"/>
      </w:pPr>
      <w:r>
        <w:t>1.</w:t>
      </w:r>
      <w:r>
        <w:tab/>
      </w:r>
      <w:r>
        <w:t xml:space="preserve">sie erfüllen die in </w:t>
      </w:r>
      <w:hyperlink w:anchor="b310" w:history="1">
        <w:r>
          <w:rPr>
            <w:color w:val="0A3A8C"/>
            <w:u w:val="single"/>
          </w:rPr>
          <w:t xml:space="preserve">§ 293</w:t>
        </w:r>
      </w:hyperlink>
      <w:r>
        <w:t xml:space="preserve"> Absatz 1 Satz 1 Nummer 1 oder 2 geregelten Voraussetzungen für eine größenabhängige Befreiung nicht und</w:t>
      </w:r>
    </w:p>
    <w:p>
      <w:pPr>
        <w:tabs>
          <w:tab w:pos="567" w:val="left"/>
        </w:tabs>
        <w:ind w:left="567" w:hanging="567"/>
      </w:pPr>
      <w:r>
        <w:t>2.</w:t>
      </w:r>
      <w:r>
        <w:tab/>
      </w:r>
      <w:r>
        <w:t>bei ihnen sind insgesamt im Jahresdurchschnitt mehr als 500 Arbeitnehmer beschäftigt.</w:t>
      </w:r>
    </w:p>
    <w:p>
      <w:r>
        <w:rPr>
          <w:rStyle w:val="Satznummer"/>
        </w:rPr>
        <w:t>2</w:t>
      </w:r>
      <w:hyperlink w:anchor="b273" w:history="1">
        <w:r>
          <w:rPr>
            <w:color w:val="0A3A8C"/>
            <w:u w:val="single"/>
          </w:rPr>
          <w:t xml:space="preserve">§ 267</w:t>
        </w:r>
      </w:hyperlink>
      <w:r>
        <w:t xml:space="preserve"> Absatz 4 bis 5, </w:t>
      </w:r>
      <w:hyperlink w:anchor="b317" w:history="1">
        <w:r>
          <w:rPr>
            <w:color w:val="0A3A8C"/>
            <w:u w:val="single"/>
          </w:rPr>
          <w:t xml:space="preserve">§ 298</w:t>
        </w:r>
      </w:hyperlink>
      <w:r>
        <w:t xml:space="preserve"> Absatz 2, </w:t>
      </w:r>
      <w:hyperlink w:anchor="b343" w:history="1">
        <w:r>
          <w:rPr>
            <w:color w:val="0A3A8C"/>
            <w:u w:val="single"/>
          </w:rPr>
          <w:t xml:space="preserve">§ 315b</w:t>
        </w:r>
      </w:hyperlink>
      <w:r>
        <w:t xml:space="preserve"> Absatz 2 bis 4 und </w:t>
      </w:r>
      <w:hyperlink w:anchor="b344" w:history="1">
        <w:r>
          <w:rPr>
            <w:color w:val="0A3A8C"/>
            <w:u w:val="single"/>
          </w:rPr>
          <w:t xml:space="preserve">§ 315c</w:t>
        </w:r>
      </w:hyperlink>
      <w:r>
        <w:t xml:space="preserve"> sind entsprechend anzuwenden. </w:t>
      </w:r>
      <w:r>
        <w:rPr>
          <w:rStyle w:val="Satznummer"/>
        </w:rPr>
        <w:t>3</w:t>
      </w:r>
      <w:r>
        <w:t>Wenn die nichtfinanzielle Erklärung einen besonderen Abschnitt des Konzernlageberichts bildet, darf das Versicherungsunternehmen auf die an anderer Stelle im Konzernlagebericht enthaltenen nichtfinanziellen Angaben verweisen.</w:t>
      </w:r>
    </w:p>
    <w:p>
      <w:r>
        <w:t xml:space="preserve">(5) Ein Versicherungsunternehmen, das nach Absatz 1 in Verbindung mit </w:t>
      </w:r>
      <w:hyperlink w:anchor="b345" w:history="1">
        <w:r>
          <w:rPr>
            <w:color w:val="0A3A8C"/>
            <w:u w:val="single"/>
          </w:rPr>
          <w:t xml:space="preserve">§ 315d</w:t>
        </w:r>
      </w:hyperlink>
      <w:r>
        <w:t xml:space="preserve"> eine Konzernerklärung zur Unternehmensführung zu erstellen hat, hat darin Angaben nach </w:t>
      </w:r>
      <w:hyperlink w:anchor="b345" w:history="1">
        <w:r>
          <w:rPr>
            <w:color w:val="0A3A8C"/>
            <w:u w:val="single"/>
          </w:rPr>
          <w:t xml:space="preserve">§ 315d</w:t>
        </w:r>
      </w:hyperlink>
      <w:r>
        <w:t xml:space="preserve"> in Verbindung mit </w:t>
      </w:r>
      <w:hyperlink w:anchor="b303" w:history="1">
        <w:r>
          <w:rPr>
            <w:color w:val="0A3A8C"/>
            <w:u w:val="single"/>
          </w:rPr>
          <w:t xml:space="preserve">§ 289f</w:t>
        </w:r>
      </w:hyperlink>
      <w:r>
        <w:t xml:space="preserve"> Absatz 2 Nummer 6 aufzunehmen, wenn die in den Konzernabschluss einzubeziehenden Unternehmen die in </w:t>
      </w:r>
      <w:hyperlink w:anchor="b310" w:history="1">
        <w:r>
          <w:rPr>
            <w:color w:val="0A3A8C"/>
            <w:u w:val="single"/>
          </w:rPr>
          <w:t xml:space="preserve">§ 293</w:t>
        </w:r>
      </w:hyperlink>
      <w:r>
        <w:t xml:space="preserve"> Absatz 1 Satz 1 Nummer 1 oder 2 geregelten Voraussetzungen für eine Befreiung nicht erfüllen.</w:t>
      </w:r>
    </w:p>
    <w:p>
      <w:pPr>
        <w:pStyle w:val="Heading4"/>
      </w:pPr>
      <w:bookmarkStart w:id="436" w:name="b435"/>
      <w:r>
        <w:t>Sechster Titel Prüfung</w:t>
      </w:r>
      <w:bookmarkEnd w:id="436"/>
    </w:p>
    <w:p>
      <w:pPr>
        <w:pStyle w:val="Heading5"/>
      </w:pPr>
      <w:bookmarkStart w:id="437" w:name="b436"/>
      <w:r>
        <w:t>§ 341k</w:t>
      </w:r>
      <w:r>
        <w:t xml:space="preserve"> </w:t>
      </w:r>
      <w:r>
        <w:rPr>
          <w:rStyle w:val="Suchmarke"/>
        </w:rPr>
        <w:t>#341k#</w:t>
      </w:r>
      <w:bookmarkEnd w:id="437"/>
    </w:p>
    <w:p>
      <w:r>
        <w:t xml:space="preserve">(1) </w:t>
      </w:r>
      <w:r>
        <w:rPr>
          <w:rStyle w:val="Satznummer"/>
        </w:rPr>
        <w:t>1</w:t>
      </w:r>
      <w:r>
        <w:t xml:space="preserve">Versicherungsunternehmen haben unabhängig von ihrer Größe ihren Jahresabschluß und Lagebericht sowie ihren Konzernabschluß und Konzernlagebericht nach den Vorschriften des Dritten Unterabschnitts des Zweiten Abschnitts prüfen zu lassen. </w:t>
      </w:r>
      <w:r>
        <w:rPr>
          <w:rStyle w:val="Satznummer"/>
        </w:rPr>
        <w:t>2</w:t>
      </w:r>
      <w:hyperlink w:anchor="b353" w:history="1">
        <w:r>
          <w:rPr>
            <w:color w:val="0A3A8C"/>
            <w:u w:val="single"/>
          </w:rPr>
          <w:t xml:space="preserve">§ 319</w:t>
        </w:r>
      </w:hyperlink>
      <w:r>
        <w:t xml:space="preserve"> Absatz 1 Satz 2 ist nicht anzuwenden. </w:t>
      </w:r>
      <w:r>
        <w:rPr>
          <w:rStyle w:val="Satznummer"/>
        </w:rPr>
        <w:t>3</w:t>
      </w:r>
      <w:r>
        <w:t xml:space="preserve">Hat keine Prüfung stattgefunden, so kann der Jahresabschluß nicht festgestellt werden. </w:t>
      </w:r>
      <w:r>
        <w:rPr>
          <w:rStyle w:val="Satznummer"/>
        </w:rPr>
        <w:t>4</w:t>
      </w:r>
      <w:r>
        <w:t xml:space="preserve">Die Vorschriften des Dritten Unterabschnitts des Zweiten Abschnitts sind auf Versicherungsunternehmen, die Unternehmen von öffentlichem Interesse nach </w:t>
      </w:r>
      <w:hyperlink w:anchor="b350" w:history="1">
        <w:r>
          <w:rPr>
            <w:color w:val="0A3A8C"/>
            <w:u w:val="single"/>
          </w:rPr>
          <w:t xml:space="preserve">§ 316a</w:t>
        </w:r>
      </w:hyperlink>
      <w:r>
        <w:t xml:space="preserve"> Satz 2 Nummer 1 oder 3 sind, nur insoweit anzuwenden, als nicht die Verordnung (EU) Nr. 537/2014 anzuwenden ist.</w:t>
      </w:r>
    </w:p>
    <w:p>
      <w:r>
        <w:t xml:space="preserve">(2) In den Fällen des </w:t>
      </w:r>
      <w:hyperlink w:anchor="b357" w:history="1">
        <w:r>
          <w:rPr>
            <w:color w:val="0A3A8C"/>
            <w:u w:val="single"/>
          </w:rPr>
          <w:t xml:space="preserve">§ 321</w:t>
        </w:r>
      </w:hyperlink>
      <w:r>
        <w:t xml:space="preserve"> Abs. 1 Satz 3 hat der Abschlußprüfer die Aufsichtsbehörde unverzüglich zu unterrichten.</w:t>
      </w:r>
    </w:p>
    <w:p>
      <w:r>
        <w:t xml:space="preserve">(3) </w:t>
      </w:r>
      <w:r>
        <w:rPr>
          <w:rStyle w:val="Satznummer"/>
        </w:rPr>
        <w:t>1</w:t>
      </w:r>
      <w:r>
        <w:t xml:space="preserve">Versicherungsunternehmen, die Unternehmen von öffentlichem Interesse nach </w:t>
      </w:r>
      <w:hyperlink w:anchor="b350" w:history="1">
        <w:r>
          <w:rPr>
            <w:color w:val="0A3A8C"/>
            <w:u w:val="single"/>
          </w:rPr>
          <w:t xml:space="preserve">§ 316a</w:t>
        </w:r>
      </w:hyperlink>
      <w:r>
        <w:t xml:space="preserve"> Satz 2 Nummer 1 oder 3 sind und keinen Aufsichts- oder Verwaltungsrat haben, der die Voraussetzungen des § 100 Absatz 5 des Aktiengesetzes erfüllen muss, haben </w:t>
      </w:r>
      <w:hyperlink w:anchor="b361" w:history="1">
        <w:r>
          <w:rPr>
            <w:color w:val="0A3A8C"/>
            <w:u w:val="single"/>
          </w:rPr>
          <w:t xml:space="preserve">§ 324</w:t>
        </w:r>
      </w:hyperlink>
      <w:r>
        <w:t xml:space="preserve"> anzuwenden, auch wenn sie nicht in der Rechtsform einer Kapitalgesellschaft betrieben werden. </w:t>
      </w:r>
      <w:r>
        <w:rPr>
          <w:rStyle w:val="Satznummer"/>
        </w:rPr>
        <w:t>2</w:t>
      </w:r>
      <w:r>
        <w:t xml:space="preserve">Dies gilt für landesrechtliche öffentlich-rechtliche Versicherungsunternehmen nur, soweit das Landesrecht nichts anderes vorsieht. </w:t>
      </w:r>
      <w:r>
        <w:rPr>
          <w:rStyle w:val="Satznummer"/>
        </w:rPr>
        <w:t>3</w:t>
      </w:r>
      <w:hyperlink w:anchor="b361" w:history="1">
        <w:r>
          <w:rPr>
            <w:color w:val="0A3A8C"/>
            <w:u w:val="single"/>
          </w:rPr>
          <w:t xml:space="preserve">§ 324</w:t>
        </w:r>
      </w:hyperlink>
      <w:r>
        <w:t xml:space="preserve"> Absatz 3 ist auf Versicherungsunternehmen anzuwenden, auch wenn sie nicht in der Rechtsform einer Kapitalgesellschaft betrieben werden.</w:t>
      </w:r>
    </w:p>
    <w:p>
      <w:pPr>
        <w:pStyle w:val="Heading4"/>
      </w:pPr>
      <w:bookmarkStart w:id="438" w:name="b437"/>
      <w:r>
        <w:t>Siebenter Titel Offenlegung</w:t>
      </w:r>
      <w:bookmarkEnd w:id="438"/>
    </w:p>
    <w:p>
      <w:pPr>
        <w:pStyle w:val="Heading5"/>
      </w:pPr>
      <w:bookmarkStart w:id="439" w:name="b438"/>
      <w:r>
        <w:t>§ 341l</w:t>
      </w:r>
      <w:r>
        <w:t xml:space="preserve"> </w:t>
      </w:r>
      <w:r>
        <w:rPr>
          <w:rStyle w:val="Suchmarke"/>
        </w:rPr>
        <w:t>#341l#</w:t>
      </w:r>
      <w:bookmarkEnd w:id="439"/>
    </w:p>
    <w:p>
      <w:r>
        <w:t xml:space="preserve">(1) </w:t>
      </w:r>
      <w:r>
        <w:rPr>
          <w:rStyle w:val="Satznummer"/>
        </w:rPr>
        <w:t>1</w:t>
      </w:r>
      <w:r>
        <w:t xml:space="preserve">Versicherungsunternehmen haben den Jahresabschluß und den Lagebericht sowie den Konzernabschluß und den Konzernlagebericht und die anderen in </w:t>
      </w:r>
      <w:hyperlink w:anchor="b364" w:history="1">
        <w:r>
          <w:rPr>
            <w:color w:val="0A3A8C"/>
            <w:u w:val="single"/>
          </w:rPr>
          <w:t xml:space="preserve">§ 325</w:t>
        </w:r>
      </w:hyperlink>
      <w:r>
        <w:t xml:space="preserve"> bezeichneten Unterlagen, sofern sie zu erstellen sind, in deutscher Sprache nach </w:t>
      </w:r>
      <w:hyperlink w:anchor="b364" w:history="1">
        <w:r>
          <w:rPr>
            <w:color w:val="0A3A8C"/>
            <w:u w:val="single"/>
          </w:rPr>
          <w:t xml:space="preserve">§ 325</w:t>
        </w:r>
      </w:hyperlink>
      <w:r>
        <w:t xml:space="preserve"> Absatz 1 Satz 2 und Absatz 1a bis 5 sowie den </w:t>
      </w:r>
      <w:hyperlink w:anchor="b368" w:history="1">
        <w:r>
          <w:rPr>
            <w:color w:val="0A3A8C"/>
            <w:u w:val="single"/>
          </w:rPr>
          <w:t xml:space="preserve">§§ 327a</w:t>
        </w:r>
      </w:hyperlink>
      <w:r>
        <w:t xml:space="preserve"> und </w:t>
      </w:r>
      <w:hyperlink w:anchor="b369" w:history="1">
        <w:r>
          <w:rPr>
            <w:color w:val="0A3A8C"/>
            <w:u w:val="single"/>
          </w:rPr>
          <w:t xml:space="preserve">328</w:t>
        </w:r>
      </w:hyperlink>
      <w:r>
        <w:t xml:space="preserve"> offenzulegen; </w:t>
      </w:r>
      <w:hyperlink w:anchor="b370" w:history="1">
        <w:r>
          <w:rPr>
            <w:color w:val="0A3A8C"/>
            <w:u w:val="single"/>
          </w:rPr>
          <w:t xml:space="preserve">§ 329</w:t>
        </w:r>
      </w:hyperlink>
      <w:r>
        <w:t xml:space="preserve"> Absatz 1, 2 und 4 ist entsprechend anzuwenden. </w:t>
      </w:r>
      <w:r>
        <w:rPr>
          <w:rStyle w:val="Satznummer"/>
        </w:rPr>
        <w:t>2</w:t>
      </w:r>
      <w:r>
        <w:t xml:space="preserve">Von einem in </w:t>
      </w:r>
      <w:hyperlink w:anchor="b422" w:history="1">
        <w:r>
          <w:rPr>
            <w:color w:val="0A3A8C"/>
            <w:u w:val="single"/>
          </w:rPr>
          <w:t xml:space="preserve">§ 341a</w:t>
        </w:r>
      </w:hyperlink>
      <w:r>
        <w:t xml:space="preserve"> Absatz 5 Satz 1 genannten Versicherungsunternehmen ist Satz 1 mit der Maßgabe anzuwenden, dass die Frist zur Offenlegung 15 Monate beträgt, es sei denn, das Versicherungsunternehmen ist kapitalmarktorientiert im Sinne des </w:t>
      </w:r>
      <w:hyperlink w:anchor="b269" w:history="1">
        <w:r>
          <w:rPr>
            <w:color w:val="0A3A8C"/>
            <w:u w:val="single"/>
          </w:rPr>
          <w:t xml:space="preserve">§ 264d</w:t>
        </w:r>
      </w:hyperlink>
      <w:r>
        <w:t xml:space="preserve"> und begibt nicht ausschließlich die von </w:t>
      </w:r>
      <w:hyperlink w:anchor="b368" w:history="1">
        <w:r>
          <w:rPr>
            <w:color w:val="0A3A8C"/>
            <w:u w:val="single"/>
          </w:rPr>
          <w:t xml:space="preserve">§ 327a</w:t>
        </w:r>
      </w:hyperlink>
      <w:r>
        <w:t xml:space="preserve"> erfassten Schuldtitel; in diesem Fall beträgt die Frist zur Offenlegung gemäß Satz 1 in Verbindung mit </w:t>
      </w:r>
      <w:hyperlink w:anchor="b364" w:history="1">
        <w:r>
          <w:rPr>
            <w:color w:val="0A3A8C"/>
            <w:u w:val="single"/>
          </w:rPr>
          <w:t xml:space="preserve">§ 325</w:t>
        </w:r>
      </w:hyperlink>
      <w:r>
        <w:t xml:space="preserve"> Absatz 4 Satz 1 vier Monate.</w:t>
      </w:r>
    </w:p>
    <w:p>
      <w:r>
        <w:t xml:space="preserve">(2) Soweit Absatz 1 Satz 1 auf </w:t>
      </w:r>
      <w:hyperlink w:anchor="b364" w:history="1">
        <w:r>
          <w:rPr>
            <w:color w:val="0A3A8C"/>
            <w:u w:val="single"/>
          </w:rPr>
          <w:t xml:space="preserve">§ 325</w:t>
        </w:r>
      </w:hyperlink>
      <w:r>
        <w:t xml:space="preserve"> Abs. 2a Satz 3 und 5 verweist, gelten die folgenden Maßgaben und ergänzenden Bestimmungen:</w:t>
      </w:r>
    </w:p>
    <w:p>
      <w:pPr>
        <w:tabs>
          <w:tab w:pos="567" w:val="left"/>
        </w:tabs>
        <w:ind w:left="567" w:hanging="567"/>
      </w:pPr>
      <w:r>
        <w:t>1.</w:t>
      </w:r>
      <w:r>
        <w:tab/>
      </w:r>
      <w:r>
        <w:t xml:space="preserve">Die in </w:t>
      </w:r>
      <w:hyperlink w:anchor="b364" w:history="1">
        <w:r>
          <w:rPr>
            <w:color w:val="0A3A8C"/>
            <w:u w:val="single"/>
          </w:rPr>
          <w:t xml:space="preserve">§ 325</w:t>
        </w:r>
      </w:hyperlink>
      <w:r>
        <w:t xml:space="preserve"> Abs. 2a Satz 3 genannten Vorschriften des Ersten Unterabschnitts des Zweiten Abschnitts des Dritten Buchs sind auch auf Versicherungsunternehmen anzuwenden, die nicht in der Rechtsform einer Kapitalgesellschaft betrieben werden.</w:t>
      </w:r>
    </w:p>
    <w:p>
      <w:pPr>
        <w:tabs>
          <w:tab w:pos="567" w:val="left"/>
        </w:tabs>
        <w:ind w:left="567" w:hanging="567"/>
      </w:pPr>
      <w:r>
        <w:t>2.</w:t>
      </w:r>
      <w:r>
        <w:tab/>
      </w:r>
      <w:r>
        <w:t xml:space="preserve">An Stelle des § 285 Nr. 8 Buchstabe b gilt die Vorschrift des </w:t>
      </w:r>
      <w:hyperlink w:anchor="b63" w:history="1">
        <w:r>
          <w:rPr>
            <w:color w:val="0A3A8C"/>
            <w:u w:val="single"/>
          </w:rPr>
          <w:t xml:space="preserve">§ 51</w:t>
        </w:r>
      </w:hyperlink>
      <w:r>
        <w:t xml:space="preserve"> Abs. 5 in Verbindung mit Muster 2 der Versicherungsunternehmens-Rechnungslegungsverordnung vom 8. November 1994 (BGBl. I S. 3378) in der jeweils geltenden Fassung.</w:t>
      </w:r>
    </w:p>
    <w:p>
      <w:pPr>
        <w:tabs>
          <w:tab w:pos="567" w:val="left"/>
        </w:tabs>
        <w:ind w:left="567" w:hanging="567"/>
      </w:pPr>
      <w:r>
        <w:t>3.</w:t>
      </w:r>
      <w:r>
        <w:tab/>
      </w:r>
      <w:hyperlink w:anchor="b422" w:history="1">
        <w:r>
          <w:rPr>
            <w:color w:val="0A3A8C"/>
            <w:u w:val="single"/>
          </w:rPr>
          <w:t xml:space="preserve">§ 341a</w:t>
        </w:r>
      </w:hyperlink>
      <w:r>
        <w:t xml:space="preserve"> Abs. 4 ist anzuwenden, soweit er auf die Bestimmungen der §§ 170, 171 und 175 des Aktiengesetzes über den Einzelabschluss nach </w:t>
      </w:r>
      <w:hyperlink w:anchor="b364" w:history="1">
        <w:r>
          <w:rPr>
            <w:color w:val="0A3A8C"/>
            <w:u w:val="single"/>
          </w:rPr>
          <w:t xml:space="preserve">§ 325</w:t>
        </w:r>
      </w:hyperlink>
      <w:r>
        <w:t xml:space="preserve"> Abs. 2a dieses Gesetzes verweist.</w:t>
      </w:r>
    </w:p>
    <w:p>
      <w:pPr>
        <w:tabs>
          <w:tab w:pos="567" w:val="left"/>
        </w:tabs>
        <w:ind w:left="567" w:hanging="567"/>
      </w:pPr>
      <w:r>
        <w:t>4.</w:t>
      </w:r>
      <w:r>
        <w:tab/>
      </w:r>
      <w:r>
        <w:t>Im Übrigen finden die Bestimmungen des Zweiten bis Vierten Titels dieses Unterabschnitts sowie der Versicherungsunternehmens-Rechnungslegungsverordnung keine Anwendung.</w:t>
      </w:r>
    </w:p>
    <w:p>
      <w:pPr>
        <w:pStyle w:val="Heading4"/>
      </w:pPr>
      <w:bookmarkStart w:id="440" w:name="b439"/>
      <w:r>
        <w:t>Achter Titel Straf- und Bußgeldvorschriften, Ordnungsgelder</w:t>
      </w:r>
      <w:bookmarkEnd w:id="440"/>
    </w:p>
    <w:p>
      <w:pPr>
        <w:pStyle w:val="Heading5"/>
      </w:pPr>
      <w:bookmarkStart w:id="441" w:name="b440"/>
      <w:r>
        <w:t>§ 341m Strafvorschriften</w:t>
      </w:r>
      <w:r>
        <w:t xml:space="preserve"> </w:t>
      </w:r>
      <w:r>
        <w:rPr>
          <w:rStyle w:val="Suchmarke"/>
        </w:rPr>
        <w:t>#341m#</w:t>
      </w:r>
      <w:bookmarkEnd w:id="441"/>
    </w:p>
    <w:p>
      <w:r>
        <w:t xml:space="preserve">(1) </w:t>
      </w:r>
      <w:r>
        <w:rPr>
          <w:rStyle w:val="Satznummer"/>
        </w:rPr>
        <w:t>1</w:t>
      </w:r>
      <w:r>
        <w:t xml:space="preserve">Die Strafvorschriften der </w:t>
      </w:r>
      <w:hyperlink w:anchor="b375" w:history="1">
        <w:r>
          <w:rPr>
            <w:color w:val="0A3A8C"/>
            <w:u w:val="single"/>
          </w:rPr>
          <w:t xml:space="preserve">§§ 331</w:t>
        </w:r>
      </w:hyperlink>
      <w:r>
        <w:t xml:space="preserve"> bis </w:t>
      </w:r>
      <w:hyperlink w:anchor="b378" w:history="1">
        <w:r>
          <w:rPr>
            <w:color w:val="0A3A8C"/>
            <w:u w:val="single"/>
          </w:rPr>
          <w:t xml:space="preserve">333</w:t>
        </w:r>
      </w:hyperlink>
      <w:r>
        <w:t xml:space="preserve"> sind auch auf nicht in der Rechtsform einer Kapitalgesellschaft betriebene Versicherungsunternehmen und Pensionsfonds anzuwenden. </w:t>
      </w:r>
      <w:r>
        <w:rPr>
          <w:rStyle w:val="Satznummer"/>
        </w:rPr>
        <w:t>2</w:t>
      </w:r>
      <w:hyperlink w:anchor="b375" w:history="1">
        <w:r>
          <w:rPr>
            <w:color w:val="0A3A8C"/>
            <w:u w:val="single"/>
          </w:rPr>
          <w:t xml:space="preserve">§ 331</w:t>
        </w:r>
      </w:hyperlink>
      <w:r>
        <w:t xml:space="preserve"> ist darüber hinaus auch anzuwenden auf die Verletzung von Pflichten durch den Hauptbevollmächtigten (§ 68 Absatz 2 des Versicherungsaufsichtsgesetzes).</w:t>
      </w:r>
    </w:p>
    <w:p>
      <w:r>
        <w:t xml:space="preserve">(2) Mit Freiheitsstrafe bis zu einem Jahr oder mit Geldstrafe wird bestraft, wer als Mitglied eines nach </w:t>
      </w:r>
      <w:hyperlink w:anchor="b436" w:history="1">
        <w:r>
          <w:rPr>
            <w:color w:val="0A3A8C"/>
            <w:u w:val="single"/>
          </w:rPr>
          <w:t xml:space="preserve">§ 341k</w:t>
        </w:r>
      </w:hyperlink>
      <w:r>
        <w:t xml:space="preserve"> Absatz 3 Satz 1 in Verbindung mit </w:t>
      </w:r>
      <w:hyperlink w:anchor="b361" w:history="1">
        <w:r>
          <w:rPr>
            <w:color w:val="0A3A8C"/>
            <w:u w:val="single"/>
          </w:rPr>
          <w:t xml:space="preserve">§ 324</w:t>
        </w:r>
      </w:hyperlink>
      <w:r>
        <w:t xml:space="preserve"> Absatz 1 Satz 1 eingerichteten Prüfungsausschusses eines Versicherungsunternehmens</w:t>
      </w:r>
    </w:p>
    <w:p>
      <w:pPr>
        <w:tabs>
          <w:tab w:pos="567" w:val="left"/>
        </w:tabs>
        <w:ind w:left="567" w:hanging="567"/>
      </w:pPr>
      <w:r>
        <w:t>1.</w:t>
      </w:r>
      <w:r>
        <w:tab/>
      </w:r>
      <w:r>
        <w:t xml:space="preserve">eine in </w:t>
      </w:r>
      <w:hyperlink w:anchor="b441" w:history="1">
        <w:r>
          <w:rPr>
            <w:color w:val="0A3A8C"/>
            <w:u w:val="single"/>
          </w:rPr>
          <w:t xml:space="preserve">§ 341n</w:t>
        </w:r>
      </w:hyperlink>
      <w:r>
        <w:t xml:space="preserve"> Absatz 2a bezeichnete Handlung begeht und dafür einen Vermögensvorteil erhält oder sich versprechen lässt oder</w:t>
      </w:r>
    </w:p>
    <w:p>
      <w:pPr>
        <w:tabs>
          <w:tab w:pos="567" w:val="left"/>
        </w:tabs>
        <w:ind w:left="567" w:hanging="567"/>
      </w:pPr>
      <w:r>
        <w:t>2.</w:t>
      </w:r>
      <w:r>
        <w:tab/>
      </w:r>
      <w:r>
        <w:t xml:space="preserve">eine in </w:t>
      </w:r>
      <w:hyperlink w:anchor="b441" w:history="1">
        <w:r>
          <w:rPr>
            <w:color w:val="0A3A8C"/>
            <w:u w:val="single"/>
          </w:rPr>
          <w:t xml:space="preserve">§ 341n</w:t>
        </w:r>
      </w:hyperlink>
      <w:r>
        <w:t xml:space="preserve"> Absatz 2a bezeichnete Handlung beharrlich wiederholt.</w:t>
      </w:r>
    </w:p>
    <w:p>
      <w:r>
        <w:t xml:space="preserve">(3) </w:t>
      </w:r>
      <w:hyperlink w:anchor="b386" w:history="1">
        <w:r>
          <w:rPr>
            <w:color w:val="0A3A8C"/>
            <w:u w:val="single"/>
          </w:rPr>
          <w:t xml:space="preserve">§ 335c</w:t>
        </w:r>
      </w:hyperlink>
      <w:r>
        <w:t xml:space="preserve"> Absatz 2 gilt in den Fällen des Absatzes 1 Satz 1 in Verbindung mit </w:t>
      </w:r>
      <w:hyperlink w:anchor="b377" w:history="1">
        <w:r>
          <w:rPr>
            <w:color w:val="0A3A8C"/>
            <w:u w:val="single"/>
          </w:rPr>
          <w:t xml:space="preserve">§ 332</w:t>
        </w:r>
      </w:hyperlink>
      <w:r>
        <w:t xml:space="preserve"> oder </w:t>
      </w:r>
      <w:hyperlink w:anchor="b378" w:history="1">
        <w:r>
          <w:rPr>
            <w:color w:val="0A3A8C"/>
            <w:u w:val="single"/>
          </w:rPr>
          <w:t xml:space="preserve">§ 333</w:t>
        </w:r>
      </w:hyperlink>
      <w:r>
        <w:t xml:space="preserve"> und des Absatzes 2 entsprechend.</w:t>
      </w:r>
    </w:p>
    <w:p>
      <w:pPr>
        <w:pStyle w:val="Heading5"/>
      </w:pPr>
      <w:bookmarkStart w:id="442" w:name="b441"/>
      <w:r>
        <w:t>§ 341n Bußgeldvorschriften</w:t>
      </w:r>
      <w:r>
        <w:t xml:space="preserve"> </w:t>
      </w:r>
      <w:r>
        <w:rPr>
          <w:rStyle w:val="Suchmarke"/>
        </w:rPr>
        <w:t>#341n#</w:t>
      </w:r>
      <w:bookmarkEnd w:id="442"/>
    </w:p>
    <w:p>
      <w:r>
        <w:t xml:space="preserve">(1) </w:t>
      </w:r>
      <w:r>
        <w:rPr>
          <w:rStyle w:val="Satznummer"/>
        </w:rPr>
        <w:t>1</w:t>
      </w:r>
      <w:r>
        <w:t>Ordnungswidrig handelt, wer als Mitglied des vertretungsberechtigten Organs oder des Aufsichtsrats eines Versicherungsunternehmens oder eines Pensionsfonds oder als Hauptbevollmächtigter (§ 68 Absatz 2 des Versicherungsaufsichtsgesetzes)</w:t>
      </w:r>
    </w:p>
    <w:p>
      <w:pPr>
        <w:tabs>
          <w:tab w:pos="567" w:val="left"/>
        </w:tabs>
        <w:ind w:left="567" w:hanging="567"/>
      </w:pPr>
      <w:r>
        <w:t>1.</w:t>
      </w:r>
      <w:r>
        <w:tab/>
      </w:r>
      <w:r>
        <w:t>bei der Aufstellung oder Feststellung des Jahresabschlusses einer Vorschrift</w:t>
      </w:r>
    </w:p>
    <w:p>
      <w:pPr>
        <w:tabs>
          <w:tab w:pos="1134" w:val="left"/>
        </w:tabs>
        <w:ind w:left="1134" w:hanging="567"/>
      </w:pPr>
      <w:r>
        <w:t>a)</w:t>
      </w:r>
      <w:r>
        <w:tab/>
      </w:r>
      <w:r>
        <w:t xml:space="preserve">des </w:t>
      </w:r>
      <w:hyperlink w:anchor="b236" w:history="1">
        <w:r>
          <w:rPr>
            <w:color w:val="0A3A8C"/>
            <w:u w:val="single"/>
          </w:rPr>
          <w:t xml:space="preserve">§ 243</w:t>
        </w:r>
      </w:hyperlink>
      <w:r>
        <w:t xml:space="preserve"> Abs. 1 oder 2, der </w:t>
      </w:r>
      <w:hyperlink w:anchor="b237" w:history="1">
        <w:r>
          <w:rPr>
            <w:color w:val="0A3A8C"/>
            <w:u w:val="single"/>
          </w:rPr>
          <w:t xml:space="preserve">§§ 244</w:t>
        </w:r>
      </w:hyperlink>
      <w:r>
        <w:t xml:space="preserve">, </w:t>
      </w:r>
      <w:hyperlink w:anchor="b238" w:history="1">
        <w:r>
          <w:rPr>
            <w:color w:val="0A3A8C"/>
            <w:u w:val="single"/>
          </w:rPr>
          <w:t xml:space="preserve">245</w:t>
        </w:r>
      </w:hyperlink>
      <w:r>
        <w:t xml:space="preserve">, </w:t>
      </w:r>
      <w:hyperlink w:anchor="b240" w:history="1">
        <w:r>
          <w:rPr>
            <w:color w:val="0A3A8C"/>
            <w:u w:val="single"/>
          </w:rPr>
          <w:t xml:space="preserve">246</w:t>
        </w:r>
      </w:hyperlink>
      <w:r>
        <w:t xml:space="preserve"> Abs. 1 oder 2, dieser in Verbindung mit </w:t>
      </w:r>
      <w:hyperlink w:anchor="b422" w:history="1">
        <w:r>
          <w:rPr>
            <w:color w:val="0A3A8C"/>
            <w:u w:val="single"/>
          </w:rPr>
          <w:t xml:space="preserve">§ 341a</w:t>
        </w:r>
      </w:hyperlink>
      <w:r>
        <w:t xml:space="preserve"> Abs. 2 Satz 3, des </w:t>
      </w:r>
      <w:hyperlink w:anchor="b240" w:history="1">
        <w:r>
          <w:rPr>
            <w:color w:val="0A3A8C"/>
            <w:u w:val="single"/>
          </w:rPr>
          <w:t xml:space="preserve">§ 246</w:t>
        </w:r>
      </w:hyperlink>
      <w:r>
        <w:t xml:space="preserve"> Abs. 3 Satz 1, des </w:t>
      </w:r>
      <w:hyperlink w:anchor="b241" w:history="1">
        <w:r>
          <w:rPr>
            <w:color w:val="0A3A8C"/>
            <w:u w:val="single"/>
          </w:rPr>
          <w:t xml:space="preserve">§ 247</w:t>
        </w:r>
      </w:hyperlink>
      <w:r>
        <w:t xml:space="preserve"> Abs. 3, der </w:t>
      </w:r>
      <w:hyperlink w:anchor="b242" w:history="1">
        <w:r>
          <w:rPr>
            <w:color w:val="0A3A8C"/>
            <w:u w:val="single"/>
          </w:rPr>
          <w:t xml:space="preserve">§§ 248</w:t>
        </w:r>
      </w:hyperlink>
      <w:r>
        <w:t xml:space="preserve">, </w:t>
      </w:r>
      <w:hyperlink w:anchor="b243" w:history="1">
        <w:r>
          <w:rPr>
            <w:color w:val="0A3A8C"/>
            <w:u w:val="single"/>
          </w:rPr>
          <w:t xml:space="preserve">249</w:t>
        </w:r>
      </w:hyperlink>
      <w:r>
        <w:t xml:space="preserve"> Abs. 1 Satz 1 oder Abs. 2, des </w:t>
      </w:r>
      <w:hyperlink w:anchor="b244" w:history="1">
        <w:r>
          <w:rPr>
            <w:color w:val="0A3A8C"/>
            <w:u w:val="single"/>
          </w:rPr>
          <w:t xml:space="preserve">§ 250</w:t>
        </w:r>
      </w:hyperlink>
      <w:r>
        <w:t xml:space="preserve"> Abs. 1 oder Abs. 2, des </w:t>
      </w:r>
      <w:hyperlink w:anchor="b265" w:history="1">
        <w:r>
          <w:rPr>
            <w:color w:val="0A3A8C"/>
            <w:u w:val="single"/>
          </w:rPr>
          <w:t xml:space="preserve">§ 264</w:t>
        </w:r>
      </w:hyperlink>
      <w:r>
        <w:t xml:space="preserve"> Absatz 1a oder Absatz 2, des </w:t>
      </w:r>
      <w:hyperlink w:anchor="b428" w:history="1">
        <w:r>
          <w:rPr>
            <w:color w:val="0A3A8C"/>
            <w:u w:val="single"/>
          </w:rPr>
          <w:t xml:space="preserve">§ 341e</w:t>
        </w:r>
      </w:hyperlink>
      <w:r>
        <w:t xml:space="preserve"> Abs. 1 oder 2 oder der </w:t>
      </w:r>
      <w:hyperlink w:anchor="b429" w:history="1">
        <w:r>
          <w:rPr>
            <w:color w:val="0A3A8C"/>
            <w:u w:val="single"/>
          </w:rPr>
          <w:t xml:space="preserve">§§ 341f</w:t>
        </w:r>
      </w:hyperlink>
      <w:r>
        <w:t xml:space="preserve">, </w:t>
      </w:r>
      <w:hyperlink w:anchor="b430" w:history="1">
        <w:r>
          <w:rPr>
            <w:color w:val="0A3A8C"/>
            <w:u w:val="single"/>
          </w:rPr>
          <w:t xml:space="preserve">341g</w:t>
        </w:r>
      </w:hyperlink>
      <w:r>
        <w:t xml:space="preserve"> oder </w:t>
      </w:r>
      <w:hyperlink w:anchor="b431" w:history="1">
        <w:r>
          <w:rPr>
            <w:color w:val="0A3A8C"/>
            <w:u w:val="single"/>
          </w:rPr>
          <w:t xml:space="preserve">341h</w:t>
        </w:r>
      </w:hyperlink>
      <w:r>
        <w:t xml:space="preserve"> über Form oder Inhalt,</w:t>
      </w:r>
    </w:p>
    <w:p>
      <w:pPr>
        <w:tabs>
          <w:tab w:pos="1134" w:val="left"/>
        </w:tabs>
        <w:ind w:left="1134" w:hanging="567"/>
      </w:pPr>
      <w:r>
        <w:t>b)</w:t>
      </w:r>
      <w:r>
        <w:tab/>
      </w:r>
      <w:r>
        <w:t xml:space="preserve">des </w:t>
      </w:r>
      <w:hyperlink w:anchor="b248" w:history="1">
        <w:r>
          <w:rPr>
            <w:color w:val="0A3A8C"/>
            <w:u w:val="single"/>
          </w:rPr>
          <w:t xml:space="preserve">§ 253</w:t>
        </w:r>
      </w:hyperlink>
      <w:r>
        <w:t xml:space="preserve"> Abs. 1 Satz 1, 2, 3 oder Satz 4, Abs. 2 Satz 1, auch in Verbindung mit Satz 2, Absatz 3 Satz 1, 2, 3, 4 oder Satz 5, Abs. 4, 5, der </w:t>
      </w:r>
      <w:hyperlink w:anchor="b249" w:history="1">
        <w:r>
          <w:rPr>
            <w:color w:val="0A3A8C"/>
            <w:u w:val="single"/>
          </w:rPr>
          <w:t xml:space="preserve">§§ 254</w:t>
        </w:r>
      </w:hyperlink>
      <w:r>
        <w:t xml:space="preserve">, </w:t>
      </w:r>
      <w:hyperlink w:anchor="b252" w:history="1">
        <w:r>
          <w:rPr>
            <w:color w:val="0A3A8C"/>
            <w:u w:val="single"/>
          </w:rPr>
          <w:t xml:space="preserve">256a</w:t>
        </w:r>
      </w:hyperlink>
      <w:r>
        <w:t xml:space="preserve">, </w:t>
      </w:r>
      <w:hyperlink w:anchor="b424" w:history="1">
        <w:r>
          <w:rPr>
            <w:color w:val="0A3A8C"/>
            <w:u w:val="single"/>
          </w:rPr>
          <w:t xml:space="preserve">341b</w:t>
        </w:r>
      </w:hyperlink>
      <w:r>
        <w:t xml:space="preserve"> Abs. 1 Satz 1 oder des </w:t>
      </w:r>
      <w:hyperlink w:anchor="b426" w:history="1">
        <w:r>
          <w:rPr>
            <w:color w:val="0A3A8C"/>
            <w:u w:val="single"/>
          </w:rPr>
          <w:t xml:space="preserve">§ 341d</w:t>
        </w:r>
      </w:hyperlink>
      <w:r>
        <w:t xml:space="preserve"> über die Bewertung,</w:t>
      </w:r>
    </w:p>
    <w:p>
      <w:pPr>
        <w:tabs>
          <w:tab w:pos="1134" w:val="left"/>
        </w:tabs>
        <w:ind w:left="1134" w:hanging="567"/>
      </w:pPr>
      <w:r>
        <w:t>c)</w:t>
      </w:r>
      <w:r>
        <w:tab/>
      </w:r>
      <w:r>
        <w:t xml:space="preserve">des </w:t>
      </w:r>
      <w:hyperlink w:anchor="b270" w:history="1">
        <w:r>
          <w:rPr>
            <w:color w:val="0A3A8C"/>
            <w:u w:val="single"/>
          </w:rPr>
          <w:t xml:space="preserve">§ 265</w:t>
        </w:r>
      </w:hyperlink>
      <w:r>
        <w:t xml:space="preserve"> Abs. 2, 3 oder 4, des </w:t>
      </w:r>
      <w:hyperlink w:anchor="b275" w:history="1">
        <w:r>
          <w:rPr>
            <w:color w:val="0A3A8C"/>
            <w:u w:val="single"/>
          </w:rPr>
          <w:t xml:space="preserve">§ 268</w:t>
        </w:r>
      </w:hyperlink>
      <w:r>
        <w:t xml:space="preserve"> Abs. 3 oder 6, der </w:t>
      </w:r>
      <w:hyperlink w:anchor="b279" w:history="1">
        <w:r>
          <w:rPr>
            <w:color w:val="0A3A8C"/>
            <w:u w:val="single"/>
          </w:rPr>
          <w:t xml:space="preserve">§§ 272</w:t>
        </w:r>
      </w:hyperlink>
      <w:r>
        <w:t xml:space="preserve">, </w:t>
      </w:r>
      <w:hyperlink w:anchor="b281" w:history="1">
        <w:r>
          <w:rPr>
            <w:color w:val="0A3A8C"/>
            <w:u w:val="single"/>
          </w:rPr>
          <w:t xml:space="preserve">274</w:t>
        </w:r>
      </w:hyperlink>
      <w:r>
        <w:t xml:space="preserve"> oder des </w:t>
      </w:r>
      <w:hyperlink w:anchor="b286" w:history="1">
        <w:r>
          <w:rPr>
            <w:color w:val="0A3A8C"/>
            <w:u w:val="single"/>
          </w:rPr>
          <w:t xml:space="preserve">§ 277</w:t>
        </w:r>
      </w:hyperlink>
      <w:r>
        <w:t xml:space="preserve"> Abs. 3 Satz 2 über die Gliederung,</w:t>
      </w:r>
    </w:p>
    <w:p>
      <w:pPr>
        <w:tabs>
          <w:tab w:pos="1134" w:val="left"/>
        </w:tabs>
        <w:ind w:left="1134" w:hanging="567"/>
      </w:pPr>
      <w:r>
        <w:t>d)</w:t>
      </w:r>
      <w:r>
        <w:tab/>
      </w:r>
      <w:r>
        <w:t xml:space="preserve">der </w:t>
      </w:r>
      <w:hyperlink w:anchor="b291" w:history="1">
        <w:r>
          <w:rPr>
            <w:color w:val="0A3A8C"/>
            <w:u w:val="single"/>
          </w:rPr>
          <w:t xml:space="preserve">§§ 284</w:t>
        </w:r>
      </w:hyperlink>
      <w:r>
        <w:t xml:space="preserve">, </w:t>
      </w:r>
      <w:hyperlink w:anchor="b292" w:history="1">
        <w:r>
          <w:rPr>
            <w:color w:val="0A3A8C"/>
            <w:u w:val="single"/>
          </w:rPr>
          <w:t xml:space="preserve">285</w:t>
        </w:r>
      </w:hyperlink>
      <w:r>
        <w:t xml:space="preserve"> Nr. 1, 2 oder Nr. 3, auch in Verbindung mit </w:t>
      </w:r>
      <w:hyperlink w:anchor="b422" w:history="1">
        <w:r>
          <w:rPr>
            <w:color w:val="0A3A8C"/>
            <w:u w:val="single"/>
          </w:rPr>
          <w:t xml:space="preserve">§ 341a</w:t>
        </w:r>
      </w:hyperlink>
      <w:r>
        <w:t xml:space="preserve"> Absatz 2 Satz 4, oder des </w:t>
      </w:r>
      <w:hyperlink w:anchor="b292" w:history="1">
        <w:r>
          <w:rPr>
            <w:color w:val="0A3A8C"/>
            <w:u w:val="single"/>
          </w:rPr>
          <w:t xml:space="preserve">§ 285</w:t>
        </w:r>
      </w:hyperlink>
      <w:r>
        <w:t xml:space="preserve"> Nummer 3a, 7, 9 bis 14a, 15a, 16 bis 33 oder Nummer 34 über die im Anhang zu machenden Angaben,</w:t>
      </w:r>
    </w:p>
    <w:p>
      <w:pPr>
        <w:tabs>
          <w:tab w:pos="567" w:val="left"/>
        </w:tabs>
        <w:ind w:left="567" w:hanging="567"/>
      </w:pPr>
      <w:r>
        <w:t>2.</w:t>
      </w:r>
      <w:r>
        <w:tab/>
      </w:r>
      <w:r>
        <w:t>bei der Aufstellung des Konzernabschlusses einer Vorschrift</w:t>
      </w:r>
    </w:p>
    <w:p>
      <w:pPr>
        <w:tabs>
          <w:tab w:pos="1134" w:val="left"/>
        </w:tabs>
        <w:ind w:left="1134" w:hanging="567"/>
      </w:pPr>
      <w:r>
        <w:t>a)</w:t>
      </w:r>
      <w:r>
        <w:tab/>
      </w:r>
      <w:r>
        <w:t xml:space="preserve">des </w:t>
      </w:r>
      <w:hyperlink w:anchor="b312" w:history="1">
        <w:r>
          <w:rPr>
            <w:color w:val="0A3A8C"/>
            <w:u w:val="single"/>
          </w:rPr>
          <w:t xml:space="preserve">§ 294</w:t>
        </w:r>
      </w:hyperlink>
      <w:r>
        <w:t xml:space="preserve"> Abs. 1 über den Konsolidierungskreis,</w:t>
      </w:r>
    </w:p>
    <w:p>
      <w:pPr>
        <w:tabs>
          <w:tab w:pos="1134" w:val="left"/>
        </w:tabs>
        <w:ind w:left="1134" w:hanging="567"/>
      </w:pPr>
      <w:r>
        <w:t>b)</w:t>
      </w:r>
      <w:r>
        <w:tab/>
      </w:r>
      <w:r>
        <w:t xml:space="preserve">des </w:t>
      </w:r>
      <w:hyperlink w:anchor="b316" w:history="1">
        <w:r>
          <w:rPr>
            <w:color w:val="0A3A8C"/>
            <w:u w:val="single"/>
          </w:rPr>
          <w:t xml:space="preserve">§ 297</w:t>
        </w:r>
      </w:hyperlink>
      <w:r>
        <w:t xml:space="preserve"> Absatz 1a, 2 oder Absatz 3 oder des </w:t>
      </w:r>
      <w:hyperlink w:anchor="b434" w:history="1">
        <w:r>
          <w:rPr>
            <w:color w:val="0A3A8C"/>
            <w:u w:val="single"/>
          </w:rPr>
          <w:t xml:space="preserve">§ 341j</w:t>
        </w:r>
      </w:hyperlink>
      <w:r>
        <w:t xml:space="preserve"> Abs. 1 Satz 1 in Verbindung mit einer der in Nummer 1 Buchstabe a bezeichneten Vorschriften über Form oder Inhalt,</w:t>
      </w:r>
    </w:p>
    <w:p>
      <w:pPr>
        <w:tabs>
          <w:tab w:pos="1134" w:val="left"/>
        </w:tabs>
        <w:ind w:left="1134" w:hanging="567"/>
      </w:pPr>
      <w:r>
        <w:t>c)</w:t>
      </w:r>
      <w:r>
        <w:tab/>
      </w:r>
      <w:r>
        <w:t xml:space="preserve">des </w:t>
      </w:r>
      <w:hyperlink w:anchor="b320" w:history="1">
        <w:r>
          <w:rPr>
            <w:color w:val="0A3A8C"/>
            <w:u w:val="single"/>
          </w:rPr>
          <w:t xml:space="preserve">§ 300</w:t>
        </w:r>
      </w:hyperlink>
      <w:r>
        <w:t xml:space="preserve"> über die Konsolidierungsgrundsätze oder das Vollständigkeitsgebot,</w:t>
      </w:r>
    </w:p>
    <w:p>
      <w:pPr>
        <w:tabs>
          <w:tab w:pos="1134" w:val="left"/>
        </w:tabs>
        <w:ind w:left="1134" w:hanging="567"/>
      </w:pPr>
      <w:r>
        <w:t>d)</w:t>
      </w:r>
      <w:r>
        <w:tab/>
      </w:r>
      <w:r>
        <w:t xml:space="preserve">des </w:t>
      </w:r>
      <w:hyperlink w:anchor="b329" w:history="1">
        <w:r>
          <w:rPr>
            <w:color w:val="0A3A8C"/>
            <w:u w:val="single"/>
          </w:rPr>
          <w:t xml:space="preserve">§ 308</w:t>
        </w:r>
      </w:hyperlink>
      <w:r>
        <w:t xml:space="preserve"> Abs. 1 Satz 1 in Verbindung mit den in Nummer 1 Buchstabe b bezeichneten Vorschriften, des </w:t>
      </w:r>
      <w:hyperlink w:anchor="b329" w:history="1">
        <w:r>
          <w:rPr>
            <w:color w:val="0A3A8C"/>
            <w:u w:val="single"/>
          </w:rPr>
          <w:t xml:space="preserve">§ 308</w:t>
        </w:r>
      </w:hyperlink>
      <w:r>
        <w:t xml:space="preserve"> Abs. 2 oder des </w:t>
      </w:r>
      <w:hyperlink w:anchor="b330" w:history="1">
        <w:r>
          <w:rPr>
            <w:color w:val="0A3A8C"/>
            <w:u w:val="single"/>
          </w:rPr>
          <w:t xml:space="preserve">§ 308a</w:t>
        </w:r>
      </w:hyperlink>
      <w:r>
        <w:t xml:space="preserve"> über die Bewertung,</w:t>
      </w:r>
    </w:p>
    <w:p>
      <w:pPr>
        <w:tabs>
          <w:tab w:pos="1134" w:val="left"/>
        </w:tabs>
        <w:ind w:left="1134" w:hanging="567"/>
      </w:pPr>
      <w:r>
        <w:t>e)</w:t>
      </w:r>
      <w:r>
        <w:tab/>
      </w:r>
      <w:r>
        <w:t xml:space="preserve">des </w:t>
      </w:r>
      <w:hyperlink w:anchor="b335" w:history="1">
        <w:r>
          <w:rPr>
            <w:color w:val="0A3A8C"/>
            <w:u w:val="single"/>
          </w:rPr>
          <w:t xml:space="preserve">§ 311</w:t>
        </w:r>
      </w:hyperlink>
      <w:r>
        <w:t xml:space="preserve"> Abs. 1 Satz 1 in Verbindung mit </w:t>
      </w:r>
      <w:hyperlink w:anchor="b336" w:history="1">
        <w:r>
          <w:rPr>
            <w:color w:val="0A3A8C"/>
            <w:u w:val="single"/>
          </w:rPr>
          <w:t xml:space="preserve">§ 312</w:t>
        </w:r>
      </w:hyperlink>
      <w:r>
        <w:t xml:space="preserve"> über die Behandlung assoziierter Unternehmen oder</w:t>
      </w:r>
    </w:p>
    <w:p>
      <w:pPr>
        <w:tabs>
          <w:tab w:pos="1134" w:val="left"/>
        </w:tabs>
        <w:ind w:left="1134" w:hanging="567"/>
      </w:pPr>
      <w:r>
        <w:t>f)</w:t>
      </w:r>
      <w:r>
        <w:tab/>
      </w:r>
      <w:r>
        <w:t xml:space="preserve">des </w:t>
      </w:r>
      <w:hyperlink w:anchor="b329" w:history="1">
        <w:r>
          <w:rPr>
            <w:color w:val="0A3A8C"/>
            <w:u w:val="single"/>
          </w:rPr>
          <w:t xml:space="preserve">§ 308</w:t>
        </w:r>
      </w:hyperlink>
      <w:r>
        <w:t xml:space="preserve"> Abs. 1 Satz 3, des </w:t>
      </w:r>
      <w:hyperlink w:anchor="b338" w:history="1">
        <w:r>
          <w:rPr>
            <w:color w:val="0A3A8C"/>
            <w:u w:val="single"/>
          </w:rPr>
          <w:t xml:space="preserve">§ 313</w:t>
        </w:r>
      </w:hyperlink>
      <w:r>
        <w:t xml:space="preserve"> oder des </w:t>
      </w:r>
      <w:hyperlink w:anchor="b339" w:history="1">
        <w:r>
          <w:rPr>
            <w:color w:val="0A3A8C"/>
            <w:u w:val="single"/>
          </w:rPr>
          <w:t xml:space="preserve">§ 314</w:t>
        </w:r>
      </w:hyperlink>
      <w:r>
        <w:t xml:space="preserve"> in Verbindung mit </w:t>
      </w:r>
      <w:hyperlink w:anchor="b434" w:history="1">
        <w:r>
          <w:rPr>
            <w:color w:val="0A3A8C"/>
            <w:u w:val="single"/>
          </w:rPr>
          <w:t xml:space="preserve">§ 341j</w:t>
        </w:r>
      </w:hyperlink>
      <w:r>
        <w:t xml:space="preserve"> Abs. 1 Satz 2 oder 3 über die im Konzernanhang zu machenden Angaben,</w:t>
      </w:r>
    </w:p>
    <w:p>
      <w:pPr>
        <w:tabs>
          <w:tab w:pos="567" w:val="left"/>
        </w:tabs>
        <w:ind w:left="567" w:hanging="567"/>
      </w:pPr>
      <w:r>
        <w:t>3.</w:t>
      </w:r>
      <w:r>
        <w:tab/>
      </w:r>
      <w:r>
        <w:t xml:space="preserve">bei der Aufstellung des Lageberichts oder der Erstellung eines gesonderten nichtfinanziellen Berichts einer Vorschrift des </w:t>
      </w:r>
      <w:hyperlink w:anchor="b297" w:history="1">
        <w:r>
          <w:rPr>
            <w:color w:val="0A3A8C"/>
            <w:u w:val="single"/>
          </w:rPr>
          <w:t xml:space="preserve">§ 289</w:t>
        </w:r>
      </w:hyperlink>
      <w:r>
        <w:t xml:space="preserve"> oder des </w:t>
      </w:r>
      <w:hyperlink w:anchor="b298" w:history="1">
        <w:r>
          <w:rPr>
            <w:color w:val="0A3A8C"/>
            <w:u w:val="single"/>
          </w:rPr>
          <w:t xml:space="preserve">§ 289a</w:t>
        </w:r>
      </w:hyperlink>
      <w:r>
        <w:t xml:space="preserve">, des </w:t>
      </w:r>
      <w:hyperlink w:anchor="b303" w:history="1">
        <w:r>
          <w:rPr>
            <w:color w:val="0A3A8C"/>
            <w:u w:val="single"/>
          </w:rPr>
          <w:t xml:space="preserve">§ 289f</w:t>
        </w:r>
      </w:hyperlink>
      <w:r>
        <w:t xml:space="preserve">, auch in Verbindung mit </w:t>
      </w:r>
      <w:hyperlink w:anchor="b422" w:history="1">
        <w:r>
          <w:rPr>
            <w:color w:val="0A3A8C"/>
            <w:u w:val="single"/>
          </w:rPr>
          <w:t xml:space="preserve">§ 341a</w:t>
        </w:r>
      </w:hyperlink>
      <w:r>
        <w:t xml:space="preserve"> Absatz 1b, oder des </w:t>
      </w:r>
      <w:hyperlink w:anchor="b422" w:history="1">
        <w:r>
          <w:rPr>
            <w:color w:val="0A3A8C"/>
            <w:u w:val="single"/>
          </w:rPr>
          <w:t xml:space="preserve">§ 341a</w:t>
        </w:r>
      </w:hyperlink>
      <w:r>
        <w:t xml:space="preserve"> Absatz 1a, auch in Verbindung mit </w:t>
      </w:r>
      <w:hyperlink w:anchor="b299" w:history="1">
        <w:r>
          <w:rPr>
            <w:color w:val="0A3A8C"/>
            <w:u w:val="single"/>
          </w:rPr>
          <w:t xml:space="preserve">§ 289b</w:t>
        </w:r>
      </w:hyperlink>
      <w:r>
        <w:t xml:space="preserve"> Absatz 2 oder 3 oder mit den </w:t>
      </w:r>
      <w:hyperlink w:anchor="b300" w:history="1">
        <w:r>
          <w:rPr>
            <w:color w:val="0A3A8C"/>
            <w:u w:val="single"/>
          </w:rPr>
          <w:t xml:space="preserve">§§ 289c</w:t>
        </w:r>
      </w:hyperlink>
      <w:r>
        <w:t xml:space="preserve">, </w:t>
      </w:r>
      <w:hyperlink w:anchor="b301" w:history="1">
        <w:r>
          <w:rPr>
            <w:color w:val="0A3A8C"/>
            <w:u w:val="single"/>
          </w:rPr>
          <w:t xml:space="preserve">289d</w:t>
        </w:r>
      </w:hyperlink>
      <w:r>
        <w:t xml:space="preserve"> oder </w:t>
      </w:r>
      <w:hyperlink w:anchor="b302" w:history="1">
        <w:r>
          <w:rPr>
            <w:color w:val="0A3A8C"/>
            <w:u w:val="single"/>
          </w:rPr>
          <w:t xml:space="preserve">§ 289e</w:t>
        </w:r>
      </w:hyperlink>
      <w:r>
        <w:t xml:space="preserve"> Absatz 2, über den Inhalt des Lageberichts oder des gesonderten nichtfinanziellen Berichts,</w:t>
      </w:r>
    </w:p>
    <w:p>
      <w:pPr>
        <w:tabs>
          <w:tab w:pos="567" w:val="left"/>
        </w:tabs>
        <w:ind w:left="567" w:hanging="567"/>
      </w:pPr>
      <w:r>
        <w:t>4.</w:t>
      </w:r>
      <w:r>
        <w:tab/>
      </w:r>
      <w:r>
        <w:t xml:space="preserve">bei der Aufstellung des Konzernlageberichts oder der Erstellung eines gesonderten nichtfinanziellen Konzernberichts einer Vorschrift des </w:t>
      </w:r>
      <w:hyperlink w:anchor="b341" w:history="1">
        <w:r>
          <w:rPr>
            <w:color w:val="0A3A8C"/>
            <w:u w:val="single"/>
          </w:rPr>
          <w:t xml:space="preserve">§ 315</w:t>
        </w:r>
      </w:hyperlink>
      <w:r>
        <w:t xml:space="preserve"> oder des </w:t>
      </w:r>
      <w:hyperlink w:anchor="b342" w:history="1">
        <w:r>
          <w:rPr>
            <w:color w:val="0A3A8C"/>
            <w:u w:val="single"/>
          </w:rPr>
          <w:t xml:space="preserve">§ 315a</w:t>
        </w:r>
      </w:hyperlink>
      <w:r>
        <w:t xml:space="preserve">, des </w:t>
      </w:r>
      <w:hyperlink w:anchor="b345" w:history="1">
        <w:r>
          <w:rPr>
            <w:color w:val="0A3A8C"/>
            <w:u w:val="single"/>
          </w:rPr>
          <w:t xml:space="preserve">§ 315d</w:t>
        </w:r>
      </w:hyperlink>
      <w:r>
        <w:t xml:space="preserve">, auch in Verbindung mit </w:t>
      </w:r>
      <w:hyperlink w:anchor="b434" w:history="1">
        <w:r>
          <w:rPr>
            <w:color w:val="0A3A8C"/>
            <w:u w:val="single"/>
          </w:rPr>
          <w:t xml:space="preserve">§ 341j</w:t>
        </w:r>
      </w:hyperlink>
      <w:r>
        <w:t xml:space="preserve"> Absatz 5, oder des </w:t>
      </w:r>
      <w:hyperlink w:anchor="b434" w:history="1">
        <w:r>
          <w:rPr>
            <w:color w:val="0A3A8C"/>
            <w:u w:val="single"/>
          </w:rPr>
          <w:t xml:space="preserve">§ 341j</w:t>
        </w:r>
      </w:hyperlink>
      <w:r>
        <w:t xml:space="preserve"> Absatz 4, auch in Verbindung mit </w:t>
      </w:r>
      <w:hyperlink w:anchor="b343" w:history="1">
        <w:r>
          <w:rPr>
            <w:color w:val="0A3A8C"/>
            <w:u w:val="single"/>
          </w:rPr>
          <w:t xml:space="preserve">§ 315b</w:t>
        </w:r>
      </w:hyperlink>
      <w:r>
        <w:t xml:space="preserve"> Absatz 2 oder 3 oder </w:t>
      </w:r>
      <w:hyperlink w:anchor="b344" w:history="1">
        <w:r>
          <w:rPr>
            <w:color w:val="0A3A8C"/>
            <w:u w:val="single"/>
          </w:rPr>
          <w:t xml:space="preserve">§ 315c</w:t>
        </w:r>
      </w:hyperlink>
      <w:r>
        <w:t>, über den Inhalt des Konzernlageberichts oder des gesonderten nichtfinanziellen Konzernberichts,</w:t>
      </w:r>
    </w:p>
    <w:p>
      <w:pPr>
        <w:tabs>
          <w:tab w:pos="567" w:val="left"/>
        </w:tabs>
        <w:ind w:left="567" w:hanging="567"/>
      </w:pPr>
      <w:r>
        <w:t>5.</w:t>
      </w:r>
      <w:r>
        <w:tab/>
      </w:r>
      <w:r>
        <w:t xml:space="preserve">bei der Offenlegung, Veröffentlichung oder Vervielfältigung einer Vorschrift des </w:t>
      </w:r>
      <w:hyperlink w:anchor="b369" w:history="1">
        <w:r>
          <w:rPr>
            <w:color w:val="0A3A8C"/>
            <w:u w:val="single"/>
          </w:rPr>
          <w:t xml:space="preserve">§ 328</w:t>
        </w:r>
      </w:hyperlink>
      <w:r>
        <w:t xml:space="preserve"> über Form, Format oder Inhalt oder</w:t>
      </w:r>
    </w:p>
    <w:p>
      <w:pPr>
        <w:tabs>
          <w:tab w:pos="567" w:val="left"/>
        </w:tabs>
        <w:ind w:left="567" w:hanging="567"/>
      </w:pPr>
      <w:r>
        <w:t>6.</w:t>
      </w:r>
      <w:r>
        <w:tab/>
      </w:r>
      <w:r>
        <w:t xml:space="preserve">einer auf Grund des </w:t>
      </w:r>
      <w:hyperlink w:anchor="b372" w:history="1">
        <w:r>
          <w:rPr>
            <w:color w:val="0A3A8C"/>
            <w:u w:val="single"/>
          </w:rPr>
          <w:t xml:space="preserve">§ 330</w:t>
        </w:r>
      </w:hyperlink>
      <w:r>
        <w:t xml:space="preserve"> Abs. 3 und 4 in Verbindung mit Abs. 1 Satz 1 erlassenen Rechtsverordnung, soweit sie für einen bestimmten Tatbestand auf diese Bußgeldvorschrift verweist,</w:t>
      </w:r>
    </w:p>
    <w:p>
      <w:r>
        <w:t xml:space="preserve">zuwiderhandelt. </w:t>
      </w:r>
      <w:r>
        <w:rPr>
          <w:rStyle w:val="Satznummer"/>
        </w:rPr>
        <w:t>2</w:t>
      </w:r>
      <w:r>
        <w:t xml:space="preserve">In den Fällen des Satzes 1 Nummer 3 wird eine Zuwiderhandlung gegen eine Vorschrift des </w:t>
      </w:r>
      <w:hyperlink w:anchor="b303" w:history="1">
        <w:r>
          <w:rPr>
            <w:color w:val="0A3A8C"/>
            <w:u w:val="single"/>
          </w:rPr>
          <w:t xml:space="preserve">§ 289f</w:t>
        </w:r>
      </w:hyperlink>
      <w:r>
        <w:t xml:space="preserve"> Absatz 2 Nummer 4, auch in Verbindung mit Absatz 4 Satz 1, nicht dadurch ausgeschlossen, dass die Festlegungen oder Begründungen nach § 76 Absatz 4 des Aktiengesetzes, auch in Verbindung mit § 188 Absatz 1 Satz 2 des Versicherungsaufsichtsgesetzes, oder nach § 111 Absatz 5 des Aktiengesetzes, auch in Verbindung mit § 189 Absatz 3 Satz 1 des Versicherungsaufsichtsgesetzes, ganz oder zum Teil unterblieben sind. </w:t>
      </w:r>
      <w:r>
        <w:rPr>
          <w:rStyle w:val="Satznummer"/>
        </w:rPr>
        <w:t>3</w:t>
      </w:r>
      <w:r>
        <w:t xml:space="preserve">In den Fällen des Satzes 1 Nummer 4 wird eine Zuwiderhandlung gegen eine Vorschrift des </w:t>
      </w:r>
      <w:hyperlink w:anchor="b345" w:history="1">
        <w:r>
          <w:rPr>
            <w:color w:val="0A3A8C"/>
            <w:u w:val="single"/>
          </w:rPr>
          <w:t xml:space="preserve">§ 315d</w:t>
        </w:r>
      </w:hyperlink>
      <w:r>
        <w:t xml:space="preserve"> in Verbindung mit </w:t>
      </w:r>
      <w:hyperlink w:anchor="b303" w:history="1">
        <w:r>
          <w:rPr>
            <w:color w:val="0A3A8C"/>
            <w:u w:val="single"/>
          </w:rPr>
          <w:t xml:space="preserve">§ 289f</w:t>
        </w:r>
      </w:hyperlink>
      <w:r>
        <w:t xml:space="preserve"> Absatz 2 Nummer 4 nicht dadurch ausgeschlossen, dass die Festlegungen oder Begründungen nach § 76 Absatz 4 oder § 111 Absatz 5 des Aktiengesetzes ganz oder zum Teil unterblieben sind.</w:t>
      </w:r>
    </w:p>
    <w:p>
      <w:r>
        <w:t xml:space="preserve">(2) </w:t>
      </w:r>
      <w:r>
        <w:rPr>
          <w:rStyle w:val="Satznummer"/>
        </w:rPr>
        <w:t>1</w:t>
      </w:r>
      <w:r>
        <w:t xml:space="preserve">Ordnungswidrig handelt, wer einen Bestätigungsvermerk nach </w:t>
      </w:r>
      <w:hyperlink w:anchor="b359" w:history="1">
        <w:r>
          <w:rPr>
            <w:color w:val="0A3A8C"/>
            <w:u w:val="single"/>
          </w:rPr>
          <w:t xml:space="preserve">§ 322</w:t>
        </w:r>
      </w:hyperlink>
      <w:r>
        <w:t xml:space="preserve"> Absatz 1 erteilt zu dem Abschluss</w:t>
      </w:r>
    </w:p>
    <w:p>
      <w:pPr>
        <w:tabs>
          <w:tab w:pos="567" w:val="left"/>
        </w:tabs>
        <w:ind w:left="567" w:hanging="567"/>
      </w:pPr>
      <w:r>
        <w:t>1.</w:t>
      </w:r>
      <w:r>
        <w:tab/>
      </w:r>
      <w:r>
        <w:t xml:space="preserve">eines Versicherungsunternehmens, das ein Unternehmen von öffentlichem Interesse nach </w:t>
      </w:r>
      <w:hyperlink w:anchor="b350" w:history="1">
        <w:r>
          <w:rPr>
            <w:color w:val="0A3A8C"/>
            <w:u w:val="single"/>
          </w:rPr>
          <w:t xml:space="preserve">§ 316a</w:t>
        </w:r>
      </w:hyperlink>
      <w:r>
        <w:t xml:space="preserve"> Satz 2 Nummer 1 oder 3 ist, oder</w:t>
      </w:r>
    </w:p>
    <w:p>
      <w:pPr>
        <w:tabs>
          <w:tab w:pos="567" w:val="left"/>
        </w:tabs>
        <w:ind w:left="567" w:hanging="567"/>
      </w:pPr>
      <w:r>
        <w:t>2.</w:t>
      </w:r>
      <w:r>
        <w:tab/>
      </w:r>
      <w:r>
        <w:t>eines Versicherungsunternehmens, das nicht in Nummer 1 genannt ist,</w:t>
      </w:r>
    </w:p>
    <w:p>
      <w:r>
        <w:t xml:space="preserve">obwohl nach </w:t>
      </w:r>
      <w:hyperlink w:anchor="b353" w:history="1">
        <w:r>
          <w:rPr>
            <w:color w:val="0A3A8C"/>
            <w:u w:val="single"/>
          </w:rPr>
          <w:t xml:space="preserve">§ 319</w:t>
        </w:r>
      </w:hyperlink>
      <w:r>
        <w:t xml:space="preserve"> Absatz 2 oder 3, jeweils auch in Verbindung mit Absatz 5, oder nach </w:t>
      </w:r>
      <w:hyperlink w:anchor="b355" w:history="1">
        <w:r>
          <w:rPr>
            <w:color w:val="0A3A8C"/>
            <w:u w:val="single"/>
          </w:rPr>
          <w:t xml:space="preserve">§ 319b</w:t>
        </w:r>
      </w:hyperlink>
      <w:r>
        <w:t xml:space="preserve"> Absatz 1 Satz 1 oder 2, jeweils auch in Verbindung mit Absatz 2, er oder nach </w:t>
      </w:r>
      <w:hyperlink w:anchor="b353" w:history="1">
        <w:r>
          <w:rPr>
            <w:color w:val="0A3A8C"/>
            <w:u w:val="single"/>
          </w:rPr>
          <w:t xml:space="preserve">§ 319</w:t>
        </w:r>
      </w:hyperlink>
      <w:r>
        <w:t xml:space="preserve"> Absatz 4 Satz 1 oder 2, jeweils auch in Verbindung mit Absatz 5, oder nach </w:t>
      </w:r>
      <w:hyperlink w:anchor="b355" w:history="1">
        <w:r>
          <w:rPr>
            <w:color w:val="0A3A8C"/>
            <w:u w:val="single"/>
          </w:rPr>
          <w:t xml:space="preserve">§ 319b</w:t>
        </w:r>
      </w:hyperlink>
      <w:r>
        <w:t xml:space="preserve"> Absatz 1 Satz 1 oder 2, jeweils auch in Verbindung mit Absatz 2, die Wirtschaftsprüfungsgesellschaft oder die Buchführungsgesellschaft, für die er tätig wird, nicht Abschlussprüfer sein darf. </w:t>
      </w:r>
      <w:r>
        <w:rPr>
          <w:rStyle w:val="Satznummer"/>
        </w:rPr>
        <w:t>2</w:t>
      </w:r>
      <w:r>
        <w:t xml:space="preserve">Ordnungswidrig handelt auch, wer einen Bestätigungsvermerk nach </w:t>
      </w:r>
      <w:hyperlink w:anchor="b359" w:history="1">
        <w:r>
          <w:rPr>
            <w:color w:val="0A3A8C"/>
            <w:u w:val="single"/>
          </w:rPr>
          <w:t xml:space="preserve">§ 322</w:t>
        </w:r>
      </w:hyperlink>
      <w:r>
        <w:t xml:space="preserve"> Absatz 1 erteilt zu dem Abschluss eines Versicherungsunternehmens, das ein Unternehmen von öffentlichem Interesse nach </w:t>
      </w:r>
      <w:hyperlink w:anchor="b350" w:history="1">
        <w:r>
          <w:rPr>
            <w:color w:val="0A3A8C"/>
            <w:u w:val="single"/>
          </w:rPr>
          <w:t xml:space="preserve">§ 316a</w:t>
        </w:r>
      </w:hyperlink>
      <w:r>
        <w:t xml:space="preserve"> Satz 2 Nummer 1 oder 3 ist, obwohl</w:t>
      </w:r>
    </w:p>
    <w:p>
      <w:pPr>
        <w:tabs>
          <w:tab w:pos="567" w:val="left"/>
        </w:tabs>
        <w:ind w:left="567" w:hanging="567"/>
      </w:pPr>
      <w:r>
        <w:t>1.</w:t>
      </w:r>
      <w:r>
        <w:tab/>
      </w:r>
      <w:r>
        <w:t>er oder die Prüfungsgesellschaft, für die er tätig wird, oder ein Mitglied des Netzwerks, dem er oder die Prüfungsgesellschaft, für die er tätig wird, angehört, einer Vorschrift des Artikels 5 Absatz 4 Unterabsatz 1 Satz 1 oder Absatz 5 Unterabsatz 2 Satz 2 der Verordnung (EU) Nr. 537/2014 zuwiderhandelt oder</w:t>
      </w:r>
    </w:p>
    <w:p>
      <w:pPr>
        <w:tabs>
          <w:tab w:pos="567" w:val="left"/>
        </w:tabs>
        <w:ind w:left="567" w:hanging="567"/>
      </w:pPr>
      <w:r>
        <w:t>2.</w:t>
      </w:r>
      <w:r>
        <w:tab/>
      </w:r>
      <w:r>
        <w:t>er oder die Prüfungsgesellschaft, für die er tätig wird, nach Artikel 17 Absatz 3 der Verordnung (EU) Nr. 537/2014 die Abschlussprüfung nicht durchführen darf.</w:t>
      </w:r>
    </w:p>
    <w:p>
      <w:r>
        <w:rPr>
          <w:rStyle w:val="Satznummer"/>
        </w:rPr>
        <w:t>3</w:t>
      </w:r>
      <w:r>
        <w:t xml:space="preserve">Abschluss im Sinne der Sätze 1 und 2 ist ein Jahresabschluss, ein Einzelabschluss nach </w:t>
      </w:r>
      <w:hyperlink w:anchor="b364" w:history="1">
        <w:r>
          <w:rPr>
            <w:color w:val="0A3A8C"/>
            <w:u w:val="single"/>
          </w:rPr>
          <w:t xml:space="preserve">§ 325</w:t>
        </w:r>
      </w:hyperlink>
      <w:r>
        <w:t xml:space="preserve"> Absatz 2a oder ein Konzernabschluss, der aufgrund gesetzlicher Vorschriften zu prüfen ist.</w:t>
      </w:r>
    </w:p>
    <w:p>
      <w:r>
        <w:t xml:space="preserve">(2a) Ordnungswidrig handelt, wer als Mitglied eines nach </w:t>
      </w:r>
      <w:hyperlink w:anchor="b361" w:history="1">
        <w:r>
          <w:rPr>
            <w:color w:val="0A3A8C"/>
            <w:u w:val="single"/>
          </w:rPr>
          <w:t xml:space="preserve">§ 324</w:t>
        </w:r>
      </w:hyperlink>
      <w:r>
        <w:t xml:space="preserve"> Absatz 1 Satz 1, auch in Verbindung mit </w:t>
      </w:r>
      <w:hyperlink w:anchor="b436" w:history="1">
        <w:r>
          <w:rPr>
            <w:color w:val="0A3A8C"/>
            <w:u w:val="single"/>
          </w:rPr>
          <w:t xml:space="preserve">§ 341k</w:t>
        </w:r>
      </w:hyperlink>
      <w:r>
        <w:t xml:space="preserve"> Absatz 3 Satz 1, eingerichteten Prüfungsausschusses eines Versicherungsunternehmens</w:t>
      </w:r>
    </w:p>
    <w:p>
      <w:pPr>
        <w:tabs>
          <w:tab w:pos="567" w:val="left"/>
        </w:tabs>
        <w:ind w:left="567" w:hanging="567"/>
      </w:pPr>
      <w:r>
        <w:t>1.</w:t>
      </w:r>
      <w:r>
        <w:tab/>
      </w:r>
      <w:r>
        <w:t>die Unabhängigkeit des Abschlussprüfers oder der Prüfungsgesellschaft nicht nach Maßgabe des Artikels 4 Absatz 3 Unterabsatz 2, des Artikels 5 Absatz 4 Unterabsatz 1 Satz 1 oder des Artikels 6 Absatz 2 der Verordnung (EU) Nr. 537/2014 überwacht,</w:t>
      </w:r>
    </w:p>
    <w:p>
      <w:pPr>
        <w:tabs>
          <w:tab w:pos="567" w:val="left"/>
        </w:tabs>
        <w:ind w:left="567" w:hanging="567"/>
      </w:pPr>
      <w:r>
        <w:t>2.</w:t>
      </w:r>
      <w:r>
        <w:tab/>
      </w:r>
      <w:r>
        <w:t>dem Verwaltungs- oder Aufsichtsorgan eine Empfehlung für die Bestellung eines Abschlussprüfers oder einer Prüfungsgesellschaft vorlegt, die den Anforderungen nach Artikel 16 Absatz 2 Unterabsatz 2 oder 3 der Verordnung (EU) Nr. 537/2014 nicht entspricht oder der ein Auswahlverfahren nach Artikel 16 Absatz 3 Unterabsatz 1 der Verordnung (EU) Nr. 537/2014 nicht vorangegangen ist, oder</w:t>
      </w:r>
    </w:p>
    <w:p>
      <w:pPr>
        <w:tabs>
          <w:tab w:pos="567" w:val="left"/>
        </w:tabs>
        <w:ind w:left="567" w:hanging="567"/>
      </w:pPr>
      <w:r>
        <w:t>3.</w:t>
      </w:r>
      <w:r>
        <w:tab/>
      </w:r>
      <w:r>
        <w:t>den Gesellschaftern oder der sonst für die Bestellung des Abschlussprüfers zuständigen Stelle einen Vorschlag für die Bestellung eines Abschlussprüfers oder einer Prüfungsgesellschaft vorlegt, der den Anforderungen nach Artikel 16 Absatz 5 Unterabsatz 1 der Verordnung (EU) Nr. 537/2014 nicht entspricht.</w:t>
      </w:r>
    </w:p>
    <w:p>
      <w:r>
        <w:t xml:space="preserve">(3) </w:t>
      </w:r>
      <w:r>
        <w:rPr>
          <w:rStyle w:val="Satznummer"/>
        </w:rPr>
        <w:t>1</w:t>
      </w:r>
      <w:r>
        <w:t xml:space="preserve">Die Ordnungswidrigkeit kann in den Fällen des Absatzes 2 Satz 1 Nummer 1 und Satz 2 sowie des Absatzes 2a mit einer Geldbuße bis zu fünfhunderttausend Euro, in den Fällen der Absätze 1 und 2 Satz 1 Nummer 2 mit einer Geldbuße bis zu fünfzigtausend Euro geahndet werden. </w:t>
      </w:r>
      <w:r>
        <w:rPr>
          <w:rStyle w:val="Satznummer"/>
        </w:rPr>
        <w:t>2</w:t>
      </w:r>
      <w:r>
        <w:t xml:space="preserve">Ist das Versicherungsunternehmen kapitalmarktorientiert im Sinne des </w:t>
      </w:r>
      <w:hyperlink w:anchor="b269" w:history="1">
        <w:r>
          <w:rPr>
            <w:color w:val="0A3A8C"/>
            <w:u w:val="single"/>
          </w:rPr>
          <w:t xml:space="preserve">§ 264d</w:t>
        </w:r>
      </w:hyperlink>
      <w:r>
        <w:t>, beträgt die Geldbuße in den Fällen des Absatzes 1 höchstens den höheren der folgenden Beträge:</w:t>
      </w:r>
    </w:p>
    <w:p>
      <w:pPr>
        <w:tabs>
          <w:tab w:pos="567" w:val="left"/>
        </w:tabs>
        <w:ind w:left="567" w:hanging="567"/>
      </w:pPr>
      <w:r>
        <w:t>1.</w:t>
      </w:r>
      <w:r>
        <w:tab/>
      </w:r>
      <w:r>
        <w:t>zwei Millionen Euro oder</w:t>
      </w:r>
    </w:p>
    <w:p>
      <w:pPr>
        <w:tabs>
          <w:tab w:pos="567" w:val="left"/>
        </w:tabs>
        <w:ind w:left="567" w:hanging="567"/>
      </w:pPr>
      <w:r>
        <w:t>2.</w:t>
      </w:r>
      <w:r>
        <w:tab/>
      </w:r>
      <w:r>
        <w:t>das Zweifache des aus der Ordnungswidrigkeit gezogenen wirtschaftlichen Vorteils, wobei der wirtschaftliche Vorteil erzielte Gewinne und vermiedene Verluste umfasst und geschätzt werden kann.</w:t>
      </w:r>
    </w:p>
    <w:p>
      <w:r>
        <w:t xml:space="preserve">(3a) </w:t>
      </w:r>
      <w:r>
        <w:rPr>
          <w:rStyle w:val="Satznummer"/>
        </w:rPr>
        <w:t>1</w:t>
      </w:r>
      <w:r>
        <w:t xml:space="preserve">Wird gegen ein Versicherungsunternehmen, das kapitalmarktorientiert im Sinne des </w:t>
      </w:r>
      <w:hyperlink w:anchor="b269" w:history="1">
        <w:r>
          <w:rPr>
            <w:color w:val="0A3A8C"/>
            <w:u w:val="single"/>
          </w:rPr>
          <w:t xml:space="preserve">§ 264d</w:t>
        </w:r>
      </w:hyperlink>
      <w:r>
        <w:t xml:space="preserve"> ist, in den Fällen des Absatzes 1 eine Geldbuße nach § 30 des Gesetzes über Ordnungswidrigkeiten verhängt, beträgt diese Geldbuße höchstens den höchsten der folgenden Beträge:</w:t>
      </w:r>
    </w:p>
    <w:p>
      <w:pPr>
        <w:tabs>
          <w:tab w:pos="567" w:val="left"/>
        </w:tabs>
        <w:ind w:left="567" w:hanging="567"/>
      </w:pPr>
      <w:r>
        <w:t>1.</w:t>
      </w:r>
      <w:r>
        <w:tab/>
      </w:r>
      <w:r>
        <w:t>zehn Millionen Euro,</w:t>
      </w:r>
    </w:p>
    <w:p>
      <w:pPr>
        <w:tabs>
          <w:tab w:pos="567" w:val="left"/>
        </w:tabs>
        <w:ind w:left="567" w:hanging="567"/>
      </w:pPr>
      <w:r>
        <w:t>2.</w:t>
      </w:r>
      <w:r>
        <w:tab/>
      </w:r>
      <w:r>
        <w:t>5 Prozent des jährlichen Gesamtumsatzes, den das Versicherungsunternehmen im der Behördenentscheidung vorausgegangenen Geschäftsjahr erzielt hat oder</w:t>
      </w:r>
    </w:p>
    <w:p>
      <w:pPr>
        <w:tabs>
          <w:tab w:pos="567" w:val="left"/>
        </w:tabs>
        <w:ind w:left="567" w:hanging="567"/>
      </w:pPr>
      <w:r>
        <w:t>3.</w:t>
      </w:r>
      <w:r>
        <w:tab/>
      </w:r>
      <w:r>
        <w:t>das Zweifache des aus der Ordnungswidrigkeit gezogenen wirtschaftlichen Vorteils, wobei der wirtschaftliche Vorteil erzielte Gewinne und vermiedene Verluste umfasst und geschätzt werden kann.</w:t>
      </w:r>
    </w:p>
    <w:p>
      <w:r>
        <w:rPr>
          <w:rStyle w:val="Satznummer"/>
        </w:rPr>
        <w:t>2</w:t>
      </w:r>
      <w:r>
        <w:t>In den Fällen des Absatzes 3 Satz 1 in Verbindung mit Absatz 2 Satz 1 Nummer 1 oder Satz 2 ist § 30 Absatz 2 Satz 3 des Gesetzes über Ordnungswidrigkeiten anzuwenden.</w:t>
      </w:r>
    </w:p>
    <w:p>
      <w:r>
        <w:t xml:space="preserve">(3b) </w:t>
      </w:r>
      <w:r>
        <w:rPr>
          <w:rStyle w:val="Satznummer"/>
        </w:rPr>
        <w:t>1</w:t>
      </w:r>
      <w:r>
        <w:t>Gesamtumsatz im Sinne des Absatzes 3a Satz 1 Nummer 2 ist</w:t>
      </w:r>
    </w:p>
    <w:p>
      <w:pPr>
        <w:tabs>
          <w:tab w:pos="567" w:val="left"/>
        </w:tabs>
        <w:ind w:left="567" w:hanging="567"/>
      </w:pPr>
      <w:r>
        <w:t>1.</w:t>
      </w:r>
      <w:r>
        <w:tab/>
      </w:r>
      <w:r>
        <w:t>im Falle von Versicherungsunternehmen, die ihren Jahresabschluss nach den handelsrechtlichen Vorschriften oder dem Recht eines anderen Mitgliedstaats der Europäischen Union oder eines anderen Vertragsstaats des Abkommens über den Europäischen Wirtschaftsraum im Einklang mit der Richtlinie 91/674/EWG des Rates vom 19. Dezember 1991 über den Jahresabschluß und den konsolidierten Abschluß von Versicherungsunternehmen (ABl. L 374 vom 31.12.1991, S. 7), die zuletzt durch die Richtlinie 2006/46/EG (ABl. L 224 vom 16.8.2006, S. 1) geändert worden ist, aufstellen, der Betrag der gebuchten Bruttobeiträge nach Maßgabe der handelsrechtlichen Vorschriften oder des auf das Versicherungsunternehmen anwendbaren nationalen Rechts im Einklang mit Artikel 35 der Richtlinie 91/674/EWG,</w:t>
      </w:r>
    </w:p>
    <w:p>
      <w:pPr>
        <w:tabs>
          <w:tab w:pos="567" w:val="left"/>
        </w:tabs>
        <w:ind w:left="567" w:hanging="567"/>
      </w:pPr>
      <w:r>
        <w:t>2.</w:t>
      </w:r>
      <w:r>
        <w:tab/>
      </w:r>
      <w:r>
        <w:t>in Fällen, die nicht in Nummer 1 genannt sind, der Betrag der Umsatzerlöse, der sich bei Anwendung der Rechnungslegungsgrundsätze ergibt, die nach dem jeweiligen nationalen Recht für die Aufstellung des Jahresabschlusses des Versicherungsunternehmens gelten.</w:t>
      </w:r>
    </w:p>
    <w:p>
      <w:r>
        <w:rPr>
          <w:rStyle w:val="Satznummer"/>
        </w:rPr>
        <w:t>2</w:t>
      </w:r>
      <w:r>
        <w:t xml:space="preserve">Handelt es sich bei dem Versicherungsunternehmen um ein Mutterunternehmen oder um ein Tochterunternehmen im Sinne des </w:t>
      </w:r>
      <w:hyperlink w:anchor="b306" w:history="1">
        <w:r>
          <w:rPr>
            <w:color w:val="0A3A8C"/>
            <w:u w:val="single"/>
          </w:rPr>
          <w:t xml:space="preserve">§ 290</w:t>
        </w:r>
      </w:hyperlink>
      <w:r>
        <w:t xml:space="preserve">, ist anstelle des Gesamtumsatzes des Versicherungsunternehmens der jeweilige Gesamtbetrag im Konzernabschluss des Mutterunternehmens maßgeblich, der für den größten Kreis von Unternehmen aufgestellt wird. </w:t>
      </w:r>
      <w:r>
        <w:rPr>
          <w:rStyle w:val="Satznummer"/>
        </w:rPr>
        <w:t>3</w:t>
      </w:r>
      <w:r>
        <w:t>Ist ein Jahres- oder Konzernabschluss für das maßgebliche Geschäftsjahr nicht verfügbar, ist der Jahres- oder Konzernabschluss für das unmittelbar vorausgehende Geschäftsjahr maßgeblich; ist auch dieser nicht verfügbar, kann der Gesamtumsatz geschätzt werden.</w:t>
      </w:r>
    </w:p>
    <w:p>
      <w:r>
        <w:t xml:space="preserve">(4) </w:t>
      </w:r>
      <w:r>
        <w:rPr>
          <w:rStyle w:val="Satznummer"/>
        </w:rPr>
        <w:t>1</w:t>
      </w:r>
      <w:r>
        <w:t xml:space="preserve">Verwaltungsbehörde im Sinne des § 36 Abs. 1 Nr. 1 des Gesetzes über Ordnungswidrigkeiten ist in den Fällen der Absätze 1 und 2a die Bundesanstalt für Finanzdienstleistungsaufsicht für die ihrer Aufsicht unterliegenden Versicherungsunternehmen und Pensionsfonds. </w:t>
      </w:r>
      <w:r>
        <w:rPr>
          <w:rStyle w:val="Satznummer"/>
        </w:rPr>
        <w:t>2</w:t>
      </w:r>
      <w:r>
        <w:t xml:space="preserve">Unterliegt ein Versicherungsunternehmen und Pensionsfonds der Aufsicht einer Landesbehörde, so ist diese in den Fällen der Absätze 1 und 2a zuständig. </w:t>
      </w:r>
      <w:r>
        <w:rPr>
          <w:rStyle w:val="Satznummer"/>
        </w:rPr>
        <w:t>3</w:t>
      </w:r>
      <w:r>
        <w:t>In den Fällen des Absatzes 2 ist die Abschlussprüferaufsichtsstelle beim Bundesamt für Wirtschaft und Ausfuhrkontrolle zuständig.</w:t>
      </w:r>
    </w:p>
    <w:p>
      <w:r>
        <w:t>(5) Die nach Absatz 4 Satz 1 oder 2 zuständige Verwaltungsbehörde übermittelt der Abschlussprüferaufsichtsstelle beim Bundesamt für Wirtschaft und Ausfuhrkontrolle alle Bußgeldentscheidungen nach Absatz 2a.</w:t>
      </w:r>
    </w:p>
    <w:p>
      <w:pPr>
        <w:pStyle w:val="Heading5"/>
      </w:pPr>
      <w:bookmarkStart w:id="443" w:name="b442"/>
      <w:r>
        <w:t>§ 341o Festsetzung von Ordnungsgeld</w:t>
      </w:r>
      <w:r>
        <w:t xml:space="preserve"> </w:t>
      </w:r>
      <w:r>
        <w:rPr>
          <w:rStyle w:val="Suchmarke"/>
        </w:rPr>
        <w:t>#341o#</w:t>
      </w:r>
      <w:bookmarkEnd w:id="443"/>
    </w:p>
    <w:p>
      <w:r>
        <w:t>(1) Personen, die</w:t>
      </w:r>
    </w:p>
    <w:p>
      <w:pPr>
        <w:tabs>
          <w:tab w:pos="567" w:val="left"/>
        </w:tabs>
        <w:ind w:left="567" w:hanging="567"/>
      </w:pPr>
      <w:r>
        <w:t>1.</w:t>
      </w:r>
      <w:r>
        <w:tab/>
      </w:r>
      <w:r>
        <w:t xml:space="preserve">als Mitglieder des vertretungsberechtigten Organs eines Versicherungsunternehmens oder eines Pensionsfonds </w:t>
      </w:r>
      <w:hyperlink w:anchor="b438" w:history="1">
        <w:r>
          <w:rPr>
            <w:color w:val="0A3A8C"/>
            <w:u w:val="single"/>
          </w:rPr>
          <w:t xml:space="preserve">§ 341l</w:t>
        </w:r>
      </w:hyperlink>
      <w:r>
        <w:t xml:space="preserve"> in Verbindung mit </w:t>
      </w:r>
      <w:hyperlink w:anchor="b364" w:history="1">
        <w:r>
          <w:rPr>
            <w:color w:val="0A3A8C"/>
            <w:u w:val="single"/>
          </w:rPr>
          <w:t xml:space="preserve">§ 325</w:t>
        </w:r>
      </w:hyperlink>
      <w:r>
        <w:t xml:space="preserve"> über die Pflicht zur Offenlegung des Jahresabschlusses, des Lageberichts, des Konzernabschlusses, des Konzernlageberichts und anderer Unterlagen der Rechnungslegung oder</w:t>
      </w:r>
    </w:p>
    <w:p>
      <w:pPr>
        <w:tabs>
          <w:tab w:pos="567" w:val="left"/>
        </w:tabs>
        <w:ind w:left="567" w:hanging="567"/>
      </w:pPr>
      <w:r>
        <w:t>2.</w:t>
      </w:r>
      <w:r>
        <w:tab/>
      </w:r>
      <w:r>
        <w:t xml:space="preserve">als Hauptbevollmächtigter (§ 68 Absatz 2 des Versicherungsaufsichtsgesetzes) </w:t>
      </w:r>
      <w:hyperlink w:anchor="b438" w:history="1">
        <w:r>
          <w:rPr>
            <w:color w:val="0A3A8C"/>
            <w:u w:val="single"/>
          </w:rPr>
          <w:t xml:space="preserve">§ 341l</w:t>
        </w:r>
      </w:hyperlink>
      <w:r>
        <w:t xml:space="preserve"> Abs. 1 über die Offenlegung der Rechnungslegungsunterlagen</w:t>
      </w:r>
    </w:p>
    <w:p>
      <w:r>
        <w:t>nicht befolgen, sind hierzu vom Bundesamt für Justiz durch Festsetzung von Ordnungsgeld anzuhalten.</w:t>
      </w:r>
    </w:p>
    <w:p>
      <w:r>
        <w:t xml:space="preserve">(2) Die </w:t>
      </w:r>
      <w:hyperlink w:anchor="b382" w:history="1">
        <w:r>
          <w:rPr>
            <w:color w:val="0A3A8C"/>
            <w:u w:val="single"/>
          </w:rPr>
          <w:t xml:space="preserve">§§ 335</w:t>
        </w:r>
      </w:hyperlink>
      <w:r>
        <w:t xml:space="preserve"> bis </w:t>
      </w:r>
      <w:hyperlink w:anchor="b385" w:history="1">
        <w:r>
          <w:rPr>
            <w:color w:val="0A3A8C"/>
            <w:u w:val="single"/>
          </w:rPr>
          <w:t xml:space="preserve">335b</w:t>
        </w:r>
      </w:hyperlink>
      <w:r>
        <w:t xml:space="preserve"> sind mit der Maßgabe entsprechend anzuwenden, dass Gesamtumsatz im Sinne des § 335 Absatz 1a Satz 1 Nummer 2 Folgendes ist:</w:t>
      </w:r>
    </w:p>
    <w:p>
      <w:pPr>
        <w:tabs>
          <w:tab w:pos="567" w:val="left"/>
        </w:tabs>
        <w:ind w:left="567" w:hanging="567"/>
      </w:pPr>
      <w:r>
        <w:t>1.</w:t>
      </w:r>
      <w:r>
        <w:tab/>
      </w:r>
      <w:r>
        <w:t>im Falle von Versicherungsunternehmen, die ihren Jahresabschluss nach den handelsrechtlichen Vorschriften oder dem Recht eines anderen Mitgliedstaats der Europäischen Union oder eines anderen Vertragsstaats des Abkommens über den Europäischen Wirtschaftsraum im Einklang mit der Richtlinie 91/674/EWG aufstellen, der Betrag der gebuchten Bruttobeiträge nach Maßgabe der handelsrechtlichen Vorschriften oder des auf das Versicherungsunternehmen anwendbaren nationalen Rechts im Einklang mit Artikel 35 der Richtlinie 91/674/EWG,</w:t>
      </w:r>
    </w:p>
    <w:p>
      <w:pPr>
        <w:tabs>
          <w:tab w:pos="567" w:val="left"/>
        </w:tabs>
        <w:ind w:left="567" w:hanging="567"/>
      </w:pPr>
      <w:r>
        <w:t>2.</w:t>
      </w:r>
      <w:r>
        <w:tab/>
      </w:r>
      <w:r>
        <w:t>in Fällen, die nicht in Nummer 1 genannt sind, der Betrag der Umsatzerlöse, der sich bei Anwendung der Rechnungslegungsgrundsätze ergibt, die nach dem jeweiligen nationalen Recht für die Aufstellung des Jahresabschlusses des Versicherungsunternehmens gelten.</w:t>
      </w:r>
    </w:p>
    <w:p>
      <w:pPr>
        <w:pStyle w:val="Heading5"/>
      </w:pPr>
      <w:bookmarkStart w:id="444" w:name="b443"/>
      <w:r>
        <w:t>§ 341p Anwendung der Straf- und Bußgeld- sowie der Ordnungsgeldvorschriften auf Pensionsfonds</w:t>
      </w:r>
      <w:r>
        <w:t xml:space="preserve"> </w:t>
      </w:r>
      <w:r>
        <w:rPr>
          <w:rStyle w:val="Suchmarke"/>
        </w:rPr>
        <w:t>#341p#</w:t>
      </w:r>
      <w:bookmarkEnd w:id="444"/>
    </w:p>
    <w:p>
      <w:r>
        <w:t xml:space="preserve">Die Strafvorschriften des </w:t>
      </w:r>
      <w:hyperlink w:anchor="b440" w:history="1">
        <w:r>
          <w:rPr>
            <w:color w:val="0A3A8C"/>
            <w:u w:val="single"/>
          </w:rPr>
          <w:t xml:space="preserve">§ 341m</w:t>
        </w:r>
      </w:hyperlink>
      <w:r>
        <w:t xml:space="preserve"> Absatz 1, die Bußgeldvorschrift des </w:t>
      </w:r>
      <w:hyperlink w:anchor="b441" w:history="1">
        <w:r>
          <w:rPr>
            <w:color w:val="0A3A8C"/>
            <w:u w:val="single"/>
          </w:rPr>
          <w:t xml:space="preserve">§ 341n</w:t>
        </w:r>
      </w:hyperlink>
      <w:r>
        <w:t xml:space="preserve"> Absatz 1 und 2 sowie die Ordnungsgeldvorschrift des </w:t>
      </w:r>
      <w:hyperlink w:anchor="b442" w:history="1">
        <w:r>
          <w:rPr>
            <w:color w:val="0A3A8C"/>
            <w:u w:val="single"/>
          </w:rPr>
          <w:t xml:space="preserve">§ 341o</w:t>
        </w:r>
      </w:hyperlink>
      <w:r>
        <w:t xml:space="preserve"> gelten auch für Pensionsfonds im Sinn des </w:t>
      </w:r>
      <w:hyperlink w:anchor="b420" w:history="1">
        <w:r>
          <w:rPr>
            <w:color w:val="0A3A8C"/>
            <w:u w:val="single"/>
          </w:rPr>
          <w:t xml:space="preserve">§ 341</w:t>
        </w:r>
      </w:hyperlink>
      <w:r>
        <w:t xml:space="preserve"> Abs. 4 Satz 1.</w:t>
      </w:r>
    </w:p>
    <w:p>
      <w:pPr>
        <w:pStyle w:val="Heading3"/>
      </w:pPr>
      <w:bookmarkStart w:id="445" w:name="b444"/>
      <w:r>
        <w:t>Dritter Unterabschnitt Ergänzende Vorschriften für bestimmte Unternehmen des Rohstoffsektors</w:t>
      </w:r>
      <w:bookmarkEnd w:id="445"/>
    </w:p>
    <w:p>
      <w:pPr>
        <w:pStyle w:val="Heading4"/>
      </w:pPr>
      <w:bookmarkStart w:id="446" w:name="b445"/>
      <w:r>
        <w:t>Erster Titel Anwendungsbereich; Begriffsbestimmungen</w:t>
      </w:r>
      <w:bookmarkEnd w:id="446"/>
    </w:p>
    <w:p>
      <w:pPr>
        <w:pStyle w:val="Heading5"/>
      </w:pPr>
      <w:bookmarkStart w:id="447" w:name="b446"/>
      <w:r>
        <w:t>§ 341q Anwendungsbereich</w:t>
      </w:r>
      <w:r>
        <w:t xml:space="preserve"> </w:t>
      </w:r>
      <w:r>
        <w:rPr>
          <w:rStyle w:val="Suchmarke"/>
        </w:rPr>
        <w:t>#341q#</w:t>
      </w:r>
      <w:bookmarkEnd w:id="447"/>
    </w:p>
    <w:p>
      <w:r>
        <w:rPr>
          <w:rStyle w:val="Satznummer"/>
        </w:rPr>
        <w:t>1</w:t>
      </w:r>
      <w:r>
        <w:t xml:space="preserve">Dieser Unterabschnitt gilt für Kapitalgesellschaften mit Sitz im Inland, die in der mineralgewinnenden Industrie tätig sind oder Holzeinschlag in Primärwäldern betreiben, wenn auf sie nach den Vorschriften des Dritten Buchs die für große Kapitalgesellschaften geltenden Vorschriften des Zweiten Abschnitts anzuwenden sind. </w:t>
      </w:r>
      <w:r>
        <w:rPr>
          <w:rStyle w:val="Satznummer"/>
        </w:rPr>
        <w:t>2</w:t>
      </w:r>
      <w:r>
        <w:t xml:space="preserve">Satz 1 gilt entsprechend für Personenhandelsgesellschaften im Sinne des </w:t>
      </w:r>
      <w:hyperlink w:anchor="b266" w:history="1">
        <w:r>
          <w:rPr>
            <w:color w:val="0A3A8C"/>
            <w:u w:val="single"/>
          </w:rPr>
          <w:t xml:space="preserve">§ 264a</w:t>
        </w:r>
      </w:hyperlink>
      <w:r>
        <w:t xml:space="preserve"> Absatz 1.</w:t>
      </w:r>
    </w:p>
    <w:p>
      <w:pPr>
        <w:pStyle w:val="Heading5"/>
      </w:pPr>
      <w:bookmarkStart w:id="448" w:name="b447"/>
      <w:r>
        <w:t>§ 341r Begriffsbestimmungen</w:t>
      </w:r>
      <w:r>
        <w:t xml:space="preserve"> </w:t>
      </w:r>
      <w:r>
        <w:rPr>
          <w:rStyle w:val="Suchmarke"/>
        </w:rPr>
        <w:t>#341r#</w:t>
      </w:r>
      <w:bookmarkEnd w:id="448"/>
    </w:p>
    <w:p>
      <w:r>
        <w:t>Im Sinne dieses Unterabschnitts sind</w:t>
      </w:r>
    </w:p>
    <w:p>
      <w:pPr>
        <w:tabs>
          <w:tab w:pos="567" w:val="left"/>
        </w:tabs>
        <w:ind w:left="567" w:hanging="567"/>
      </w:pPr>
      <w:r>
        <w:t>1.</w:t>
      </w:r>
      <w:r>
        <w:tab/>
      </w:r>
      <w:r>
        <w:t>Tätigkeiten in der mineralgewinnenden Industrie: Tätigkeiten auf dem Gebiet der Exploration, Prospektion, Entdeckung, Weiterentwicklung und Gewinnung von Mineralien, Erdöl-, Erdgasvorkommen oder anderen Stoffen in den Wirtschaftszweigen, die in Anhang I Abschnitt B Abteilung 05 bis 08 der Verordnung (EG) Nr. 1893/2006 des Europäischen Parlaments und des Rates vom 20. Dezember 2006 zur Aufstellung der statistischen Systematik der Wirtschaftszweige NACE Revision 2 und zur Änderung der Verordnung (EWG) Nr. 3037/90 des Rates sowie einiger Verordnungen der EG über bestimmte Bereiche der Statistik (ABl. L 393 vom 30.12.2006, S. 1) aufgeführt sind;</w:t>
      </w:r>
    </w:p>
    <w:p>
      <w:pPr>
        <w:tabs>
          <w:tab w:pos="567" w:val="left"/>
        </w:tabs>
        <w:ind w:left="567" w:hanging="567"/>
      </w:pPr>
      <w:r>
        <w:t>2.</w:t>
      </w:r>
      <w:r>
        <w:tab/>
      </w:r>
      <w:r>
        <w:t>Kapitalgesellschaften, die Holzeinschlag in Primärwäldern betreiben: Kapitalgesellschaften, die auf den in Anhang I Abschnitt A Abteilung 02 Gruppe 02.2 der Verordnung (EG) Nr. 1893/2006 aufgeführten Gebieten in natürlich regenerierten Wäldern mit einheimischen Arten, in denen es keine deutlich sichtbaren Anzeichen für menschliche Eingriffe gibt und die ökologischen Prozesse nicht wesentlich gestört sind, tätig sind;</w:t>
      </w:r>
    </w:p>
    <w:p>
      <w:pPr>
        <w:tabs>
          <w:tab w:pos="567" w:val="left"/>
        </w:tabs>
        <w:ind w:left="567" w:hanging="567"/>
      </w:pPr>
      <w:r>
        <w:t>3.</w:t>
      </w:r>
      <w:r>
        <w:tab/>
      </w:r>
      <w:r>
        <w:t>Zahlungen: als Geldleistung oder Sachleistung entrichtete Beträge im Zusammenhang mit Tätigkeiten in der mineralgewinnenden Industrie oder dem Betrieb des Holzeinschlags in Primärwäldern, wenn sie auf einem der nachfolgend bezeichneten Gründe beruhen:</w:t>
      </w:r>
    </w:p>
    <w:p>
      <w:pPr>
        <w:tabs>
          <w:tab w:pos="1134" w:val="left"/>
        </w:tabs>
        <w:ind w:left="1134" w:hanging="567"/>
      </w:pPr>
      <w:r>
        <w:t>a)</w:t>
      </w:r>
      <w:r>
        <w:tab/>
      </w:r>
      <w:r>
        <w:t>Produktionszahlungsansprüche,</w:t>
      </w:r>
    </w:p>
    <w:p>
      <w:pPr>
        <w:tabs>
          <w:tab w:pos="1134" w:val="left"/>
        </w:tabs>
        <w:ind w:left="1134" w:hanging="567"/>
      </w:pPr>
      <w:r>
        <w:t>b)</w:t>
      </w:r>
      <w:r>
        <w:tab/>
      </w:r>
      <w:r>
        <w:t>Steuern, die auf die Erträge, die Produktion oder die Gewinne von Kapitalgesellschaften erhoben werden; ausgenommen sind Verbrauchsteuern, Umsatzsteuern, Mehrwertsteuern sowie Lohnsteuern der in Kapitalgesellschaften beschäftigten Arbeitnehmer und vergleichbare Steuern,</w:t>
      </w:r>
    </w:p>
    <w:p>
      <w:pPr>
        <w:tabs>
          <w:tab w:pos="1134" w:val="left"/>
        </w:tabs>
        <w:ind w:left="1134" w:hanging="567"/>
      </w:pPr>
      <w:r>
        <w:t>c)</w:t>
      </w:r>
      <w:r>
        <w:tab/>
      </w:r>
      <w:r>
        <w:t>Nutzungsentgelte,</w:t>
      </w:r>
    </w:p>
    <w:p>
      <w:pPr>
        <w:tabs>
          <w:tab w:pos="1134" w:val="left"/>
        </w:tabs>
        <w:ind w:left="1134" w:hanging="567"/>
      </w:pPr>
      <w:r>
        <w:t>d)</w:t>
      </w:r>
      <w:r>
        <w:tab/>
      </w:r>
      <w:r>
        <w:t>Dividenden und andere Gewinnausschüttungen aus Gesellschaftsanteilen,</w:t>
      </w:r>
    </w:p>
    <w:p>
      <w:pPr>
        <w:tabs>
          <w:tab w:pos="1134" w:val="left"/>
        </w:tabs>
        <w:ind w:left="1134" w:hanging="567"/>
      </w:pPr>
      <w:r>
        <w:t>e)</w:t>
      </w:r>
      <w:r>
        <w:tab/>
      </w:r>
      <w:r>
        <w:t>Unterzeichnungs-, Entdeckungs- und Produktionsboni,</w:t>
      </w:r>
    </w:p>
    <w:p>
      <w:pPr>
        <w:tabs>
          <w:tab w:pos="1134" w:val="left"/>
        </w:tabs>
        <w:ind w:left="1134" w:hanging="567"/>
      </w:pPr>
      <w:r>
        <w:t>f)</w:t>
      </w:r>
      <w:r>
        <w:tab/>
      </w:r>
      <w:r>
        <w:t>Lizenz-, Miet- und Zugangsgebühren sowie sonstige Gegenleistungen für Lizenzen oder Konzessionen sowie</w:t>
      </w:r>
    </w:p>
    <w:p>
      <w:pPr>
        <w:tabs>
          <w:tab w:pos="1134" w:val="left"/>
        </w:tabs>
        <w:ind w:left="1134" w:hanging="567"/>
      </w:pPr>
      <w:r>
        <w:t>g)</w:t>
      </w:r>
      <w:r>
        <w:tab/>
      </w:r>
      <w:r>
        <w:t>Zahlungen für die Verbesserung der Infrastruktur;</w:t>
      </w:r>
    </w:p>
    <w:p>
      <w:pPr>
        <w:tabs>
          <w:tab w:pos="567" w:val="left"/>
        </w:tabs>
        <w:ind w:left="567" w:hanging="567"/>
      </w:pPr>
      <w:r>
        <w:t>4.</w:t>
      </w:r>
      <w:r>
        <w:tab/>
      </w:r>
      <w:r>
        <w:t xml:space="preserve">staatliche Stellen: nationale, regionale oder lokale Behörden eines Mitgliedstaats der Europäischen Union, eines anderen Vertragsstaats des Abkommens über den Europäischen Wirtschaftsraum oder eines Drittstaats einschließlich der von einer Behörde kontrollierten Abteilungen oder Agenturen sowie Unternehmen, auf die eine dieser Behörden im Sinne von </w:t>
      </w:r>
      <w:hyperlink w:anchor="b306" w:history="1">
        <w:r>
          <w:rPr>
            <w:color w:val="0A3A8C"/>
            <w:u w:val="single"/>
          </w:rPr>
          <w:t xml:space="preserve">§ 290</w:t>
        </w:r>
      </w:hyperlink>
      <w:r>
        <w:t xml:space="preserve"> beherrschenden Einfluss ausüben kann;</w:t>
      </w:r>
    </w:p>
    <w:p>
      <w:pPr>
        <w:tabs>
          <w:tab w:pos="567" w:val="left"/>
        </w:tabs>
        <w:ind w:left="567" w:hanging="567"/>
      </w:pPr>
      <w:r>
        <w:t>5.</w:t>
      </w:r>
      <w:r>
        <w:tab/>
      </w:r>
      <w:r>
        <w:t>Projekte: die Zusammenfassung operativer Tätigkeiten, die die Grundlage für Zahlungsverpflichtungen gegenüber einer staatlichen Stelle bilden und sich richten nach</w:t>
      </w:r>
    </w:p>
    <w:p>
      <w:pPr>
        <w:tabs>
          <w:tab w:pos="1134" w:val="left"/>
        </w:tabs>
        <w:ind w:left="1134" w:hanging="567"/>
      </w:pPr>
      <w:r>
        <w:t>a)</w:t>
      </w:r>
      <w:r>
        <w:tab/>
      </w:r>
      <w:r>
        <w:t>einem Vertrag, einer Lizenz, einem Mietvertrag, einer Konzession oder einer ähnlichen rechtlichen Vereinbarung oder</w:t>
      </w:r>
    </w:p>
    <w:p>
      <w:pPr>
        <w:tabs>
          <w:tab w:pos="1134" w:val="left"/>
        </w:tabs>
        <w:ind w:left="1134" w:hanging="567"/>
      </w:pPr>
      <w:r>
        <w:t>b)</w:t>
      </w:r>
      <w:r>
        <w:tab/>
      </w:r>
      <w:r>
        <w:t>einer Gesamtheit von operativ und geografisch verbundenen Verträgen, Lizenzen, Mietverträgen oder Konzessionen oder damit verbundenen Vereinbarungen mit einer staatlichen Stelle, die im Wesentlichen ähnliche Bedingungen vorsehen;</w:t>
      </w:r>
    </w:p>
    <w:p>
      <w:pPr>
        <w:tabs>
          <w:tab w:pos="567" w:val="left"/>
        </w:tabs>
        <w:ind w:left="567" w:hanging="567"/>
      </w:pPr>
      <w:r>
        <w:t>6.</w:t>
      </w:r>
      <w:r>
        <w:tab/>
      </w:r>
      <w:r>
        <w:t>Zahlungsberichte: Berichte über Zahlungen von Kapitalgesellschaften an staatliche Stellen im Zusammenhang mit ihrer Tätigkeit in der mineralgewinnenden Industrie oder mit dem Betrieb des Holzeinschlags in Primärwäldern;</w:t>
      </w:r>
    </w:p>
    <w:p>
      <w:pPr>
        <w:tabs>
          <w:tab w:pos="567" w:val="left"/>
        </w:tabs>
        <w:ind w:left="567" w:hanging="567"/>
      </w:pPr>
      <w:r>
        <w:t>7.</w:t>
      </w:r>
      <w:r>
        <w:tab/>
      </w:r>
      <w:r>
        <w:t>Konzernzahlungsberichte: Zahlungsberichte von Mutterunternehmen über Zahlungen aller einbezogenen Unternehmen an staatliche Stellen auf konsolidierter Ebene, die im Zusammenhang mit ihrer Tätigkeit in der mineralgewinnenden Industrie oder mit dem Betrieb des Holzeinschlags in Primärwäldern stehen;</w:t>
      </w:r>
    </w:p>
    <w:p>
      <w:pPr>
        <w:tabs>
          <w:tab w:pos="567" w:val="left"/>
        </w:tabs>
        <w:ind w:left="567" w:hanging="567"/>
      </w:pPr>
      <w:r>
        <w:t>8.</w:t>
      </w:r>
      <w:r>
        <w:tab/>
      </w:r>
      <w:r>
        <w:t>Berichtszeitraum: das Geschäftsjahr der Kapitalgesellschaft oder des Mutterunternehmens, das den Zahlungsbericht oder Konzernzahlungsbericht zu erstellen hat.</w:t>
      </w:r>
    </w:p>
    <w:p>
      <w:pPr>
        <w:pStyle w:val="Heading4"/>
      </w:pPr>
      <w:bookmarkStart w:id="449" w:name="b448"/>
      <w:r>
        <w:t>Zweiter Titel Zahlungsbericht, Konzernzahlungsbericht und Offenlegung</w:t>
      </w:r>
      <w:bookmarkEnd w:id="449"/>
    </w:p>
    <w:p>
      <w:pPr>
        <w:pStyle w:val="Heading5"/>
      </w:pPr>
      <w:bookmarkStart w:id="450" w:name="b449"/>
      <w:r>
        <w:t>§ 341s Pflicht zur Erstellung des Zahlungsberichts; Befreiungen</w:t>
      </w:r>
      <w:r>
        <w:t xml:space="preserve"> </w:t>
      </w:r>
      <w:r>
        <w:rPr>
          <w:rStyle w:val="Suchmarke"/>
        </w:rPr>
        <w:t>#341s#</w:t>
      </w:r>
      <w:bookmarkEnd w:id="450"/>
    </w:p>
    <w:p>
      <w:r>
        <w:t xml:space="preserve">(1) Kapitalgesellschaften im Sinne des </w:t>
      </w:r>
      <w:hyperlink w:anchor="b446" w:history="1">
        <w:r>
          <w:rPr>
            <w:color w:val="0A3A8C"/>
            <w:u w:val="single"/>
          </w:rPr>
          <w:t xml:space="preserve">§ 341q</w:t>
        </w:r>
      </w:hyperlink>
      <w:r>
        <w:t xml:space="preserve"> haben jährlich einen Zahlungsbericht zu erstellen.</w:t>
      </w:r>
    </w:p>
    <w:p>
      <w:r>
        <w:t xml:space="preserve">(2) </w:t>
      </w:r>
      <w:r>
        <w:rPr>
          <w:rStyle w:val="Satznummer"/>
        </w:rPr>
        <w:t>1</w:t>
      </w:r>
      <w:r>
        <w:t xml:space="preserve">Ist die Kapitalgesellschaft in den von ihr oder einem anderen Unternehmen mit Sitz in einem Mitgliedstaat der Europäischen Union oder einem anderen Vertragsstaat des Abkommens über den Europäischen Wirtschaftsraum erstellten Konzernzahlungsbericht einbezogen, braucht sie keinen Zahlungsbericht zu erstellen. </w:t>
      </w:r>
      <w:r>
        <w:rPr>
          <w:rStyle w:val="Satznummer"/>
        </w:rPr>
        <w:t>2</w:t>
      </w:r>
      <w:r>
        <w:t>In diesem Fall hat die Kapitalgesellschaft im Anhang des Jahresabschlusses anzugeben, bei welchem Unternehmen sie in den Konzernzahlungsbericht einbezogen ist und wo dieser erhältlich ist.</w:t>
      </w:r>
    </w:p>
    <w:p>
      <w:r>
        <w:t xml:space="preserve">(3) </w:t>
      </w:r>
      <w:r>
        <w:rPr>
          <w:rStyle w:val="Satznummer"/>
        </w:rPr>
        <w:t>1</w:t>
      </w:r>
      <w:r>
        <w:t xml:space="preserve">Hat die Kapitalgesellschaft einen Bericht im Einklang mit den Rechtsvorschriften eines Drittstaats, dessen Berichtspflichten die Europäische Kommission im Verfahren nach Artikel 47 der Richtlinie 2013/34/EU als gleichwertig bewertet hat, erstellt und diesen Bericht nach </w:t>
      </w:r>
      <w:hyperlink w:anchor="b453" w:history="1">
        <w:r>
          <w:rPr>
            <w:color w:val="0A3A8C"/>
            <w:u w:val="single"/>
          </w:rPr>
          <w:t xml:space="preserve">§ 341w</w:t>
        </w:r>
      </w:hyperlink>
      <w:r>
        <w:t xml:space="preserve"> offengelegt, braucht sie den Zahlungsbericht nicht zu erstellen. </w:t>
      </w:r>
      <w:r>
        <w:rPr>
          <w:rStyle w:val="Satznummer"/>
        </w:rPr>
        <w:t>2</w:t>
      </w:r>
      <w:r>
        <w:t xml:space="preserve">Auf die Offenlegung dieses Berichts ist </w:t>
      </w:r>
      <w:hyperlink w:anchor="b365" w:history="1">
        <w:r>
          <w:rPr>
            <w:color w:val="0A3A8C"/>
            <w:u w:val="single"/>
          </w:rPr>
          <w:t xml:space="preserve">§ 325a</w:t>
        </w:r>
      </w:hyperlink>
      <w:r>
        <w:t xml:space="preserve"> Absatz 1 Satz 5 entsprechend anzuwenden.</w:t>
      </w:r>
    </w:p>
    <w:p>
      <w:pPr>
        <w:pStyle w:val="Heading5"/>
      </w:pPr>
      <w:bookmarkStart w:id="451" w:name="b450"/>
      <w:r>
        <w:t>§ 341t Inhalt des Zahlungsberichts</w:t>
      </w:r>
      <w:r>
        <w:t xml:space="preserve"> </w:t>
      </w:r>
      <w:r>
        <w:rPr>
          <w:rStyle w:val="Suchmarke"/>
        </w:rPr>
        <w:t>#341t#</w:t>
      </w:r>
      <w:bookmarkEnd w:id="451"/>
    </w:p>
    <w:p>
      <w:r>
        <w:t xml:space="preserve">(1) </w:t>
      </w:r>
      <w:r>
        <w:rPr>
          <w:rStyle w:val="Satznummer"/>
        </w:rPr>
        <w:t>1</w:t>
      </w:r>
      <w:r>
        <w:t xml:space="preserve">In dem Zahlungsbericht hat die Kapitalgesellschaft anzugeben, welche Zahlungen sie im Berichtszeitraum an staatliche Stellen im Zusammenhang mit ihrer Geschäftstätigkeit in der mineralgewinnenden Industrie oder mit dem Betrieb des Holzeinschlags in Primärwäldern geleistet hat. </w:t>
      </w:r>
      <w:r>
        <w:rPr>
          <w:rStyle w:val="Satznummer"/>
        </w:rPr>
        <w:t>2</w:t>
      </w:r>
      <w:r>
        <w:t xml:space="preserve">Andere Zahlungen dürfen in den Zahlungsbericht nicht einbezogen werden. </w:t>
      </w:r>
      <w:r>
        <w:rPr>
          <w:rStyle w:val="Satznummer"/>
        </w:rPr>
        <w:t>3</w:t>
      </w:r>
      <w:r>
        <w:t>Hat eine zur Erstellung eines Zahlungsberichts verpflichtete Kapitalgesellschaft in einem Berichtszeitraum an keine staatliche Stelle berichtspflichtige Zahlungen geleistet, hat sie im Zahlungsbericht für den betreffenden Berichtszeitraum nur anzugeben, dass eine Geschäftstätigkeit in der mineralgewinnenden Industrie ausgeübt oder Holzeinschlag in Primärwäldern betrieben wurde, ohne dass Zahlungen geleistet wurden.</w:t>
      </w:r>
    </w:p>
    <w:p>
      <w:r>
        <w:t>(2) Die Kapitalgesellschaft hat nur über staatliche Stellen zu berichten, an die sie Zahlungen unmittelbar erbracht hat; das gilt auch dann, wenn eine staatliche Stelle die Zahlung für mehrere verschiedene staatliche Stellen einzieht.</w:t>
      </w:r>
    </w:p>
    <w:p>
      <w:r>
        <w:t>(3) Ist eine staatliche Stelle stimmberechtigter Gesellschafter oder Aktionär der Kapitalgesellschaft, so müssen gezahlte Dividenden oder Gewinnanteile nur berücksichtigt werden, wenn sie</w:t>
      </w:r>
    </w:p>
    <w:p>
      <w:pPr>
        <w:tabs>
          <w:tab w:pos="567" w:val="left"/>
        </w:tabs>
        <w:ind w:left="567" w:hanging="567"/>
      </w:pPr>
      <w:r>
        <w:t>1.</w:t>
      </w:r>
      <w:r>
        <w:tab/>
      </w:r>
      <w:r>
        <w:t>nicht unter denselben Bedingungen wie an andere Gesellschafter oder Aktionäre mit vergleichbaren Anteilen oder Aktien gleicher Gattung gezahlt wurden oder</w:t>
      </w:r>
    </w:p>
    <w:p>
      <w:pPr>
        <w:tabs>
          <w:tab w:pos="567" w:val="left"/>
        </w:tabs>
        <w:ind w:left="567" w:hanging="567"/>
      </w:pPr>
      <w:r>
        <w:t>2.</w:t>
      </w:r>
      <w:r>
        <w:tab/>
      </w:r>
      <w:r>
        <w:t>anstelle von Produktionsrechten oder Nutzungsentgelten gezahlt wurden.</w:t>
      </w:r>
    </w:p>
    <w:p>
      <w:r>
        <w:t xml:space="preserve">(4) </w:t>
      </w:r>
      <w:r>
        <w:rPr>
          <w:rStyle w:val="Satznummer"/>
        </w:rPr>
        <w:t>1</w:t>
      </w:r>
      <w:r>
        <w:t xml:space="preserve">Die Kapitalgesellschaft braucht Zahlungen unabhängig davon, ob sie als eine Einmalzahlung oder als eine Reihe verbundener Zahlungen geleistet werden, nicht in dem Zahlungsbericht zu berücksichtigen, wenn sie im Berichtszeitraum 100 000 Euro unterschreiten. </w:t>
      </w:r>
      <w:r>
        <w:rPr>
          <w:rStyle w:val="Satznummer"/>
        </w:rPr>
        <w:t>2</w:t>
      </w:r>
      <w:r>
        <w:t xml:space="preserve">Im Falle einer bestehenden Vereinbarung über regelmäßige Zahlungen ist der Gesamtbetrag der verbundenen regelmäßigen Zahlungen oder Raten im Berichtszeitraum zu betrachten. </w:t>
      </w:r>
      <w:r>
        <w:rPr>
          <w:rStyle w:val="Satznummer"/>
        </w:rPr>
        <w:t>3</w:t>
      </w:r>
      <w:r>
        <w:t>Eine staatliche Stelle, an die im Berichtszeitraum insgesamt weniger als 100 000 Euro gezahlt worden sind, braucht im Zahlungsbericht nicht berücksichtigt zu werden.</w:t>
      </w:r>
    </w:p>
    <w:p>
      <w:r>
        <w:t xml:space="preserve">(5) </w:t>
      </w:r>
      <w:r>
        <w:rPr>
          <w:rStyle w:val="Satznummer"/>
        </w:rPr>
        <w:t>1</w:t>
      </w:r>
      <w:r>
        <w:t xml:space="preserve">Werden Zahlungen als Sachleistungen getätigt, werden sie ihrem Wert und gegebenenfalls ihrem Umfang nach berücksichtigt. </w:t>
      </w:r>
      <w:r>
        <w:rPr>
          <w:rStyle w:val="Satznummer"/>
        </w:rPr>
        <w:t>2</w:t>
      </w:r>
      <w:r>
        <w:t>Im Zahlungsbericht ist gegebenenfalls zu erläutern, wie der Wert festgelegt worden ist.</w:t>
      </w:r>
    </w:p>
    <w:p>
      <w:r>
        <w:t xml:space="preserve">(6) </w:t>
      </w:r>
      <w:r>
        <w:rPr>
          <w:rStyle w:val="Satznummer"/>
        </w:rPr>
        <w:t>1</w:t>
      </w:r>
      <w:r>
        <w:t xml:space="preserve">Bei der Angabe von Zahlungen wird auf den Inhalt der betreffenden Zahlung oder Tätigkeit und nicht auf deren Form Bezug genommen. </w:t>
      </w:r>
      <w:r>
        <w:rPr>
          <w:rStyle w:val="Satznummer"/>
        </w:rPr>
        <w:t>2</w:t>
      </w:r>
      <w:r>
        <w:t>Zahlungen und Tätigkeiten dürfen nicht künstlich mit dem Ziel aufgeteilt oder zusammengefasst werden, die Anwendung dieses Unterabschnitts zu umgehen.</w:t>
      </w:r>
    </w:p>
    <w:p>
      <w:pPr>
        <w:pStyle w:val="Heading5"/>
      </w:pPr>
      <w:bookmarkStart w:id="452" w:name="b451"/>
      <w:r>
        <w:t>§ 341u Gliederung des Zahlungsberichts</w:t>
      </w:r>
      <w:r>
        <w:t xml:space="preserve"> </w:t>
      </w:r>
      <w:r>
        <w:rPr>
          <w:rStyle w:val="Suchmarke"/>
        </w:rPr>
        <w:t>#341u#</w:t>
      </w:r>
      <w:bookmarkEnd w:id="452"/>
    </w:p>
    <w:p>
      <w:r>
        <w:t xml:space="preserve">(1) </w:t>
      </w:r>
      <w:r>
        <w:rPr>
          <w:rStyle w:val="Satznummer"/>
        </w:rPr>
        <w:t>1</w:t>
      </w:r>
      <w:r>
        <w:t xml:space="preserve">Der Zahlungsbericht ist nach Staaten zu gliedern. </w:t>
      </w:r>
      <w:r>
        <w:rPr>
          <w:rStyle w:val="Satznummer"/>
        </w:rPr>
        <w:t>2</w:t>
      </w:r>
      <w:r>
        <w:t xml:space="preserve">Für jeden Staat hat die Kapitalgesellschaft diejenigen staatlichen Stellen zu bezeichnen, an die sie innerhalb des Berichtszeitraums Zahlungen geleistet hat. </w:t>
      </w:r>
      <w:r>
        <w:rPr>
          <w:rStyle w:val="Satznummer"/>
        </w:rPr>
        <w:t>3</w:t>
      </w:r>
      <w:r>
        <w:t xml:space="preserve">Die Bezeichnung der staatlichen Stelle muss eine eindeutige Zuordnung ermöglichen. </w:t>
      </w:r>
      <w:r>
        <w:rPr>
          <w:rStyle w:val="Satznummer"/>
        </w:rPr>
        <w:t>4</w:t>
      </w:r>
      <w:r>
        <w:t xml:space="preserve">Dazu genügt es in der Regel, die amtliche Bezeichnung der staatlichen Stelle zu verwenden und zusätzlich anzugeben, an welchem Ort und in welcher Region des Staates die Stelle ansässig ist. </w:t>
      </w:r>
      <w:r>
        <w:rPr>
          <w:rStyle w:val="Satznummer"/>
        </w:rPr>
        <w:t>5</w:t>
      </w:r>
      <w:r>
        <w:t>Die Kapitalgesellschaft braucht die Zahlungen nicht danach aufzugliedern, auf welche Rohstoffe sie sich beziehen.</w:t>
      </w:r>
    </w:p>
    <w:p>
      <w:r>
        <w:t>(2) Zu jeder staatlichen Stelle hat die Kapitalgesellschaft folgende Angaben zu machen:</w:t>
      </w:r>
    </w:p>
    <w:p>
      <w:pPr>
        <w:tabs>
          <w:tab w:pos="567" w:val="left"/>
        </w:tabs>
        <w:ind w:left="567" w:hanging="567"/>
      </w:pPr>
      <w:r>
        <w:t>1.</w:t>
      </w:r>
      <w:r>
        <w:tab/>
      </w:r>
      <w:r>
        <w:t>den Gesamtbetrag aller an diese staatliche Stelle geleisteten Zahlungen und</w:t>
      </w:r>
    </w:p>
    <w:p>
      <w:pPr>
        <w:tabs>
          <w:tab w:pos="567" w:val="left"/>
        </w:tabs>
        <w:ind w:left="567" w:hanging="567"/>
      </w:pPr>
      <w:r>
        <w:t>2.</w:t>
      </w:r>
      <w:r>
        <w:tab/>
      </w:r>
      <w:r>
        <w:t xml:space="preserve">die Gesamtbeträge getrennt nach den in § 341r Nummer 3 Buchstabe a bis g benannten Zahlungsgründen; zur Bezeichnung der Zahlungsgründe genügt die Angabe des nach </w:t>
      </w:r>
      <w:hyperlink w:anchor="b447" w:history="1">
        <w:r>
          <w:rPr>
            <w:color w:val="0A3A8C"/>
            <w:u w:val="single"/>
          </w:rPr>
          <w:t xml:space="preserve">§ 341r</w:t>
        </w:r>
      </w:hyperlink>
      <w:r>
        <w:t xml:space="preserve"> Nummer 3 maßgeblichen Buchstabens.</w:t>
      </w:r>
    </w:p>
    <w:p>
      <w:r>
        <w:t>(3) Wenn Zahlungen an eine staatliche Stelle für mehr als ein Projekt geleistet wurden, sind für jedes Projekt ergänzend folgende Angaben zu machen:</w:t>
      </w:r>
    </w:p>
    <w:p>
      <w:pPr>
        <w:tabs>
          <w:tab w:pos="567" w:val="left"/>
        </w:tabs>
        <w:ind w:left="567" w:hanging="567"/>
      </w:pPr>
      <w:r>
        <w:t>1.</w:t>
      </w:r>
      <w:r>
        <w:tab/>
      </w:r>
      <w:r>
        <w:t>eine eindeutige Bezeichnung des Projekts,</w:t>
      </w:r>
    </w:p>
    <w:p>
      <w:pPr>
        <w:tabs>
          <w:tab w:pos="567" w:val="left"/>
        </w:tabs>
        <w:ind w:left="567" w:hanging="567"/>
      </w:pPr>
      <w:r>
        <w:t>2.</w:t>
      </w:r>
      <w:r>
        <w:tab/>
      </w:r>
      <w:r>
        <w:t>den Gesamtbetrag aller in Bezug auf das Projekt an diese staatliche Stelle geleisteten Zahlungen und</w:t>
      </w:r>
    </w:p>
    <w:p>
      <w:pPr>
        <w:tabs>
          <w:tab w:pos="567" w:val="left"/>
        </w:tabs>
        <w:ind w:left="567" w:hanging="567"/>
      </w:pPr>
      <w:r>
        <w:t>3.</w:t>
      </w:r>
      <w:r>
        <w:tab/>
      </w:r>
      <w:r>
        <w:t xml:space="preserve">die Gesamtbeträge getrennt nach den in § 341r Nummer 3 Buchstabe a bis g benannten Zahlungsgründen, die an diese staatliche Stelle in Bezug auf das Projekt geleistet wurden; zur Bezeichnung der Zahlungsgründe genügt die Angabe des nach </w:t>
      </w:r>
      <w:hyperlink w:anchor="b447" w:history="1">
        <w:r>
          <w:rPr>
            <w:color w:val="0A3A8C"/>
            <w:u w:val="single"/>
          </w:rPr>
          <w:t xml:space="preserve">§ 341r</w:t>
        </w:r>
      </w:hyperlink>
      <w:r>
        <w:t xml:space="preserve"> Nummer 3 maßgeblichen Buchstabens.</w:t>
      </w:r>
    </w:p>
    <w:p>
      <w:r>
        <w:t>(4) Angaben nach Absatz 3 sind nicht erforderlich für Zahlungen zur Erfüllung von Verpflichtungen, die der Kapitalgesellschaft ohne Zuordnung zu einem bestimmten Projekt auferlegt werden.</w:t>
      </w:r>
    </w:p>
    <w:p>
      <w:pPr>
        <w:pStyle w:val="Heading5"/>
      </w:pPr>
      <w:bookmarkStart w:id="453" w:name="b452"/>
      <w:r>
        <w:t>§ 341v Konzernzahlungsbericht; Befreiung</w:t>
      </w:r>
      <w:r>
        <w:t xml:space="preserve"> </w:t>
      </w:r>
      <w:r>
        <w:rPr>
          <w:rStyle w:val="Suchmarke"/>
        </w:rPr>
        <w:t>#341v#</w:t>
      </w:r>
      <w:bookmarkEnd w:id="453"/>
    </w:p>
    <w:p>
      <w:r>
        <w:t xml:space="preserve">(1) </w:t>
      </w:r>
      <w:r>
        <w:rPr>
          <w:rStyle w:val="Satznummer"/>
        </w:rPr>
        <w:t>1</w:t>
      </w:r>
      <w:r>
        <w:t xml:space="preserve">Kapitalgesellschaften im Sinne des </w:t>
      </w:r>
      <w:hyperlink w:anchor="b446" w:history="1">
        <w:r>
          <w:rPr>
            <w:color w:val="0A3A8C"/>
            <w:u w:val="single"/>
          </w:rPr>
          <w:t xml:space="preserve">§ 341q</w:t>
        </w:r>
      </w:hyperlink>
      <w:r>
        <w:t>, die Mutterunternehmen (</w:t>
      </w:r>
      <w:hyperlink w:anchor="b306" w:history="1">
        <w:r>
          <w:rPr>
            <w:color w:val="0A3A8C"/>
            <w:u w:val="single"/>
          </w:rPr>
          <w:t xml:space="preserve">§ 290</w:t>
        </w:r>
      </w:hyperlink>
      <w:r>
        <w:t xml:space="preserve">) sind, haben jährlich einen Konzernzahlungsbericht zu erstellen. </w:t>
      </w:r>
      <w:r>
        <w:rPr>
          <w:rStyle w:val="Satznummer"/>
        </w:rPr>
        <w:t>2</w:t>
      </w:r>
      <w:r>
        <w:t>Mutterunternehmen sind auch dann in der mineralgewinnenden Industrie tätig oder betreiben Holzeinschlag in Primärwäldern, wenn diese Voraussetzungen nur auf eines ihrer Tochterunternehmen zutreffen.</w:t>
      </w:r>
    </w:p>
    <w:p>
      <w:r>
        <w:t>(2) Ein Mutterunternehmen ist nicht zur Erstellung eines Konzernzahlungsberichts verpflichtet, wenn es zugleich ein Tochterunternehmen eines anderen Mutterunternehmens mit Sitz in einem Mitgliedstaat der Europäischen Union oder in einem anderen Vertragsstaat des Abkommens über den Europäischen Wirtschaftsraum ist.</w:t>
      </w:r>
    </w:p>
    <w:p>
      <w:r>
        <w:t>(3) In den Konzernzahlungsbericht sind das Mutterunternehmen und alle Tochterunternehmen unabhängig von deren Sitz einzubeziehen; die auf den Konzernabschluss angewandten Vorschriften sind entsprechend anzuwenden, soweit in den nachstehenden Absätzen nichts anderes bestimmt ist.</w:t>
      </w:r>
    </w:p>
    <w:p>
      <w:r>
        <w:t xml:space="preserve">(4) </w:t>
      </w:r>
      <w:r>
        <w:rPr>
          <w:rStyle w:val="Satznummer"/>
        </w:rPr>
        <w:t>1</w:t>
      </w:r>
      <w:r>
        <w:t xml:space="preserve">Unternehmen, die nicht in der mineralgewinnenden Industrie tätig sind und keinen Holzeinschlag in Primärwäldern betreiben, sind nicht nach Absatz 3 einzubeziehen. </w:t>
      </w:r>
      <w:r>
        <w:rPr>
          <w:rStyle w:val="Satznummer"/>
        </w:rPr>
        <w:t>2</w:t>
      </w:r>
      <w:r>
        <w:t>Ein Unternehmen braucht nicht in den Konzernzahlungsbericht einbezogen zu werden, wenn es</w:t>
      </w:r>
    </w:p>
    <w:p>
      <w:pPr>
        <w:tabs>
          <w:tab w:pos="567" w:val="left"/>
        </w:tabs>
        <w:ind w:left="567" w:hanging="567"/>
      </w:pPr>
      <w:r>
        <w:t>1.</w:t>
      </w:r>
      <w:r>
        <w:tab/>
      </w:r>
      <w:r>
        <w:t xml:space="preserve">nach </w:t>
      </w:r>
      <w:hyperlink w:anchor="b314" w:history="1">
        <w:r>
          <w:rPr>
            <w:color w:val="0A3A8C"/>
            <w:u w:val="single"/>
          </w:rPr>
          <w:t xml:space="preserve">§ 296</w:t>
        </w:r>
      </w:hyperlink>
      <w:r>
        <w:t xml:space="preserve"> Absatz 1 Nummer 1 oder 3 nicht in den Konzernabschluss einbezogen wurde,</w:t>
      </w:r>
    </w:p>
    <w:p>
      <w:pPr>
        <w:tabs>
          <w:tab w:pos="567" w:val="left"/>
        </w:tabs>
        <w:ind w:left="567" w:hanging="567"/>
      </w:pPr>
      <w:r>
        <w:t>2.</w:t>
      </w:r>
      <w:r>
        <w:tab/>
      </w:r>
      <w:r>
        <w:t xml:space="preserve">nach </w:t>
      </w:r>
      <w:hyperlink w:anchor="b314" w:history="1">
        <w:r>
          <w:rPr>
            <w:color w:val="0A3A8C"/>
            <w:u w:val="single"/>
          </w:rPr>
          <w:t xml:space="preserve">§ 296</w:t>
        </w:r>
      </w:hyperlink>
      <w:r>
        <w:t xml:space="preserve"> Absatz 1 Nummer 2 nicht in den Konzernabschluss einbezogen wurde und die für die Erstellung des Konzernzahlungsberichts erforderlichen Angaben ebenfalls nur mit unverhältnismäßig hohen Kosten oder ungebührlichen Verzögerungen zu erhalten sind.</w:t>
      </w:r>
    </w:p>
    <w:p>
      <w:r>
        <w:t xml:space="preserve">(5) </w:t>
      </w:r>
      <w:r>
        <w:rPr>
          <w:rStyle w:val="Satznummer"/>
        </w:rPr>
        <w:t>1</w:t>
      </w:r>
      <w:r>
        <w:t xml:space="preserve">Auf den Konzernzahlungsbericht sind die </w:t>
      </w:r>
      <w:hyperlink w:anchor="b449" w:history="1">
        <w:r>
          <w:rPr>
            <w:color w:val="0A3A8C"/>
            <w:u w:val="single"/>
          </w:rPr>
          <w:t xml:space="preserve">§§ 341s</w:t>
        </w:r>
      </w:hyperlink>
      <w:r>
        <w:t xml:space="preserve"> bis </w:t>
      </w:r>
      <w:hyperlink w:anchor="b451" w:history="1">
        <w:r>
          <w:rPr>
            <w:color w:val="0A3A8C"/>
            <w:u w:val="single"/>
          </w:rPr>
          <w:t xml:space="preserve">341u</w:t>
        </w:r>
      </w:hyperlink>
      <w:r>
        <w:t xml:space="preserve"> entsprechend anzuwenden. </w:t>
      </w:r>
      <w:r>
        <w:rPr>
          <w:rStyle w:val="Satznummer"/>
        </w:rPr>
        <w:t>2</w:t>
      </w:r>
      <w:r>
        <w:t xml:space="preserve">Im Konzernzahlungsbericht sind konsolidierte Angaben über alle Zahlungen an staatliche Stellen zu machen, die von den einbezogenen Unternehmen im Zusammenhang mit ihrer Tätigkeit in der mineralgewinnenden Industrie oder mit dem Holzeinschlag in Primärwäldern geleistet worden sind. </w:t>
      </w:r>
      <w:r>
        <w:rPr>
          <w:rStyle w:val="Satznummer"/>
        </w:rPr>
        <w:t>3</w:t>
      </w:r>
      <w:r>
        <w:t>Das Mutterunternehmen braucht die Zahlungen nicht danach aufzugliedern, auf welche Rohstoffe sie sich beziehen.</w:t>
      </w:r>
    </w:p>
    <w:p>
      <w:pPr>
        <w:pStyle w:val="Heading5"/>
      </w:pPr>
      <w:bookmarkStart w:id="454" w:name="b453"/>
      <w:r>
        <w:t>§ 341w Offenlegung</w:t>
      </w:r>
      <w:r>
        <w:t xml:space="preserve"> </w:t>
      </w:r>
      <w:r>
        <w:rPr>
          <w:rStyle w:val="Suchmarke"/>
        </w:rPr>
        <w:t>#341w#</w:t>
      </w:r>
      <w:bookmarkEnd w:id="454"/>
    </w:p>
    <w:p>
      <w:r>
        <w:t xml:space="preserve">(1) </w:t>
      </w:r>
      <w:r>
        <w:rPr>
          <w:rStyle w:val="Satznummer"/>
        </w:rPr>
        <w:t>1</w:t>
      </w:r>
      <w:r>
        <w:t xml:space="preserve">Die Mitglieder des vertretungsberechtigten Organs einer Kapitalgesellschaft im Sinne des </w:t>
      </w:r>
      <w:hyperlink w:anchor="b446" w:history="1">
        <w:r>
          <w:rPr>
            <w:color w:val="0A3A8C"/>
            <w:u w:val="single"/>
          </w:rPr>
          <w:t xml:space="preserve">§ 341q</w:t>
        </w:r>
      </w:hyperlink>
      <w:r>
        <w:t xml:space="preserve"> haben für diese den Zahlungsbericht spätestens ein Jahr nach dem Abschlussstichtag in deutscher Sprache der das Unternehmensregister führenden Stelle elektronisch zur Einstellung in das Unternehmensregister zu übermitteln. </w:t>
      </w:r>
      <w:r>
        <w:rPr>
          <w:rStyle w:val="Satznummer"/>
        </w:rPr>
        <w:t>2</w:t>
      </w:r>
      <w:r>
        <w:t xml:space="preserve">Im Falle einer Kapitalgesellschaft im Sinne des </w:t>
      </w:r>
      <w:hyperlink w:anchor="b269" w:history="1">
        <w:r>
          <w:rPr>
            <w:color w:val="0A3A8C"/>
            <w:u w:val="single"/>
          </w:rPr>
          <w:t xml:space="preserve">§ 264d</w:t>
        </w:r>
      </w:hyperlink>
      <w:r>
        <w:t xml:space="preserve"> beträgt die Frist abweichend von Satz 1 sechs Monate nach dem Abschlussstichtag.</w:t>
      </w:r>
    </w:p>
    <w:p>
      <w:r>
        <w:t xml:space="preserve">(2) Absatz 1 gilt entsprechend für die Mitglieder des vertretungsberechtigten Organs eines Mutterunternehmens im Sinne des </w:t>
      </w:r>
      <w:hyperlink w:anchor="b452" w:history="1">
        <w:r>
          <w:rPr>
            <w:color w:val="0A3A8C"/>
            <w:u w:val="single"/>
          </w:rPr>
          <w:t xml:space="preserve">§ 341v</w:t>
        </w:r>
      </w:hyperlink>
      <w:r>
        <w:t>, das einen Konzernzahlungsbericht zu erstellen hat.</w:t>
      </w:r>
    </w:p>
    <w:p>
      <w:r>
        <w:t xml:space="preserve">(3) </w:t>
      </w:r>
      <w:hyperlink w:anchor="b364" w:history="1">
        <w:r>
          <w:rPr>
            <w:color w:val="0A3A8C"/>
            <w:u w:val="single"/>
          </w:rPr>
          <w:t xml:space="preserve">§ 325</w:t>
        </w:r>
      </w:hyperlink>
      <w:r>
        <w:t xml:space="preserve"> Absatz 6 sowie </w:t>
      </w:r>
      <w:hyperlink w:anchor="b369" w:history="1">
        <w:r>
          <w:rPr>
            <w:color w:val="0A3A8C"/>
            <w:u w:val="single"/>
          </w:rPr>
          <w:t xml:space="preserve">§ 328</w:t>
        </w:r>
      </w:hyperlink>
      <w:r>
        <w:t xml:space="preserve"> Absatz 1 Satz 1 bis 3, Absatz 1a bis 4 und </w:t>
      </w:r>
      <w:hyperlink w:anchor="b370" w:history="1">
        <w:r>
          <w:rPr>
            <w:color w:val="0A3A8C"/>
            <w:u w:val="single"/>
          </w:rPr>
          <w:t xml:space="preserve">§ 329</w:t>
        </w:r>
      </w:hyperlink>
      <w:r>
        <w:t xml:space="preserve"> Absatz 1, 3 und 4 gelten entsprechend.</w:t>
      </w:r>
    </w:p>
    <w:p>
      <w:pPr>
        <w:pStyle w:val="Heading4"/>
      </w:pPr>
      <w:bookmarkStart w:id="455" w:name="b454"/>
      <w:r>
        <w:t>Dritter Titel Bußgeldvorschriften, Ordnungsgelder</w:t>
      </w:r>
      <w:bookmarkEnd w:id="455"/>
    </w:p>
    <w:p>
      <w:pPr>
        <w:pStyle w:val="Heading5"/>
      </w:pPr>
      <w:bookmarkStart w:id="456" w:name="b455"/>
      <w:r>
        <w:t>§ 341x Bußgeldvorschriften</w:t>
      </w:r>
      <w:r>
        <w:t xml:space="preserve"> </w:t>
      </w:r>
      <w:r>
        <w:rPr>
          <w:rStyle w:val="Suchmarke"/>
        </w:rPr>
        <w:t>#341x#</w:t>
      </w:r>
      <w:bookmarkEnd w:id="456"/>
    </w:p>
    <w:p>
      <w:r>
        <w:t>(1) Ordnungswidrig handelt, wer als Mitglied des vertretungsberechtigten Organs oder des Aufsichtsrats einer Kapitalgesellschaft</w:t>
      </w:r>
    </w:p>
    <w:p>
      <w:pPr>
        <w:tabs>
          <w:tab w:pos="567" w:val="left"/>
        </w:tabs>
        <w:ind w:left="567" w:hanging="567"/>
      </w:pPr>
      <w:r>
        <w:t>1.</w:t>
      </w:r>
      <w:r>
        <w:tab/>
      </w:r>
      <w:r>
        <w:t xml:space="preserve">bei der Erstellung eines Zahlungsberichts einer Vorschrift des </w:t>
      </w:r>
      <w:hyperlink w:anchor="b450" w:history="1">
        <w:r>
          <w:rPr>
            <w:color w:val="0A3A8C"/>
            <w:u w:val="single"/>
          </w:rPr>
          <w:t xml:space="preserve">§ 341t</w:t>
        </w:r>
      </w:hyperlink>
      <w:r>
        <w:t xml:space="preserve"> Absatz 1, 2, 3, 5 oder Absatz 6 oder des </w:t>
      </w:r>
      <w:hyperlink w:anchor="b451" w:history="1">
        <w:r>
          <w:rPr>
            <w:color w:val="0A3A8C"/>
            <w:u w:val="single"/>
          </w:rPr>
          <w:t xml:space="preserve">§ 341u</w:t>
        </w:r>
      </w:hyperlink>
      <w:r>
        <w:t xml:space="preserve"> Absatz 1, 2 oder Absatz 3 über den Inhalt oder die Gliederung des Zahlungsberichts zuwiderhandelt oder</w:t>
      </w:r>
    </w:p>
    <w:p>
      <w:pPr>
        <w:tabs>
          <w:tab w:pos="567" w:val="left"/>
        </w:tabs>
        <w:ind w:left="567" w:hanging="567"/>
      </w:pPr>
      <w:r>
        <w:t>2.</w:t>
      </w:r>
      <w:r>
        <w:tab/>
      </w:r>
      <w:r>
        <w:t xml:space="preserve">bei der Erstellung eines Konzernzahlungsberichts einer Vorschrift des </w:t>
      </w:r>
      <w:hyperlink w:anchor="b452" w:history="1">
        <w:r>
          <w:rPr>
            <w:color w:val="0A3A8C"/>
            <w:u w:val="single"/>
          </w:rPr>
          <w:t xml:space="preserve">§ 341v</w:t>
        </w:r>
      </w:hyperlink>
      <w:r>
        <w:t xml:space="preserve"> Absatz 4 Satz 1 in Verbindung mit </w:t>
      </w:r>
      <w:hyperlink w:anchor="b450" w:history="1">
        <w:r>
          <w:rPr>
            <w:color w:val="0A3A8C"/>
            <w:u w:val="single"/>
          </w:rPr>
          <w:t xml:space="preserve">§ 341t</w:t>
        </w:r>
      </w:hyperlink>
      <w:r>
        <w:t xml:space="preserve"> Absatz 1, 2, 3, 5 oder Absatz 6 oder mit </w:t>
      </w:r>
      <w:hyperlink w:anchor="b451" w:history="1">
        <w:r>
          <w:rPr>
            <w:color w:val="0A3A8C"/>
            <w:u w:val="single"/>
          </w:rPr>
          <w:t xml:space="preserve">§ 341u</w:t>
        </w:r>
      </w:hyperlink>
      <w:r>
        <w:t xml:space="preserve"> Absatz 1, 2 oder Absatz 3 über den Inhalt oder die Gliederung des Konzernzahlungsberichts zuwiderhandelt.</w:t>
      </w:r>
    </w:p>
    <w:p>
      <w:r>
        <w:t>(2) Die Ordnungswidrigkeit kann mit einer Geldbuße bis fünfzigtausend Euro geahndet werden.</w:t>
      </w:r>
    </w:p>
    <w:p>
      <w:r>
        <w:t>(3) Verwaltungsbehörde im Sinne des § 36 Absatz 1 Nummer 1 des Gesetzes über Ordnungswidrigkeiten ist in den Fällen des Absatzes 1 das Bundesamt für Justiz.</w:t>
      </w:r>
    </w:p>
    <w:p>
      <w:r>
        <w:t xml:space="preserve">(4) Die Bestimmungen der Absätze 1 bis 3 gelten auch für die Mitglieder der gesetzlichen Vertretungsorgane von Personenhandelsgesellschaften im Sinne des </w:t>
      </w:r>
      <w:hyperlink w:anchor="b446" w:history="1">
        <w:r>
          <w:rPr>
            <w:color w:val="0A3A8C"/>
            <w:u w:val="single"/>
          </w:rPr>
          <w:t xml:space="preserve">§ 341q</w:t>
        </w:r>
      </w:hyperlink>
      <w:r>
        <w:t xml:space="preserve"> Satz 2.</w:t>
      </w:r>
    </w:p>
    <w:p>
      <w:pPr>
        <w:pStyle w:val="Heading5"/>
      </w:pPr>
      <w:bookmarkStart w:id="457" w:name="b456"/>
      <w:r>
        <w:t>§ 341y Ordnungsgeldvorschriften</w:t>
      </w:r>
      <w:r>
        <w:t xml:space="preserve"> </w:t>
      </w:r>
      <w:r>
        <w:rPr>
          <w:rStyle w:val="Suchmarke"/>
        </w:rPr>
        <w:t>#341y#</w:t>
      </w:r>
      <w:bookmarkEnd w:id="457"/>
    </w:p>
    <w:p>
      <w:r>
        <w:t xml:space="preserve">(1) </w:t>
      </w:r>
      <w:r>
        <w:rPr>
          <w:rStyle w:val="Satznummer"/>
        </w:rPr>
        <w:t>1</w:t>
      </w:r>
      <w:r>
        <w:t xml:space="preserve">Gegen die Mitglieder des vertretungsberechtigten Organs einer Kapitalgesellschaft im Sinne des </w:t>
      </w:r>
      <w:hyperlink w:anchor="b446" w:history="1">
        <w:r>
          <w:rPr>
            <w:color w:val="0A3A8C"/>
            <w:u w:val="single"/>
          </w:rPr>
          <w:t xml:space="preserve">§ 341q</w:t>
        </w:r>
      </w:hyperlink>
      <w:r>
        <w:t xml:space="preserve"> oder eines Mutterunternehmens im Sinne des </w:t>
      </w:r>
      <w:hyperlink w:anchor="b452" w:history="1">
        <w:r>
          <w:rPr>
            <w:color w:val="0A3A8C"/>
            <w:u w:val="single"/>
          </w:rPr>
          <w:t xml:space="preserve">§ 341v</w:t>
        </w:r>
      </w:hyperlink>
      <w:r>
        <w:t xml:space="preserve">, die </w:t>
      </w:r>
      <w:hyperlink w:anchor="b453" w:history="1">
        <w:r>
          <w:rPr>
            <w:color w:val="0A3A8C"/>
            <w:u w:val="single"/>
          </w:rPr>
          <w:t xml:space="preserve">§ 341w</w:t>
        </w:r>
      </w:hyperlink>
      <w:r>
        <w:t xml:space="preserve"> hinsichtlich der Pflicht zur Offenlegung des Zahlungsberichts oder Konzernzahlungsberichts nicht befolgen, hat das Bundesamt für Justiz in entsprechender Anwendung der </w:t>
      </w:r>
      <w:hyperlink w:anchor="b382" w:history="1">
        <w:r>
          <w:rPr>
            <w:color w:val="0A3A8C"/>
            <w:u w:val="single"/>
          </w:rPr>
          <w:t xml:space="preserve">§§ 335</w:t>
        </w:r>
      </w:hyperlink>
      <w:r>
        <w:t xml:space="preserve"> bis </w:t>
      </w:r>
      <w:hyperlink w:anchor="b385" w:history="1">
        <w:r>
          <w:rPr>
            <w:color w:val="0A3A8C"/>
            <w:u w:val="single"/>
          </w:rPr>
          <w:t xml:space="preserve">335b</w:t>
        </w:r>
      </w:hyperlink>
      <w:r>
        <w:t xml:space="preserve"> ein Ordnungsgeldverfahren durchzuführen. </w:t>
      </w:r>
      <w:r>
        <w:rPr>
          <w:rStyle w:val="Satznummer"/>
        </w:rPr>
        <w:t>2</w:t>
      </w:r>
      <w:r>
        <w:t>Das Verfahren kann auch gegen die Kapitalgesellschaft gerichtet werden.</w:t>
      </w:r>
    </w:p>
    <w:p>
      <w:r>
        <w:t xml:space="preserve">(2) </w:t>
      </w:r>
      <w:r>
        <w:rPr>
          <w:rStyle w:val="Satznummer"/>
        </w:rPr>
        <w:t>1</w:t>
      </w:r>
      <w:r>
        <w:t xml:space="preserve">Das Bundesamt für Justiz kann eine Kapitalgesellschaft zur Erklärung auffordern, ob sie im Sinne des § 341q in der mineralgewinnenden Industrie tätig ist oder Holzeinschlag in Primärwäldern betreibt, und eine angemessene Frist setzen. </w:t>
      </w:r>
      <w:r>
        <w:rPr>
          <w:rStyle w:val="Satznummer"/>
        </w:rPr>
        <w:t>2</w:t>
      </w:r>
      <w:r>
        <w:t xml:space="preserve">Die Aufforderung ist zu begründen. </w:t>
      </w:r>
      <w:r>
        <w:rPr>
          <w:rStyle w:val="Satznummer"/>
        </w:rPr>
        <w:t>3</w:t>
      </w:r>
      <w:r>
        <w:t xml:space="preserve">Gibt die Kapitalgesellschaft innerhalb der Frist keine Erklärung ab, wird für die Einleitung des Verfahrens nach Absatz 1 vermutet, dass die Gesellschaft in den Anwendungsbereich des </w:t>
      </w:r>
      <w:hyperlink w:anchor="b446" w:history="1">
        <w:r>
          <w:rPr>
            <w:color w:val="0A3A8C"/>
            <w:u w:val="single"/>
          </w:rPr>
          <w:t xml:space="preserve">§ 341q</w:t>
        </w:r>
      </w:hyperlink>
      <w:r>
        <w:t xml:space="preserve"> fällt. </w:t>
      </w:r>
      <w:r>
        <w:rPr>
          <w:rStyle w:val="Satznummer"/>
        </w:rPr>
        <w:t>4</w:t>
      </w:r>
      <w:r>
        <w:t xml:space="preserve">Die Sätze 1 bis 3 sind entsprechend anzuwenden, wenn das Bundesamt für Justiz Anlass für die Annahme hat, dass eine Kapitalgesellschaft ein Mutterunternehmen im Sinne des </w:t>
      </w:r>
      <w:hyperlink w:anchor="b452" w:history="1">
        <w:r>
          <w:rPr>
            <w:color w:val="0A3A8C"/>
            <w:u w:val="single"/>
          </w:rPr>
          <w:t xml:space="preserve">§ 341v</w:t>
        </w:r>
      </w:hyperlink>
      <w:r>
        <w:t xml:space="preserve"> Absatz 1 ist.</w:t>
      </w:r>
    </w:p>
    <w:p>
      <w:r>
        <w:t xml:space="preserve">(3) Die vorstehenden Absätze gelten entsprechend für Personenhandelsgesellschaften im Sinne des </w:t>
      </w:r>
      <w:hyperlink w:anchor="b446" w:history="1">
        <w:r>
          <w:rPr>
            <w:color w:val="0A3A8C"/>
            <w:u w:val="single"/>
          </w:rPr>
          <w:t xml:space="preserve">§ 341q</w:t>
        </w:r>
      </w:hyperlink>
      <w:r>
        <w:t xml:space="preserve"> Satz 2.</w:t>
      </w:r>
    </w:p>
    <w:p>
      <w:pPr>
        <w:pStyle w:val="Heading3"/>
      </w:pPr>
      <w:bookmarkStart w:id="458" w:name="b457"/>
      <w:r>
        <w:t>Vierter Unterabschnitt Ergänzende Vorschriften für bestimmte umsatzstarke multinationale Unternehmen und Konzerne</w:t>
      </w:r>
      <w:bookmarkEnd w:id="458"/>
    </w:p>
    <w:p>
      <w:pPr>
        <w:pStyle w:val="Heading4"/>
      </w:pPr>
      <w:bookmarkStart w:id="459" w:name="b458"/>
      <w:r>
        <w:t>Erster Titel Anwendungsbereich; Begriffsbestimmungen</w:t>
      </w:r>
      <w:bookmarkEnd w:id="459"/>
    </w:p>
    <w:p>
      <w:pPr>
        <w:pStyle w:val="Heading5"/>
      </w:pPr>
      <w:bookmarkStart w:id="460" w:name="b459"/>
      <w:r>
        <w:t>§ 342 Anwendungsbereich</w:t>
      </w:r>
      <w:r>
        <w:t xml:space="preserve"> </w:t>
      </w:r>
      <w:r>
        <w:rPr>
          <w:rStyle w:val="Suchmarke"/>
        </w:rPr>
        <w:t>#342#</w:t>
      </w:r>
      <w:bookmarkEnd w:id="460"/>
    </w:p>
    <w:p>
      <w:r>
        <w:t xml:space="preserve">(1) Dieser Unterabschnitt ist anzuwenden auf Kapitalgesellschaften mit Sitz im Inland und auf Personenhandelsgesellschaften im Sinne des </w:t>
      </w:r>
      <w:hyperlink w:anchor="b266" w:history="1">
        <w:r>
          <w:rPr>
            <w:color w:val="0A3A8C"/>
            <w:u w:val="single"/>
          </w:rPr>
          <w:t xml:space="preserve">§ 264a</w:t>
        </w:r>
      </w:hyperlink>
      <w:r>
        <w:t xml:space="preserve"> Absatz 1 mit Sitz im Inland, wenn diese Kapitalgesellschaften und Personenhandelsgesellschaften</w:t>
      </w:r>
    </w:p>
    <w:p>
      <w:pPr>
        <w:tabs>
          <w:tab w:pos="567" w:val="left"/>
        </w:tabs>
        <w:ind w:left="567" w:hanging="567"/>
      </w:pPr>
      <w:r>
        <w:t>1.</w:t>
      </w:r>
      <w:r>
        <w:tab/>
      </w:r>
      <w:r>
        <w:t>unverbundene Unternehmen sind und eine Niederlassung, eine feste Geschäftseinrichtung oder eine dauerhafte Geschäftstätigkeit in mindestens einem anderen Staat haben,</w:t>
      </w:r>
    </w:p>
    <w:p>
      <w:pPr>
        <w:tabs>
          <w:tab w:pos="567" w:val="left"/>
        </w:tabs>
        <w:ind w:left="567" w:hanging="567"/>
      </w:pPr>
      <w:r>
        <w:t>2.</w:t>
      </w:r>
      <w:r>
        <w:tab/>
      </w:r>
      <w:r>
        <w:t>oberste Mutterunternehmen sind und sie oder ein verbundenes Unternehmen eine Niederlassung, eine feste Geschäftseinrichtung oder eine dauerhafte Geschäftstätigkeit in mindestens einem anderen Staat haben oder</w:t>
      </w:r>
    </w:p>
    <w:p>
      <w:pPr>
        <w:tabs>
          <w:tab w:pos="567" w:val="left"/>
        </w:tabs>
        <w:ind w:left="567" w:hanging="567"/>
      </w:pPr>
      <w:r>
        <w:t>3.</w:t>
      </w:r>
      <w:r>
        <w:tab/>
      </w:r>
      <w:r>
        <w:t>Tochterunternehmen von obersten Mutterunternehmen mit Sitz in einem Drittstaat sind und</w:t>
      </w:r>
    </w:p>
    <w:p>
      <w:pPr>
        <w:tabs>
          <w:tab w:pos="1134" w:val="left"/>
        </w:tabs>
        <w:ind w:left="1134" w:hanging="567"/>
      </w:pPr>
      <w:r>
        <w:t>a)</w:t>
      </w:r>
      <w:r>
        <w:tab/>
      </w:r>
      <w:r>
        <w:t xml:space="preserve">mittelgroß oder groß im Sinne des </w:t>
      </w:r>
      <w:hyperlink w:anchor="b273" w:history="1">
        <w:r>
          <w:rPr>
            <w:color w:val="0A3A8C"/>
            <w:u w:val="single"/>
          </w:rPr>
          <w:t xml:space="preserve">§ 267</w:t>
        </w:r>
      </w:hyperlink>
      <w:r>
        <w:t xml:space="preserve"> Absatz 2 bis 4 sind oder</w:t>
      </w:r>
    </w:p>
    <w:p>
      <w:pPr>
        <w:tabs>
          <w:tab w:pos="1134" w:val="left"/>
        </w:tabs>
        <w:ind w:left="1134" w:hanging="567"/>
      </w:pPr>
      <w:r>
        <w:t>b)</w:t>
      </w:r>
      <w:r>
        <w:tab/>
      </w:r>
      <w:r>
        <w:t>ausschließlich dem Zweck dienen, die Berichtspflichten nach diesem Unterabschnitt zu umgehen.</w:t>
      </w:r>
    </w:p>
    <w:p>
      <w:r>
        <w:t>(2) Dieser Unterabschnitt ist ferner anzuwenden auf Kapitalgesellschaften mit Sitz in einem Drittstaat, die</w:t>
      </w:r>
    </w:p>
    <w:p>
      <w:pPr>
        <w:tabs>
          <w:tab w:pos="567" w:val="left"/>
        </w:tabs>
        <w:ind w:left="567" w:hanging="567"/>
      </w:pPr>
      <w:r>
        <w:t>1.</w:t>
      </w:r>
      <w:r>
        <w:tab/>
      </w:r>
      <w:r>
        <w:t>unverbundene Unternehmen sind oder verbundene Unternehmen sind, wenn das oberste Mutterunternehmen seinen Sitz in einem Drittstaat hat, und</w:t>
      </w:r>
    </w:p>
    <w:p>
      <w:pPr>
        <w:tabs>
          <w:tab w:pos="567" w:val="left"/>
        </w:tabs>
        <w:ind w:left="567" w:hanging="567"/>
      </w:pPr>
      <w:r>
        <w:t>2.</w:t>
      </w:r>
      <w:r>
        <w:tab/>
      </w:r>
      <w:r>
        <w:t>eine Zweigniederlassung im Inland haben,</w:t>
      </w:r>
    </w:p>
    <w:p>
      <w:pPr>
        <w:tabs>
          <w:tab w:pos="1134" w:val="left"/>
        </w:tabs>
        <w:ind w:left="1134" w:hanging="567"/>
      </w:pPr>
      <w:r>
        <w:t>a)</w:t>
      </w:r>
      <w:r>
        <w:tab/>
      </w:r>
      <w:r>
        <w:t>deren Umsatzerlöse im Sinne des § 342b Absatz 4 in mindestens zwei aufeinander folgenden Geschäftsjahren jeweils 12 Millionen Euro übersteigen und diesen Betrag danach in zwei aufeinander folgenden Geschäftsjahren jeweils nicht unterschreiten oder</w:t>
      </w:r>
    </w:p>
    <w:p>
      <w:pPr>
        <w:tabs>
          <w:tab w:pos="1134" w:val="left"/>
        </w:tabs>
        <w:ind w:left="1134" w:hanging="567"/>
      </w:pPr>
      <w:r>
        <w:t>b)</w:t>
      </w:r>
      <w:r>
        <w:tab/>
      </w:r>
      <w:r>
        <w:t>die ausschließlich dem Zweck dient, die Berichtspflichten nach diesem Unterabschnitt zu umgehen.</w:t>
      </w:r>
    </w:p>
    <w:p>
      <w:pPr>
        <w:pStyle w:val="Heading5"/>
      </w:pPr>
      <w:bookmarkStart w:id="461" w:name="b460"/>
      <w:r>
        <w:t>§ 342a Begriffsbestimmungen</w:t>
      </w:r>
      <w:r>
        <w:t xml:space="preserve"> </w:t>
      </w:r>
      <w:r>
        <w:rPr>
          <w:rStyle w:val="Suchmarke"/>
        </w:rPr>
        <w:t>#342a#</w:t>
      </w:r>
      <w:bookmarkEnd w:id="461"/>
    </w:p>
    <w:p>
      <w:r>
        <w:t>Im Sinne dieses Unterabschnitts sind</w:t>
      </w:r>
    </w:p>
    <w:p>
      <w:pPr>
        <w:tabs>
          <w:tab w:pos="567" w:val="left"/>
        </w:tabs>
        <w:ind w:left="567" w:hanging="567"/>
      </w:pPr>
      <w:r>
        <w:t>1.</w:t>
      </w:r>
      <w:r>
        <w:tab/>
      </w:r>
      <w:r>
        <w:t xml:space="preserve">unverbundene Unternehmen: Unternehmen, die nicht verbundene Unternehmen nach </w:t>
      </w:r>
      <w:hyperlink w:anchor="b278" w:history="1">
        <w:r>
          <w:rPr>
            <w:color w:val="0A3A8C"/>
            <w:u w:val="single"/>
          </w:rPr>
          <w:t xml:space="preserve">§ 271</w:t>
        </w:r>
      </w:hyperlink>
      <w:r>
        <w:t xml:space="preserve"> Absatz 2 sind;</w:t>
      </w:r>
    </w:p>
    <w:p>
      <w:pPr>
        <w:tabs>
          <w:tab w:pos="567" w:val="left"/>
        </w:tabs>
        <w:ind w:left="567" w:hanging="567"/>
      </w:pPr>
      <w:r>
        <w:t>2.</w:t>
      </w:r>
      <w:r>
        <w:tab/>
      </w:r>
      <w:r>
        <w:t>oberste Mutterunternehmen: Mutterunternehmen, die den Konzernabschluss für den größten Kreis von Unternehmen aufstellen;</w:t>
      </w:r>
    </w:p>
    <w:p>
      <w:pPr>
        <w:tabs>
          <w:tab w:pos="567" w:val="left"/>
        </w:tabs>
        <w:ind w:left="567" w:hanging="567"/>
      </w:pPr>
      <w:r>
        <w:t>3.</w:t>
      </w:r>
      <w:r>
        <w:tab/>
      </w:r>
      <w:r>
        <w:t>Drittstaaten: Staaten, die weder Mitgliedstaat der Europäischen Union noch Vertragsstaat des Abkommens über den Europäischen Wirtschaftsraum sind;</w:t>
      </w:r>
    </w:p>
    <w:p>
      <w:pPr>
        <w:tabs>
          <w:tab w:pos="567" w:val="left"/>
        </w:tabs>
        <w:ind w:left="567" w:hanging="567"/>
      </w:pPr>
      <w:r>
        <w:t>4.</w:t>
      </w:r>
      <w:r>
        <w:tab/>
      </w:r>
      <w:r>
        <w:t>Steuerhoheitsgebiete: Staaten oder nichtstaatliche Rechtsräume, die in Bezug auf die Ertragsteuer über Fiskalautonomie verfügen;</w:t>
      </w:r>
    </w:p>
    <w:p>
      <w:pPr>
        <w:tabs>
          <w:tab w:pos="567" w:val="left"/>
        </w:tabs>
        <w:ind w:left="567" w:hanging="567"/>
      </w:pPr>
      <w:r>
        <w:t>5.</w:t>
      </w:r>
      <w:r>
        <w:tab/>
      </w:r>
      <w:r>
        <w:t xml:space="preserve">Mitglieder des vertretungsberechtigten Organs bei Personenhandelsgesellschaften im Sinne des </w:t>
      </w:r>
      <w:hyperlink w:anchor="b266" w:history="1">
        <w:r>
          <w:rPr>
            <w:color w:val="0A3A8C"/>
            <w:u w:val="single"/>
          </w:rPr>
          <w:t xml:space="preserve">§ 264a</w:t>
        </w:r>
      </w:hyperlink>
      <w:r>
        <w:t xml:space="preserve"> Absatz 1: die Mitglieder des vertretungsberechtigten Organs der vertretungsberechtigten Gesellschaften;</w:t>
      </w:r>
    </w:p>
    <w:p>
      <w:pPr>
        <w:tabs>
          <w:tab w:pos="567" w:val="left"/>
        </w:tabs>
        <w:ind w:left="567" w:hanging="567"/>
      </w:pPr>
      <w:r>
        <w:t>6.</w:t>
      </w:r>
      <w:r>
        <w:tab/>
      </w:r>
      <w:r>
        <w:t>Berichtszeitraum: das Geschäftsjahr, für das der Ertragsteuerinformationsbericht zu erstellen ist.</w:t>
      </w:r>
    </w:p>
    <w:p>
      <w:pPr>
        <w:pStyle w:val="Heading4"/>
      </w:pPr>
      <w:bookmarkStart w:id="462" w:name="b461"/>
      <w:r>
        <w:t>Zweiter Titel Pflicht zur Ertragsteuerinformationsberichterstattung</w:t>
      </w:r>
      <w:bookmarkEnd w:id="462"/>
    </w:p>
    <w:p>
      <w:pPr>
        <w:pStyle w:val="Heading5"/>
      </w:pPr>
      <w:bookmarkStart w:id="463" w:name="b462"/>
      <w:r>
        <w:t>§ 342b Unverbundene Unternehmen mit Sitz im Inland</w:t>
      </w:r>
      <w:r>
        <w:t xml:space="preserve"> </w:t>
      </w:r>
      <w:r>
        <w:rPr>
          <w:rStyle w:val="Suchmarke"/>
        </w:rPr>
        <w:t>#342b#</w:t>
      </w:r>
      <w:bookmarkEnd w:id="463"/>
    </w:p>
    <w:p>
      <w:r>
        <w:t xml:space="preserve">(1) Die Mitglieder des vertretungsberechtigten Organs einer Gesellschaft im Sinne des </w:t>
      </w:r>
      <w:hyperlink w:anchor="b459" w:history="1">
        <w:r>
          <w:rPr>
            <w:color w:val="0A3A8C"/>
            <w:u w:val="single"/>
          </w:rPr>
          <w:t xml:space="preserve">§ 342</w:t>
        </w:r>
      </w:hyperlink>
      <w:r>
        <w:t xml:space="preserve"> Absatz 1 Nummer 1 haben für diese für das vergangene Geschäftsjahr einen Ertragsteuerinformationsbericht gemäß</w:t>
      </w:r>
    </w:p>
    <w:p>
      <w:pPr>
        <w:tabs>
          <w:tab w:pos="567" w:val="left"/>
        </w:tabs>
        <w:ind w:left="567" w:hanging="567"/>
      </w:pPr>
      <w:r>
        <w:t>1.</w:t>
      </w:r>
      <w:r>
        <w:tab/>
      </w:r>
      <w:hyperlink w:anchor="b468" w:history="1">
        <w:r>
          <w:rPr>
            <w:color w:val="0A3A8C"/>
            <w:u w:val="single"/>
          </w:rPr>
          <w:t xml:space="preserve">§ 342g</w:t>
        </w:r>
      </w:hyperlink>
      <w:r>
        <w:t xml:space="preserve"> Nummer 1, </w:t>
      </w:r>
      <w:hyperlink w:anchor="b469" w:history="1">
        <w:r>
          <w:rPr>
            <w:color w:val="0A3A8C"/>
            <w:u w:val="single"/>
          </w:rPr>
          <w:t xml:space="preserve">§ 342h</w:t>
        </w:r>
      </w:hyperlink>
      <w:r>
        <w:t xml:space="preserve"> Absatz 1 Nummer 1 bis 3 und Absatz 2 bis 5, den </w:t>
      </w:r>
      <w:hyperlink w:anchor="b470" w:history="1">
        <w:r>
          <w:rPr>
            <w:color w:val="0A3A8C"/>
            <w:u w:val="single"/>
          </w:rPr>
          <w:t xml:space="preserve">§§ 342i</w:t>
        </w:r>
      </w:hyperlink>
      <w:r>
        <w:t xml:space="preserve">, </w:t>
      </w:r>
      <w:hyperlink w:anchor="b471" w:history="1">
        <w:r>
          <w:rPr>
            <w:color w:val="0A3A8C"/>
            <w:u w:val="single"/>
          </w:rPr>
          <w:t xml:space="preserve">342j</w:t>
        </w:r>
      </w:hyperlink>
      <w:r>
        <w:t xml:space="preserve"> Absatz 1 und </w:t>
      </w:r>
      <w:hyperlink w:anchor="b472" w:history="1">
        <w:r>
          <w:rPr>
            <w:color w:val="0A3A8C"/>
            <w:u w:val="single"/>
          </w:rPr>
          <w:t xml:space="preserve">§ 342k</w:t>
        </w:r>
      </w:hyperlink>
      <w:r>
        <w:t xml:space="preserve"> Absatz 2 sowie</w:t>
      </w:r>
    </w:p>
    <w:p>
      <w:pPr>
        <w:tabs>
          <w:tab w:pos="567" w:val="left"/>
        </w:tabs>
        <w:ind w:left="567" w:hanging="567"/>
      </w:pPr>
      <w:r>
        <w:t>2.</w:t>
      </w:r>
      <w:r>
        <w:tab/>
      </w:r>
      <w:r>
        <w:t>§ 342k Absatz 1 und § 342l</w:t>
      </w:r>
    </w:p>
    <w:p>
      <w:r>
        <w:t>zu erstellen, wenn die in den Jahresabschlüssen der Gesellschaft ausgewiesenen Umsatzerlöse in mindestens zwei aufeinander folgenden Geschäftsjahren jeweils 750 Millionen Euro übersteigen.</w:t>
      </w:r>
    </w:p>
    <w:p>
      <w:r>
        <w:t xml:space="preserve">(2) Die Mitglieder des vertretungsberechtigten Organs einer Gesellschaft im Sinne des </w:t>
      </w:r>
      <w:hyperlink w:anchor="b459" w:history="1">
        <w:r>
          <w:rPr>
            <w:color w:val="0A3A8C"/>
            <w:u w:val="single"/>
          </w:rPr>
          <w:t xml:space="preserve">§ 342</w:t>
        </w:r>
      </w:hyperlink>
      <w:r>
        <w:t xml:space="preserve"> Absatz 1 Nummer 1 sind von der Pflicht nach Absatz 1 befreit, wenn die Gesellschaft ein CRR-Kreditinstitut im Sinne des § 1 Absatz 3d Satz 1 des Kreditwesengesetzes oder ein Großes Wertpapierinstitut im Sinne des § 2 Absatz 18 des Wertpapierinstitutsgesetzes ist und für den Berichtszeitraum die nach § 26a Absatz 1 Satz 2 des Kreditwesengesetzes erforderlichen Angaben offengelegt hat.</w:t>
      </w:r>
    </w:p>
    <w:p>
      <w:r>
        <w:t>(3) Die Pflicht nach Absatz 1 erlischt, wenn die in den Jahresabschlüssen ausgewiesenen Umsatzerlöse in zwei aufeinander folgenden Geschäftsjahren jeweils 750 Millionen Euro unterschreiten.</w:t>
      </w:r>
    </w:p>
    <w:p>
      <w:r>
        <w:t>(4) Umsatzerlöse nach den Absätzen 1 und 3 sind</w:t>
      </w:r>
    </w:p>
    <w:p>
      <w:pPr>
        <w:tabs>
          <w:tab w:pos="567" w:val="left"/>
        </w:tabs>
        <w:ind w:left="567" w:hanging="567"/>
      </w:pPr>
      <w:r>
        <w:t>1.</w:t>
      </w:r>
      <w:r>
        <w:tab/>
      </w:r>
      <w:r>
        <w:t xml:space="preserve">bei Kreditinstituten im Sinne des </w:t>
      </w:r>
      <w:hyperlink w:anchor="b395" w:history="1">
        <w:r>
          <w:rPr>
            <w:color w:val="0A3A8C"/>
            <w:u w:val="single"/>
          </w:rPr>
          <w:t xml:space="preserve">§ 340</w:t>
        </w:r>
      </w:hyperlink>
      <w:r>
        <w:t xml:space="preserve"> Absatz 1, Finanzdienstleistungsinstituten im Sinne des </w:t>
      </w:r>
      <w:hyperlink w:anchor="b395" w:history="1">
        <w:r>
          <w:rPr>
            <w:color w:val="0A3A8C"/>
            <w:u w:val="single"/>
          </w:rPr>
          <w:t xml:space="preserve">§ 340</w:t>
        </w:r>
      </w:hyperlink>
      <w:r>
        <w:t xml:space="preserve"> Absatz 4, Wertpapierinstituten im Sinne des </w:t>
      </w:r>
      <w:hyperlink w:anchor="b395" w:history="1">
        <w:r>
          <w:rPr>
            <w:color w:val="0A3A8C"/>
            <w:u w:val="single"/>
          </w:rPr>
          <w:t xml:space="preserve">§ 340</w:t>
        </w:r>
      </w:hyperlink>
      <w:r>
        <w:t xml:space="preserve"> Absatz 4a oder Instituten im Sinne des § 1 Absatz 3 des Zahlungsdiensteaufsichtsgesetzes: der Gesamtbetrag derjenigen Posten, die nach den jeweils anwendbaren handelsrechtlichen Vorschriften den in Artikel 27 Nummer 1, 3, 4, 6 und 7 oder Artikel 28 Buchstabe B Nummer 1 bis 4 und 7 der Richtlinie 86/635/EWG genannten Posten entsprechen,</w:t>
      </w:r>
    </w:p>
    <w:p>
      <w:pPr>
        <w:tabs>
          <w:tab w:pos="567" w:val="left"/>
        </w:tabs>
        <w:ind w:left="567" w:hanging="567"/>
      </w:pPr>
      <w:r>
        <w:t>2.</w:t>
      </w:r>
      <w:r>
        <w:tab/>
      </w:r>
      <w:r>
        <w:t xml:space="preserve">bei Versicherungsunternehmen im Sinne des </w:t>
      </w:r>
      <w:hyperlink w:anchor="b420" w:history="1">
        <w:r>
          <w:rPr>
            <w:color w:val="0A3A8C"/>
            <w:u w:val="single"/>
          </w:rPr>
          <w:t xml:space="preserve">§ 341</w:t>
        </w:r>
      </w:hyperlink>
      <w:r>
        <w:t xml:space="preserve"> Absatz 1 oder Pensionsfonds im Sinne des </w:t>
      </w:r>
      <w:hyperlink w:anchor="b420" w:history="1">
        <w:r>
          <w:rPr>
            <w:color w:val="0A3A8C"/>
            <w:u w:val="single"/>
          </w:rPr>
          <w:t xml:space="preserve">§ 341</w:t>
        </w:r>
      </w:hyperlink>
      <w:r>
        <w:t xml:space="preserve"> Absatz 4: der Betrag der gebuchten Bruttobeiträge nach Maßgabe der jeweils anwendbaren handelsrechtlichen Vorschriften,</w:t>
      </w:r>
    </w:p>
    <w:p>
      <w:pPr>
        <w:tabs>
          <w:tab w:pos="567" w:val="left"/>
        </w:tabs>
        <w:ind w:left="567" w:hanging="567"/>
      </w:pPr>
      <w:r>
        <w:t>3.</w:t>
      </w:r>
      <w:r>
        <w:tab/>
      </w:r>
      <w:r>
        <w:t xml:space="preserve">in Fällen, die nicht von den Nummern 1 und 2 erfasst werden: der Betrag der Umsatzerlöse nach </w:t>
      </w:r>
      <w:hyperlink w:anchor="b286" w:history="1">
        <w:r>
          <w:rPr>
            <w:color w:val="0A3A8C"/>
            <w:u w:val="single"/>
          </w:rPr>
          <w:t xml:space="preserve">§ 277</w:t>
        </w:r>
      </w:hyperlink>
      <w:r>
        <w:t xml:space="preserve"> Absatz 1.</w:t>
      </w:r>
    </w:p>
    <w:p>
      <w:pPr>
        <w:pStyle w:val="Heading5"/>
      </w:pPr>
      <w:bookmarkStart w:id="464" w:name="b463"/>
      <w:r>
        <w:t>§ 342c Oberste Mutterunternehmen mit Sitz im Inland</w:t>
      </w:r>
      <w:r>
        <w:t xml:space="preserve"> </w:t>
      </w:r>
      <w:r>
        <w:rPr>
          <w:rStyle w:val="Suchmarke"/>
        </w:rPr>
        <w:t>#342c#</w:t>
      </w:r>
      <w:bookmarkEnd w:id="464"/>
    </w:p>
    <w:p>
      <w:r>
        <w:t xml:space="preserve">(1) Die Mitglieder des vertretungsberechtigten Organs einer Gesellschaft im Sinne des </w:t>
      </w:r>
      <w:hyperlink w:anchor="b459" w:history="1">
        <w:r>
          <w:rPr>
            <w:color w:val="0A3A8C"/>
            <w:u w:val="single"/>
          </w:rPr>
          <w:t xml:space="preserve">§ 342</w:t>
        </w:r>
      </w:hyperlink>
      <w:r>
        <w:t xml:space="preserve"> Absatz 1 Nummer 2 haben für diese für das vergangene Geschäftsjahr einen Ertragsteuerinformationsbericht gemäß</w:t>
      </w:r>
    </w:p>
    <w:p>
      <w:pPr>
        <w:tabs>
          <w:tab w:pos="567" w:val="left"/>
        </w:tabs>
        <w:ind w:left="567" w:hanging="567"/>
      </w:pPr>
      <w:r>
        <w:t>1.</w:t>
      </w:r>
      <w:r>
        <w:tab/>
      </w:r>
      <w:hyperlink w:anchor="b468" w:history="1">
        <w:r>
          <w:rPr>
            <w:color w:val="0A3A8C"/>
            <w:u w:val="single"/>
          </w:rPr>
          <w:t xml:space="preserve">§ 342g</w:t>
        </w:r>
      </w:hyperlink>
      <w:r>
        <w:t xml:space="preserve"> Nummer 2, den </w:t>
      </w:r>
      <w:hyperlink w:anchor="b469" w:history="1">
        <w:r>
          <w:rPr>
            <w:color w:val="0A3A8C"/>
            <w:u w:val="single"/>
          </w:rPr>
          <w:t xml:space="preserve">§§ 342h</w:t>
        </w:r>
      </w:hyperlink>
      <w:r>
        <w:t xml:space="preserve">, </w:t>
      </w:r>
      <w:hyperlink w:anchor="b470" w:history="1">
        <w:r>
          <w:rPr>
            <w:color w:val="0A3A8C"/>
            <w:u w:val="single"/>
          </w:rPr>
          <w:t xml:space="preserve">342i</w:t>
        </w:r>
      </w:hyperlink>
      <w:r>
        <w:t xml:space="preserve">, </w:t>
      </w:r>
      <w:hyperlink w:anchor="b471" w:history="1">
        <w:r>
          <w:rPr>
            <w:color w:val="0A3A8C"/>
            <w:u w:val="single"/>
          </w:rPr>
          <w:t xml:space="preserve">342j</w:t>
        </w:r>
      </w:hyperlink>
      <w:r>
        <w:t xml:space="preserve"> Absatz 1 und </w:t>
      </w:r>
      <w:hyperlink w:anchor="b472" w:history="1">
        <w:r>
          <w:rPr>
            <w:color w:val="0A3A8C"/>
            <w:u w:val="single"/>
          </w:rPr>
          <w:t xml:space="preserve">§ 342k</w:t>
        </w:r>
      </w:hyperlink>
      <w:r>
        <w:t xml:space="preserve"> Absatz 2 sowie</w:t>
      </w:r>
    </w:p>
    <w:p>
      <w:pPr>
        <w:tabs>
          <w:tab w:pos="567" w:val="left"/>
        </w:tabs>
        <w:ind w:left="567" w:hanging="567"/>
      </w:pPr>
      <w:r>
        <w:t>2.</w:t>
      </w:r>
      <w:r>
        <w:tab/>
      </w:r>
      <w:r>
        <w:t>§ 342k Absatz 1 und § 342l</w:t>
      </w:r>
    </w:p>
    <w:p>
      <w:r>
        <w:t>zu erstellen, wenn die in den Konzernabschlüssen der Gesellschaft ausgewiesenen Konzernumsatzerlöse in mindestens zwei aufeinander folgenden Geschäftsjahren jeweils 750 Millionen Euro übersteigen.</w:t>
      </w:r>
    </w:p>
    <w:p>
      <w:r>
        <w:t xml:space="preserve">(2) Die Mitglieder des vertretungsberechtigten Organs einer Gesellschaft im Sinne des </w:t>
      </w:r>
      <w:hyperlink w:anchor="b459" w:history="1">
        <w:r>
          <w:rPr>
            <w:color w:val="0A3A8C"/>
            <w:u w:val="single"/>
          </w:rPr>
          <w:t xml:space="preserve">§ 342</w:t>
        </w:r>
      </w:hyperlink>
      <w:r>
        <w:t xml:space="preserve"> Absatz 1 Nummer 2 sind von der Pflicht nach Absatz 1 befreit, wenn die Gesellschaft ein CRR-Kreditinstitut im Sinne des § 1 Absatz 3d Satz 1 des Kreditwesengesetzes oder ein Großes Wertpapierinstitut im Sinne des § 2 Absatz 18 des Wertpapierinstitutsgesetzes ist und für den Berichtszeitraum unter Einbeziehung sämtlicher in den Konzernabschluss der Gesellschaft einbezogenen Unternehmen die nach § 26a Absatz 1 Satz 2 des Kreditwesengesetzes erforderlichen Angaben offengelegt hat.</w:t>
      </w:r>
    </w:p>
    <w:p>
      <w:r>
        <w:t>(3) Die Pflicht nach Absatz 1 erlischt, wenn die in den Konzernabschlüssen ausgewiesenen Konzernumsatzerlöse in zwei aufeinander folgenden Geschäftsjahren jeweils 750 Millionen Euro unterschreiten.</w:t>
      </w:r>
    </w:p>
    <w:p>
      <w:r>
        <w:t>(4) Konzernumsatzerlöse nach den Absätzen 1 und 3 sind</w:t>
      </w:r>
    </w:p>
    <w:p>
      <w:pPr>
        <w:tabs>
          <w:tab w:pos="567" w:val="left"/>
        </w:tabs>
        <w:ind w:left="567" w:hanging="567"/>
      </w:pPr>
      <w:r>
        <w:t>1.</w:t>
      </w:r>
      <w:r>
        <w:tab/>
      </w:r>
      <w:r>
        <w:t>bei Gesellschaften, die den Konzernabschluss nach den auf der Grundlage der Verordnung (EG) Nr. 1606/2002 übernommenen internationalen Rechnungslegungsstandards aufstellen: der Betrag der Konzernumsatzerlöse, der sich bei Anwendung dieser Rechnungslegungsstandards ergibt,</w:t>
      </w:r>
    </w:p>
    <w:p>
      <w:pPr>
        <w:tabs>
          <w:tab w:pos="567" w:val="left"/>
        </w:tabs>
        <w:ind w:left="567" w:hanging="567"/>
      </w:pPr>
      <w:r>
        <w:t>2.</w:t>
      </w:r>
      <w:r>
        <w:tab/>
      </w:r>
      <w:r>
        <w:t xml:space="preserve">in Fällen, die nicht von Nummer 1 erfasst werden: der sich bei entsprechender Anwendung des </w:t>
      </w:r>
      <w:hyperlink w:anchor="b462" w:history="1">
        <w:r>
          <w:rPr>
            <w:color w:val="0A3A8C"/>
            <w:u w:val="single"/>
          </w:rPr>
          <w:t xml:space="preserve">§ 342b</w:t>
        </w:r>
      </w:hyperlink>
      <w:r>
        <w:t xml:space="preserve"> Absatz 4 ergebende Betrag.</w:t>
      </w:r>
    </w:p>
    <w:p>
      <w:pPr>
        <w:pStyle w:val="Heading5"/>
      </w:pPr>
      <w:bookmarkStart w:id="465" w:name="b464"/>
      <w:r>
        <w:t>§ 342d Tochterunternehmen mit Sitz im Inland von obersten Mutterunternehmen mit Sitz in einem Drittstaat</w:t>
      </w:r>
      <w:r>
        <w:t xml:space="preserve"> </w:t>
      </w:r>
      <w:r>
        <w:rPr>
          <w:rStyle w:val="Suchmarke"/>
        </w:rPr>
        <w:t>#342d#</w:t>
      </w:r>
      <w:bookmarkEnd w:id="465"/>
    </w:p>
    <w:p>
      <w:r>
        <w:t xml:space="preserve">(1) Die Mitglieder des vertretungsberechtigten Organs einer Gesellschaft im Sinne des </w:t>
      </w:r>
      <w:hyperlink w:anchor="b459" w:history="1">
        <w:r>
          <w:rPr>
            <w:color w:val="0A3A8C"/>
            <w:u w:val="single"/>
          </w:rPr>
          <w:t xml:space="preserve">§ 342</w:t>
        </w:r>
      </w:hyperlink>
      <w:r>
        <w:t xml:space="preserve"> Absatz 1 Nummer 3 haben das oberste Mutterunternehmen der Gesellschaft aufzufordern, ihr für das vergangene Geschäftsjahr einen Ertragsteuerinformationsbericht zur Verfügung zu stellen, der gemäß </w:t>
      </w:r>
      <w:hyperlink w:anchor="b468" w:history="1">
        <w:r>
          <w:rPr>
            <w:color w:val="0A3A8C"/>
            <w:u w:val="single"/>
          </w:rPr>
          <w:t xml:space="preserve">§ 342g</w:t>
        </w:r>
      </w:hyperlink>
      <w:r>
        <w:t xml:space="preserve"> Nummer 2, den </w:t>
      </w:r>
      <w:hyperlink w:anchor="b469" w:history="1">
        <w:r>
          <w:rPr>
            <w:color w:val="0A3A8C"/>
            <w:u w:val="single"/>
          </w:rPr>
          <w:t xml:space="preserve">§§ 342h</w:t>
        </w:r>
      </w:hyperlink>
      <w:r>
        <w:t xml:space="preserve">, </w:t>
      </w:r>
      <w:hyperlink w:anchor="b470" w:history="1">
        <w:r>
          <w:rPr>
            <w:color w:val="0A3A8C"/>
            <w:u w:val="single"/>
          </w:rPr>
          <w:t xml:space="preserve">342i</w:t>
        </w:r>
      </w:hyperlink>
      <w:r>
        <w:t xml:space="preserve"> und </w:t>
      </w:r>
      <w:hyperlink w:anchor="b471" w:history="1">
        <w:r>
          <w:rPr>
            <w:color w:val="0A3A8C"/>
            <w:u w:val="single"/>
          </w:rPr>
          <w:t xml:space="preserve">342j</w:t>
        </w:r>
      </w:hyperlink>
      <w:r>
        <w:t xml:space="preserve"> Absatz 3 sowie den </w:t>
      </w:r>
      <w:hyperlink w:anchor="b472" w:history="1">
        <w:r>
          <w:rPr>
            <w:color w:val="0A3A8C"/>
            <w:u w:val="single"/>
          </w:rPr>
          <w:t xml:space="preserve">§§ 342k</w:t>
        </w:r>
      </w:hyperlink>
      <w:r>
        <w:t xml:space="preserve"> und </w:t>
      </w:r>
      <w:hyperlink w:anchor="b473" w:history="1">
        <w:r>
          <w:rPr>
            <w:color w:val="0A3A8C"/>
            <w:u w:val="single"/>
          </w:rPr>
          <w:t xml:space="preserve">342l</w:t>
        </w:r>
      </w:hyperlink>
      <w:r>
        <w:t xml:space="preserve"> erstellt worden ist, wenn die in den Konzernabschlüssen des obersten Mutterunternehmens ausgewiesenen Konzernumsatzerlöse in mindestens zwei aufeinander folgenden Geschäftsjahren jeweils einen Betrag übersteigen, der zum Wechselkurs vom 21. Dezember 2021 bei Rundung auf das nächste Tausend einem Betrag von 750 Millionen Euro entspricht.</w:t>
      </w:r>
    </w:p>
    <w:p>
      <w:r>
        <w:t>(2) Wenn das oberste Mutterunternehmen einen Ertragsteuerinformationsbericht nicht zur Verfügung stellt oder der zur Verfügung gestellte Bericht nicht den gesetzlichen Vorgaben entspricht, haben die Mitglieder des vertretungsberechtigten Organs der Gesellschaft für diese Folgendes zu erstellen:</w:t>
      </w:r>
    </w:p>
    <w:p>
      <w:pPr>
        <w:tabs>
          <w:tab w:pos="567" w:val="left"/>
        </w:tabs>
        <w:ind w:left="567" w:hanging="567"/>
      </w:pPr>
      <w:r>
        <w:t>1.</w:t>
      </w:r>
      <w:r>
        <w:tab/>
      </w:r>
      <w:r>
        <w:t>eine Erklärung darüber, dass das oberste Mutterunternehmen einen Ertragsteuerinformationsbericht nicht zur Verfügung gestellt hat oder dass der zur Verfügung gestellte Bericht nicht den gesetzlichen Vorgaben entspricht, sowie</w:t>
      </w:r>
    </w:p>
    <w:p>
      <w:pPr>
        <w:tabs>
          <w:tab w:pos="567" w:val="left"/>
        </w:tabs>
        <w:ind w:left="567" w:hanging="567"/>
      </w:pPr>
      <w:r>
        <w:t>2.</w:t>
      </w:r>
      <w:r>
        <w:tab/>
      </w:r>
      <w:r>
        <w:t>einen Ertragsteuerinformationsbericht gemäß</w:t>
      </w:r>
    </w:p>
    <w:p>
      <w:pPr>
        <w:tabs>
          <w:tab w:pos="1134" w:val="left"/>
        </w:tabs>
        <w:ind w:left="1134" w:hanging="567"/>
      </w:pPr>
      <w:r>
        <w:t>a)</w:t>
      </w:r>
      <w:r>
        <w:tab/>
      </w:r>
      <w:hyperlink w:anchor="b468" w:history="1">
        <w:r>
          <w:rPr>
            <w:color w:val="0A3A8C"/>
            <w:u w:val="single"/>
          </w:rPr>
          <w:t xml:space="preserve">§ 342g</w:t>
        </w:r>
      </w:hyperlink>
      <w:r>
        <w:t xml:space="preserve"> Nummer 2, den </w:t>
      </w:r>
      <w:hyperlink w:anchor="b469" w:history="1">
        <w:r>
          <w:rPr>
            <w:color w:val="0A3A8C"/>
            <w:u w:val="single"/>
          </w:rPr>
          <w:t xml:space="preserve">§§ 342h</w:t>
        </w:r>
      </w:hyperlink>
      <w:r>
        <w:t xml:space="preserve">, </w:t>
      </w:r>
      <w:hyperlink w:anchor="b470" w:history="1">
        <w:r>
          <w:rPr>
            <w:color w:val="0A3A8C"/>
            <w:u w:val="single"/>
          </w:rPr>
          <w:t xml:space="preserve">342i</w:t>
        </w:r>
      </w:hyperlink>
      <w:r>
        <w:t xml:space="preserve">, </w:t>
      </w:r>
      <w:hyperlink w:anchor="b471" w:history="1">
        <w:r>
          <w:rPr>
            <w:color w:val="0A3A8C"/>
            <w:u w:val="single"/>
          </w:rPr>
          <w:t xml:space="preserve">342j</w:t>
        </w:r>
      </w:hyperlink>
      <w:r>
        <w:t xml:space="preserve"> Absatz 1 und </w:t>
      </w:r>
      <w:hyperlink w:anchor="b472" w:history="1">
        <w:r>
          <w:rPr>
            <w:color w:val="0A3A8C"/>
            <w:u w:val="single"/>
          </w:rPr>
          <w:t xml:space="preserve">§ 342k</w:t>
        </w:r>
      </w:hyperlink>
      <w:r>
        <w:t xml:space="preserve"> Absatz 2 sowie</w:t>
      </w:r>
    </w:p>
    <w:p>
      <w:pPr>
        <w:tabs>
          <w:tab w:pos="1134" w:val="left"/>
        </w:tabs>
        <w:ind w:left="1134" w:hanging="567"/>
      </w:pPr>
      <w:r>
        <w:t>b)</w:t>
      </w:r>
      <w:r>
        <w:tab/>
      </w:r>
      <w:r>
        <w:t>§ 342k Absatz 1 und § 342l</w:t>
      </w:r>
    </w:p>
    <w:p>
      <w:pPr>
        <w:ind w:left="567"/>
      </w:pPr>
      <w:r>
        <w:t>mit denjenigen Angaben, über die die Gesellschaft verfügt und die sie beschaffen kann.</w:t>
      </w:r>
    </w:p>
    <w:p>
      <w:r>
        <w:t xml:space="preserve">(3) Die Mitglieder des vertretungsberechtigten Organs einer Gesellschaft im Sinne des </w:t>
      </w:r>
      <w:hyperlink w:anchor="b459" w:history="1">
        <w:r>
          <w:rPr>
            <w:color w:val="0A3A8C"/>
            <w:u w:val="single"/>
          </w:rPr>
          <w:t xml:space="preserve">§ 342</w:t>
        </w:r>
      </w:hyperlink>
      <w:r>
        <w:t xml:space="preserve"> Absatz 1 Nummer 3 sind von den Pflichten nach den Absätzen 1 und 2 befreit, wenn das oberste Mutterunternehmen einen Ertragsteuerinformationsbericht gemäß </w:t>
      </w:r>
      <w:hyperlink w:anchor="b468" w:history="1">
        <w:r>
          <w:rPr>
            <w:color w:val="0A3A8C"/>
            <w:u w:val="single"/>
          </w:rPr>
          <w:t xml:space="preserve">§ 342g</w:t>
        </w:r>
      </w:hyperlink>
      <w:r>
        <w:t xml:space="preserve"> Nummer 2, den </w:t>
      </w:r>
      <w:hyperlink w:anchor="b469" w:history="1">
        <w:r>
          <w:rPr>
            <w:color w:val="0A3A8C"/>
            <w:u w:val="single"/>
          </w:rPr>
          <w:t xml:space="preserve">§§ 342h</w:t>
        </w:r>
      </w:hyperlink>
      <w:r>
        <w:t xml:space="preserve">, </w:t>
      </w:r>
      <w:hyperlink w:anchor="b470" w:history="1">
        <w:r>
          <w:rPr>
            <w:color w:val="0A3A8C"/>
            <w:u w:val="single"/>
          </w:rPr>
          <w:t xml:space="preserve">342i</w:t>
        </w:r>
      </w:hyperlink>
      <w:r>
        <w:t xml:space="preserve"> und </w:t>
      </w:r>
      <w:hyperlink w:anchor="b471" w:history="1">
        <w:r>
          <w:rPr>
            <w:color w:val="0A3A8C"/>
            <w:u w:val="single"/>
          </w:rPr>
          <w:t xml:space="preserve">342j</w:t>
        </w:r>
      </w:hyperlink>
      <w:r>
        <w:t xml:space="preserve"> Absatz 3 sowie den </w:t>
      </w:r>
      <w:hyperlink w:anchor="b472" w:history="1">
        <w:r>
          <w:rPr>
            <w:color w:val="0A3A8C"/>
            <w:u w:val="single"/>
          </w:rPr>
          <w:t xml:space="preserve">§§ 342k</w:t>
        </w:r>
      </w:hyperlink>
      <w:r>
        <w:t xml:space="preserve"> und </w:t>
      </w:r>
      <w:hyperlink w:anchor="b473" w:history="1">
        <w:r>
          <w:rPr>
            <w:color w:val="0A3A8C"/>
            <w:u w:val="single"/>
          </w:rPr>
          <w:t xml:space="preserve">342l</w:t>
        </w:r>
      </w:hyperlink>
      <w:r>
        <w:t xml:space="preserve"> erstellt hat, der</w:t>
      </w:r>
    </w:p>
    <w:p>
      <w:pPr>
        <w:tabs>
          <w:tab w:pos="567" w:val="left"/>
        </w:tabs>
        <w:ind w:left="567" w:hanging="567"/>
      </w:pPr>
      <w:r>
        <w:t>1.</w:t>
      </w:r>
      <w:r>
        <w:tab/>
      </w:r>
      <w:r>
        <w:t>spätestens ein Jahr nach dem Ende des Berichtszeitraums in mindestens einer Amtssprache der Europäischen Union kostenlos auf der Internetseite des obersten Mutterunternehmens veröffentlicht worden ist,</w:t>
      </w:r>
    </w:p>
    <w:p>
      <w:pPr>
        <w:tabs>
          <w:tab w:pos="567" w:val="left"/>
        </w:tabs>
        <w:ind w:left="567" w:hanging="567"/>
      </w:pPr>
      <w:r>
        <w:t>2.</w:t>
      </w:r>
      <w:r>
        <w:tab/>
      </w:r>
      <w:r>
        <w:t>von einem anderen Tochterunternehmen mit Sitz im Inland spätestens ein Jahr nach dem Ende des Berichtszeitraums in deutscher Sprache der das Unternehmensregister führenden Stelle zur Einstellung in das Unternehmensregister übermittelt oder von einem Tochterunternehmen mit Sitz in einem anderen Mitgliedstaat der Europäischen Union oder einem anderen Vertragsstaat des Abkommens über den Europäischen Wirtschaftsraum nach Maßgabe des jeweiligen nationalen Rechts im Einklang mit Artikel 48d Absatz 1 der Richtlinie 2013/34/EU offengelegt worden ist und</w:t>
      </w:r>
    </w:p>
    <w:p>
      <w:pPr>
        <w:tabs>
          <w:tab w:pos="567" w:val="left"/>
        </w:tabs>
        <w:ind w:left="567" w:hanging="567"/>
      </w:pPr>
      <w:r>
        <w:t>3.</w:t>
      </w:r>
      <w:r>
        <w:tab/>
      </w:r>
      <w:r>
        <w:t>den Namen und den Sitz desjenigen Tochterunternehmens angibt, das den Bericht gemäß Nummer 2 offengelegt hat.</w:t>
      </w:r>
    </w:p>
    <w:p>
      <w:r>
        <w:t>(4) Die Pflichten nach den Absätzen 1 und 2 erlöschen, wenn die in den Konzernabschlüssen des obersten Mutterunternehmens ausgewiesenen Konzernumsatzerlöse in zwei aufeinander folgenden Geschäftsjahren jeweils einen Betrag unterschreiten, der zum Wechselkurs vom 21. Dezember 2021 bei Rundung auf das nächste Tausend einem Betrag von 750 Millionen Euro entspricht.</w:t>
      </w:r>
    </w:p>
    <w:p>
      <w:r>
        <w:t>(5) Konzernumsatzerlöse nach den Absätzen 1 und 4 sind der Betrag der Konzernumsatzerlöse, der sich bei Anwendung der Rechnungslegungsgrundsätze ergibt, die nach dem jeweiligen nationalen Recht für die Aufstellung des Konzernabschlusses des obersten Mutterunternehmens gelten.</w:t>
      </w:r>
    </w:p>
    <w:p>
      <w:pPr>
        <w:pStyle w:val="Heading5"/>
      </w:pPr>
      <w:bookmarkStart w:id="466" w:name="b465"/>
      <w:r>
        <w:t>§ 342e Inländische Zweigniederlassungen unverbundener Unternehmen mit Sitz in einem Drittstaat</w:t>
      </w:r>
      <w:r>
        <w:t xml:space="preserve"> </w:t>
      </w:r>
      <w:r>
        <w:rPr>
          <w:rStyle w:val="Suchmarke"/>
        </w:rPr>
        <w:t>#342e#</w:t>
      </w:r>
      <w:bookmarkEnd w:id="466"/>
    </w:p>
    <w:p>
      <w:r>
        <w:t xml:space="preserve">(1) Bei Zweigniederlassungen im Sinne des § 342 Absatz 2 Nummer 2 einer Kapitalgesellschaft im Sinne des </w:t>
      </w:r>
      <w:hyperlink w:anchor="b459" w:history="1">
        <w:r>
          <w:rPr>
            <w:color w:val="0A3A8C"/>
            <w:u w:val="single"/>
          </w:rPr>
          <w:t xml:space="preserve">§ 342</w:t>
        </w:r>
      </w:hyperlink>
      <w:r>
        <w:t xml:space="preserve"> Absatz 2 Nummer 1 erste Alternative haben die in </w:t>
      </w:r>
      <w:hyperlink w:anchor="b26" w:history="1">
        <w:r>
          <w:rPr>
            <w:color w:val="0A3A8C"/>
            <w:u w:val="single"/>
          </w:rPr>
          <w:t xml:space="preserve">§ 13e</w:t>
        </w:r>
      </w:hyperlink>
      <w:r>
        <w:t xml:space="preserve"> Absatz 2 Satz 5 Nummer 3 genannten angemeldeten Personen oder, wenn solche nicht vorhanden sind, die Mitglieder des vertretungsberechtigten Organs der Kapitalgesellschaft die Hauptniederlassung aufzufordern, ihnen für das vergangene Geschäftsjahr einen Ertragsteuerinformationsbericht zur Verfügung zu stellen, der gemäß </w:t>
      </w:r>
      <w:hyperlink w:anchor="b468" w:history="1">
        <w:r>
          <w:rPr>
            <w:color w:val="0A3A8C"/>
            <w:u w:val="single"/>
          </w:rPr>
          <w:t xml:space="preserve">§ 342g</w:t>
        </w:r>
      </w:hyperlink>
      <w:r>
        <w:t xml:space="preserve"> Nummer 1, </w:t>
      </w:r>
      <w:hyperlink w:anchor="b469" w:history="1">
        <w:r>
          <w:rPr>
            <w:color w:val="0A3A8C"/>
            <w:u w:val="single"/>
          </w:rPr>
          <w:t xml:space="preserve">§ 342h</w:t>
        </w:r>
      </w:hyperlink>
      <w:r>
        <w:t xml:space="preserve"> Absatz 1 Nummer 1 bis 3 und Absatz 2 bis 5, den </w:t>
      </w:r>
      <w:hyperlink w:anchor="b470" w:history="1">
        <w:r>
          <w:rPr>
            <w:color w:val="0A3A8C"/>
            <w:u w:val="single"/>
          </w:rPr>
          <w:t xml:space="preserve">§§ 342i</w:t>
        </w:r>
      </w:hyperlink>
      <w:r>
        <w:t xml:space="preserve"> und </w:t>
      </w:r>
      <w:hyperlink w:anchor="b471" w:history="1">
        <w:r>
          <w:rPr>
            <w:color w:val="0A3A8C"/>
            <w:u w:val="single"/>
          </w:rPr>
          <w:t xml:space="preserve">342j</w:t>
        </w:r>
      </w:hyperlink>
      <w:r>
        <w:t xml:space="preserve"> Absatz 2 sowie den </w:t>
      </w:r>
      <w:hyperlink w:anchor="b472" w:history="1">
        <w:r>
          <w:rPr>
            <w:color w:val="0A3A8C"/>
            <w:u w:val="single"/>
          </w:rPr>
          <w:t xml:space="preserve">§§ 342k</w:t>
        </w:r>
      </w:hyperlink>
      <w:r>
        <w:t xml:space="preserve"> und </w:t>
      </w:r>
      <w:hyperlink w:anchor="b473" w:history="1">
        <w:r>
          <w:rPr>
            <w:color w:val="0A3A8C"/>
            <w:u w:val="single"/>
          </w:rPr>
          <w:t xml:space="preserve">342l</w:t>
        </w:r>
      </w:hyperlink>
      <w:r>
        <w:t xml:space="preserve"> erstellt worden ist, wenn die in den Jahresabschlüssen der Kapitalgesellschaft ausgewiesenen Umsatzerlöse in mindestens zwei aufeinander folgenden Geschäftsjahren jeweils einen Betrag übersteigen, der zum Wechselkurs vom 21. Dezember 2021 bei Rundung auf das nächste Tausend einem Betrag von 750 Millionen Euro entspricht.</w:t>
      </w:r>
    </w:p>
    <w:p>
      <w:r>
        <w:t>(2) Wenn die Hauptniederlassung einen Ertragsteuerinformationsbericht nicht zur Verfügung stellt oder der zur Verfügung gestellte Bericht nicht den gesetzlichen Vorgaben entspricht, haben die nach Absatz 1 Verpflichteten für die Kapitalgesellschaft Folgendes zu erstellen:</w:t>
      </w:r>
    </w:p>
    <w:p>
      <w:pPr>
        <w:tabs>
          <w:tab w:pos="567" w:val="left"/>
        </w:tabs>
        <w:ind w:left="567" w:hanging="567"/>
      </w:pPr>
      <w:r>
        <w:t>1.</w:t>
      </w:r>
      <w:r>
        <w:tab/>
      </w:r>
      <w:r>
        <w:t>eine Erklärung darüber, dass die Hauptniederlassung einen Ertragsteuerinformationsbericht nicht zur Verfügung gestellt hat oder dass der zur Verfügung gestellte Bericht nicht den gesetzlichen Vorgaben entspricht, sowie</w:t>
      </w:r>
    </w:p>
    <w:p>
      <w:pPr>
        <w:tabs>
          <w:tab w:pos="567" w:val="left"/>
        </w:tabs>
        <w:ind w:left="567" w:hanging="567"/>
      </w:pPr>
      <w:r>
        <w:t>2.</w:t>
      </w:r>
      <w:r>
        <w:tab/>
      </w:r>
      <w:r>
        <w:t>einen Ertragsteuerinformationsbericht gemäß</w:t>
      </w:r>
    </w:p>
    <w:p>
      <w:pPr>
        <w:tabs>
          <w:tab w:pos="1134" w:val="left"/>
        </w:tabs>
        <w:ind w:left="1134" w:hanging="567"/>
      </w:pPr>
      <w:r>
        <w:t>a)</w:t>
      </w:r>
      <w:r>
        <w:tab/>
      </w:r>
      <w:hyperlink w:anchor="b468" w:history="1">
        <w:r>
          <w:rPr>
            <w:color w:val="0A3A8C"/>
            <w:u w:val="single"/>
          </w:rPr>
          <w:t xml:space="preserve">§ 342g</w:t>
        </w:r>
      </w:hyperlink>
      <w:r>
        <w:t xml:space="preserve"> Nummer 1, </w:t>
      </w:r>
      <w:hyperlink w:anchor="b469" w:history="1">
        <w:r>
          <w:rPr>
            <w:color w:val="0A3A8C"/>
            <w:u w:val="single"/>
          </w:rPr>
          <w:t xml:space="preserve">§ 342h</w:t>
        </w:r>
      </w:hyperlink>
      <w:r>
        <w:t xml:space="preserve"> Absatz 1 Nummer 1 bis 3 und Absatz 2 bis 5, den </w:t>
      </w:r>
      <w:hyperlink w:anchor="b470" w:history="1">
        <w:r>
          <w:rPr>
            <w:color w:val="0A3A8C"/>
            <w:u w:val="single"/>
          </w:rPr>
          <w:t xml:space="preserve">§§ 342i</w:t>
        </w:r>
      </w:hyperlink>
      <w:r>
        <w:t xml:space="preserve">, </w:t>
      </w:r>
      <w:hyperlink w:anchor="b471" w:history="1">
        <w:r>
          <w:rPr>
            <w:color w:val="0A3A8C"/>
            <w:u w:val="single"/>
          </w:rPr>
          <w:t xml:space="preserve">342j</w:t>
        </w:r>
      </w:hyperlink>
      <w:r>
        <w:t xml:space="preserve"> Absatz 2 und </w:t>
      </w:r>
      <w:hyperlink w:anchor="b472" w:history="1">
        <w:r>
          <w:rPr>
            <w:color w:val="0A3A8C"/>
            <w:u w:val="single"/>
          </w:rPr>
          <w:t xml:space="preserve">§ 342k</w:t>
        </w:r>
      </w:hyperlink>
      <w:r>
        <w:t xml:space="preserve"> Absatz 2 sowie</w:t>
      </w:r>
    </w:p>
    <w:p>
      <w:pPr>
        <w:tabs>
          <w:tab w:pos="1134" w:val="left"/>
        </w:tabs>
        <w:ind w:left="1134" w:hanging="567"/>
      </w:pPr>
      <w:r>
        <w:t>b)</w:t>
      </w:r>
      <w:r>
        <w:tab/>
      </w:r>
      <w:r>
        <w:t>§ 342k Absatz 1 und § 342l</w:t>
      </w:r>
    </w:p>
    <w:p>
      <w:pPr>
        <w:ind w:left="567"/>
      </w:pPr>
      <w:r>
        <w:t>mit denjenigen Angaben, über die sie verfügen und die sie beschaffen können.</w:t>
      </w:r>
    </w:p>
    <w:p>
      <w:r>
        <w:t xml:space="preserve">(3) Die nach den Absätzen 1 und 2 Verpflichteten sind von den dort genannten Pflichten befreit, wenn die Kapitalgesellschaft einen Ertragsteuerinformationsbericht gemäß </w:t>
      </w:r>
      <w:hyperlink w:anchor="b468" w:history="1">
        <w:r>
          <w:rPr>
            <w:color w:val="0A3A8C"/>
            <w:u w:val="single"/>
          </w:rPr>
          <w:t xml:space="preserve">§ 342g</w:t>
        </w:r>
      </w:hyperlink>
      <w:r>
        <w:t xml:space="preserve"> Nummer 1, </w:t>
      </w:r>
      <w:hyperlink w:anchor="b469" w:history="1">
        <w:r>
          <w:rPr>
            <w:color w:val="0A3A8C"/>
            <w:u w:val="single"/>
          </w:rPr>
          <w:t xml:space="preserve">§ 342h</w:t>
        </w:r>
      </w:hyperlink>
      <w:r>
        <w:t xml:space="preserve"> Absatz 1 Nummer 1 bis 3 und Absatz 2 bis 5, den </w:t>
      </w:r>
      <w:hyperlink w:anchor="b470" w:history="1">
        <w:r>
          <w:rPr>
            <w:color w:val="0A3A8C"/>
            <w:u w:val="single"/>
          </w:rPr>
          <w:t xml:space="preserve">§§ 342i</w:t>
        </w:r>
      </w:hyperlink>
      <w:r>
        <w:t xml:space="preserve"> und </w:t>
      </w:r>
      <w:hyperlink w:anchor="b471" w:history="1">
        <w:r>
          <w:rPr>
            <w:color w:val="0A3A8C"/>
            <w:u w:val="single"/>
          </w:rPr>
          <w:t xml:space="preserve">342j</w:t>
        </w:r>
      </w:hyperlink>
      <w:r>
        <w:t xml:space="preserve"> Absatz 2 sowie den </w:t>
      </w:r>
      <w:hyperlink w:anchor="b472" w:history="1">
        <w:r>
          <w:rPr>
            <w:color w:val="0A3A8C"/>
            <w:u w:val="single"/>
          </w:rPr>
          <w:t xml:space="preserve">§§ 342k</w:t>
        </w:r>
      </w:hyperlink>
      <w:r>
        <w:t xml:space="preserve"> und </w:t>
      </w:r>
      <w:hyperlink w:anchor="b473" w:history="1">
        <w:r>
          <w:rPr>
            <w:color w:val="0A3A8C"/>
            <w:u w:val="single"/>
          </w:rPr>
          <w:t xml:space="preserve">342l</w:t>
        </w:r>
      </w:hyperlink>
      <w:r>
        <w:t xml:space="preserve"> erstellt hat, der</w:t>
      </w:r>
    </w:p>
    <w:p>
      <w:pPr>
        <w:tabs>
          <w:tab w:pos="567" w:val="left"/>
        </w:tabs>
        <w:ind w:left="567" w:hanging="567"/>
      </w:pPr>
      <w:r>
        <w:t>1.</w:t>
      </w:r>
      <w:r>
        <w:tab/>
      </w:r>
      <w:r>
        <w:t>spätestens ein Jahr nach dem Ende des Berichtszeitraums in mindestens einer Amtssprache der Europäischen Union kostenlos auf der Internetseite der Gesellschaft veröffentlicht worden ist,</w:t>
      </w:r>
    </w:p>
    <w:p>
      <w:pPr>
        <w:tabs>
          <w:tab w:pos="567" w:val="left"/>
        </w:tabs>
        <w:ind w:left="567" w:hanging="567"/>
      </w:pPr>
      <w:r>
        <w:t>2.</w:t>
      </w:r>
      <w:r>
        <w:tab/>
      </w:r>
      <w:r>
        <w:t>von einer anderen inländischen Zweigniederlassung spätestens ein Jahr nach dem Ende des Berichtszeitraums in deutscher Sprache der das Unternehmensregister führenden Stelle zur Einstellung in das Unternehmensregister übermittelt oder von einer Zweigniederlassung in einem anderen Mitgliedstaat der Europäischen Union oder einem anderen Vertragsstaat des Abkommens über den Europäischen Wirtschaftsraum nach Maßgabe des jeweiligen nationalen Rechts im Einklang mit Artikel 48d Absatz 1 der Richtlinie 2013/34/EU offengelegt worden ist und</w:t>
      </w:r>
    </w:p>
    <w:p>
      <w:pPr>
        <w:tabs>
          <w:tab w:pos="567" w:val="left"/>
        </w:tabs>
        <w:ind w:left="567" w:hanging="567"/>
      </w:pPr>
      <w:r>
        <w:t>3.</w:t>
      </w:r>
      <w:r>
        <w:tab/>
      </w:r>
      <w:r>
        <w:t>den Namen und die Geschäftsanschrift derjenigen Zweigniederlassung angibt, für die die Offenlegung gemäß Nummer 2 bewirkt worden ist.</w:t>
      </w:r>
    </w:p>
    <w:p>
      <w:r>
        <w:t>(4) Die Pflichten nach den Absätzen 1 und 2 erlöschen, wenn die in den Jahresabschlüssen der Kapitalgesellschaft ausgewiesenen Umsatzerlöse in zwei aufeinander folgenden Geschäftsjahren jeweils einen Betrag unterschreiten, der zum Wechselkurs vom 21. Dezember 2021 bei Rundung auf das nächste Tausend einem Betrag von 750 Millionen Euro entspricht.</w:t>
      </w:r>
    </w:p>
    <w:p>
      <w:r>
        <w:t>(5) Umsatzerlöse nach den Absätzen 1 und 4 sind der Betrag der Umsatzerlöse, der sich bei Anwendung der Rechnungslegungsgrundsätze ergibt, die nach dem jeweiligen nationalen Recht für die Aufstellung des Jahresabschlusses der Kapitalgesellschaft gelten.</w:t>
      </w:r>
    </w:p>
    <w:p>
      <w:pPr>
        <w:pStyle w:val="Heading5"/>
      </w:pPr>
      <w:bookmarkStart w:id="467" w:name="b466"/>
      <w:r>
        <w:t>§ 342f Inländische Zweigniederlassungen verbundener Unternehmen mit Sitz in einem Drittstaat</w:t>
      </w:r>
      <w:r>
        <w:t xml:space="preserve"> </w:t>
      </w:r>
      <w:r>
        <w:rPr>
          <w:rStyle w:val="Suchmarke"/>
        </w:rPr>
        <w:t>#342f#</w:t>
      </w:r>
      <w:bookmarkEnd w:id="467"/>
    </w:p>
    <w:p>
      <w:r>
        <w:t xml:space="preserve">(1) Bei Zweigniederlassungen im Sinne des § 342 Absatz 2 Nummer 2 einer Kapitalgesellschaft im Sinne des </w:t>
      </w:r>
      <w:hyperlink w:anchor="b459" w:history="1">
        <w:r>
          <w:rPr>
            <w:color w:val="0A3A8C"/>
            <w:u w:val="single"/>
          </w:rPr>
          <w:t xml:space="preserve">§ 342</w:t>
        </w:r>
      </w:hyperlink>
      <w:r>
        <w:t xml:space="preserve"> Absatz 2 Nummer 1 zweite Alternative haben die in </w:t>
      </w:r>
      <w:hyperlink w:anchor="b26" w:history="1">
        <w:r>
          <w:rPr>
            <w:color w:val="0A3A8C"/>
            <w:u w:val="single"/>
          </w:rPr>
          <w:t xml:space="preserve">§ 13e</w:t>
        </w:r>
      </w:hyperlink>
      <w:r>
        <w:t xml:space="preserve"> Absatz 2 Satz 5 Nummer 3 genannten angemeldeten Personen oder, wenn solche nicht vorhanden sind, die Mitglieder des vertretungsberechtigten Organs der Kapitalgesellschaft das oberste Mutterunternehmen aufzufordern, ihnen für das vergangene Geschäftsjahr einen Ertragsteuerinformationsbericht zur Verfügung zu stellen, der gemäß </w:t>
      </w:r>
      <w:hyperlink w:anchor="b468" w:history="1">
        <w:r>
          <w:rPr>
            <w:color w:val="0A3A8C"/>
            <w:u w:val="single"/>
          </w:rPr>
          <w:t xml:space="preserve">§ 342g</w:t>
        </w:r>
      </w:hyperlink>
      <w:r>
        <w:t xml:space="preserve"> Nummer 2, den </w:t>
      </w:r>
      <w:hyperlink w:anchor="b469" w:history="1">
        <w:r>
          <w:rPr>
            <w:color w:val="0A3A8C"/>
            <w:u w:val="single"/>
          </w:rPr>
          <w:t xml:space="preserve">§§ 342h</w:t>
        </w:r>
      </w:hyperlink>
      <w:r>
        <w:t xml:space="preserve">, </w:t>
      </w:r>
      <w:hyperlink w:anchor="b470" w:history="1">
        <w:r>
          <w:rPr>
            <w:color w:val="0A3A8C"/>
            <w:u w:val="single"/>
          </w:rPr>
          <w:t xml:space="preserve">342i</w:t>
        </w:r>
      </w:hyperlink>
      <w:r>
        <w:t xml:space="preserve">, </w:t>
      </w:r>
      <w:hyperlink w:anchor="b471" w:history="1">
        <w:r>
          <w:rPr>
            <w:color w:val="0A3A8C"/>
            <w:u w:val="single"/>
          </w:rPr>
          <w:t xml:space="preserve">342j</w:t>
        </w:r>
      </w:hyperlink>
      <w:r>
        <w:t xml:space="preserve"> Absatz 3 sowie den </w:t>
      </w:r>
      <w:hyperlink w:anchor="b472" w:history="1">
        <w:r>
          <w:rPr>
            <w:color w:val="0A3A8C"/>
            <w:u w:val="single"/>
          </w:rPr>
          <w:t xml:space="preserve">§§ 342k</w:t>
        </w:r>
      </w:hyperlink>
      <w:r>
        <w:t xml:space="preserve"> und </w:t>
      </w:r>
      <w:hyperlink w:anchor="b473" w:history="1">
        <w:r>
          <w:rPr>
            <w:color w:val="0A3A8C"/>
            <w:u w:val="single"/>
          </w:rPr>
          <w:t xml:space="preserve">342l</w:t>
        </w:r>
      </w:hyperlink>
      <w:r>
        <w:t xml:space="preserve"> erstellt worden ist, wenn</w:t>
      </w:r>
    </w:p>
    <w:p>
      <w:pPr>
        <w:tabs>
          <w:tab w:pos="567" w:val="left"/>
        </w:tabs>
        <w:ind w:left="567" w:hanging="567"/>
      </w:pPr>
      <w:r>
        <w:t>1.</w:t>
      </w:r>
      <w:r>
        <w:tab/>
      </w:r>
      <w:r>
        <w:t>die in den Konzernabschlüssen des obersten Mutterunternehmens ausgewiesenen Konzernumsatzerlöse in mindestens zwei aufeinander folgenden Geschäftsjahren jeweils einen Betrag übersteigen, der zum Wechselkurs vom 21. Dezember 2021 bei Rundung auf das nächste Tausend einem Betrag von 750 Millionen Euro entspricht, und</w:t>
      </w:r>
    </w:p>
    <w:p>
      <w:pPr>
        <w:tabs>
          <w:tab w:pos="567" w:val="left"/>
        </w:tabs>
        <w:ind w:left="567" w:hanging="567"/>
      </w:pPr>
      <w:r>
        <w:t>2.</w:t>
      </w:r>
      <w:r>
        <w:tab/>
      </w:r>
      <w:r>
        <w:t xml:space="preserve">das oberste Mutterunternehmen kein Tochterunternehmen hat, das den Pflichten nach </w:t>
      </w:r>
      <w:hyperlink w:anchor="b464" w:history="1">
        <w:r>
          <w:rPr>
            <w:color w:val="0A3A8C"/>
            <w:u w:val="single"/>
          </w:rPr>
          <w:t xml:space="preserve">§ 342d</w:t>
        </w:r>
      </w:hyperlink>
      <w:r>
        <w:t xml:space="preserve"> Absatz 1 und 2 oder vergleichbaren Pflichten nach Maßgabe des Rechts eines anderen Mitgliedstaats der Europäischen Union oder eines anderen Vertragsstaats des Abkommens über den Europäischen Wirtschaftsraum im Einklang mit Artikel 48b Absatz 4 der Richtlinie 2013/34/EU unterliegt.</w:t>
      </w:r>
    </w:p>
    <w:p>
      <w:r>
        <w:t>(2) Wenn das oberste Mutterunternehmen einen Ertragsteuerinformationsbericht nicht zur Verfügung stellt oder der zur Verfügung gestellte Bericht nicht den gesetzlichen Vorgaben entspricht, haben die nach Absatz 1 Verpflichteten für die Kapitalgesellschaft Folgendes zu erstellen:</w:t>
      </w:r>
    </w:p>
    <w:p>
      <w:pPr>
        <w:tabs>
          <w:tab w:pos="567" w:val="left"/>
        </w:tabs>
        <w:ind w:left="567" w:hanging="567"/>
      </w:pPr>
      <w:r>
        <w:t>1.</w:t>
      </w:r>
      <w:r>
        <w:tab/>
      </w:r>
      <w:r>
        <w:t>eine Erklärung darüber, dass das oberste Mutterunternehmen einen Ertragsteuerinformationsbericht nicht zur Verfügung gestellt hat oder dass der zur Verfügung gestellte Bericht nicht den gesetzlichen Vorgaben entspricht, sowie</w:t>
      </w:r>
    </w:p>
    <w:p>
      <w:pPr>
        <w:tabs>
          <w:tab w:pos="567" w:val="left"/>
        </w:tabs>
        <w:ind w:left="567" w:hanging="567"/>
      </w:pPr>
      <w:r>
        <w:t>2.</w:t>
      </w:r>
      <w:r>
        <w:tab/>
      </w:r>
      <w:r>
        <w:t>einen Ertragsteuerinformationsbericht gemäß</w:t>
      </w:r>
    </w:p>
    <w:p>
      <w:pPr>
        <w:tabs>
          <w:tab w:pos="1134" w:val="left"/>
        </w:tabs>
        <w:ind w:left="1134" w:hanging="567"/>
      </w:pPr>
      <w:r>
        <w:t>a)</w:t>
      </w:r>
      <w:r>
        <w:tab/>
      </w:r>
      <w:hyperlink w:anchor="b468" w:history="1">
        <w:r>
          <w:rPr>
            <w:color w:val="0A3A8C"/>
            <w:u w:val="single"/>
          </w:rPr>
          <w:t xml:space="preserve">§ 342g</w:t>
        </w:r>
      </w:hyperlink>
      <w:r>
        <w:t xml:space="preserve"> Nummer 2, den </w:t>
      </w:r>
      <w:hyperlink w:anchor="b469" w:history="1">
        <w:r>
          <w:rPr>
            <w:color w:val="0A3A8C"/>
            <w:u w:val="single"/>
          </w:rPr>
          <w:t xml:space="preserve">§§ 342h</w:t>
        </w:r>
      </w:hyperlink>
      <w:r>
        <w:t xml:space="preserve">, </w:t>
      </w:r>
      <w:hyperlink w:anchor="b470" w:history="1">
        <w:r>
          <w:rPr>
            <w:color w:val="0A3A8C"/>
            <w:u w:val="single"/>
          </w:rPr>
          <w:t xml:space="preserve">342i</w:t>
        </w:r>
      </w:hyperlink>
      <w:r>
        <w:t xml:space="preserve">, </w:t>
      </w:r>
      <w:hyperlink w:anchor="b471" w:history="1">
        <w:r>
          <w:rPr>
            <w:color w:val="0A3A8C"/>
            <w:u w:val="single"/>
          </w:rPr>
          <w:t xml:space="preserve">342j</w:t>
        </w:r>
      </w:hyperlink>
      <w:r>
        <w:t xml:space="preserve"> Absatz 3 und </w:t>
      </w:r>
      <w:hyperlink w:anchor="b472" w:history="1">
        <w:r>
          <w:rPr>
            <w:color w:val="0A3A8C"/>
            <w:u w:val="single"/>
          </w:rPr>
          <w:t xml:space="preserve">§ 342k</w:t>
        </w:r>
      </w:hyperlink>
      <w:r>
        <w:t xml:space="preserve"> Absatz 2 sowie</w:t>
      </w:r>
    </w:p>
    <w:p>
      <w:pPr>
        <w:tabs>
          <w:tab w:pos="1134" w:val="left"/>
        </w:tabs>
        <w:ind w:left="1134" w:hanging="567"/>
      </w:pPr>
      <w:r>
        <w:t>b)</w:t>
      </w:r>
      <w:r>
        <w:tab/>
      </w:r>
      <w:r>
        <w:t>§ 342k Absatz 1 und § 342l</w:t>
      </w:r>
    </w:p>
    <w:p>
      <w:pPr>
        <w:ind w:left="567"/>
      </w:pPr>
      <w:r>
        <w:t>mit denjenigen Angaben, über die sie verfügen und die sie beschaffen können.</w:t>
      </w:r>
    </w:p>
    <w:p>
      <w:r>
        <w:t xml:space="preserve">(3) Die nach den Absätzen 1 und 2 Verpflichteten sind von den dort genannten Pflichten befreit, wenn das oberste Mutterunternehmen einen Ertragsteuerinformationsbericht gemäß </w:t>
      </w:r>
      <w:hyperlink w:anchor="b468" w:history="1">
        <w:r>
          <w:rPr>
            <w:color w:val="0A3A8C"/>
            <w:u w:val="single"/>
          </w:rPr>
          <w:t xml:space="preserve">§ 342g</w:t>
        </w:r>
      </w:hyperlink>
      <w:r>
        <w:t xml:space="preserve"> Nummer 2, den </w:t>
      </w:r>
      <w:hyperlink w:anchor="b469" w:history="1">
        <w:r>
          <w:rPr>
            <w:color w:val="0A3A8C"/>
            <w:u w:val="single"/>
          </w:rPr>
          <w:t xml:space="preserve">§§ 342h</w:t>
        </w:r>
      </w:hyperlink>
      <w:r>
        <w:t xml:space="preserve">, </w:t>
      </w:r>
      <w:hyperlink w:anchor="b470" w:history="1">
        <w:r>
          <w:rPr>
            <w:color w:val="0A3A8C"/>
            <w:u w:val="single"/>
          </w:rPr>
          <w:t xml:space="preserve">342i</w:t>
        </w:r>
      </w:hyperlink>
      <w:r>
        <w:t xml:space="preserve">, </w:t>
      </w:r>
      <w:hyperlink w:anchor="b471" w:history="1">
        <w:r>
          <w:rPr>
            <w:color w:val="0A3A8C"/>
            <w:u w:val="single"/>
          </w:rPr>
          <w:t xml:space="preserve">342j</w:t>
        </w:r>
      </w:hyperlink>
      <w:r>
        <w:t xml:space="preserve"> Absatz 3 sowie den </w:t>
      </w:r>
      <w:hyperlink w:anchor="b472" w:history="1">
        <w:r>
          <w:rPr>
            <w:color w:val="0A3A8C"/>
            <w:u w:val="single"/>
          </w:rPr>
          <w:t xml:space="preserve">§§ 342k</w:t>
        </w:r>
      </w:hyperlink>
      <w:r>
        <w:t xml:space="preserve"> und </w:t>
      </w:r>
      <w:hyperlink w:anchor="b473" w:history="1">
        <w:r>
          <w:rPr>
            <w:color w:val="0A3A8C"/>
            <w:u w:val="single"/>
          </w:rPr>
          <w:t xml:space="preserve">342l</w:t>
        </w:r>
      </w:hyperlink>
      <w:r>
        <w:t xml:space="preserve"> erstellt hat, der</w:t>
      </w:r>
    </w:p>
    <w:p>
      <w:pPr>
        <w:tabs>
          <w:tab w:pos="567" w:val="left"/>
        </w:tabs>
        <w:ind w:left="567" w:hanging="567"/>
      </w:pPr>
      <w:r>
        <w:t>1.</w:t>
      </w:r>
      <w:r>
        <w:tab/>
      </w:r>
      <w:r>
        <w:t>spätestens ein Jahr nach dem Ende des Berichtszeitraums in mindestens einer Amtssprache der Europäischen Union kostenlos auf der Internetseite des obersten Mutterunternehmens veröffentlicht worden ist,</w:t>
      </w:r>
    </w:p>
    <w:p>
      <w:pPr>
        <w:tabs>
          <w:tab w:pos="567" w:val="left"/>
        </w:tabs>
        <w:ind w:left="567" w:hanging="567"/>
      </w:pPr>
      <w:r>
        <w:t>2.</w:t>
      </w:r>
      <w:r>
        <w:tab/>
      </w:r>
      <w:r>
        <w:t>von einer anderen inländischen Zweigniederlassung spätestens ein Jahr nach dem Ende des Berichtszeitraums in deutscher Sprache der das Unternehmensregister führenden Stelle zur Einstellung in das Unternehmensregister übermittelt oder von einer Zweigniederlassung in einem anderen Mitgliedstaat der Europäischen Union oder einem anderen Vertragsstaat des Abkommens über den Europäischen Wirtschaftsraum nach Maßgabe des jeweiligen nationalen Rechts im Einklang mit Artikel 48d Absatz 1 der Richtlinie 2013/34/EU offengelegt worden ist und</w:t>
      </w:r>
    </w:p>
    <w:p>
      <w:pPr>
        <w:tabs>
          <w:tab w:pos="567" w:val="left"/>
        </w:tabs>
        <w:ind w:left="567" w:hanging="567"/>
      </w:pPr>
      <w:r>
        <w:t>3.</w:t>
      </w:r>
      <w:r>
        <w:tab/>
      </w:r>
      <w:r>
        <w:t>den Namen und die Geschäftsanschrift derjenigen Zweigniederlassung angibt, für die die Offenlegung gemäß Nummer 2 bewirkt worden ist.</w:t>
      </w:r>
    </w:p>
    <w:p>
      <w:r>
        <w:t>(4) Die Pflichten nach den Absätzen 1 und 2 erlöschen, wenn die in den Konzernabschlüssen des obersten Mutterunternehmens ausgewiesenen Konzernumsatzerlöse in zwei aufeinander folgenden Geschäftsjahren jeweils einen Betrag unterschreiten, der zum Wechselkurs vom 21. Dezember 2021 bei Rundung auf das nächste Tausend einem Betrag von 750 Millionen Euro entspricht.</w:t>
      </w:r>
    </w:p>
    <w:p>
      <w:r>
        <w:t>(5) Konzernumsatzerlöse nach den Absätzen 1 und 4 sind der Betrag der Konzernumsatzerlöse, der sich bei Anwendung der Rechnungslegungsgrundsätze ergibt, die nach dem jeweiligen nationalen Recht für die Aufstellung des Konzernabschlusses des obersten Mutterunternehmens gelten.</w:t>
      </w:r>
    </w:p>
    <w:p>
      <w:pPr>
        <w:pStyle w:val="Heading4"/>
      </w:pPr>
      <w:bookmarkStart w:id="468" w:name="b467"/>
      <w:r>
        <w:t>Dritter Titel Einzubeziehende Unternehmen; Inhalt und Form des Ertragsteuerinformationsberichts</w:t>
      </w:r>
      <w:bookmarkEnd w:id="468"/>
    </w:p>
    <w:p>
      <w:pPr>
        <w:pStyle w:val="Heading5"/>
      </w:pPr>
      <w:bookmarkStart w:id="469" w:name="b468"/>
      <w:r>
        <w:t>§ 342g Einzubeziehende Unternehmen</w:t>
      </w:r>
      <w:r>
        <w:t xml:space="preserve"> </w:t>
      </w:r>
      <w:r>
        <w:rPr>
          <w:rStyle w:val="Suchmarke"/>
        </w:rPr>
        <w:t>#342g#</w:t>
      </w:r>
      <w:bookmarkEnd w:id="469"/>
    </w:p>
    <w:p>
      <w:r>
        <w:t>In den Ertragsteuerinformationsbericht sind einzubeziehen:</w:t>
      </w:r>
    </w:p>
    <w:p>
      <w:pPr>
        <w:tabs>
          <w:tab w:pos="567" w:val="left"/>
        </w:tabs>
        <w:ind w:left="567" w:hanging="567"/>
      </w:pPr>
      <w:r>
        <w:t>1.</w:t>
      </w:r>
      <w:r>
        <w:tab/>
      </w:r>
      <w:r>
        <w:t xml:space="preserve">in den Fällen der </w:t>
      </w:r>
      <w:hyperlink w:anchor="b462" w:history="1">
        <w:r>
          <w:rPr>
            <w:color w:val="0A3A8C"/>
            <w:u w:val="single"/>
          </w:rPr>
          <w:t xml:space="preserve">§§ 342b</w:t>
        </w:r>
      </w:hyperlink>
      <w:r>
        <w:t xml:space="preserve"> und </w:t>
      </w:r>
      <w:hyperlink w:anchor="b465" w:history="1">
        <w:r>
          <w:rPr>
            <w:color w:val="0A3A8C"/>
            <w:u w:val="single"/>
          </w:rPr>
          <w:t xml:space="preserve">342e</w:t>
        </w:r>
      </w:hyperlink>
      <w:r>
        <w:t xml:space="preserve"> das unverbundene Unternehmen;</w:t>
      </w:r>
    </w:p>
    <w:p>
      <w:pPr>
        <w:tabs>
          <w:tab w:pos="567" w:val="left"/>
        </w:tabs>
        <w:ind w:left="567" w:hanging="567"/>
      </w:pPr>
      <w:r>
        <w:t>2.</w:t>
      </w:r>
      <w:r>
        <w:tab/>
      </w:r>
      <w:r>
        <w:t xml:space="preserve">in den Fällen der </w:t>
      </w:r>
      <w:hyperlink w:anchor="b463" w:history="1">
        <w:r>
          <w:rPr>
            <w:color w:val="0A3A8C"/>
            <w:u w:val="single"/>
          </w:rPr>
          <w:t xml:space="preserve">§§ 342c</w:t>
        </w:r>
      </w:hyperlink>
      <w:r>
        <w:t xml:space="preserve">, </w:t>
      </w:r>
      <w:hyperlink w:anchor="b464" w:history="1">
        <w:r>
          <w:rPr>
            <w:color w:val="0A3A8C"/>
            <w:u w:val="single"/>
          </w:rPr>
          <w:t xml:space="preserve">342d</w:t>
        </w:r>
      </w:hyperlink>
      <w:r>
        <w:t xml:space="preserve"> und </w:t>
      </w:r>
      <w:hyperlink w:anchor="b466" w:history="1">
        <w:r>
          <w:rPr>
            <w:color w:val="0A3A8C"/>
            <w:u w:val="single"/>
          </w:rPr>
          <w:t xml:space="preserve">342f</w:t>
        </w:r>
      </w:hyperlink>
      <w:r>
        <w:t xml:space="preserve"> das oberste Mutterunternehmen und alle Tochterunternehmen, die in den für den Berichtszeitraum aufgestellten Konzernabschluss des obersten Mutterunternehmens einbezogen sind.</w:t>
      </w:r>
    </w:p>
    <w:p>
      <w:pPr>
        <w:pStyle w:val="Heading5"/>
      </w:pPr>
      <w:bookmarkStart w:id="470" w:name="b469"/>
      <w:r>
        <w:t>§ 342h Pflichtangaben</w:t>
      </w:r>
      <w:r>
        <w:t xml:space="preserve"> </w:t>
      </w:r>
      <w:r>
        <w:rPr>
          <w:rStyle w:val="Suchmarke"/>
        </w:rPr>
        <w:t>#342h#</w:t>
      </w:r>
      <w:bookmarkEnd w:id="470"/>
    </w:p>
    <w:p>
      <w:r>
        <w:t>(1) Im Ertragsteuerinformationsbericht sind anzugeben:</w:t>
      </w:r>
    </w:p>
    <w:p>
      <w:pPr>
        <w:tabs>
          <w:tab w:pos="567" w:val="left"/>
        </w:tabs>
        <w:ind w:left="567" w:hanging="567"/>
      </w:pPr>
      <w:r>
        <w:t>1.</w:t>
      </w:r>
      <w:r>
        <w:tab/>
      </w:r>
      <w:r>
        <w:t>in den Fällen der §§ 342b und 342e der Name des unverbundenen Unternehmens oder in den Fällen der §§ 342c, 342d und 342f der Name des obersten Mutterunternehmens;</w:t>
      </w:r>
    </w:p>
    <w:p>
      <w:pPr>
        <w:tabs>
          <w:tab w:pos="567" w:val="left"/>
        </w:tabs>
        <w:ind w:left="567" w:hanging="567"/>
      </w:pPr>
      <w:r>
        <w:t>2.</w:t>
      </w:r>
      <w:r>
        <w:tab/>
      </w:r>
      <w:r>
        <w:t>der Berichtszeitraum;</w:t>
      </w:r>
    </w:p>
    <w:p>
      <w:pPr>
        <w:tabs>
          <w:tab w:pos="567" w:val="left"/>
        </w:tabs>
        <w:ind w:left="567" w:hanging="567"/>
      </w:pPr>
      <w:r>
        <w:t>3.</w:t>
      </w:r>
      <w:r>
        <w:tab/>
      </w:r>
      <w:r>
        <w:t>die verwendete Währung;</w:t>
      </w:r>
    </w:p>
    <w:p>
      <w:pPr>
        <w:tabs>
          <w:tab w:pos="567" w:val="left"/>
        </w:tabs>
        <w:ind w:left="567" w:hanging="567"/>
      </w:pPr>
      <w:r>
        <w:t>4.</w:t>
      </w:r>
      <w:r>
        <w:tab/>
      </w:r>
      <w:r>
        <w:t xml:space="preserve">in den Fällen der </w:t>
      </w:r>
      <w:hyperlink w:anchor="b463" w:history="1">
        <w:r>
          <w:rPr>
            <w:color w:val="0A3A8C"/>
            <w:u w:val="single"/>
          </w:rPr>
          <w:t xml:space="preserve">§§ 342c</w:t>
        </w:r>
      </w:hyperlink>
      <w:r>
        <w:t xml:space="preserve">, </w:t>
      </w:r>
      <w:hyperlink w:anchor="b464" w:history="1">
        <w:r>
          <w:rPr>
            <w:color w:val="0A3A8C"/>
            <w:u w:val="single"/>
          </w:rPr>
          <w:t xml:space="preserve">342d</w:t>
        </w:r>
      </w:hyperlink>
      <w:r>
        <w:t xml:space="preserve"> und </w:t>
      </w:r>
      <w:hyperlink w:anchor="b466" w:history="1">
        <w:r>
          <w:rPr>
            <w:color w:val="0A3A8C"/>
            <w:u w:val="single"/>
          </w:rPr>
          <w:t xml:space="preserve">342f</w:t>
        </w:r>
      </w:hyperlink>
      <w:r>
        <w:t xml:space="preserve"> die Namen aller Tochterunternehmen, die in den für den Berichtszeitraum aufgestellten Konzernabschluss des obersten Mutterunternehmens einbezogen sind und ihren Sitz in folgenden Gebieten haben:</w:t>
      </w:r>
    </w:p>
    <w:p>
      <w:pPr>
        <w:tabs>
          <w:tab w:pos="1134" w:val="left"/>
        </w:tabs>
        <w:ind w:left="1134" w:hanging="567"/>
      </w:pPr>
      <w:r>
        <w:t>a)</w:t>
      </w:r>
      <w:r>
        <w:tab/>
      </w:r>
      <w:r>
        <w:t>in einem Mitgliedstaat der Europäischen Union oder einem anderen Vertragsstaat des Abkommens über den Europäischen Wirtschaftsraum oder</w:t>
      </w:r>
    </w:p>
    <w:p>
      <w:pPr>
        <w:tabs>
          <w:tab w:pos="1134" w:val="left"/>
        </w:tabs>
        <w:ind w:left="1134" w:hanging="567"/>
      </w:pPr>
      <w:r>
        <w:t>b)</w:t>
      </w:r>
      <w:r>
        <w:tab/>
      </w:r>
      <w:r>
        <w:t>in Steuerhoheitsgebieten, die am 1. März des Berichtszeitraums in den Anhängen I und II der Schlussfolgerungen des Rates zur überarbeiteten EU-Liste nicht kooperativer Länder und Gebiete für Steuerzwecke (ABl. C 103 vom 3.3.2022, S. 1) in der jeweils geltenden Fassung aufgeführt sind.</w:t>
      </w:r>
    </w:p>
    <w:p>
      <w:r>
        <w:t xml:space="preserve">(2) Im Ertragsteuerinformationsbericht sind ferner zu dem oder den einzubeziehenden Unternehmen nach Maßgabe des </w:t>
      </w:r>
      <w:hyperlink w:anchor="b470" w:history="1">
        <w:r>
          <w:rPr>
            <w:color w:val="0A3A8C"/>
            <w:u w:val="single"/>
          </w:rPr>
          <w:t xml:space="preserve">§ 342i</w:t>
        </w:r>
      </w:hyperlink>
      <w:r>
        <w:t xml:space="preserve"> anzugeben:</w:t>
      </w:r>
    </w:p>
    <w:p>
      <w:pPr>
        <w:tabs>
          <w:tab w:pos="567" w:val="left"/>
        </w:tabs>
        <w:ind w:left="567" w:hanging="567"/>
      </w:pPr>
      <w:r>
        <w:t>1.</w:t>
      </w:r>
      <w:r>
        <w:tab/>
      </w:r>
      <w:r>
        <w:t>eine kurze Beschreibung der Art der Geschäftstätigkeiten im Berichtszeitraum;</w:t>
      </w:r>
    </w:p>
    <w:p>
      <w:pPr>
        <w:tabs>
          <w:tab w:pos="567" w:val="left"/>
        </w:tabs>
        <w:ind w:left="567" w:hanging="567"/>
      </w:pPr>
      <w:r>
        <w:t>2.</w:t>
      </w:r>
      <w:r>
        <w:tab/>
      </w:r>
      <w:r>
        <w:t>die Zahl der Arbeitnehmer im Berichtszeitraum;</w:t>
      </w:r>
    </w:p>
    <w:p>
      <w:pPr>
        <w:tabs>
          <w:tab w:pos="567" w:val="left"/>
        </w:tabs>
        <w:ind w:left="567" w:hanging="567"/>
      </w:pPr>
      <w:r>
        <w:t>3.</w:t>
      </w:r>
      <w:r>
        <w:tab/>
      </w:r>
      <w:r>
        <w:t>die Erträge im Berichtszeitraum, einschließlich der Erträge aus Geschäften mit nahestehenden Unternehmen und Personen;</w:t>
      </w:r>
    </w:p>
    <w:p>
      <w:pPr>
        <w:tabs>
          <w:tab w:pos="567" w:val="left"/>
        </w:tabs>
        <w:ind w:left="567" w:hanging="567"/>
      </w:pPr>
      <w:r>
        <w:t>4.</w:t>
      </w:r>
      <w:r>
        <w:tab/>
      </w:r>
      <w:r>
        <w:t>der Gewinn oder Verlust vor Ertragsteuern im Berichtszeitraum;</w:t>
      </w:r>
    </w:p>
    <w:p>
      <w:pPr>
        <w:tabs>
          <w:tab w:pos="567" w:val="left"/>
        </w:tabs>
        <w:ind w:left="567" w:hanging="567"/>
      </w:pPr>
      <w:r>
        <w:t>5.</w:t>
      </w:r>
      <w:r>
        <w:tab/>
      </w:r>
      <w:r>
        <w:t>die für den Berichtszeitraum zu zahlende Ertragsteuer;</w:t>
      </w:r>
    </w:p>
    <w:p>
      <w:pPr>
        <w:tabs>
          <w:tab w:pos="567" w:val="left"/>
        </w:tabs>
        <w:ind w:left="567" w:hanging="567"/>
      </w:pPr>
      <w:r>
        <w:t>6.</w:t>
      </w:r>
      <w:r>
        <w:tab/>
      </w:r>
      <w:r>
        <w:t>die im Berichtszeitraum gezahlte Ertragsteuer auf Kassenbasis und</w:t>
      </w:r>
    </w:p>
    <w:p>
      <w:pPr>
        <w:tabs>
          <w:tab w:pos="567" w:val="left"/>
        </w:tabs>
        <w:ind w:left="567" w:hanging="567"/>
      </w:pPr>
      <w:r>
        <w:t>7.</w:t>
      </w:r>
      <w:r>
        <w:tab/>
      </w:r>
      <w:r>
        <w:t>die einbehaltenen Gewinne am Ende des Berichtszeitraums.</w:t>
      </w:r>
    </w:p>
    <w:p>
      <w:r>
        <w:t>(3) Für die Angaben nach Absatz 2 gelten vorbehaltlich des Absatzes 4 die folgenden Vorgaben:</w:t>
      </w:r>
    </w:p>
    <w:p>
      <w:pPr>
        <w:tabs>
          <w:tab w:pos="567" w:val="left"/>
        </w:tabs>
        <w:ind w:left="567" w:hanging="567"/>
      </w:pPr>
      <w:r>
        <w:t>1.</w:t>
      </w:r>
      <w:r>
        <w:tab/>
      </w:r>
      <w:r>
        <w:t>die Zahl der Arbeitnehmer nach Absatz 2 Nummer 2 ist in Vollzeitäquivalenten anzugeben;</w:t>
      </w:r>
    </w:p>
    <w:p>
      <w:pPr>
        <w:tabs>
          <w:tab w:pos="567" w:val="left"/>
        </w:tabs>
        <w:ind w:left="567" w:hanging="567"/>
      </w:pPr>
      <w:r>
        <w:t>2.</w:t>
      </w:r>
      <w:r>
        <w:tab/>
      </w:r>
      <w:r>
        <w:t>die Erträge nach Absatz 2 Nummer 3 umfassen</w:t>
      </w:r>
    </w:p>
    <w:p>
      <w:pPr>
        <w:tabs>
          <w:tab w:pos="1134" w:val="left"/>
        </w:tabs>
        <w:ind w:left="1134" w:hanging="567"/>
      </w:pPr>
      <w:r>
        <w:t>a)</w:t>
      </w:r>
      <w:r>
        <w:tab/>
      </w:r>
      <w:r>
        <w:t>bei Unternehmen, die ihren Jahresabschluss für den Berichtszeitraum nach Maßgabe des jeweiligen nationalen Rechts im Einklang mit der Richtlinie 2013/34/EU aufstellen, diejenigen Posten nach nationalem Recht, die den Posten 1, 4, 9 bis 11 in Anhang V oder den Posten 1, 6 bis 9 in Anhang VI der Richtlinie 2013/34/EU entsprechen, wobei jeweils von verbundenen Unternehmen erhaltene Dividenden nicht berücksichtigt werden dürfen, oder</w:t>
      </w:r>
    </w:p>
    <w:p>
      <w:pPr>
        <w:tabs>
          <w:tab w:pos="1134" w:val="left"/>
        </w:tabs>
        <w:ind w:left="1134" w:hanging="567"/>
      </w:pPr>
      <w:r>
        <w:t>b)</w:t>
      </w:r>
      <w:r>
        <w:tab/>
      </w:r>
      <w:r>
        <w:t>bei allen anderen Unternehmen diejenigen Erträge, welche sich bei Anwendung der Rechnungslegungsgrundsätze ergeben, auf deren Grundlage der Jahresabschluss für den Berichtszeitraum aufgestellt wird, wobei Erträge aus Wertanpassungen und von verbundenen Unternehmen erhaltene Dividenden nicht berücksichtigt werden dürfen;</w:t>
      </w:r>
    </w:p>
    <w:p>
      <w:pPr>
        <w:tabs>
          <w:tab w:pos="567" w:val="left"/>
        </w:tabs>
        <w:ind w:left="567" w:hanging="567"/>
      </w:pPr>
      <w:r>
        <w:t>3.</w:t>
      </w:r>
      <w:r>
        <w:tab/>
      </w:r>
      <w:r>
        <w:t>der Gewinn oder Verlust vor Ertragsteuern nach Absatz 2 Nummer 4 ist in Anwendung der Rechnungslegungsgrundsätze zu bestimmen, auf deren Grundlage der Jahresabschluss für den Berichtszeitraum aufgestellt wird;</w:t>
      </w:r>
    </w:p>
    <w:p>
      <w:pPr>
        <w:tabs>
          <w:tab w:pos="567" w:val="left"/>
        </w:tabs>
        <w:ind w:left="567" w:hanging="567"/>
      </w:pPr>
      <w:r>
        <w:t>4.</w:t>
      </w:r>
      <w:r>
        <w:tab/>
      </w:r>
      <w:r>
        <w:t>die zu zahlende Ertragsteuer nach Absatz 2 Nummer 5 entspricht dem laufenden Steueraufwand auf zu versteuernde Gewinne oder Verluste des Berichtszeitraums ohne latente Steuern und Rückstellungen für ungewisse Steuerverbindlichkeiten;</w:t>
      </w:r>
    </w:p>
    <w:p>
      <w:pPr>
        <w:tabs>
          <w:tab w:pos="567" w:val="left"/>
        </w:tabs>
        <w:ind w:left="567" w:hanging="567"/>
      </w:pPr>
      <w:r>
        <w:t>5.</w:t>
      </w:r>
      <w:r>
        <w:tab/>
      </w:r>
      <w:r>
        <w:t>die gezahlte Ertragsteuer auf Kassenbasis nach Absatz 2 Nummer 6 umfasst alle im Berichtszeitraum entrichteten Ertragsteuern und schließt Quellensteuern ein, die von anderen Unternehmen in Bezug auf Zahlungen an das einzubeziehende Unternehmen entrichtet wurden;</w:t>
      </w:r>
    </w:p>
    <w:p>
      <w:pPr>
        <w:tabs>
          <w:tab w:pos="567" w:val="left"/>
        </w:tabs>
        <w:ind w:left="567" w:hanging="567"/>
      </w:pPr>
      <w:r>
        <w:t>6.</w:t>
      </w:r>
      <w:r>
        <w:tab/>
      </w:r>
      <w:r>
        <w:t>die einbehaltenen Gewinne nach Absatz 2 Nummer 7 umfassen die Gewinne vergangener Geschäftsjahre und des Berichtszeitraums, für die am Ende des Berichtszeitraums keine Gewinnausschüttung beschlossen ist.</w:t>
      </w:r>
    </w:p>
    <w:p>
      <w:r>
        <w:t>(4) Die Angaben nach Absatz 2 können insgesamt auch gemäß den Vorgaben in Anhang III Abschnitt III Teil B und C der Richtlinie 2011/16/EU des Rates vom 15. Februar 2011 über die Zusammenarbeit der Verwaltungsbehörden im Bereich der Besteuerung und zur Aufhebung der Richtlinie 77/799/EWG (ABl. L 64 vom 11.3.2011, S. 1), die zuletzt durch die Richtlinie (EU) 2021/514 (ABl. L 104 vom 25.3.2021, S. 1) geändert worden ist, gemacht werden.</w:t>
      </w:r>
    </w:p>
    <w:p>
      <w:r>
        <w:t>(5) Im Ertragsteuerinformationsbericht ist anzugeben, ob die nach Absatz 2 erforderlichen Angaben gemäß den Vorgaben des Absatzes 3 oder 4 gemacht wurden.</w:t>
      </w:r>
    </w:p>
    <w:p>
      <w:pPr>
        <w:pStyle w:val="Heading5"/>
      </w:pPr>
      <w:bookmarkStart w:id="471" w:name="b470"/>
      <w:r>
        <w:t>§ 342i Länderbezogener Ausweis der Angaben</w:t>
      </w:r>
      <w:r>
        <w:t xml:space="preserve"> </w:t>
      </w:r>
      <w:r>
        <w:rPr>
          <w:rStyle w:val="Suchmarke"/>
        </w:rPr>
        <w:t>#342i#</w:t>
      </w:r>
      <w:bookmarkEnd w:id="471"/>
    </w:p>
    <w:p>
      <w:r>
        <w:t xml:space="preserve">(1) </w:t>
      </w:r>
      <w:r>
        <w:rPr>
          <w:rStyle w:val="Satznummer"/>
        </w:rPr>
        <w:t>1</w:t>
      </w:r>
      <w:r>
        <w:t xml:space="preserve">Die Angaben nach </w:t>
      </w:r>
      <w:hyperlink w:anchor="b469" w:history="1">
        <w:r>
          <w:rPr>
            <w:color w:val="0A3A8C"/>
            <w:u w:val="single"/>
          </w:rPr>
          <w:t xml:space="preserve">§ 342h</w:t>
        </w:r>
      </w:hyperlink>
      <w:r>
        <w:t xml:space="preserve"> Absatz 2 sind wie folgt getrennt auszuweisen:</w:t>
      </w:r>
    </w:p>
    <w:p>
      <w:pPr>
        <w:tabs>
          <w:tab w:pos="567" w:val="left"/>
        </w:tabs>
        <w:ind w:left="567" w:hanging="567"/>
      </w:pPr>
      <w:r>
        <w:t>1.</w:t>
      </w:r>
      <w:r>
        <w:tab/>
      </w:r>
      <w:r>
        <w:t>für jeden Mitgliedstaat der Europäischen Union und jeden anderen Vertragsstaat des Abkommens über den Europäischen Wirtschaftsraum, wobei die Angaben auf der Ebene des Mitgliedstaats oder Vertragsstaats zusammenzufassen sind, wenn ein Mitgliedstaat oder Vertragsstaat mehrere Steuerhoheitsgebiete umfasst;</w:t>
      </w:r>
    </w:p>
    <w:p>
      <w:pPr>
        <w:tabs>
          <w:tab w:pos="567" w:val="left"/>
        </w:tabs>
        <w:ind w:left="567" w:hanging="567"/>
      </w:pPr>
      <w:r>
        <w:t>2.</w:t>
      </w:r>
      <w:r>
        <w:tab/>
      </w:r>
      <w:r>
        <w:t>für jedes Steuerhoheitsgebiet, das im Berichtszeitraum am 1. März in Anhang I der Schlussfolgerungen des Rates zur überarbeiteten EU-Liste nicht kooperativer Länder und Gebiete für Steuerzwecke aufgeführt war;</w:t>
      </w:r>
    </w:p>
    <w:p>
      <w:pPr>
        <w:tabs>
          <w:tab w:pos="567" w:val="left"/>
        </w:tabs>
        <w:ind w:left="567" w:hanging="567"/>
      </w:pPr>
      <w:r>
        <w:t>3.</w:t>
      </w:r>
      <w:r>
        <w:tab/>
      </w:r>
      <w:r>
        <w:t>für jedes Steuerhoheitsgebiet, das im Berichtszeitraum und in dem diesem unmittelbar vorausgehenden Geschäftsjahr jeweils am 1. März in Anhang II der Schlussfolgerungen des Rates zur überarbeiteten EU-Liste nicht kooperativer Länder und Gebiete für Steuerzwecke aufgeführt war.</w:t>
      </w:r>
    </w:p>
    <w:p>
      <w:r>
        <w:rPr>
          <w:rStyle w:val="Satznummer"/>
        </w:rPr>
        <w:t>2</w:t>
      </w:r>
      <w:r>
        <w:t xml:space="preserve">Für andere Steuerhoheitsgebiete sind die Angaben nach </w:t>
      </w:r>
      <w:hyperlink w:anchor="b469" w:history="1">
        <w:r>
          <w:rPr>
            <w:color w:val="0A3A8C"/>
            <w:u w:val="single"/>
          </w:rPr>
          <w:t xml:space="preserve">§ 342h</w:t>
        </w:r>
      </w:hyperlink>
      <w:r>
        <w:t xml:space="preserve"> Absatz 2 zusammengefasst auszuweisen.</w:t>
      </w:r>
    </w:p>
    <w:p>
      <w:r>
        <w:t xml:space="preserve">(2) </w:t>
      </w:r>
      <w:r>
        <w:rPr>
          <w:rStyle w:val="Satznummer"/>
        </w:rPr>
        <w:t>1</w:t>
      </w:r>
      <w:r>
        <w:t xml:space="preserve">Die Angaben sind demjenigen Steuerhoheitsgebiet zuzuordnen, in dem die Niederlassung oder feste Geschäftseinrichtung belegen ist oder die dauerhafte Geschäftstätigkeit besteht, auf die sich die Angaben jeweils beziehen, vorausgesetzt, die Niederlassung, feste Geschäftseinrichtung oder dauerhafte Geschäftstätigkeit kann im betreffenden Steuerhoheitsgebiet der Ertragsteuer unterliegen. </w:t>
      </w:r>
      <w:r>
        <w:rPr>
          <w:rStyle w:val="Satznummer"/>
        </w:rPr>
        <w:t>2</w:t>
      </w:r>
      <w:r>
        <w:t xml:space="preserve">Angaben zu einbehaltenen Gewinnen sind stets dem Steuerhoheitsgebiet zuzuordnen, in dem die Hauptniederlassung belegen ist. </w:t>
      </w:r>
      <w:r>
        <w:rPr>
          <w:rStyle w:val="Satznummer"/>
        </w:rPr>
        <w:t>3</w:t>
      </w:r>
      <w:r>
        <w:t xml:space="preserve">Unterliegen mehrere verbundene Unternehmen in einem Steuerhoheitsgebiet der Ertragsteuer, so sind die nach den Sätzen 1 und 2 diesem Steuerhoheitsgebiet jeweils zuzuordnenden Angaben für das Steuerhoheitsgebiet zusammenzufassen. </w:t>
      </w:r>
      <w:r>
        <w:rPr>
          <w:rStyle w:val="Satznummer"/>
        </w:rPr>
        <w:t>4</w:t>
      </w:r>
      <w:r>
        <w:t>Angaben zu einer Niederlassung, festen Geschäftseinrichtung oder dauerhaften Geschäftstätigkeit dürfen nicht mehr als einem Steuerhoheitsgebiet zugeordnet werden.</w:t>
      </w:r>
    </w:p>
    <w:p>
      <w:pPr>
        <w:pStyle w:val="Heading5"/>
      </w:pPr>
      <w:bookmarkStart w:id="472" w:name="b471"/>
      <w:r>
        <w:t>§ 342j Währung</w:t>
      </w:r>
      <w:r>
        <w:t xml:space="preserve"> </w:t>
      </w:r>
      <w:r>
        <w:rPr>
          <w:rStyle w:val="Suchmarke"/>
        </w:rPr>
        <w:t>#342j#</w:t>
      </w:r>
      <w:bookmarkEnd w:id="472"/>
    </w:p>
    <w:p>
      <w:r>
        <w:t>(1) Der Ertragsteuerinformationsbericht ist in den Fällen der §§ 342b, 342c und 342d Absatz 2 Nummer 2 in Euro zu erstellen.</w:t>
      </w:r>
    </w:p>
    <w:p>
      <w:r>
        <w:t xml:space="preserve">(2) In den Fällen des </w:t>
      </w:r>
      <w:hyperlink w:anchor="b465" w:history="1">
        <w:r>
          <w:rPr>
            <w:color w:val="0A3A8C"/>
            <w:u w:val="single"/>
          </w:rPr>
          <w:t xml:space="preserve">§ 342e</w:t>
        </w:r>
      </w:hyperlink>
      <w:r>
        <w:t xml:space="preserve"> ist der Bericht in derjenigen Währung zu erstellen, in der der Jahresabschluss des unverbundenen Unternehmens für den Berichtszeitraum aufgestellt wird.</w:t>
      </w:r>
    </w:p>
    <w:p>
      <w:r>
        <w:t xml:space="preserve">(3) In den Fällen des </w:t>
      </w:r>
      <w:hyperlink w:anchor="b464" w:history="1">
        <w:r>
          <w:rPr>
            <w:color w:val="0A3A8C"/>
            <w:u w:val="single"/>
          </w:rPr>
          <w:t xml:space="preserve">§ 342d</w:t>
        </w:r>
      </w:hyperlink>
      <w:r>
        <w:t xml:space="preserve">, die nicht von Absatz 1 erfasst sind, und in den Fällen des </w:t>
      </w:r>
      <w:hyperlink w:anchor="b466" w:history="1">
        <w:r>
          <w:rPr>
            <w:color w:val="0A3A8C"/>
            <w:u w:val="single"/>
          </w:rPr>
          <w:t xml:space="preserve">§ 342f</w:t>
        </w:r>
      </w:hyperlink>
      <w:r>
        <w:t xml:space="preserve"> ist der Bericht in derjenigen Währung zu erstellen, in der der Konzernabschluss des obersten Mutterunternehmens für den Berichtszeitraum aufgestellt wird.</w:t>
      </w:r>
    </w:p>
    <w:p>
      <w:pPr>
        <w:pStyle w:val="Heading5"/>
      </w:pPr>
      <w:bookmarkStart w:id="473" w:name="b472"/>
      <w:r>
        <w:t>§ 342k Weglassen nachteiliger Angaben</w:t>
      </w:r>
      <w:r>
        <w:t xml:space="preserve"> </w:t>
      </w:r>
      <w:r>
        <w:rPr>
          <w:rStyle w:val="Suchmarke"/>
        </w:rPr>
        <w:t>#342k#</w:t>
      </w:r>
      <w:bookmarkEnd w:id="473"/>
    </w:p>
    <w:p>
      <w:r>
        <w:t xml:space="preserve">(1) </w:t>
      </w:r>
      <w:r>
        <w:rPr>
          <w:rStyle w:val="Satznummer"/>
        </w:rPr>
        <w:t>1</w:t>
      </w:r>
      <w:r>
        <w:t xml:space="preserve">Angaben nach </w:t>
      </w:r>
      <w:hyperlink w:anchor="b469" w:history="1">
        <w:r>
          <w:rPr>
            <w:color w:val="0A3A8C"/>
            <w:u w:val="single"/>
          </w:rPr>
          <w:t xml:space="preserve">§ 342h</w:t>
        </w:r>
      </w:hyperlink>
      <w:r>
        <w:t xml:space="preserve"> Absatz 1 und 2 müssen nicht in den Ertragsteuerinformationsbericht aufgenommen werden, wenn ihre Offenlegung den Unternehmen, auf die sie sich beziehen, einen erheblichen Nachteil zufügen würde. </w:t>
      </w:r>
      <w:r>
        <w:rPr>
          <w:rStyle w:val="Satznummer"/>
        </w:rPr>
        <w:t>2</w:t>
      </w:r>
      <w:r>
        <w:t xml:space="preserve">Satz 1 gilt nicht für Angaben, die sich auf die in </w:t>
      </w:r>
      <w:hyperlink w:anchor="b470" w:history="1">
        <w:r>
          <w:rPr>
            <w:color w:val="0A3A8C"/>
            <w:u w:val="single"/>
          </w:rPr>
          <w:t xml:space="preserve">§ 342i</w:t>
        </w:r>
      </w:hyperlink>
      <w:r>
        <w:t xml:space="preserve"> Absatz 1 Satz 1 Nummer 2 oder 3 genannten Steuerhoheitsgebiete beziehen.</w:t>
      </w:r>
    </w:p>
    <w:p>
      <w:r>
        <w:t xml:space="preserve">(2) </w:t>
      </w:r>
      <w:r>
        <w:rPr>
          <w:rStyle w:val="Satznummer"/>
        </w:rPr>
        <w:t>1</w:t>
      </w:r>
      <w:r>
        <w:t xml:space="preserve">Wenn Absatz 1 Satz 1 angewendet wird, so ist dies im Ertragsteuerinformationsbericht anzugeben und gebührend zu begründen. </w:t>
      </w:r>
      <w:r>
        <w:rPr>
          <w:rStyle w:val="Satznummer"/>
        </w:rPr>
        <w:t>2</w:t>
      </w:r>
      <w:r>
        <w:t>Die nicht aufgenommenen Angaben sind spätestens in den Ertragsteuerinformationsbericht aufzunehmen, der für das vierte Geschäftsjahr nach dem Berichtszeitraum erstellt wird.</w:t>
      </w:r>
    </w:p>
    <w:p>
      <w:pPr>
        <w:pStyle w:val="Heading5"/>
      </w:pPr>
      <w:bookmarkStart w:id="474" w:name="b473"/>
      <w:r>
        <w:t>§ 342l Formblatt; maschinenlesbares elektronisches Format</w:t>
      </w:r>
      <w:r>
        <w:t xml:space="preserve"> </w:t>
      </w:r>
      <w:r>
        <w:rPr>
          <w:rStyle w:val="Suchmarke"/>
        </w:rPr>
        <w:t>#342l#</w:t>
      </w:r>
      <w:bookmarkEnd w:id="474"/>
    </w:p>
    <w:p>
      <w:r>
        <w:t>(1) Der Ertragsteuerinformationsbericht ist unter Verwendung des von der Europäischen Kommission auf der Grundlage des Artikels 48c Absatz 4 Satz 2 der Richtlinie 2013/34/EU festzulegenden Formblatts zu erstellen.</w:t>
      </w:r>
    </w:p>
    <w:p>
      <w:r>
        <w:t>(2) Der Ertragsteuerinformationsbericht ist in einem von der Europäischen Kommission auf der Grundlage des Artikels 48c Absatz 4 Satz 2 der Richtlinie 2013/34/EU festzulegenden maschinenlesbaren elektronischen Format zu erstellen.</w:t>
      </w:r>
    </w:p>
    <w:p>
      <w:pPr>
        <w:pStyle w:val="Heading4"/>
      </w:pPr>
      <w:bookmarkStart w:id="475" w:name="b474"/>
      <w:r>
        <w:t>Vierter Titel Offenlegung und Veröffentlichung</w:t>
      </w:r>
      <w:bookmarkEnd w:id="475"/>
    </w:p>
    <w:p>
      <w:pPr>
        <w:pStyle w:val="Heading5"/>
      </w:pPr>
      <w:bookmarkStart w:id="476" w:name="b475"/>
      <w:r>
        <w:t>§ 342m Offenlegung im Unternehmensregister</w:t>
      </w:r>
      <w:r>
        <w:t xml:space="preserve"> </w:t>
      </w:r>
      <w:r>
        <w:rPr>
          <w:rStyle w:val="Suchmarke"/>
        </w:rPr>
        <w:t>#342m#</w:t>
      </w:r>
      <w:bookmarkEnd w:id="476"/>
    </w:p>
    <w:p>
      <w:r>
        <w:t xml:space="preserve">(1) Die Mitglieder des vertretungsberechtigten Organs einer Gesellschaft im Sinne des </w:t>
      </w:r>
      <w:hyperlink w:anchor="b459" w:history="1">
        <w:r>
          <w:rPr>
            <w:color w:val="0A3A8C"/>
            <w:u w:val="single"/>
          </w:rPr>
          <w:t xml:space="preserve">§ 342</w:t>
        </w:r>
      </w:hyperlink>
      <w:r>
        <w:t xml:space="preserve"> Absatz 1 Nummer 1 oder 2, die der Pflicht nach </w:t>
      </w:r>
      <w:hyperlink w:anchor="b462" w:history="1">
        <w:r>
          <w:rPr>
            <w:color w:val="0A3A8C"/>
            <w:u w:val="single"/>
          </w:rPr>
          <w:t xml:space="preserve">§ 342b</w:t>
        </w:r>
      </w:hyperlink>
      <w:r>
        <w:t xml:space="preserve"> Absatz 1 oder </w:t>
      </w:r>
      <w:hyperlink w:anchor="b463" w:history="1">
        <w:r>
          <w:rPr>
            <w:color w:val="0A3A8C"/>
            <w:u w:val="single"/>
          </w:rPr>
          <w:t xml:space="preserve">§ 342c</w:t>
        </w:r>
      </w:hyperlink>
      <w:r>
        <w:t xml:space="preserve"> Absatz 1 unterliegen, haben für die Gesellschaft den Ertragsteuerinformationsbericht spätestens ein Jahr nach dem Ende des Berichtszeitraums in deutscher Sprache der das Unternehmensregister führenden Stelle zur Einstellung in das Unternehmensregister zu übermitteln.</w:t>
      </w:r>
    </w:p>
    <w:p>
      <w:r>
        <w:t xml:space="preserve">(2) </w:t>
      </w:r>
      <w:r>
        <w:rPr>
          <w:rStyle w:val="Satznummer"/>
        </w:rPr>
        <w:t>1</w:t>
      </w:r>
      <w:r>
        <w:t xml:space="preserve">Die Mitglieder des vertretungsberechtigten Organs einer Gesellschaft im Sinne des </w:t>
      </w:r>
      <w:hyperlink w:anchor="b459" w:history="1">
        <w:r>
          <w:rPr>
            <w:color w:val="0A3A8C"/>
            <w:u w:val="single"/>
          </w:rPr>
          <w:t xml:space="preserve">§ 342</w:t>
        </w:r>
      </w:hyperlink>
      <w:r>
        <w:t xml:space="preserve"> Absatz 1 Nummer 3, die der Pflicht nach </w:t>
      </w:r>
      <w:hyperlink w:anchor="b464" w:history="1">
        <w:r>
          <w:rPr>
            <w:color w:val="0A3A8C"/>
            <w:u w:val="single"/>
          </w:rPr>
          <w:t xml:space="preserve">§ 342d</w:t>
        </w:r>
      </w:hyperlink>
      <w:r>
        <w:t xml:space="preserve"> Absatz 1 unterliegen, haben für die Gesellschaft den Ertragsteuerinformationsbericht, den das oberste Mutterunternehmen zur Verfügung gestellt hat, spätestens ein Jahr nach dem Ende des Berichtszeitraums in deutscher Sprache der das Unternehmensregister führenden Stelle zur Einstellung in das Unternehmensregister zu übermitteln. </w:t>
      </w:r>
      <w:r>
        <w:rPr>
          <w:rStyle w:val="Satznummer"/>
        </w:rPr>
        <w:t>2</w:t>
      </w:r>
      <w:r>
        <w:t>Wenn das oberste Mutterunternehmen einen Ertragsteuerinformationsbericht nicht zur Verfügung stellt oder der zur Verfügung gestellte Bericht nicht den gesetzlichen Vorgaben entspricht, haben die Mitglieder des vertretungsberechtigten Organs der Gesellschaft für diese anstelle des Berichts Folgendes nach Maßgabe des Satzes 1 zu übermitteln:</w:t>
      </w:r>
    </w:p>
    <w:p>
      <w:pPr>
        <w:tabs>
          <w:tab w:pos="567" w:val="left"/>
        </w:tabs>
        <w:ind w:left="567" w:hanging="567"/>
      </w:pPr>
      <w:r>
        <w:t>1.</w:t>
      </w:r>
      <w:r>
        <w:tab/>
      </w:r>
      <w:r>
        <w:t xml:space="preserve">die Erklärung nach </w:t>
      </w:r>
      <w:hyperlink w:anchor="b464" w:history="1">
        <w:r>
          <w:rPr>
            <w:color w:val="0A3A8C"/>
            <w:u w:val="single"/>
          </w:rPr>
          <w:t xml:space="preserve">§ 342d</w:t>
        </w:r>
      </w:hyperlink>
      <w:r>
        <w:t xml:space="preserve"> Absatz 2 Nummer 1 und</w:t>
      </w:r>
    </w:p>
    <w:p>
      <w:pPr>
        <w:tabs>
          <w:tab w:pos="567" w:val="left"/>
        </w:tabs>
        <w:ind w:left="567" w:hanging="567"/>
      </w:pPr>
      <w:r>
        <w:t>2.</w:t>
      </w:r>
      <w:r>
        <w:tab/>
      </w:r>
      <w:r>
        <w:t xml:space="preserve">den Ertragsteuerinformationsbericht nach </w:t>
      </w:r>
      <w:hyperlink w:anchor="b464" w:history="1">
        <w:r>
          <w:rPr>
            <w:color w:val="0A3A8C"/>
            <w:u w:val="single"/>
          </w:rPr>
          <w:t xml:space="preserve">§ 342d</w:t>
        </w:r>
      </w:hyperlink>
      <w:r>
        <w:t xml:space="preserve"> Absatz 2 Nummer 2.</w:t>
      </w:r>
    </w:p>
    <w:p>
      <w:r>
        <w:t xml:space="preserve">(3) </w:t>
      </w:r>
      <w:r>
        <w:rPr>
          <w:rStyle w:val="Satznummer"/>
        </w:rPr>
        <w:t>1</w:t>
      </w:r>
      <w:r>
        <w:t xml:space="preserve">Die in </w:t>
      </w:r>
      <w:hyperlink w:anchor="b26" w:history="1">
        <w:r>
          <w:rPr>
            <w:color w:val="0A3A8C"/>
            <w:u w:val="single"/>
          </w:rPr>
          <w:t xml:space="preserve">§ 13e</w:t>
        </w:r>
      </w:hyperlink>
      <w:r>
        <w:t xml:space="preserve"> Absatz 2 Satz 5 Nummer 3 genannten angemeldeten Personen oder, wenn solche nicht vorhanden sind, die Mitglieder des vertretungsberechtigten Organs einer Kapitalgesellschaft im Sinne des </w:t>
      </w:r>
      <w:hyperlink w:anchor="b459" w:history="1">
        <w:r>
          <w:rPr>
            <w:color w:val="0A3A8C"/>
            <w:u w:val="single"/>
          </w:rPr>
          <w:t xml:space="preserve">§ 342</w:t>
        </w:r>
      </w:hyperlink>
      <w:r>
        <w:t xml:space="preserve"> Absatz 2, die der Pflicht nach </w:t>
      </w:r>
      <w:hyperlink w:anchor="b465" w:history="1">
        <w:r>
          <w:rPr>
            <w:color w:val="0A3A8C"/>
            <w:u w:val="single"/>
          </w:rPr>
          <w:t xml:space="preserve">§ 342e</w:t>
        </w:r>
      </w:hyperlink>
      <w:r>
        <w:t xml:space="preserve"> Absatz 1 oder </w:t>
      </w:r>
      <w:hyperlink w:anchor="b466" w:history="1">
        <w:r>
          <w:rPr>
            <w:color w:val="0A3A8C"/>
            <w:u w:val="single"/>
          </w:rPr>
          <w:t xml:space="preserve">§ 342f</w:t>
        </w:r>
      </w:hyperlink>
      <w:r>
        <w:t xml:space="preserve"> Absatz 1 unterliegen, haben für die Kapitalgesellschaft den Ertragsteuerinformationsbericht, den die Hauptniederlassung oder das oberste Mutterunternehmen zur Verfügung gestellt hat, spätestens ein Jahr nach dem Ende des Berichtszeitraums in deutscher Sprache der das Unternehmensregister führenden Stelle zur Einstellung in das Unternehmensregister zu übermitteln. </w:t>
      </w:r>
      <w:r>
        <w:rPr>
          <w:rStyle w:val="Satznummer"/>
        </w:rPr>
        <w:t>2</w:t>
      </w:r>
      <w:r>
        <w:t>Wenn die Hauptniederlassung oder das oberste Mutterunternehmen einen Ertragsteuerinformationsbericht nicht zur Verfügung stellt oder der zur Verfügung gestellte Bericht nicht den gesetzlichen Vorgaben entspricht, haben die nach Satz 1 Verpflichteten für die Kapitalgesellschaft anstelle des Berichts Folgendes nach Maßgabe des Satzes 1 zu übermitteln:</w:t>
      </w:r>
    </w:p>
    <w:p>
      <w:pPr>
        <w:tabs>
          <w:tab w:pos="567" w:val="left"/>
        </w:tabs>
        <w:ind w:left="567" w:hanging="567"/>
      </w:pPr>
      <w:r>
        <w:t>1.</w:t>
      </w:r>
      <w:r>
        <w:tab/>
      </w:r>
      <w:r>
        <w:t xml:space="preserve">die Erklärung nach </w:t>
      </w:r>
      <w:hyperlink w:anchor="b465" w:history="1">
        <w:r>
          <w:rPr>
            <w:color w:val="0A3A8C"/>
            <w:u w:val="single"/>
          </w:rPr>
          <w:t xml:space="preserve">§ 342e</w:t>
        </w:r>
      </w:hyperlink>
      <w:r>
        <w:t xml:space="preserve"> Absatz 2 Nummer 1 oder </w:t>
      </w:r>
      <w:hyperlink w:anchor="b466" w:history="1">
        <w:r>
          <w:rPr>
            <w:color w:val="0A3A8C"/>
            <w:u w:val="single"/>
          </w:rPr>
          <w:t xml:space="preserve">§ 342f</w:t>
        </w:r>
      </w:hyperlink>
      <w:r>
        <w:t xml:space="preserve"> Absatz 2 Nummer 1 und</w:t>
      </w:r>
    </w:p>
    <w:p>
      <w:pPr>
        <w:tabs>
          <w:tab w:pos="567" w:val="left"/>
        </w:tabs>
        <w:ind w:left="567" w:hanging="567"/>
      </w:pPr>
      <w:r>
        <w:t>2.</w:t>
      </w:r>
      <w:r>
        <w:tab/>
      </w:r>
      <w:r>
        <w:t xml:space="preserve">den Ertragsteuerinformationsbericht nach </w:t>
      </w:r>
      <w:hyperlink w:anchor="b465" w:history="1">
        <w:r>
          <w:rPr>
            <w:color w:val="0A3A8C"/>
            <w:u w:val="single"/>
          </w:rPr>
          <w:t xml:space="preserve">§ 342e</w:t>
        </w:r>
      </w:hyperlink>
      <w:r>
        <w:t xml:space="preserve"> Absatz 2 Nummer 2 oder </w:t>
      </w:r>
      <w:hyperlink w:anchor="b466" w:history="1">
        <w:r>
          <w:rPr>
            <w:color w:val="0A3A8C"/>
            <w:u w:val="single"/>
          </w:rPr>
          <w:t xml:space="preserve">§ 342f</w:t>
        </w:r>
      </w:hyperlink>
      <w:r>
        <w:t xml:space="preserve"> Absatz 2 Nummer 2.</w:t>
      </w:r>
    </w:p>
    <w:p>
      <w:r>
        <w:t xml:space="preserve">(4) </w:t>
      </w:r>
      <w:r>
        <w:rPr>
          <w:rStyle w:val="Satznummer"/>
        </w:rPr>
        <w:t>1</w:t>
      </w:r>
      <w:r>
        <w:t xml:space="preserve">Die </w:t>
      </w:r>
      <w:hyperlink w:anchor="b20" w:history="1">
        <w:r>
          <w:rPr>
            <w:color w:val="0A3A8C"/>
            <w:u w:val="single"/>
          </w:rPr>
          <w:t xml:space="preserve">§§ 11</w:t>
        </w:r>
      </w:hyperlink>
      <w:r>
        <w:t xml:space="preserve"> und </w:t>
      </w:r>
      <w:hyperlink w:anchor="b369" w:history="1">
        <w:r>
          <w:rPr>
            <w:color w:val="0A3A8C"/>
            <w:u w:val="single"/>
          </w:rPr>
          <w:t xml:space="preserve">328</w:t>
        </w:r>
      </w:hyperlink>
      <w:r>
        <w:t xml:space="preserve"> Absatz 1 Satz 1 bis 3, Absatz 2 Satz 1 und 4 sowie </w:t>
      </w:r>
      <w:hyperlink w:anchor="b370" w:history="1">
        <w:r>
          <w:rPr>
            <w:color w:val="0A3A8C"/>
            <w:u w:val="single"/>
          </w:rPr>
          <w:t xml:space="preserve">§ 329</w:t>
        </w:r>
      </w:hyperlink>
      <w:r>
        <w:t xml:space="preserve"> Absatz 1 und 4 sind entsprechend anzuwenden. </w:t>
      </w:r>
      <w:r>
        <w:rPr>
          <w:rStyle w:val="Satznummer"/>
        </w:rPr>
        <w:t>2</w:t>
      </w:r>
      <w:r>
        <w:t xml:space="preserve">Bei inländischen Zweigniederlassungen von Kapitalgesellschaften im Sinne des </w:t>
      </w:r>
      <w:hyperlink w:anchor="b459" w:history="1">
        <w:r>
          <w:rPr>
            <w:color w:val="0A3A8C"/>
            <w:u w:val="single"/>
          </w:rPr>
          <w:t xml:space="preserve">§ 342</w:t>
        </w:r>
      </w:hyperlink>
      <w:r>
        <w:t xml:space="preserve"> Absatz 2 Nummer 1 kann die das Unternehmensregister führende Stelle von den in </w:t>
      </w:r>
      <w:hyperlink w:anchor="b26" w:history="1">
        <w:r>
          <w:rPr>
            <w:color w:val="0A3A8C"/>
            <w:u w:val="single"/>
          </w:rPr>
          <w:t xml:space="preserve">§ 13e</w:t>
        </w:r>
      </w:hyperlink>
      <w:r>
        <w:t xml:space="preserve"> Absatz 2 Satz 5 Nummer 3 genannten angemeldeten Personen oder, wenn solche nicht vorhanden sind, von den Mitgliedern des vertretungsberechtigten Organs der Kapitalgesellschaft verlangen, ihr innerhalb einer angemessenen Frist die Umsatzerlöse der Zweigniederlassung für die letzten beiden Geschäftsjahre mitzuteilen. </w:t>
      </w:r>
      <w:r>
        <w:rPr>
          <w:rStyle w:val="Satznummer"/>
        </w:rPr>
        <w:t>3</w:t>
      </w:r>
      <w:r>
        <w:t xml:space="preserve">Bei Zweigniederlassungen im Sinne des § 342 Absatz 2 Nummer 2 von Kapitalgesellschaften im Sinne des </w:t>
      </w:r>
      <w:hyperlink w:anchor="b459" w:history="1">
        <w:r>
          <w:rPr>
            <w:color w:val="0A3A8C"/>
            <w:u w:val="single"/>
          </w:rPr>
          <w:t xml:space="preserve">§ 342</w:t>
        </w:r>
      </w:hyperlink>
      <w:r>
        <w:t xml:space="preserve"> Absatz 2 Nummer 1 zweite Alternative und bei Vorliegen der Voraussetzungen des </w:t>
      </w:r>
      <w:hyperlink w:anchor="b466" w:history="1">
        <w:r>
          <w:rPr>
            <w:color w:val="0A3A8C"/>
            <w:u w:val="single"/>
          </w:rPr>
          <w:t xml:space="preserve">§ 342f</w:t>
        </w:r>
      </w:hyperlink>
      <w:r>
        <w:t xml:space="preserve"> Absatz 1 Nummer 1 kann die das Unternehmensregister führende Stelle von den in </w:t>
      </w:r>
      <w:hyperlink w:anchor="b26" w:history="1">
        <w:r>
          <w:rPr>
            <w:color w:val="0A3A8C"/>
            <w:u w:val="single"/>
          </w:rPr>
          <w:t xml:space="preserve">§ 13e</w:t>
        </w:r>
      </w:hyperlink>
      <w:r>
        <w:t xml:space="preserve"> Absatz 2 Satz 5 Nummer 3 genannten angemeldeten Personen oder, wenn solche nicht vorhanden sind, von den Mitgliedern des vertretungsberechtigten Organs der Kapitalgesellschaft verlangen, ihr innerhalb einer angemessenen Frist Namen und Sitz eines Tochterunternehmens mitzuteilen, das für den Konzern den Pflichten nach </w:t>
      </w:r>
      <w:hyperlink w:anchor="b464" w:history="1">
        <w:r>
          <w:rPr>
            <w:color w:val="0A3A8C"/>
            <w:u w:val="single"/>
          </w:rPr>
          <w:t xml:space="preserve">§ 342d</w:t>
        </w:r>
      </w:hyperlink>
      <w:r>
        <w:t xml:space="preserve"> Absatz 1 und 2 oder vergleichbaren Pflichten nach Maßgabe des Rechts eines anderen Mitgliedstaats der Europäischen Union oder eines anderen Vertragsstaats des Abkommens über den Europäischen Wirtschaftsraum im Einklang mit Artikel 48b Absatz 4 der Richtlinie 2013/34/EU unterliegt. </w:t>
      </w:r>
      <w:r>
        <w:rPr>
          <w:rStyle w:val="Satznummer"/>
        </w:rPr>
        <w:t>4</w:t>
      </w:r>
      <w:r>
        <w:t xml:space="preserve">Wird die fristgemäße Mitteilung nach Satz 2 unterlassen, so wird vermutet, dass die Voraussetzungen des § 342 Absatz 2 Nummer 2 Buchstabe a erfüllt sind. </w:t>
      </w:r>
      <w:r>
        <w:rPr>
          <w:rStyle w:val="Satznummer"/>
        </w:rPr>
        <w:t>5</w:t>
      </w:r>
      <w:r>
        <w:t>Wird die fristgemäße Mitteilung nach Satz 3 unterlassen, so wird vermutet, dass es kein dort genanntes Tochterunternehmen gibt.</w:t>
      </w:r>
    </w:p>
    <w:p>
      <w:pPr>
        <w:pStyle w:val="Heading5"/>
      </w:pPr>
      <w:bookmarkStart w:id="477" w:name="b476"/>
      <w:r>
        <w:t>§ 342n Veröffentlichung auf der Internetseite der Gesellschaft</w:t>
      </w:r>
      <w:r>
        <w:t xml:space="preserve"> </w:t>
      </w:r>
      <w:r>
        <w:rPr>
          <w:rStyle w:val="Suchmarke"/>
        </w:rPr>
        <w:t>#342n#</w:t>
      </w:r>
      <w:bookmarkEnd w:id="477"/>
    </w:p>
    <w:p>
      <w:r>
        <w:t xml:space="preserve">(1) </w:t>
      </w:r>
      <w:r>
        <w:rPr>
          <w:rStyle w:val="Satznummer"/>
        </w:rPr>
        <w:t>1</w:t>
      </w:r>
      <w:r>
        <w:t xml:space="preserve">Die Mitglieder des vertretungsberechtigten Organs einer Gesellschaft im Sinne des </w:t>
      </w:r>
      <w:hyperlink w:anchor="b459" w:history="1">
        <w:r>
          <w:rPr>
            <w:color w:val="0A3A8C"/>
            <w:u w:val="single"/>
          </w:rPr>
          <w:t xml:space="preserve">§ 342</w:t>
        </w:r>
      </w:hyperlink>
      <w:r>
        <w:t xml:space="preserve"> Absatz 1 Nummer 1 oder 2, die der Pflicht nach </w:t>
      </w:r>
      <w:hyperlink w:anchor="b462" w:history="1">
        <w:r>
          <w:rPr>
            <w:color w:val="0A3A8C"/>
            <w:u w:val="single"/>
          </w:rPr>
          <w:t xml:space="preserve">§ 342b</w:t>
        </w:r>
      </w:hyperlink>
      <w:r>
        <w:t xml:space="preserve"> Absatz 1 oder </w:t>
      </w:r>
      <w:hyperlink w:anchor="b463" w:history="1">
        <w:r>
          <w:rPr>
            <w:color w:val="0A3A8C"/>
            <w:u w:val="single"/>
          </w:rPr>
          <w:t xml:space="preserve">§ 342c</w:t>
        </w:r>
      </w:hyperlink>
      <w:r>
        <w:t xml:space="preserve"> Absatz 1 unterliegen, haben für die Gesellschaft den Ertragsteuerinformationsbericht spätestens ein Jahr nach dem Ende des Berichtszeitraums für mindestens fünf Jahre kostenlos und in deutscher Sprache auf der Internetseite der Gesellschaft zu veröffentlichen. </w:t>
      </w:r>
      <w:r>
        <w:rPr>
          <w:rStyle w:val="Satznummer"/>
        </w:rPr>
        <w:t>2</w:t>
      </w:r>
      <w:r>
        <w:t>Die Pflicht nach Satz 1 entfällt, wenn die Mitglieder des vertretungsberechtigten Organs der Gesellschaft</w:t>
      </w:r>
    </w:p>
    <w:p>
      <w:pPr>
        <w:tabs>
          <w:tab w:pos="567" w:val="left"/>
        </w:tabs>
        <w:ind w:left="567" w:hanging="567"/>
      </w:pPr>
      <w:r>
        <w:t>1.</w:t>
      </w:r>
      <w:r>
        <w:tab/>
      </w:r>
      <w:r>
        <w:t xml:space="preserve">ihre Pflicht zur Offenlegung gemäß </w:t>
      </w:r>
      <w:hyperlink w:anchor="b475" w:history="1">
        <w:r>
          <w:rPr>
            <w:color w:val="0A3A8C"/>
            <w:u w:val="single"/>
          </w:rPr>
          <w:t xml:space="preserve">§ 342m</w:t>
        </w:r>
      </w:hyperlink>
      <w:r>
        <w:t xml:space="preserve"> Absatz 1 erfüllt haben und</w:t>
      </w:r>
    </w:p>
    <w:p>
      <w:pPr>
        <w:tabs>
          <w:tab w:pos="567" w:val="left"/>
        </w:tabs>
        <w:ind w:left="567" w:hanging="567"/>
      </w:pPr>
      <w:r>
        <w:t>2.</w:t>
      </w:r>
      <w:r>
        <w:tab/>
      </w:r>
      <w:r>
        <w:t>auf der Internetseite der Gesellschaft für mindestens fünf Jahre den Hinweis veröffentlichen, dass</w:t>
      </w:r>
    </w:p>
    <w:p>
      <w:pPr>
        <w:tabs>
          <w:tab w:pos="1134" w:val="left"/>
        </w:tabs>
        <w:ind w:left="1134" w:hanging="567"/>
      </w:pPr>
      <w:r>
        <w:t>a)</w:t>
      </w:r>
      <w:r>
        <w:tab/>
      </w:r>
      <w:r>
        <w:t>der Ertragsteuerinformationsbericht über die Internetseite des Unternehmensregisters kostenlos zugänglich ist und</w:t>
      </w:r>
    </w:p>
    <w:p>
      <w:pPr>
        <w:tabs>
          <w:tab w:pos="1134" w:val="left"/>
        </w:tabs>
        <w:ind w:left="1134" w:hanging="567"/>
      </w:pPr>
      <w:r>
        <w:t>b)</w:t>
      </w:r>
      <w:r>
        <w:tab/>
      </w:r>
      <w:r>
        <w:t>die Pflicht zur Veröffentlichung des Ertragsteuerinformationsberichts auf der Internetseite der Gesellschaft deshalb entfällt.</w:t>
      </w:r>
    </w:p>
    <w:p>
      <w:r>
        <w:t xml:space="preserve">(2) </w:t>
      </w:r>
      <w:r>
        <w:rPr>
          <w:rStyle w:val="Satznummer"/>
        </w:rPr>
        <w:t>1</w:t>
      </w:r>
      <w:r>
        <w:t xml:space="preserve">Die Mitglieder des vertretungsberechtigten Organs einer Gesellschaft im Sinne des </w:t>
      </w:r>
      <w:hyperlink w:anchor="b459" w:history="1">
        <w:r>
          <w:rPr>
            <w:color w:val="0A3A8C"/>
            <w:u w:val="single"/>
          </w:rPr>
          <w:t xml:space="preserve">§ 342</w:t>
        </w:r>
      </w:hyperlink>
      <w:r>
        <w:t xml:space="preserve"> Absatz 1 Nummer 3, die der Pflicht nach </w:t>
      </w:r>
      <w:hyperlink w:anchor="b464" w:history="1">
        <w:r>
          <w:rPr>
            <w:color w:val="0A3A8C"/>
            <w:u w:val="single"/>
          </w:rPr>
          <w:t xml:space="preserve">§ 342d</w:t>
        </w:r>
      </w:hyperlink>
      <w:r>
        <w:t xml:space="preserve"> Absatz 1 unterliegen, haben für die Gesellschaft spätestens ein Jahr nach dem Ende des Berichtszeitraums für mindestens fünf Jahre Folgendes kostenlos und in deutscher Sprache auf der Internetseite der Gesellschaft oder der eines verbundenen Unternehmens zu veröffentlichen:</w:t>
      </w:r>
    </w:p>
    <w:p>
      <w:pPr>
        <w:tabs>
          <w:tab w:pos="567" w:val="left"/>
        </w:tabs>
        <w:ind w:left="567" w:hanging="567"/>
      </w:pPr>
      <w:r>
        <w:t>1.</w:t>
      </w:r>
      <w:r>
        <w:tab/>
      </w:r>
      <w:r>
        <w:t>im Falle des § 342m Absatz 2 Satz 1 den Ertragsteuerinformationsbericht, den das oberste Mutterunternehmen zur Verfügung gestellt hat, oder</w:t>
      </w:r>
    </w:p>
    <w:p>
      <w:pPr>
        <w:tabs>
          <w:tab w:pos="567" w:val="left"/>
        </w:tabs>
        <w:ind w:left="567" w:hanging="567"/>
      </w:pPr>
      <w:r>
        <w:t>2.</w:t>
      </w:r>
      <w:r>
        <w:tab/>
      </w:r>
      <w:r>
        <w:t xml:space="preserve">im Falle des </w:t>
      </w:r>
      <w:hyperlink w:anchor="b475" w:history="1">
        <w:r>
          <w:rPr>
            <w:color w:val="0A3A8C"/>
            <w:u w:val="single"/>
          </w:rPr>
          <w:t xml:space="preserve">§ 342m</w:t>
        </w:r>
      </w:hyperlink>
      <w:r>
        <w:t xml:space="preserve"> Absatz 2 Satz 2 die Erklärung und den Ertragsteuerinformationsbericht, die beziehungsweise den die Gesellschaft erstellt hat.</w:t>
      </w:r>
    </w:p>
    <w:p>
      <w:r>
        <w:rPr>
          <w:rStyle w:val="Satznummer"/>
        </w:rPr>
        <w:t>2</w:t>
      </w:r>
      <w:r>
        <w:t>Absatz 1 Satz 2 ist entsprechend anzuwenden.</w:t>
      </w:r>
    </w:p>
    <w:p>
      <w:r>
        <w:t xml:space="preserve">(3) </w:t>
      </w:r>
      <w:r>
        <w:rPr>
          <w:rStyle w:val="Satznummer"/>
        </w:rPr>
        <w:t>1</w:t>
      </w:r>
      <w:r>
        <w:t xml:space="preserve">Die in </w:t>
      </w:r>
      <w:hyperlink w:anchor="b26" w:history="1">
        <w:r>
          <w:rPr>
            <w:color w:val="0A3A8C"/>
            <w:u w:val="single"/>
          </w:rPr>
          <w:t xml:space="preserve">§ 13e</w:t>
        </w:r>
      </w:hyperlink>
      <w:r>
        <w:t xml:space="preserve"> Absatz 2 Satz 5 Nummer 3 genannten angemeldeten Personen oder, wenn solche nicht vorhanden sind, die Mitglieder des vertretungsberechtigten Organs einer Kapitalgesellschaft im Sinne des </w:t>
      </w:r>
      <w:hyperlink w:anchor="b459" w:history="1">
        <w:r>
          <w:rPr>
            <w:color w:val="0A3A8C"/>
            <w:u w:val="single"/>
          </w:rPr>
          <w:t xml:space="preserve">§ 342</w:t>
        </w:r>
      </w:hyperlink>
      <w:r>
        <w:t xml:space="preserve"> Absatz 2, die der Pflicht nach </w:t>
      </w:r>
      <w:hyperlink w:anchor="b465" w:history="1">
        <w:r>
          <w:rPr>
            <w:color w:val="0A3A8C"/>
            <w:u w:val="single"/>
          </w:rPr>
          <w:t xml:space="preserve">§ 342e</w:t>
        </w:r>
      </w:hyperlink>
      <w:r>
        <w:t xml:space="preserve"> Absatz 1 oder </w:t>
      </w:r>
      <w:hyperlink w:anchor="b466" w:history="1">
        <w:r>
          <w:rPr>
            <w:color w:val="0A3A8C"/>
            <w:u w:val="single"/>
          </w:rPr>
          <w:t xml:space="preserve">§ 342f</w:t>
        </w:r>
      </w:hyperlink>
      <w:r>
        <w:t xml:space="preserve"> Absatz 1 unterliegen, haben für die Kapitalgesellschaft spätestens ein Jahr nach dem Ende des Berichtszeitraums für mindestens fünf Jahre Folgendes kostenlos und in deutscher Sprache auf der Internetseite der Kapitalgesellschaft oder gegebenenfalls derjenigen eines verbundenen Unternehmens zu veröffentlichen:</w:t>
      </w:r>
    </w:p>
    <w:p>
      <w:pPr>
        <w:tabs>
          <w:tab w:pos="567" w:val="left"/>
        </w:tabs>
        <w:ind w:left="567" w:hanging="567"/>
      </w:pPr>
      <w:r>
        <w:t>1.</w:t>
      </w:r>
      <w:r>
        <w:tab/>
      </w:r>
      <w:r>
        <w:t>im Falle des § 342m Absatz 3 Satz 1 den Ertragsteuerinformationsbericht, den die Hauptniederlassung oder das oberste Mutterunternehmen zur Verfügung gestellt hat, oder</w:t>
      </w:r>
    </w:p>
    <w:p>
      <w:pPr>
        <w:tabs>
          <w:tab w:pos="567" w:val="left"/>
        </w:tabs>
        <w:ind w:left="567" w:hanging="567"/>
      </w:pPr>
      <w:r>
        <w:t>2.</w:t>
      </w:r>
      <w:r>
        <w:tab/>
      </w:r>
      <w:r>
        <w:t xml:space="preserve">im Falle des </w:t>
      </w:r>
      <w:hyperlink w:anchor="b475" w:history="1">
        <w:r>
          <w:rPr>
            <w:color w:val="0A3A8C"/>
            <w:u w:val="single"/>
          </w:rPr>
          <w:t xml:space="preserve">§ 342m</w:t>
        </w:r>
      </w:hyperlink>
      <w:r>
        <w:t xml:space="preserve"> Absatz 3 Satz 2 die Erklärung und den Ertragsteuerinformationsbericht, die beziehungsweise den sie für die Kapitalgesellschaft erstellt haben.</w:t>
      </w:r>
    </w:p>
    <w:p>
      <w:r>
        <w:rPr>
          <w:rStyle w:val="Satznummer"/>
        </w:rPr>
        <w:t>2</w:t>
      </w:r>
      <w:r>
        <w:t>Absatz 1 Satz 2 ist entsprechend anzuwenden.</w:t>
      </w:r>
    </w:p>
    <w:p>
      <w:pPr>
        <w:pStyle w:val="Heading4"/>
      </w:pPr>
      <w:bookmarkStart w:id="478" w:name="b477"/>
      <w:r>
        <w:t>Fünfter Titel Bußgeldvorschriften; Ordnungsgelder</w:t>
      </w:r>
      <w:bookmarkEnd w:id="478"/>
    </w:p>
    <w:p>
      <w:pPr>
        <w:pStyle w:val="Heading5"/>
      </w:pPr>
      <w:bookmarkStart w:id="479" w:name="b478"/>
      <w:r>
        <w:t>§ 342o Bußgeldvorschriften</w:t>
      </w:r>
      <w:r>
        <w:t xml:space="preserve"> </w:t>
      </w:r>
      <w:r>
        <w:rPr>
          <w:rStyle w:val="Suchmarke"/>
        </w:rPr>
        <w:t>#342o#</w:t>
      </w:r>
      <w:bookmarkEnd w:id="479"/>
    </w:p>
    <w:p>
      <w:r>
        <w:t>(1) Ordnungswidrig handelt, wer</w:t>
      </w:r>
    </w:p>
    <w:p>
      <w:pPr>
        <w:tabs>
          <w:tab w:pos="567" w:val="left"/>
        </w:tabs>
        <w:ind w:left="567" w:hanging="567"/>
      </w:pPr>
      <w:r>
        <w:t>1.</w:t>
      </w:r>
      <w:r>
        <w:tab/>
      </w:r>
      <w:r>
        <w:t>entgegen § 342b Absatz 1 Nummer 1, § 342c Absatz 1 Nummer 1, § 342d Absatz 2 Nummer 2 Buchstabe a, § 342e Absatz 2 Nummer 2 Buchstabe a oder § 342f Absatz 2 Nummer 2 Buchstabe a einen Ertragsteuerinformationsbericht nicht richtig oder nicht vollständig erstellt oder</w:t>
      </w:r>
    </w:p>
    <w:p>
      <w:pPr>
        <w:tabs>
          <w:tab w:pos="567" w:val="left"/>
        </w:tabs>
        <w:ind w:left="567" w:hanging="567"/>
      </w:pPr>
      <w:r>
        <w:t>2.</w:t>
      </w:r>
      <w:r>
        <w:tab/>
      </w:r>
      <w:r>
        <w:t xml:space="preserve">entgegen </w:t>
      </w:r>
      <w:hyperlink w:anchor="b476" w:history="1">
        <w:r>
          <w:rPr>
            <w:color w:val="0A3A8C"/>
            <w:u w:val="single"/>
          </w:rPr>
          <w:t xml:space="preserve">§ 342n</w:t>
        </w:r>
      </w:hyperlink>
      <w:r>
        <w:t xml:space="preserve"> Absatz 1 Satz 1, Absatz 2 Satz 1 oder Absatz 3 Satz 1 einen Ertragsteuerinformationsbericht oder eine Erklärung nicht, nicht richtig, nicht rechtzeitig oder nicht mindestens fünf Jahre veröffentlicht.</w:t>
      </w:r>
    </w:p>
    <w:p>
      <w:r>
        <w:t>(2) Die Ordnungswidrigkeit kann mit einer Geldbuße bis zu zweihundertfünfzigtausend Euro geahndet werden.</w:t>
      </w:r>
    </w:p>
    <w:p>
      <w:r>
        <w:t>(3) Verwaltungsbehörde im Sinne des § 36 Absatz 1 Nummer 1 des Gesetzes über Ordnungswidrigkeiten ist das Bundesamt für Justiz.</w:t>
      </w:r>
    </w:p>
    <w:p>
      <w:pPr>
        <w:pStyle w:val="Heading5"/>
      </w:pPr>
      <w:bookmarkStart w:id="480" w:name="b479"/>
      <w:r>
        <w:t>§ 342p Ordnungsgelder</w:t>
      </w:r>
      <w:r>
        <w:t xml:space="preserve"> </w:t>
      </w:r>
      <w:r>
        <w:rPr>
          <w:rStyle w:val="Suchmarke"/>
        </w:rPr>
        <w:t>#342p#</w:t>
      </w:r>
      <w:bookmarkEnd w:id="480"/>
    </w:p>
    <w:p>
      <w:r>
        <w:rPr>
          <w:rStyle w:val="Satznummer"/>
        </w:rPr>
        <w:t>1</w:t>
      </w:r>
      <w:r>
        <w:t>Das Bundesamt für Justiz hat ein Ordnungsgeldverfahren durchzuführen gegen</w:t>
      </w:r>
    </w:p>
    <w:p>
      <w:pPr>
        <w:tabs>
          <w:tab w:pos="567" w:val="left"/>
        </w:tabs>
        <w:ind w:left="567" w:hanging="567"/>
      </w:pPr>
      <w:r>
        <w:t>1.</w:t>
      </w:r>
      <w:r>
        <w:tab/>
      </w:r>
      <w:r>
        <w:t xml:space="preserve">die Mitglieder des vertretungsberechtigten Organs einer Gesellschaft im Sinne des </w:t>
      </w:r>
      <w:hyperlink w:anchor="b459" w:history="1">
        <w:r>
          <w:rPr>
            <w:color w:val="0A3A8C"/>
            <w:u w:val="single"/>
          </w:rPr>
          <w:t xml:space="preserve">§ 342</w:t>
        </w:r>
      </w:hyperlink>
      <w:r>
        <w:t xml:space="preserve"> Absatz 1, die </w:t>
      </w:r>
      <w:hyperlink w:anchor="b475" w:history="1">
        <w:r>
          <w:rPr>
            <w:color w:val="0A3A8C"/>
            <w:u w:val="single"/>
          </w:rPr>
          <w:t xml:space="preserve">§ 342m</w:t>
        </w:r>
      </w:hyperlink>
      <w:r>
        <w:t xml:space="preserve"> Absatz 1 oder 2 hinsichtlich der Pflicht zur Offenlegung des Ertragsteuerinformationsberichts oder der Erklärung nach </w:t>
      </w:r>
      <w:hyperlink w:anchor="b464" w:history="1">
        <w:r>
          <w:rPr>
            <w:color w:val="0A3A8C"/>
            <w:u w:val="single"/>
          </w:rPr>
          <w:t xml:space="preserve">§ 342d</w:t>
        </w:r>
      </w:hyperlink>
      <w:r>
        <w:t xml:space="preserve"> Absatz 2 Nummer 1 nicht befolgen,</w:t>
      </w:r>
    </w:p>
    <w:p>
      <w:pPr>
        <w:tabs>
          <w:tab w:pos="567" w:val="left"/>
        </w:tabs>
        <w:ind w:left="567" w:hanging="567"/>
      </w:pPr>
      <w:r>
        <w:t>2.</w:t>
      </w:r>
      <w:r>
        <w:tab/>
      </w:r>
      <w:r>
        <w:t xml:space="preserve">die Mitglieder des vertretungsberechtigten Organs einer Kapitalgesellschaft im Sinne des </w:t>
      </w:r>
      <w:hyperlink w:anchor="b459" w:history="1">
        <w:r>
          <w:rPr>
            <w:color w:val="0A3A8C"/>
            <w:u w:val="single"/>
          </w:rPr>
          <w:t xml:space="preserve">§ 342</w:t>
        </w:r>
      </w:hyperlink>
      <w:r>
        <w:t xml:space="preserve"> Absatz 2, die </w:t>
      </w:r>
      <w:hyperlink w:anchor="b475" w:history="1">
        <w:r>
          <w:rPr>
            <w:color w:val="0A3A8C"/>
            <w:u w:val="single"/>
          </w:rPr>
          <w:t xml:space="preserve">§ 342m</w:t>
        </w:r>
      </w:hyperlink>
      <w:r>
        <w:t xml:space="preserve"> Absatz 3 hinsichtlich der Pflicht zur Offenlegung des Ertragsteuerinformationsberichts oder der Erklärung nach </w:t>
      </w:r>
      <w:hyperlink w:anchor="b465" w:history="1">
        <w:r>
          <w:rPr>
            <w:color w:val="0A3A8C"/>
            <w:u w:val="single"/>
          </w:rPr>
          <w:t xml:space="preserve">§ 342e</w:t>
        </w:r>
      </w:hyperlink>
      <w:r>
        <w:t xml:space="preserve"> Absatz 2 Nummer 1 oder </w:t>
      </w:r>
      <w:hyperlink w:anchor="b466" w:history="1">
        <w:r>
          <w:rPr>
            <w:color w:val="0A3A8C"/>
            <w:u w:val="single"/>
          </w:rPr>
          <w:t xml:space="preserve">§ 342f</w:t>
        </w:r>
      </w:hyperlink>
      <w:r>
        <w:t xml:space="preserve"> Absatz 2 Nummer 1 nicht befolgen.</w:t>
      </w:r>
    </w:p>
    <w:p>
      <w:r>
        <w:rPr>
          <w:rStyle w:val="Satznummer"/>
        </w:rPr>
        <w:t>2</w:t>
      </w:r>
      <w:r>
        <w:t xml:space="preserve">Im Falle des Satzes 1 Nummer 2 treten die in </w:t>
      </w:r>
      <w:hyperlink w:anchor="b26" w:history="1">
        <w:r>
          <w:rPr>
            <w:color w:val="0A3A8C"/>
            <w:u w:val="single"/>
          </w:rPr>
          <w:t xml:space="preserve">§ 13e</w:t>
        </w:r>
      </w:hyperlink>
      <w:r>
        <w:t xml:space="preserve"> Absatz 2 Satz 5 Nummer 3 genannten angemeldeten Personen, sobald sie angemeldet sind, an die Stelle der Mitglieder des vertretungsberechtigten Organs der Kapitalgesellschaft. </w:t>
      </w:r>
      <w:r>
        <w:rPr>
          <w:rStyle w:val="Satznummer"/>
        </w:rPr>
        <w:t>3</w:t>
      </w:r>
      <w:r>
        <w:t xml:space="preserve">Das Ordnungsgeldverfahren kann im Falle des Satzes 1 Nummer 1 auch gegen die Gesellschaft im Sinne des </w:t>
      </w:r>
      <w:hyperlink w:anchor="b459" w:history="1">
        <w:r>
          <w:rPr>
            <w:color w:val="0A3A8C"/>
            <w:u w:val="single"/>
          </w:rPr>
          <w:t xml:space="preserve">§ 342</w:t>
        </w:r>
      </w:hyperlink>
      <w:r>
        <w:t xml:space="preserve"> Absatz 1 und im Falle des Satzes 1 Nummer 2 auch gegen die Kapitalgesellschaft im Sinne des </w:t>
      </w:r>
      <w:hyperlink w:anchor="b459" w:history="1">
        <w:r>
          <w:rPr>
            <w:color w:val="0A3A8C"/>
            <w:u w:val="single"/>
          </w:rPr>
          <w:t xml:space="preserve">§ 342</w:t>
        </w:r>
      </w:hyperlink>
      <w:r>
        <w:t xml:space="preserve"> Absatz 2 durchgeführt werden. </w:t>
      </w:r>
      <w:r>
        <w:rPr>
          <w:rStyle w:val="Satznummer"/>
        </w:rPr>
        <w:t>4</w:t>
      </w:r>
      <w:hyperlink w:anchor="b382" w:history="1">
        <w:r>
          <w:rPr>
            <w:color w:val="0A3A8C"/>
            <w:u w:val="single"/>
          </w:rPr>
          <w:t xml:space="preserve">§ 335</w:t>
        </w:r>
      </w:hyperlink>
      <w:r>
        <w:t xml:space="preserve"> Absatz 1 Satz 3 bis 5 und Absatz 1c bis 7 sowie die </w:t>
      </w:r>
      <w:hyperlink w:anchor="b383" w:history="1">
        <w:r>
          <w:rPr>
            <w:color w:val="0A3A8C"/>
            <w:u w:val="single"/>
          </w:rPr>
          <w:t xml:space="preserve">§§ 335a</w:t>
        </w:r>
      </w:hyperlink>
      <w:r>
        <w:t xml:space="preserve"> und </w:t>
      </w:r>
      <w:hyperlink w:anchor="b385" w:history="1">
        <w:r>
          <w:rPr>
            <w:color w:val="0A3A8C"/>
            <w:u w:val="single"/>
          </w:rPr>
          <w:t xml:space="preserve">335b</w:t>
        </w:r>
      </w:hyperlink>
      <w:r>
        <w:t xml:space="preserve"> sind mit der Maßgabe entsprechend anzuwenden, dass das Ordnungsgeld höchstens zweihundertfünfzigtausend Euro beträgt.</w:t>
      </w:r>
    </w:p>
    <w:p>
      <w:pPr>
        <w:pStyle w:val="Heading2"/>
      </w:pPr>
      <w:bookmarkStart w:id="481" w:name="b480"/>
      <w:r>
        <w:t>Fünfter Abschnitt Privates Rechnungslegungsgremium; Rechnungslegungsbeirat</w:t>
      </w:r>
      <w:bookmarkEnd w:id="481"/>
    </w:p>
    <w:p>
      <w:pPr>
        <w:pStyle w:val="Heading3"/>
      </w:pPr>
      <w:bookmarkStart w:id="482" w:name="b481"/>
      <w:r>
        <w:t>§ 342q Privates Rechnungslegungsgremium</w:t>
      </w:r>
      <w:r>
        <w:t xml:space="preserve"> </w:t>
      </w:r>
      <w:r>
        <w:rPr>
          <w:rStyle w:val="Suchmarke"/>
        </w:rPr>
        <w:t>#342q#</w:t>
      </w:r>
      <w:bookmarkEnd w:id="482"/>
    </w:p>
    <w:p>
      <w:r>
        <w:t xml:space="preserve">(1) </w:t>
      </w:r>
      <w:r>
        <w:rPr>
          <w:rStyle w:val="Satznummer"/>
        </w:rPr>
        <w:t>1</w:t>
      </w:r>
      <w:r>
        <w:t>Das Bundesministerium der Justiz kann eine privatrechtlich organisierte Einrichtung durch Vertrag anerkennen und ihr folgende Aufgaben übertragen:</w:t>
      </w:r>
    </w:p>
    <w:p>
      <w:pPr>
        <w:tabs>
          <w:tab w:pos="567" w:val="left"/>
        </w:tabs>
        <w:ind w:left="567" w:hanging="567"/>
      </w:pPr>
      <w:r>
        <w:t>1.</w:t>
      </w:r>
      <w:r>
        <w:tab/>
      </w:r>
      <w:r>
        <w:t>Entwicklung von Empfehlungen zur Anwendung der Grundsätze über die Konzernrechnungslegung,</w:t>
      </w:r>
    </w:p>
    <w:p>
      <w:pPr>
        <w:tabs>
          <w:tab w:pos="567" w:val="left"/>
        </w:tabs>
        <w:ind w:left="567" w:hanging="567"/>
      </w:pPr>
      <w:r>
        <w:t>2.</w:t>
      </w:r>
      <w:r>
        <w:tab/>
      </w:r>
      <w:r>
        <w:t>Beratung des Bundesministeriums der Justiz bei Gesetzgebungsvorhaben zu Rechnungslegungsvorschriften,</w:t>
      </w:r>
    </w:p>
    <w:p>
      <w:pPr>
        <w:tabs>
          <w:tab w:pos="567" w:val="left"/>
        </w:tabs>
        <w:ind w:left="567" w:hanging="567"/>
      </w:pPr>
      <w:r>
        <w:t>3.</w:t>
      </w:r>
      <w:r>
        <w:tab/>
      </w:r>
      <w:r>
        <w:t>Vertretung der Bundesrepublik Deutschland in internationalen Standardisierungsgremien und</w:t>
      </w:r>
    </w:p>
    <w:p>
      <w:pPr>
        <w:tabs>
          <w:tab w:pos="567" w:val="left"/>
        </w:tabs>
        <w:ind w:left="567" w:hanging="567"/>
      </w:pPr>
      <w:r>
        <w:t>4.</w:t>
      </w:r>
      <w:r>
        <w:tab/>
      </w:r>
      <w:r>
        <w:t xml:space="preserve">Erarbeitung von Interpretationen der internationalen Rechnungslegungsstandards im Sinn des </w:t>
      </w:r>
      <w:hyperlink w:anchor="b347" w:history="1">
        <w:r>
          <w:rPr>
            <w:color w:val="0A3A8C"/>
            <w:u w:val="single"/>
          </w:rPr>
          <w:t xml:space="preserve">§ 315e</w:t>
        </w:r>
      </w:hyperlink>
      <w:r>
        <w:t xml:space="preserve"> Absatz 1.</w:t>
      </w:r>
    </w:p>
    <w:p>
      <w:r>
        <w:rPr>
          <w:rStyle w:val="Satznummer"/>
        </w:rPr>
        <w:t>2</w:t>
      </w:r>
      <w:r>
        <w:t xml:space="preserve">Es darf jedoch nur eine solche Einrichtung anerkannt werden, die aufgrund ihrer Satzung gewährleistet, daß die Empfehlungen und Interpretationen unabhängig und ausschließlich von Rechnungslegern in einem Verfahren entwickelt und beschlossen werden, das die fachlich interessierte Öffentlichkeit einbezieht. </w:t>
      </w:r>
      <w:r>
        <w:rPr>
          <w:rStyle w:val="Satznummer"/>
        </w:rPr>
        <w:t>3</w:t>
      </w:r>
      <w:r>
        <w:t>Soweit Unternehmen oder Organisationen von Rechnungslegern Mitglied einer solchen Einrichtung sind, dürfen die Mitgliedschaftsrechte nur von Rechnungslegern ausgeübt werden.</w:t>
      </w:r>
    </w:p>
    <w:p>
      <w:r>
        <w:t>(2) Die Beachtung der die Konzernrechnungslegung betreffenden Grundsätze ordnungsmäßiger Buchführung wird vermutet, soweit vom Bundesministerium der Justiz bekanntgemachte Empfehlungen einer nach Absatz 1 Satz 1 anerkannten Einrichtung beachtet worden sind.</w:t>
      </w:r>
    </w:p>
    <w:p>
      <w:pPr>
        <w:pStyle w:val="Heading3"/>
      </w:pPr>
      <w:bookmarkStart w:id="483" w:name="b482"/>
      <w:r>
        <w:t>§ 342r Rechnungslegungsbeirat</w:t>
      </w:r>
      <w:r>
        <w:t xml:space="preserve"> </w:t>
      </w:r>
      <w:r>
        <w:rPr>
          <w:rStyle w:val="Suchmarke"/>
        </w:rPr>
        <w:t>#342r#</w:t>
      </w:r>
      <w:bookmarkEnd w:id="483"/>
    </w:p>
    <w:p>
      <w:r>
        <w:t xml:space="preserve">(1) Beim Bundesministerium der Justiz wird vorbehaltlich Absatz 9 ein Rechnungslegungsbeirat mit den Aufgaben nach </w:t>
      </w:r>
      <w:hyperlink w:anchor="b481" w:history="1">
        <w:r>
          <w:rPr>
            <w:color w:val="0A3A8C"/>
            <w:u w:val="single"/>
          </w:rPr>
          <w:t xml:space="preserve">§ 342q</w:t>
        </w:r>
      </w:hyperlink>
      <w:r>
        <w:t xml:space="preserve"> Absatz 1 Satz 1 gebildet.</w:t>
      </w:r>
    </w:p>
    <w:p>
      <w:r>
        <w:t>(2) Der Rechnungslegungsbeirat setzt sich zusammen aus</w:t>
      </w:r>
    </w:p>
    <w:p>
      <w:pPr>
        <w:tabs>
          <w:tab w:pos="567" w:val="left"/>
        </w:tabs>
        <w:ind w:left="567" w:hanging="567"/>
      </w:pPr>
      <w:r>
        <w:t>1.</w:t>
      </w:r>
      <w:r>
        <w:tab/>
      </w:r>
      <w:r>
        <w:t>einem Vertreter des Bundesministeriums der Justiz als Vorsitzendem sowie je einem Vertreter des Bundesministeriums der Finanzen und des Bundesministeriums für Wirtschaft und Klimaschutz,</w:t>
      </w:r>
    </w:p>
    <w:p>
      <w:pPr>
        <w:tabs>
          <w:tab w:pos="567" w:val="left"/>
        </w:tabs>
        <w:ind w:left="567" w:hanging="567"/>
      </w:pPr>
      <w:r>
        <w:t>2.</w:t>
      </w:r>
      <w:r>
        <w:tab/>
      </w:r>
      <w:r>
        <w:t>vier Vertretern von Unternehmen,</w:t>
      </w:r>
    </w:p>
    <w:p>
      <w:pPr>
        <w:tabs>
          <w:tab w:pos="567" w:val="left"/>
        </w:tabs>
        <w:ind w:left="567" w:hanging="567"/>
      </w:pPr>
      <w:r>
        <w:t>3.</w:t>
      </w:r>
      <w:r>
        <w:tab/>
      </w:r>
      <w:r>
        <w:t>vier Vertretern der wirtschaftsprüfenden Berufe,</w:t>
      </w:r>
    </w:p>
    <w:p>
      <w:pPr>
        <w:tabs>
          <w:tab w:pos="567" w:val="left"/>
        </w:tabs>
        <w:ind w:left="567" w:hanging="567"/>
      </w:pPr>
      <w:r>
        <w:t>4.</w:t>
      </w:r>
      <w:r>
        <w:tab/>
      </w:r>
      <w:r>
        <w:t>zwei Vertretern der Hochschulen.</w:t>
      </w:r>
    </w:p>
    <w:p>
      <w:r>
        <w:t xml:space="preserve">(3) </w:t>
      </w:r>
      <w:r>
        <w:rPr>
          <w:rStyle w:val="Satznummer"/>
        </w:rPr>
        <w:t>1</w:t>
      </w:r>
      <w:r>
        <w:t xml:space="preserve">Die Mitglieder des Rechnungslegungsbeirats werden durch das Bundesministerium der Justiz berufen. </w:t>
      </w:r>
      <w:r>
        <w:rPr>
          <w:rStyle w:val="Satznummer"/>
        </w:rPr>
        <w:t>2</w:t>
      </w:r>
      <w:r>
        <w:t>Als Mitglieder sollen nur Rechnungsleger berufen werden.</w:t>
      </w:r>
    </w:p>
    <w:p>
      <w:r>
        <w:t xml:space="preserve">(4) </w:t>
      </w:r>
      <w:r>
        <w:rPr>
          <w:rStyle w:val="Satznummer"/>
        </w:rPr>
        <w:t>1</w:t>
      </w:r>
      <w:r>
        <w:t xml:space="preserve">Die Mitglieder des Rechnungslegungsbeirats sind unabhängig und nicht weisungsgebunden. </w:t>
      </w:r>
      <w:r>
        <w:rPr>
          <w:rStyle w:val="Satznummer"/>
        </w:rPr>
        <w:t>2</w:t>
      </w:r>
      <w:r>
        <w:t>Ihre Tätigkeit im Beirat ist ehrenamtlich.</w:t>
      </w:r>
    </w:p>
    <w:p>
      <w:r>
        <w:t>(5) Das Bundesministerium der Justiz kann eine Geschäftsordnung für den Beirat erlassen.</w:t>
      </w:r>
    </w:p>
    <w:p>
      <w:r>
        <w:t>(6) Der Beirat kann für bestimmte Sachgebiete Fachausschüsse und Arbeitskreise einsetzen.</w:t>
      </w:r>
    </w:p>
    <w:p>
      <w:r>
        <w:t xml:space="preserve">(7) </w:t>
      </w:r>
      <w:r>
        <w:rPr>
          <w:rStyle w:val="Satznummer"/>
        </w:rPr>
        <w:t>1</w:t>
      </w:r>
      <w:r>
        <w:t xml:space="preserve">Der Beirat, seine Fachausschüsse und Arbeitskreise sind beschlußfähig, wenn mindestens zwei Drittel der Mitglieder anwesend sind. </w:t>
      </w:r>
      <w:r>
        <w:rPr>
          <w:rStyle w:val="Satznummer"/>
        </w:rPr>
        <w:t>2</w:t>
      </w:r>
      <w:r>
        <w:t>Bei Abstimmungen entscheidet die Stimmenmehrheit, bei Stimmengleichheit die Stimme des Vorsitzenden.</w:t>
      </w:r>
    </w:p>
    <w:p>
      <w:r>
        <w:t xml:space="preserve">(8) Für die Empfehlungen des Rechnungslegungsbeirats gilt </w:t>
      </w:r>
      <w:hyperlink w:anchor="b481" w:history="1">
        <w:r>
          <w:rPr>
            <w:color w:val="0A3A8C"/>
            <w:u w:val="single"/>
          </w:rPr>
          <w:t xml:space="preserve">§ 342q</w:t>
        </w:r>
      </w:hyperlink>
      <w:r>
        <w:t xml:space="preserve"> Absatz 2 entsprechend.</w:t>
      </w:r>
    </w:p>
    <w:p>
      <w:r>
        <w:t xml:space="preserve">(9) Die Bildung eines Rechnungslegungsbeirats nach Absatz 1 unterbleibt, soweit das Bundesministerium der Justiz eine Einrichtung nach </w:t>
      </w:r>
      <w:hyperlink w:anchor="b481" w:history="1">
        <w:r>
          <w:rPr>
            <w:color w:val="0A3A8C"/>
            <w:u w:val="single"/>
          </w:rPr>
          <w:t xml:space="preserve">§ 342q</w:t>
        </w:r>
      </w:hyperlink>
      <w:r>
        <w:t xml:space="preserve"> Absatz 1 anerkennt.</w:t>
      </w:r>
    </w:p>
    <w:p>
      <w:pPr>
        <w:pStyle w:val="Heading1"/>
      </w:pPr>
      <w:bookmarkStart w:id="484" w:name="b483"/>
      <w:r>
        <w:t>Viertes Buch Handelsgeschäfte</w:t>
      </w:r>
      <w:bookmarkEnd w:id="484"/>
    </w:p>
    <w:p>
      <w:pPr>
        <w:pStyle w:val="Heading2"/>
      </w:pPr>
      <w:bookmarkStart w:id="485" w:name="b484"/>
      <w:r>
        <w:t>Erster Abschnitt Allgemeine Vorschriften</w:t>
      </w:r>
      <w:bookmarkEnd w:id="485"/>
    </w:p>
    <w:p>
      <w:pPr>
        <w:pStyle w:val="Heading3"/>
      </w:pPr>
      <w:bookmarkStart w:id="486" w:name="b485"/>
      <w:r>
        <w:t>§ 343</w:t>
      </w:r>
      <w:r>
        <w:t xml:space="preserve"> </w:t>
      </w:r>
      <w:r>
        <w:rPr>
          <w:rStyle w:val="Suchmarke"/>
        </w:rPr>
        <w:t>#343#</w:t>
      </w:r>
      <w:bookmarkEnd w:id="486"/>
    </w:p>
    <w:p>
      <w:r>
        <w:t>(1) Handelsgeschäfte sind alle Geschäfte eines Kaufmanns, die zum Betriebe seines Handelsgewerbes gehören.</w:t>
      </w:r>
    </w:p>
    <w:p>
      <w:r>
        <w:t>(2) (weggefallen)</w:t>
      </w:r>
    </w:p>
    <w:p>
      <w:pPr>
        <w:pStyle w:val="Heading3"/>
      </w:pPr>
      <w:bookmarkStart w:id="487" w:name="b486"/>
      <w:r>
        <w:t>§ 344</w:t>
      </w:r>
      <w:r>
        <w:t xml:space="preserve"> </w:t>
      </w:r>
      <w:r>
        <w:rPr>
          <w:rStyle w:val="Suchmarke"/>
        </w:rPr>
        <w:t>#344#</w:t>
      </w:r>
      <w:bookmarkEnd w:id="487"/>
    </w:p>
    <w:p>
      <w:r>
        <w:t>(1) Die von einem Kaufmanne vorgenommenen Rechtsgeschäfte gelten im Zweifel als zum Betriebe seines Handelsgewerbes gehörig.</w:t>
      </w:r>
    </w:p>
    <w:p>
      <w:r>
        <w:t>(2) Die von einem Kaufmanne gezeichneten Schuldscheine gelten als im Betriebe seines Handelsgewerbes gezeichnet, sofern nicht aus der Urkunde sich das Gegenteil ergibt.</w:t>
      </w:r>
    </w:p>
    <w:p>
      <w:pPr>
        <w:pStyle w:val="Heading3"/>
      </w:pPr>
      <w:bookmarkStart w:id="488" w:name="b487"/>
      <w:r>
        <w:t>§ 345</w:t>
      </w:r>
      <w:r>
        <w:t xml:space="preserve"> </w:t>
      </w:r>
      <w:r>
        <w:rPr>
          <w:rStyle w:val="Suchmarke"/>
        </w:rPr>
        <w:t>#345#</w:t>
      </w:r>
      <w:bookmarkEnd w:id="488"/>
    </w:p>
    <w:p>
      <w:r>
        <w:t>Auf ein Rechtsgeschäft, das für einen der beiden Teile ein Handelsgeschäft ist, kommen die Vorschriften über Handelsgeschäfte für beide Teile gleichmäßig zur Anwendung, soweit nicht aus diesen Vorschriften sich ein anderes ergibt.</w:t>
      </w:r>
    </w:p>
    <w:p>
      <w:pPr>
        <w:pStyle w:val="Heading3"/>
      </w:pPr>
      <w:bookmarkStart w:id="489" w:name="b488"/>
      <w:r>
        <w:t>§ 346</w:t>
      </w:r>
      <w:r>
        <w:t xml:space="preserve"> </w:t>
      </w:r>
      <w:r>
        <w:rPr>
          <w:rStyle w:val="Suchmarke"/>
        </w:rPr>
        <w:t>#346#</w:t>
      </w:r>
      <w:bookmarkEnd w:id="489"/>
    </w:p>
    <w:p>
      <w:r>
        <w:t>Unter Kaufleuten ist in Ansehung der Bedeutung und Wirkung von Handlungen und Unterlassungen auf die im Handelsverkehre geltenden Gewohnheiten und Gebräuche Rücksicht zu nehmen.</w:t>
      </w:r>
    </w:p>
    <w:p>
      <w:pPr>
        <w:pStyle w:val="Heading3"/>
      </w:pPr>
      <w:bookmarkStart w:id="490" w:name="b489"/>
      <w:r>
        <w:t>§ 347</w:t>
      </w:r>
      <w:r>
        <w:t xml:space="preserve"> </w:t>
      </w:r>
      <w:r>
        <w:rPr>
          <w:rStyle w:val="Suchmarke"/>
        </w:rPr>
        <w:t>#347#</w:t>
      </w:r>
      <w:bookmarkEnd w:id="490"/>
    </w:p>
    <w:p>
      <w:r>
        <w:t>(1) Wer aus einem Geschäfte, das auf seiner Seite ein Handelsgeschäft ist, einem anderen zur Sorgfalt verpflichtet ist, hat für die Sorgfalt eines ordentlichen Kaufmanns einzustehen.</w:t>
      </w:r>
    </w:p>
    <w:p>
      <w:r>
        <w:t>(2) Unberührt bleiben die Vorschriften des Bürgerlichen Gesetzbuchs, nach welchen der Schuldner in bestimmten Fällen nur grobe Fahrlässigkeit zu vertreten oder nur für diejenige Sorgfalt einzustehen hat, welche er in eigenen Angelegenheiten anzuwenden pflegt.</w:t>
      </w:r>
    </w:p>
    <w:p>
      <w:pPr>
        <w:pStyle w:val="Heading3"/>
      </w:pPr>
      <w:bookmarkStart w:id="491" w:name="b490"/>
      <w:r>
        <w:t>§ 348</w:t>
      </w:r>
      <w:r>
        <w:t xml:space="preserve"> </w:t>
      </w:r>
      <w:r>
        <w:rPr>
          <w:rStyle w:val="Suchmarke"/>
        </w:rPr>
        <w:t>#348#</w:t>
      </w:r>
      <w:bookmarkEnd w:id="491"/>
    </w:p>
    <w:p>
      <w:r>
        <w:t>Eine Vertragsstrafe, die von einem Kaufmann im Betriebe seines Handelsgewerbes versprochen ist, kann nicht auf Grund der Vorschriften des § 343 des Bürgerlichen Gesetzbuchs herabgesetzt werden.</w:t>
      </w:r>
    </w:p>
    <w:p>
      <w:pPr>
        <w:pStyle w:val="Heading3"/>
      </w:pPr>
      <w:bookmarkStart w:id="492" w:name="b491"/>
      <w:r>
        <w:t>§ 349</w:t>
      </w:r>
      <w:r>
        <w:t xml:space="preserve"> </w:t>
      </w:r>
      <w:r>
        <w:rPr>
          <w:rStyle w:val="Suchmarke"/>
        </w:rPr>
        <w:t>#349#</w:t>
      </w:r>
      <w:bookmarkEnd w:id="492"/>
    </w:p>
    <w:p>
      <w:r>
        <w:rPr>
          <w:rStyle w:val="Satznummer"/>
        </w:rPr>
        <w:t>1</w:t>
      </w:r>
      <w:r>
        <w:t xml:space="preserve">Dem Bürgen steht, wenn die Bürgschaft für ihn ein Handelsgeschäft ist, die Einrede der Vorausklage nicht zu. </w:t>
      </w:r>
      <w:r>
        <w:rPr>
          <w:rStyle w:val="Satznummer"/>
        </w:rPr>
        <w:t>2</w:t>
      </w:r>
      <w:r>
        <w:t>Das gleiche gilt unter der bezeichneten Voraussetzung für denjenigen, welcher aus einem Kreditauftrag als Bürge haftet.</w:t>
      </w:r>
    </w:p>
    <w:p>
      <w:pPr>
        <w:pStyle w:val="Heading3"/>
      </w:pPr>
      <w:bookmarkStart w:id="493" w:name="b492"/>
      <w:r>
        <w:t>§ 350</w:t>
      </w:r>
      <w:r>
        <w:t xml:space="preserve"> </w:t>
      </w:r>
      <w:r>
        <w:rPr>
          <w:rStyle w:val="Suchmarke"/>
        </w:rPr>
        <w:t>#350#</w:t>
      </w:r>
      <w:bookmarkEnd w:id="493"/>
    </w:p>
    <w:p>
      <w:r>
        <w:t>Auf eine Bürgschaft, ein Schuldversprechen oder ein Schuldanerkenntnis finden, sofern die Bürgschaft auf der Seite des Bürgen, das Versprechen oder das Anerkenntnis auf der Seite des Schuldners ein Handelsgeschäft ist, die Formvorschriften des § 766 Satz 1 und 2, des § 780 und des § 781 Satz 1 und 2 des Bürgerlichen Gesetzbuchs keine Anwendung.</w:t>
      </w:r>
    </w:p>
    <w:p>
      <w:pPr>
        <w:pStyle w:val="Heading3"/>
      </w:pPr>
      <w:bookmarkStart w:id="494" w:name="b493"/>
      <w:r>
        <w:t>§ 351 (weggefallen)</w:t>
      </w:r>
      <w:r>
        <w:t xml:space="preserve"> </w:t>
      </w:r>
      <w:r>
        <w:rPr>
          <w:rStyle w:val="Suchmarke"/>
        </w:rPr>
        <w:t>#351#</w:t>
      </w:r>
      <w:bookmarkEnd w:id="494"/>
    </w:p>
    <w:p>
      <w:pPr>
        <w:pStyle w:val="Heading3"/>
      </w:pPr>
      <w:bookmarkStart w:id="495" w:name="b494"/>
      <w:r>
        <w:t>§ 352</w:t>
      </w:r>
      <w:r>
        <w:t xml:space="preserve"> </w:t>
      </w:r>
      <w:r>
        <w:rPr>
          <w:rStyle w:val="Suchmarke"/>
        </w:rPr>
        <w:t>#352#</w:t>
      </w:r>
      <w:bookmarkEnd w:id="495"/>
    </w:p>
    <w:p>
      <w:r>
        <w:t xml:space="preserve">(1) </w:t>
      </w:r>
      <w:r>
        <w:rPr>
          <w:rStyle w:val="Satznummer"/>
        </w:rPr>
        <w:t>1</w:t>
      </w:r>
      <w:r>
        <w:t xml:space="preserve">Die Höhe der gesetzlichen Zinsen, mit Ausnahme der Verzugszinsen, ist bei beiderseitigen Handelsgeschäften fünf vom Hundert für das Jahr. </w:t>
      </w:r>
      <w:r>
        <w:rPr>
          <w:rStyle w:val="Satznummer"/>
        </w:rPr>
        <w:t>2</w:t>
      </w:r>
      <w:r>
        <w:t>Das gleiche gilt, wenn für eine Schuld aus einem solchen Handelsgeschäfte Zinsen ohne Bestimmung des Zinsfußes versprochen sind.</w:t>
      </w:r>
    </w:p>
    <w:p>
      <w:r>
        <w:t>(2) Ist in diesem Gesetzbuche die Verpflichtung zur Zahlung von Zinsen ohne Bestimmung der Höhe ausgesprochen, so sind darunter Zinsen zu fünf vom Hundert für das Jahr zu verstehen.</w:t>
      </w:r>
    </w:p>
    <w:p>
      <w:pPr>
        <w:pStyle w:val="Heading3"/>
      </w:pPr>
      <w:bookmarkStart w:id="496" w:name="b495"/>
      <w:r>
        <w:t>§ 353</w:t>
      </w:r>
      <w:r>
        <w:t xml:space="preserve"> </w:t>
      </w:r>
      <w:r>
        <w:rPr>
          <w:rStyle w:val="Suchmarke"/>
        </w:rPr>
        <w:t>#353#</w:t>
      </w:r>
      <w:bookmarkEnd w:id="496"/>
    </w:p>
    <w:p>
      <w:r>
        <w:rPr>
          <w:rStyle w:val="Satznummer"/>
        </w:rPr>
        <w:t>1</w:t>
      </w:r>
      <w:r>
        <w:t xml:space="preserve">Kaufleute untereinander sind berechtigt, für ihre Forderungen aus beiderseitigen Handelsgeschäften vom Tage der Fälligkeit an Zinsen zu fordern. </w:t>
      </w:r>
      <w:r>
        <w:rPr>
          <w:rStyle w:val="Satznummer"/>
        </w:rPr>
        <w:t>2</w:t>
      </w:r>
      <w:r>
        <w:t>Zinsen von Zinsen können auf Grund dieser Vorschrift nicht gefordert werden.</w:t>
      </w:r>
    </w:p>
    <w:p>
      <w:pPr>
        <w:pStyle w:val="Heading3"/>
      </w:pPr>
      <w:bookmarkStart w:id="497" w:name="b496"/>
      <w:r>
        <w:t>§ 354</w:t>
      </w:r>
      <w:r>
        <w:t xml:space="preserve"> </w:t>
      </w:r>
      <w:r>
        <w:rPr>
          <w:rStyle w:val="Suchmarke"/>
        </w:rPr>
        <w:t>#354#</w:t>
      </w:r>
      <w:bookmarkEnd w:id="497"/>
    </w:p>
    <w:p>
      <w:r>
        <w:t>(1) Wer in Ausübung seines Handelsgewerbes einem anderen Geschäfte besorgt oder Dienste leistet, kann dafür auch ohne Verabredung Provision und, wenn es sich um Aufbewahrung handelt, Lagergeld nach den an dem Orte üblichen Sätzen fordern.</w:t>
      </w:r>
    </w:p>
    <w:p>
      <w:r>
        <w:t>(2) Für Darlehen, Vorschüsse, Auslagen und andere Verwendungen kann er vom Tage der Leistung an Zinsen berechnen.</w:t>
      </w:r>
    </w:p>
    <w:p>
      <w:pPr>
        <w:pStyle w:val="Heading3"/>
      </w:pPr>
      <w:bookmarkStart w:id="498" w:name="b497"/>
      <w:r>
        <w:t>§ 354a</w:t>
      </w:r>
      <w:r>
        <w:t xml:space="preserve"> </w:t>
      </w:r>
      <w:r>
        <w:rPr>
          <w:rStyle w:val="Suchmarke"/>
        </w:rPr>
        <w:t>#354a#</w:t>
      </w:r>
      <w:bookmarkEnd w:id="498"/>
    </w:p>
    <w:p>
      <w:r>
        <w:t xml:space="preserve">(1) </w:t>
      </w:r>
      <w:r>
        <w:rPr>
          <w:rStyle w:val="Satznummer"/>
        </w:rPr>
        <w:t>1</w:t>
      </w:r>
      <w:r>
        <w:t xml:space="preserve">Ist die Abtretung einer Geldforderung durch Vereinbarung mit dem Schuldner gemäß § 399 des Bürgerlichen Gesetzbuchs ausgeschlossen und ist das Rechtsgeschäft, das diese Forderung begründet hat, für beide Teile ein Handelsgeschäft, oder ist der Schuldner eine juristische Person des öffentlichen Rechts oder ein öffentlich-rechtliches Sondervermögen, so ist die Abtretung gleichwohl wirksam. </w:t>
      </w:r>
      <w:r>
        <w:rPr>
          <w:rStyle w:val="Satznummer"/>
        </w:rPr>
        <w:t>2</w:t>
      </w:r>
      <w:r>
        <w:t xml:space="preserve">Der Schuldner kann jedoch mit befreiender Wirkung an den bisherigen Gläubiger leisten. </w:t>
      </w:r>
      <w:r>
        <w:rPr>
          <w:rStyle w:val="Satznummer"/>
        </w:rPr>
        <w:t>3</w:t>
      </w:r>
      <w:r>
        <w:t>Abweichende Vereinbarungen sind unwirksam.</w:t>
      </w:r>
    </w:p>
    <w:p>
      <w:r>
        <w:t>(2) Absatz 1 ist nicht auf eine Forderung aus einem Darlehensvertrag anzuwenden, deren Gläubiger ein Kreditinstitut im Sinne des Kreditwesengesetzes ist.</w:t>
      </w:r>
    </w:p>
    <w:p>
      <w:pPr>
        <w:pStyle w:val="Heading3"/>
      </w:pPr>
      <w:bookmarkStart w:id="499" w:name="b498"/>
      <w:r>
        <w:t>§ 355</w:t>
      </w:r>
      <w:r>
        <w:t xml:space="preserve"> </w:t>
      </w:r>
      <w:r>
        <w:rPr>
          <w:rStyle w:val="Suchmarke"/>
        </w:rPr>
        <w:t>#355#</w:t>
      </w:r>
      <w:bookmarkEnd w:id="499"/>
    </w:p>
    <w:p>
      <w:r>
        <w:t>(1) Steht jemand mit einem Kaufmanne derart in Geschäftsverbindung, daß die aus der Verbindung entspringenden beiderseitigen Ansprüche und Leistungen nebst Zinsen in Rechnung gestellt und in regelmäßigen Zeitabschnitten durch Verrechnung und Feststellung des für den einen oder anderen Teil sich ergebenden Überschusses ausgeglichen werden (laufende Rechnung, Kontokorrent), so kann derjenige, welchem bei dem Rechnungsabschluß ein Überschuß gebührt, von dem Tage des Abschlusses an Zinsen von dem Überschusse verlangen, auch soweit in der Rechnung Zinsen enthalten sind.</w:t>
      </w:r>
    </w:p>
    <w:p>
      <w:r>
        <w:t>(2) Der Rechnungsabschluß geschieht jährlich einmal, sofern nicht ein anderes bestimmt ist.</w:t>
      </w:r>
    </w:p>
    <w:p>
      <w:r>
        <w:t>(3) Die laufende Rechnung kann im Zweifel auch während der Dauer einer Rechnungsperiode jederzeit mit der Wirkung gekündigt werden, daß derjenige, welchem nach der Rechnung ein Überschuß gebührt, dessen Zahlung beanspruchen kann.</w:t>
      </w:r>
    </w:p>
    <w:p>
      <w:pPr>
        <w:pStyle w:val="Heading3"/>
      </w:pPr>
      <w:bookmarkStart w:id="500" w:name="b499"/>
      <w:r>
        <w:t>§ 356</w:t>
      </w:r>
      <w:r>
        <w:t xml:space="preserve"> </w:t>
      </w:r>
      <w:r>
        <w:rPr>
          <w:rStyle w:val="Suchmarke"/>
        </w:rPr>
        <w:t>#356#</w:t>
      </w:r>
      <w:bookmarkEnd w:id="500"/>
    </w:p>
    <w:p>
      <w:r>
        <w:t>(1) Wird eine Forderung, die durch Pfand, Bürgschaft oder in anderer Weise gesichert ist, in die laufende Rechnung aufgenommen, so wird der Gläubiger durch die Anerkennung des Rechnungsabschlusses nicht gehindert, aus der Sicherheit insoweit Befriedigung zu suchen, als sein Guthaben aus der laufenden Rechnung und die Forderung sich decken.</w:t>
      </w:r>
    </w:p>
    <w:p>
      <w:r>
        <w:t>(2) Haftet ein Dritter für eine in die laufende Rechnung aufgenommene Forderung als Gesamtschuldner, so findet auf die Geltendmachung der Forderung gegen ihn die Vorschrift des Absatzes 1 entsprechende Anwendung.</w:t>
      </w:r>
    </w:p>
    <w:p>
      <w:pPr>
        <w:pStyle w:val="Heading3"/>
      </w:pPr>
      <w:bookmarkStart w:id="501" w:name="b500"/>
      <w:r>
        <w:t>§ 357</w:t>
      </w:r>
      <w:r>
        <w:t xml:space="preserve"> </w:t>
      </w:r>
      <w:r>
        <w:rPr>
          <w:rStyle w:val="Suchmarke"/>
        </w:rPr>
        <w:t>#357#</w:t>
      </w:r>
      <w:bookmarkEnd w:id="501"/>
    </w:p>
    <w:p>
      <w:r>
        <w:rPr>
          <w:rStyle w:val="Satznummer"/>
        </w:rPr>
        <w:t>1</w:t>
      </w:r>
      <w:r>
        <w:t xml:space="preserve">Hat der Gläubiger eines Beteiligten die Pfändung und Überweisung des Anspruchs auf dasjenige erwirkt, was seinem Schuldner als Überschuß aus der laufenden Rechnung zukommt, so können dem Gläubiger gegenüber Schuldposten, die nach der Pfändung durch neue Geschäfte entstehen, nicht in Rechnung gestellt werden. </w:t>
      </w:r>
      <w:r>
        <w:rPr>
          <w:rStyle w:val="Satznummer"/>
        </w:rPr>
        <w:t>2</w:t>
      </w:r>
      <w:r>
        <w:t>Geschäfte, die auf Grund eines schon vor der Pfändung bestehenden Rechtes oder einer schon vor diesem Zeitpunkte bestehenden Verpflichtung des Drittschuldners vorgenommen werden, gelten nicht als neue Geschäfte im Sinne dieser Vorschrift.</w:t>
      </w:r>
    </w:p>
    <w:p>
      <w:pPr>
        <w:pStyle w:val="Heading3"/>
      </w:pPr>
      <w:bookmarkStart w:id="502" w:name="b501"/>
      <w:r>
        <w:t>§ 358</w:t>
      </w:r>
      <w:r>
        <w:t xml:space="preserve"> </w:t>
      </w:r>
      <w:r>
        <w:rPr>
          <w:rStyle w:val="Suchmarke"/>
        </w:rPr>
        <w:t>#358#</w:t>
      </w:r>
      <w:bookmarkEnd w:id="502"/>
    </w:p>
    <w:p>
      <w:r>
        <w:t>Bei Handelsgeschäften kann die Leistung nur während der gewöhnlichen Geschäftszeit bewirkt und gefordert werden.</w:t>
      </w:r>
    </w:p>
    <w:p>
      <w:pPr>
        <w:pStyle w:val="Heading3"/>
      </w:pPr>
      <w:bookmarkStart w:id="503" w:name="b502"/>
      <w:r>
        <w:t>§ 359</w:t>
      </w:r>
      <w:r>
        <w:t xml:space="preserve"> </w:t>
      </w:r>
      <w:r>
        <w:rPr>
          <w:rStyle w:val="Suchmarke"/>
        </w:rPr>
        <w:t>#359#</w:t>
      </w:r>
      <w:bookmarkEnd w:id="503"/>
    </w:p>
    <w:p>
      <w:r>
        <w:t>(1) Ist als Zeit der Leistung das Frühjahr oder der Herbst oder ein in ähnlicher Weise bestimmter Zeitpunkt vereinbart, so entscheidet im Zweifel der Handelsgebrauch des Ortes der Leistung.</w:t>
      </w:r>
    </w:p>
    <w:p>
      <w:r>
        <w:t>(2) Ist eine Frist von acht Tagen vereinbart, so sind hierunter im Zweifel volle acht Tage zu verstehen.</w:t>
      </w:r>
    </w:p>
    <w:p>
      <w:pPr>
        <w:pStyle w:val="Heading3"/>
      </w:pPr>
      <w:bookmarkStart w:id="504" w:name="b503"/>
      <w:r>
        <w:t>§ 360</w:t>
      </w:r>
      <w:r>
        <w:t xml:space="preserve"> </w:t>
      </w:r>
      <w:r>
        <w:rPr>
          <w:rStyle w:val="Suchmarke"/>
        </w:rPr>
        <w:t>#360#</w:t>
      </w:r>
      <w:bookmarkEnd w:id="504"/>
    </w:p>
    <w:p>
      <w:r>
        <w:t>Wird eine nur der Gattung nach bestimmte Ware geschuldet, so ist Handelsgut mittlerer Art und Güte zu leisten.</w:t>
      </w:r>
    </w:p>
    <w:p>
      <w:pPr>
        <w:pStyle w:val="Heading3"/>
      </w:pPr>
      <w:bookmarkStart w:id="505" w:name="b504"/>
      <w:r>
        <w:t>§ 361</w:t>
      </w:r>
      <w:r>
        <w:t xml:space="preserve"> </w:t>
      </w:r>
      <w:r>
        <w:rPr>
          <w:rStyle w:val="Suchmarke"/>
        </w:rPr>
        <w:t>#361#</w:t>
      </w:r>
      <w:bookmarkEnd w:id="505"/>
    </w:p>
    <w:p>
      <w:r>
        <w:t>Maß, Gewicht, Währung, Zeitrechnung und Entfernungen, die an dem Orte gelten, wo der Vertrag erfüllt werden soll, sind im Zweifel als die vertragsmäßigen zu betrachten.</w:t>
      </w:r>
    </w:p>
    <w:p>
      <w:pPr>
        <w:pStyle w:val="Heading3"/>
      </w:pPr>
      <w:bookmarkStart w:id="506" w:name="b505"/>
      <w:r>
        <w:t>§ 362</w:t>
      </w:r>
      <w:r>
        <w:t xml:space="preserve"> </w:t>
      </w:r>
      <w:r>
        <w:rPr>
          <w:rStyle w:val="Suchmarke"/>
        </w:rPr>
        <w:t>#362#</w:t>
      </w:r>
      <w:bookmarkEnd w:id="506"/>
    </w:p>
    <w:p>
      <w:r>
        <w:t xml:space="preserve">(1) </w:t>
      </w:r>
      <w:r>
        <w:rPr>
          <w:rStyle w:val="Satznummer"/>
        </w:rPr>
        <w:t>1</w:t>
      </w:r>
      <w:r>
        <w:t xml:space="preserve">Geht einem Kaufmanne, dessen Gewerbebetrieb die Besorgung von Geschäften für andere mit sich bringt, ein Antrag über die Besorgung solcher Geschäfte von jemand zu, mit dem er in Geschäftsverbindung steht, so ist er verpflichtet, unverzüglich zu antworten; sein Schweigen gilt als Annahme des Antrags. </w:t>
      </w:r>
      <w:r>
        <w:rPr>
          <w:rStyle w:val="Satznummer"/>
        </w:rPr>
        <w:t>2</w:t>
      </w:r>
      <w:r>
        <w:t>Das gleiche gilt, wenn einem Kaufmann ein Antrag über die Besorgung von Geschäften von jemand zugeht, dem gegenüber er sich zur Besorgung solcher Geschäfte erboten hat.</w:t>
      </w:r>
    </w:p>
    <w:p>
      <w:r>
        <w:t>(2) Auch wenn der Kaufmann den Antrag ablehnt, hat er die mitgesendeten Waren auf Kosten des Antragstellers, soweit er für diese Kosten gedeckt ist und soweit es ohne Nachteil für ihn geschehen kann, einstweilen vor Schaden zu bewahren.</w:t>
      </w:r>
    </w:p>
    <w:p>
      <w:pPr>
        <w:pStyle w:val="Heading3"/>
      </w:pPr>
      <w:bookmarkStart w:id="507" w:name="b506"/>
      <w:r>
        <w:t>§ 363</w:t>
      </w:r>
      <w:r>
        <w:t xml:space="preserve"> </w:t>
      </w:r>
      <w:r>
        <w:rPr>
          <w:rStyle w:val="Suchmarke"/>
        </w:rPr>
        <w:t>#363#</w:t>
      </w:r>
      <w:bookmarkEnd w:id="507"/>
    </w:p>
    <w:p>
      <w:r>
        <w:t xml:space="preserve">(1) </w:t>
      </w:r>
      <w:r>
        <w:rPr>
          <w:rStyle w:val="Satznummer"/>
        </w:rPr>
        <w:t>1</w:t>
      </w:r>
      <w:r>
        <w:t xml:space="preserve">Anweisungen, die auf einen Kaufmann über die Leistung von Geld, Wertpapieren oder anderen vertretbaren Sachen ausgestellt sind, ohne daß darin die Leistung von einer Gegenleistung abhängig gemacht ist, können durch Indossament übertragen werden, wenn sie an Order lauten. </w:t>
      </w:r>
      <w:r>
        <w:rPr>
          <w:rStyle w:val="Satznummer"/>
        </w:rPr>
        <w:t>2</w:t>
      </w:r>
      <w:r>
        <w:t>Dasselbe gilt von Verpflichtungsscheinen, die von einem Kaufmann über Gegenstände der bezeichneten Art an Order ausgestellt sind, ohne daß darin die Leistung von einer Gegenleistung abhängig gemacht ist.</w:t>
      </w:r>
    </w:p>
    <w:p>
      <w:r>
        <w:t>(2) Ferner können Konnossemente der Verfrachter, Ladescheine der Frachtführer, Lagerscheine sowie Transportversicherungspolicen durch Indossament übertragen werden, wenn sie an Order lauten.</w:t>
      </w:r>
    </w:p>
    <w:p>
      <w:pPr>
        <w:pStyle w:val="Heading3"/>
      </w:pPr>
      <w:bookmarkStart w:id="508" w:name="b507"/>
      <w:r>
        <w:t>§ 364</w:t>
      </w:r>
      <w:r>
        <w:t xml:space="preserve"> </w:t>
      </w:r>
      <w:r>
        <w:rPr>
          <w:rStyle w:val="Suchmarke"/>
        </w:rPr>
        <w:t>#364#</w:t>
      </w:r>
      <w:bookmarkEnd w:id="508"/>
    </w:p>
    <w:p>
      <w:r>
        <w:t>(1) Durch das Indossament gehen alle Rechte aus dem indossierten Papier auf den Indossatar über.</w:t>
      </w:r>
    </w:p>
    <w:p>
      <w:r>
        <w:t>(2) Dem legitimierten Besitzer der Urkunde kann der Schuldner nur solche Einwendungen entgegensetzen, welche die Gültigkeit seiner Erklärung in der Urkunde betreffen oder sich aus dem Inhalte der Urkunde ergeben oder ihm unmittelbar gegen den Besitzer zustehen.</w:t>
      </w:r>
    </w:p>
    <w:p>
      <w:r>
        <w:t>(3) Der Schuldner ist nur gegen Aushändigung der quittierten Urkunde zur Leistung verpflichtet.</w:t>
      </w:r>
    </w:p>
    <w:p>
      <w:pPr>
        <w:pStyle w:val="Heading3"/>
      </w:pPr>
      <w:bookmarkStart w:id="509" w:name="b508"/>
      <w:r>
        <w:t>§ 365</w:t>
      </w:r>
      <w:r>
        <w:t xml:space="preserve"> </w:t>
      </w:r>
      <w:r>
        <w:rPr>
          <w:rStyle w:val="Suchmarke"/>
        </w:rPr>
        <w:t>#365#</w:t>
      </w:r>
      <w:bookmarkEnd w:id="509"/>
    </w:p>
    <w:p>
      <w:r>
        <w:t>(1) In betreff der Form des Indossaments, in betreff der Legitimation des Besitzers und der Prüfung der Legitimation sowie in betreff der Verpflichtung des Besitzers zur Herausgabe, finden die Vorschriften der Artikel 13, 14 Absatz 2, Artikel 16 und 40 Absatz 3 Satz 2 des Wechselgesetzes entsprechende Anwendung.</w:t>
      </w:r>
    </w:p>
    <w:p>
      <w:r>
        <w:t xml:space="preserve">(2) </w:t>
      </w:r>
      <w:r>
        <w:rPr>
          <w:rStyle w:val="Satznummer"/>
        </w:rPr>
        <w:t>1</w:t>
      </w:r>
      <w:r>
        <w:t xml:space="preserve">Ist die Urkunde vernichtet oder abhanden gekommen, so unterliegt sie der Kraftloserklärung im Wege des Aufgebotsverfahrens. </w:t>
      </w:r>
      <w:r>
        <w:rPr>
          <w:rStyle w:val="Satznummer"/>
        </w:rPr>
        <w:t>2</w:t>
      </w:r>
      <w:r>
        <w:t>Ist das Aufgebotsverfahren eingeleitet, so kann der Berechtigte, wenn er bis zur Kraftloserklärung Sicherheit bestellt, Leistung nach Maßgabe der Urkunde von dem Schuldner verlangen.</w:t>
      </w:r>
    </w:p>
    <w:p>
      <w:pPr>
        <w:pStyle w:val="Heading3"/>
      </w:pPr>
      <w:bookmarkStart w:id="510" w:name="b509"/>
      <w:r>
        <w:t>§ 365a</w:t>
      </w:r>
      <w:r>
        <w:t xml:space="preserve"> </w:t>
      </w:r>
      <w:r>
        <w:rPr>
          <w:rStyle w:val="Suchmarke"/>
        </w:rPr>
        <w:t>#365a#</w:t>
      </w:r>
      <w:bookmarkEnd w:id="510"/>
    </w:p>
    <w:p>
      <w:r>
        <w:rPr>
          <w:rStyle w:val="Satznummer"/>
        </w:rPr>
        <w:t>1</w:t>
      </w:r>
      <w:r>
        <w:t xml:space="preserve">Der Transportversicherungspolice nach </w:t>
      </w:r>
      <w:hyperlink w:anchor="b506" w:history="1">
        <w:r>
          <w:rPr>
            <w:color w:val="0A3A8C"/>
            <w:u w:val="single"/>
          </w:rPr>
          <w:t xml:space="preserve">§ 363</w:t>
        </w:r>
      </w:hyperlink>
      <w:r>
        <w:t xml:space="preserve"> Absatz 2 gleichgestellt ist eine elektronische Aufzeichnung, die dieselben Funktionen erfüllt wie die Transportversicherungspolice, sofern sichergestellt ist, dass die Authentizität und Integrität der Aufzeichnung gewahrt bleiben (elektronische Transportversicherungspolice). </w:t>
      </w:r>
      <w:r>
        <w:rPr>
          <w:rStyle w:val="Satznummer"/>
        </w:rPr>
        <w:t>2</w:t>
      </w:r>
      <w:r>
        <w:t>Das Bundesministerium der Justiz wird ermächtigt, im Einvernehmen mit dem Bundesministerium des Innern und für Heimat durch Rechtsverordnung, die nicht der Zustimmung des Bundesrates bedarf, die Einzelheiten der Ausstellung, Vorlage, Rückgabe und Übertragung einer elektronischen Transportversicherungspolice sowie die Einzelheiten des Verfahrens einer nachträglichen Eintragung in eine elektronische Transportversicherungspolice zu regeln.</w:t>
      </w:r>
    </w:p>
    <w:p>
      <w:pPr>
        <w:pStyle w:val="Heading3"/>
      </w:pPr>
      <w:bookmarkStart w:id="511" w:name="b510"/>
      <w:r>
        <w:t>§ 366</w:t>
      </w:r>
      <w:r>
        <w:t xml:space="preserve"> </w:t>
      </w:r>
      <w:r>
        <w:rPr>
          <w:rStyle w:val="Suchmarke"/>
        </w:rPr>
        <w:t>#366#</w:t>
      </w:r>
      <w:bookmarkEnd w:id="511"/>
    </w:p>
    <w:p>
      <w:r>
        <w:t>(1) Veräußert oder verpfändet ein Kaufmann im Betriebe seines Handelsgewerbes eine ihm nicht gehörige bewegliche Sache, so finden die Vorschriften des Bürgerlichen Gesetzbuchs zugunsten derjenigen, welche Rechte von einem Nichtberechtigten herleiten, auch dann Anwendung, wenn der gute Glaube des Erwerbers die Befugnis des Veräußerers oder Verpfänders, über die Sache für den Eigentümer zu verfügen, betrifft.</w:t>
      </w:r>
    </w:p>
    <w:p>
      <w:r>
        <w:t>(2) Ist die Sache mit dem Rechte eines Dritten belastet, so finden die Vorschriften des Bürgerlichen Gesetzbuchs zugunsten derjenigen, welche Rechte von einem Nichtberechtigten herleiten, auch dann Anwendung, wenn der gute Glaube die Befugnis des Veräußerers oder Verpfänders, ohne Vorbehalt des Rechtes über die Sache zu verfügen, betrifft.</w:t>
      </w:r>
    </w:p>
    <w:p>
      <w:r>
        <w:t xml:space="preserve">(3) </w:t>
      </w:r>
      <w:r>
        <w:rPr>
          <w:rStyle w:val="Satznummer"/>
        </w:rPr>
        <w:t>1</w:t>
      </w:r>
      <w:r>
        <w:t xml:space="preserve">Das gesetzliche Pfandrecht des Kommissionärs, des Frachtführers oder Verfrachters, des Spediteurs und des Lagerhalters steht hinsichtlich des Schutzes des guten Glaubens einem gemäß Absatz 1 durch Vertrag erworbenen Pfandrecht gleich. </w:t>
      </w:r>
      <w:r>
        <w:rPr>
          <w:rStyle w:val="Satznummer"/>
        </w:rPr>
        <w:t>2</w:t>
      </w:r>
      <w:r>
        <w:t>Satz 1 gilt jedoch nicht für das gesetzliche Pfandrecht an Gut, das nicht Gegenstand des Vertrages ist, aus dem die durch das Pfandrecht zu sichernde Forderung herrührt.</w:t>
      </w:r>
    </w:p>
    <w:p>
      <w:pPr>
        <w:pStyle w:val="Heading3"/>
      </w:pPr>
      <w:bookmarkStart w:id="512" w:name="b511"/>
      <w:r>
        <w:t>§ 367</w:t>
      </w:r>
      <w:r>
        <w:t xml:space="preserve"> </w:t>
      </w:r>
      <w:r>
        <w:rPr>
          <w:rStyle w:val="Suchmarke"/>
        </w:rPr>
        <w:t>#367#</w:t>
      </w:r>
      <w:bookmarkEnd w:id="512"/>
    </w:p>
    <w:p>
      <w:r>
        <w:t xml:space="preserve">(1) </w:t>
      </w:r>
      <w:r>
        <w:rPr>
          <w:rStyle w:val="Satznummer"/>
        </w:rPr>
        <w:t>1</w:t>
      </w:r>
      <w:r>
        <w:t xml:space="preserve">Wird ein Inhaberpapier, das dem Eigentümer gestohlen worden, verlorengegangen oder sonst abhanden gekommen ist, an einen Kaufmann, der Bankier- oder Geldwechslergeschäfte betreibt, veräußert oder verpfändet, so gilt dessen guter Glaube als ausgeschlossen, wenn zur Zeit der Veräußerung oder Verpfändung der Verlust des Papiers im Bundesanzeiger bekanntgemacht und seit dem Ablauf des Jahres, in dem die Veröffentlichung erfolgt ist, nicht mehr als ein Jahr verstrichen war. </w:t>
      </w:r>
      <w:r>
        <w:rPr>
          <w:rStyle w:val="Satznummer"/>
        </w:rPr>
        <w:t>2</w:t>
      </w:r>
      <w:r>
        <w:t xml:space="preserve">Für Veröffentlichungen vor dem 1. Januar 2007 tritt an die Stelle des Bundesanzeigers der Bundesanzeiger in Papierform. </w:t>
      </w:r>
      <w:r>
        <w:rPr>
          <w:rStyle w:val="Satznummer"/>
        </w:rPr>
        <w:t>3</w:t>
      </w:r>
      <w:r>
        <w:t>Inhaberpapieren stehen an Order lautende Anleiheschuldverschreibungen sowie Namensaktien und Zwischenscheine gleich, falls sie mit einem Blankoindossament versehen sind.</w:t>
      </w:r>
    </w:p>
    <w:p>
      <w:r>
        <w:t>(2) Der gute Glaube des Erwerbers wird durch die Veröffentlichung nach Absatz 1 nicht ausgeschlossen, wenn der Erwerber die Veröffentlichung infolge besonderer Umstände nicht kannte und seine Unkenntnis nicht auf grober Fahrlässigkeit beruht.</w:t>
      </w:r>
    </w:p>
    <w:p>
      <w:r>
        <w:t>(3) Auf Zins-, Renten- und Gewinnanteilscheine, die nicht später als in dem nächsten auf die Veräußerung oder Verpfändung folgenden Einlösungstermin fällig werden, auf unverzinsliche Inhaberpapiere, die auf Sicht zahlbar sind, und auf Banknoten sind diese Vorschriften nicht anzuwenden.</w:t>
      </w:r>
    </w:p>
    <w:p>
      <w:pPr>
        <w:pStyle w:val="Heading3"/>
      </w:pPr>
      <w:bookmarkStart w:id="513" w:name="b512"/>
      <w:r>
        <w:t>§ 368</w:t>
      </w:r>
      <w:r>
        <w:t xml:space="preserve"> </w:t>
      </w:r>
      <w:r>
        <w:rPr>
          <w:rStyle w:val="Suchmarke"/>
        </w:rPr>
        <w:t>#368#</w:t>
      </w:r>
      <w:bookmarkEnd w:id="513"/>
    </w:p>
    <w:p>
      <w:r>
        <w:t>(1) Bei dem Verkauf eines Pfandes tritt, wenn die Verpfändung auf der Seite des Pfandgläubigers und des Verpfänders ein Handelsgeschäft ist, an die Stelle der in § 1234 des Bürgerlichen Gesetzbuchs bestimmten Frist von einem Monat eine solche von einer Woche.</w:t>
      </w:r>
    </w:p>
    <w:p>
      <w:r>
        <w:t>(2) Diese Vorschrift ist auf das gesetzliche Pfandrecht des Kommissionärs, des Frachtführers oder Verfrachters, des Spediteurs und des Lagerhalters entsprechend anzuwenden, auf das Pfandrecht des Frachtführers, Verfrachters und Spediteurs auch dann, wenn nur auf ihrer Seite der Vertrag ein Handelsgeschäft ist.</w:t>
      </w:r>
    </w:p>
    <w:p>
      <w:pPr>
        <w:pStyle w:val="Heading3"/>
      </w:pPr>
      <w:bookmarkStart w:id="514" w:name="b513"/>
      <w:r>
        <w:t>§ 369</w:t>
      </w:r>
      <w:r>
        <w:t xml:space="preserve"> </w:t>
      </w:r>
      <w:r>
        <w:rPr>
          <w:rStyle w:val="Suchmarke"/>
        </w:rPr>
        <w:t>#369#</w:t>
      </w:r>
      <w:bookmarkEnd w:id="514"/>
    </w:p>
    <w:p>
      <w:r>
        <w:t xml:space="preserve">(1) </w:t>
      </w:r>
      <w:r>
        <w:rPr>
          <w:rStyle w:val="Satznummer"/>
        </w:rPr>
        <w:t>1</w:t>
      </w:r>
      <w:r>
        <w:t xml:space="preserve">Ein Kaufmann hat wegen der fälligen Forderungen, welche ihm gegen einen anderen Kaufmann aus den zwischen ihnen geschlossenen beiderseitigen Handelsgeschäften zustehen, ein Zurückbehaltungsrecht an den beweglichen Sachen und Wertpapieren des Schuldners, welche mit dessen Willen auf Grund von Handelsgeschäften in seinen Besitz gelangt sind, sofern er sie noch im Besitze hat, insbesondere mittels Konnossements, Ladescheins oder Lagerscheins darüber verfügen kann. </w:t>
      </w:r>
      <w:r>
        <w:rPr>
          <w:rStyle w:val="Satznummer"/>
        </w:rPr>
        <w:t>2</w:t>
      </w:r>
      <w:r>
        <w:t>Das Zurückbehaltungsrecht ist auch dann begründet, wenn das Eigentum an dem Gegenstande von dem Schuldner auf den Gläubiger übergegangen oder von einem Dritten für den Schuldner auf den Gläubiger übertragen, aber auf den Schuldner zurückzuübertragen ist.</w:t>
      </w:r>
    </w:p>
    <w:p>
      <w:r>
        <w:t>(2) Einem Dritten gegenüber besteht das Zurückbehaltungsrecht insoweit, als dem Dritten die Einwendungen gegen den Anspruch des Schuldners auf Herausgabe des Gegenstandes entgegengesetzt werden können.</w:t>
      </w:r>
    </w:p>
    <w:p>
      <w:r>
        <w:t>(3) Das Zurückbehaltungsrecht ist ausgeschlossen, wenn die Zurückbehaltung des Gegenstandes der von dem Schuldner vor oder bei der Übergabe erteilten Anweisung oder der von dem Gläubiger übernommenen Verpflichtung, in einer bestimmten Weise mit dem Gegenstande zu verfahren, widerstreitet.</w:t>
      </w:r>
    </w:p>
    <w:p>
      <w:r>
        <w:t xml:space="preserve">(4) </w:t>
      </w:r>
      <w:r>
        <w:rPr>
          <w:rStyle w:val="Satznummer"/>
        </w:rPr>
        <w:t>1</w:t>
      </w:r>
      <w:r>
        <w:t xml:space="preserve">Der Schuldner kann die Ausübung des Zurückbehaltungsrechts durch Sicherheitsleistung abwenden. </w:t>
      </w:r>
      <w:r>
        <w:rPr>
          <w:rStyle w:val="Satznummer"/>
        </w:rPr>
        <w:t>2</w:t>
      </w:r>
      <w:r>
        <w:t>Die Sicherheitsleistung durch Bürgen ist ausgeschlossen.</w:t>
      </w:r>
    </w:p>
    <w:p>
      <w:pPr>
        <w:pStyle w:val="Heading3"/>
      </w:pPr>
      <w:bookmarkStart w:id="515" w:name="b514"/>
      <w:r>
        <w:t>§ 370 (weggefallen)</w:t>
      </w:r>
      <w:r>
        <w:t xml:space="preserve"> </w:t>
      </w:r>
      <w:r>
        <w:rPr>
          <w:rStyle w:val="Suchmarke"/>
        </w:rPr>
        <w:t>#370#</w:t>
      </w:r>
      <w:bookmarkEnd w:id="515"/>
    </w:p>
    <w:p>
      <w:pPr>
        <w:pStyle w:val="Heading3"/>
      </w:pPr>
      <w:bookmarkStart w:id="516" w:name="b515"/>
      <w:r>
        <w:t>§ 371</w:t>
      </w:r>
      <w:r>
        <w:t xml:space="preserve"> </w:t>
      </w:r>
      <w:r>
        <w:rPr>
          <w:rStyle w:val="Suchmarke"/>
        </w:rPr>
        <w:t>#371#</w:t>
      </w:r>
      <w:bookmarkEnd w:id="516"/>
    </w:p>
    <w:p>
      <w:r>
        <w:t xml:space="preserve">(1) </w:t>
      </w:r>
      <w:r>
        <w:rPr>
          <w:rStyle w:val="Satznummer"/>
        </w:rPr>
        <w:t>1</w:t>
      </w:r>
      <w:r>
        <w:t xml:space="preserve">Der Gläubiger ist kraft des Zurückbehaltungsrechts befugt, sich aus dem zurückbehaltenen Gegenstande für seine Forderung zu befriedigen. </w:t>
      </w:r>
      <w:r>
        <w:rPr>
          <w:rStyle w:val="Satznummer"/>
        </w:rPr>
        <w:t>2</w:t>
      </w:r>
      <w:r>
        <w:t xml:space="preserve">Steht einem Dritten ein Recht an dem Gegenstande zu, gegen welches das Zurückbehaltungsrecht nach </w:t>
      </w:r>
      <w:hyperlink w:anchor="b513" w:history="1">
        <w:r>
          <w:rPr>
            <w:color w:val="0A3A8C"/>
            <w:u w:val="single"/>
          </w:rPr>
          <w:t xml:space="preserve">§ 369</w:t>
        </w:r>
      </w:hyperlink>
      <w:r>
        <w:t xml:space="preserve"> Abs. 2 geltend gemacht werden kann, so hat der Gläubiger in Ansehung der Befriedigung aus dem Gegenstande den Vorrang.</w:t>
      </w:r>
    </w:p>
    <w:p>
      <w:r>
        <w:t xml:space="preserve">(2) </w:t>
      </w:r>
      <w:r>
        <w:rPr>
          <w:rStyle w:val="Satznummer"/>
        </w:rPr>
        <w:t>1</w:t>
      </w:r>
      <w:r>
        <w:t xml:space="preserve">Die Befriedigung erfolgt nach den für das Pfandrecht geltenden Vorschriften des Bürgerlichen Gesetzbuchs. </w:t>
      </w:r>
      <w:r>
        <w:rPr>
          <w:rStyle w:val="Satznummer"/>
        </w:rPr>
        <w:t>2</w:t>
      </w:r>
      <w:r>
        <w:t>An die Stelle der in § 1234 des Bürgerlichen Gesetzbuchs bestimmten Frist von einem Monate tritt eine solche von einer Woche.</w:t>
      </w:r>
    </w:p>
    <w:p>
      <w:r>
        <w:t xml:space="preserve">(3) </w:t>
      </w:r>
      <w:r>
        <w:rPr>
          <w:rStyle w:val="Satznummer"/>
        </w:rPr>
        <w:t>1</w:t>
      </w:r>
      <w:r>
        <w:t xml:space="preserve">Sofern die Befriedigung nicht im Wege der Zwangsvollstreckung stattfindet, ist sie erst zulässig, nachdem der Gläubiger einen vollstreckbaren Titel für sein Recht auf Befriedigung gegen den Eigentümer oder, wenn der Gegenstand ihm selbst gehört, gegen den Schuldner erlangt hat; in dem letzteren Falle finden die den Eigentümer betreffenden Vorschriften des Bürgerlichen Gesetzbuchs über die Befriedigung auf den Schuldner entsprechende Anwendung. </w:t>
      </w:r>
      <w:r>
        <w:rPr>
          <w:rStyle w:val="Satznummer"/>
        </w:rPr>
        <w:t>2</w:t>
      </w:r>
      <w:r>
        <w:t>In Ermangelung des vollstreckbaren Titels ist der Verkauf des Gegenstandes nicht rechtmäßig.</w:t>
      </w:r>
    </w:p>
    <w:p>
      <w:r>
        <w:t>(4) Die Klage auf Gestattung der Befriedigung kann bei dem Gericht, in dessen Bezirke der Gläubiger seinen allgemeinen Gerichtsstand oder den Gerichtsstand der Niederlassung hat, erhoben werden.</w:t>
      </w:r>
    </w:p>
    <w:p>
      <w:pPr>
        <w:pStyle w:val="Heading3"/>
      </w:pPr>
      <w:bookmarkStart w:id="517" w:name="b516"/>
      <w:r>
        <w:t>§ 372</w:t>
      </w:r>
      <w:r>
        <w:t xml:space="preserve"> </w:t>
      </w:r>
      <w:r>
        <w:rPr>
          <w:rStyle w:val="Suchmarke"/>
        </w:rPr>
        <w:t>#372#</w:t>
      </w:r>
      <w:bookmarkEnd w:id="517"/>
    </w:p>
    <w:p>
      <w:r>
        <w:t>(1) In Ansehung der Befriedigung aus dem zurückbehaltenen Gegenstande gilt zugunsten des Gläubigers der Schuldner, sofern er bei dem Besitzerwerbe des Gläubigers der Eigentümer des Gegenstandes war, auch weiter als Eigentümer, sofern nicht der Gläubiger weiß, daß der Schuldner nicht mehr Eigentümer ist.</w:t>
      </w:r>
    </w:p>
    <w:p>
      <w:r>
        <w:t>(2) Erwirbt ein Dritter nach dem Besitzerwerbe des Gläubigers von dem Schuldner das Eigentum, so muß er ein rechtskräftiges Urteil, das in einem zwischen dem Gläubiger und dem Schuldner wegen Gestattung der Befriedigung geführten Rechtsstreit ergangen ist, gegen sich gelten lassen, sofern nicht der Gläubiger bei dem Eintritte der Rechtshängigkeit gewußt hat, daß der Schuldner nicht mehr Eigentümer war.</w:t>
      </w:r>
    </w:p>
    <w:p>
      <w:pPr>
        <w:pStyle w:val="Heading2"/>
      </w:pPr>
      <w:bookmarkStart w:id="518" w:name="b517"/>
      <w:r>
        <w:t>Zweiter Abschnitt Handelskauf</w:t>
      </w:r>
      <w:bookmarkEnd w:id="518"/>
    </w:p>
    <w:p>
      <w:pPr>
        <w:pStyle w:val="Heading3"/>
      </w:pPr>
      <w:bookmarkStart w:id="519" w:name="b518"/>
      <w:r>
        <w:t>§ 373</w:t>
      </w:r>
      <w:r>
        <w:t xml:space="preserve"> </w:t>
      </w:r>
      <w:r>
        <w:rPr>
          <w:rStyle w:val="Suchmarke"/>
        </w:rPr>
        <w:t>#373#</w:t>
      </w:r>
      <w:bookmarkEnd w:id="519"/>
    </w:p>
    <w:p>
      <w:r>
        <w:t>(1) Ist der Käufer mit der Annahme der Ware im Verzuge, so kann der Verkäufer die Ware auf Gefahr und Kosten des Käufers in einem öffentlichen Lagerhaus oder sonst in sicherer Weise hinterlegen.</w:t>
      </w:r>
    </w:p>
    <w:p>
      <w:r>
        <w:t xml:space="preserve">(2) </w:t>
      </w:r>
      <w:r>
        <w:rPr>
          <w:rStyle w:val="Satznummer"/>
        </w:rPr>
        <w:t>1</w:t>
      </w:r>
      <w:r>
        <w:t xml:space="preserve">Er ist ferner befugt, nach vorgängiger Androhung die Ware öffentlich versteigern zu lassen; er kann, wenn die Ware einen Börsen- oder Marktpreis hat, nach vorgängiger Androhung den Verkauf auch aus freier Hand durch einen zu solchen Verkäufen öffentlich ermächtigten Handelsmakler oder durch eine zur öffentlichen Versteigerung befugte Person zum laufenden Preise bewirken. </w:t>
      </w:r>
      <w:r>
        <w:rPr>
          <w:rStyle w:val="Satznummer"/>
        </w:rPr>
        <w:t>2</w:t>
      </w:r>
      <w:r>
        <w:t>Ist die Ware dem Verderb ausgesetzt und Gefahr im Verzuge, so bedarf es der vorgängigen Androhung nicht; dasselbe gilt, wenn die Androhung aus anderen Gründen untunlich ist.</w:t>
      </w:r>
    </w:p>
    <w:p>
      <w:r>
        <w:t>(3) Der Selbsthilfeverkauf erfolgt für Rechnung des säumigen Käufers.</w:t>
      </w:r>
    </w:p>
    <w:p>
      <w:r>
        <w:t>(4) Der Verkäufer und der Käufer können bei der öffentlichen Versteigerung mitbieten.</w:t>
      </w:r>
    </w:p>
    <w:p>
      <w:r>
        <w:t xml:space="preserve">(5) </w:t>
      </w:r>
      <w:r>
        <w:rPr>
          <w:rStyle w:val="Satznummer"/>
        </w:rPr>
        <w:t>1</w:t>
      </w:r>
      <w:r>
        <w:t xml:space="preserve">Im Falle der öffentlichen Versteigerung hat der Verkäufer dem Käufer die in § 383 Absatz 3 Nummer 1 bis 3 des Bürgerlichen Gesetzbuchs bezeichneten Informationen vorher mitzuteilen; von dem vollzogenen Verkaufe hat er bei jeder Art des Verkaufs dem Käufer unverzüglich Nachricht zu geben. </w:t>
      </w:r>
      <w:r>
        <w:rPr>
          <w:rStyle w:val="Satznummer"/>
        </w:rPr>
        <w:t>2</w:t>
      </w:r>
      <w:r>
        <w:t xml:space="preserve">Im Falle der Unterlassung ist er zum Schadensersatze verpflichtet. </w:t>
      </w:r>
      <w:r>
        <w:rPr>
          <w:rStyle w:val="Satznummer"/>
        </w:rPr>
        <w:t>3</w:t>
      </w:r>
      <w:r>
        <w:t>Die Benachrichtigungen dürfen unterbleiben, wenn sie untunlich sind.</w:t>
      </w:r>
    </w:p>
    <w:p>
      <w:pPr>
        <w:pStyle w:val="Heading3"/>
      </w:pPr>
      <w:bookmarkStart w:id="520" w:name="b519"/>
      <w:r>
        <w:t>§ 374</w:t>
      </w:r>
      <w:r>
        <w:t xml:space="preserve"> </w:t>
      </w:r>
      <w:r>
        <w:rPr>
          <w:rStyle w:val="Suchmarke"/>
        </w:rPr>
        <w:t>#374#</w:t>
      </w:r>
      <w:bookmarkEnd w:id="520"/>
    </w:p>
    <w:p>
      <w:r>
        <w:t xml:space="preserve">Durch die Vorschriften des </w:t>
      </w:r>
      <w:hyperlink w:anchor="b518" w:history="1">
        <w:r>
          <w:rPr>
            <w:color w:val="0A3A8C"/>
            <w:u w:val="single"/>
          </w:rPr>
          <w:t xml:space="preserve">§ 373</w:t>
        </w:r>
      </w:hyperlink>
      <w:r>
        <w:t xml:space="preserve"> werden die Befugnisse nicht berührt, welche dem Verkäufer nach dem Bürgerlichen Gesetzbuche zustehen, wenn der Käufer im Verzuge der Annahme ist.</w:t>
      </w:r>
    </w:p>
    <w:p>
      <w:pPr>
        <w:pStyle w:val="Heading3"/>
      </w:pPr>
      <w:bookmarkStart w:id="521" w:name="b520"/>
      <w:r>
        <w:t>§ 375</w:t>
      </w:r>
      <w:r>
        <w:t xml:space="preserve"> </w:t>
      </w:r>
      <w:r>
        <w:rPr>
          <w:rStyle w:val="Suchmarke"/>
        </w:rPr>
        <w:t>#375#</w:t>
      </w:r>
      <w:bookmarkEnd w:id="521"/>
    </w:p>
    <w:p>
      <w:r>
        <w:t>(1) Ist bei dem Kaufe einer beweglichen Sache dem Käufer die nähere Bestimmung über Form, Maß oder ähnliche Verhältnisse vorbehalten, so ist der Käufer verpflichtet, die vorbehaltene Bestimmung zu treffen.</w:t>
      </w:r>
    </w:p>
    <w:p>
      <w:r>
        <w:t xml:space="preserve">(2) </w:t>
      </w:r>
      <w:r>
        <w:rPr>
          <w:rStyle w:val="Satznummer"/>
        </w:rPr>
        <w:t>1</w:t>
      </w:r>
      <w:r>
        <w:t xml:space="preserve">Ist der Käufer mit der Erfüllung dieser Verpflichtung in Verzug, so kann der Verkäufer die Bestimmung statt des Käufers vornehmen oder gemäß den §§ 280, 281 des Bürgerlichen Gesetzbuchs Schadensersatz statt der Leistung verlangen oder gemäß § 323 des Bürgerlichen Gesetzbuchs vom Vertrag zurücktreten. </w:t>
      </w:r>
      <w:r>
        <w:rPr>
          <w:rStyle w:val="Satznummer"/>
        </w:rPr>
        <w:t>2</w:t>
      </w:r>
      <w:r>
        <w:t xml:space="preserve">Im ersteren Falle hat der Verkäufer die von ihm getroffene Bestimmung dem Käufer mitzuteilen und ihm zugleich eine angemessene Frist zur Vornahme einer anderweitigen Bestimmung zu setzen. </w:t>
      </w:r>
      <w:r>
        <w:rPr>
          <w:rStyle w:val="Satznummer"/>
        </w:rPr>
        <w:t>3</w:t>
      </w:r>
      <w:r>
        <w:t>Wird eine solche innerhalb der Frist von dem Käufer nicht vorgenommen, so ist die von dem Verkäufer getroffene Bestimmung maßgebend.</w:t>
      </w:r>
    </w:p>
    <w:p>
      <w:pPr>
        <w:pStyle w:val="Heading3"/>
      </w:pPr>
      <w:bookmarkStart w:id="522" w:name="b521"/>
      <w:r>
        <w:t>§ 376</w:t>
      </w:r>
      <w:r>
        <w:t xml:space="preserve"> </w:t>
      </w:r>
      <w:r>
        <w:rPr>
          <w:rStyle w:val="Suchmarke"/>
        </w:rPr>
        <w:t>#376#</w:t>
      </w:r>
      <w:bookmarkEnd w:id="522"/>
    </w:p>
    <w:p>
      <w:r>
        <w:t xml:space="preserve">(1) </w:t>
      </w:r>
      <w:r>
        <w:rPr>
          <w:rStyle w:val="Satznummer"/>
        </w:rPr>
        <w:t>1</w:t>
      </w:r>
      <w:r>
        <w:t xml:space="preserve">Ist bedungen, daß die Leistung des einen Teiles genau zu einer festbestimmten Zeit oder innerhalb einer festbestimmten Frist bewirkt werden soll, so kann der andere Teil, wenn die Leistung nicht zu der bestimmten Zeit oder nicht innerhalb der bestimmten Frist erfolgt, von dem Vertrage zurücktreten oder, falls der Schuldner im Verzug ist, statt der Erfüllung Schadensersatz wegen Nichterfüllung verlangen. </w:t>
      </w:r>
      <w:r>
        <w:rPr>
          <w:rStyle w:val="Satznummer"/>
        </w:rPr>
        <w:t>2</w:t>
      </w:r>
      <w:r>
        <w:t>Erfüllung kann er nur beanspruchen, wenn er sofort nach dem Ablaufe der Zeit oder der Frist dem Gegner anzeigt, daß er auf Erfüllung bestehe.</w:t>
      </w:r>
    </w:p>
    <w:p>
      <w:r>
        <w:t>(2) Wird Schadensersatz wegen Nichterfüllung verlangt und hat die Ware einen Börsen- oder Marktpreis, so kann der Unterschied des Kaufpreises und des Börsen- oder Marktpreises zur Zeit und am Orte der geschuldeten Leistung gefordert werden.</w:t>
      </w:r>
    </w:p>
    <w:p>
      <w:r>
        <w:t xml:space="preserve">(3) </w:t>
      </w:r>
      <w:r>
        <w:rPr>
          <w:rStyle w:val="Satznummer"/>
        </w:rPr>
        <w:t>1</w:t>
      </w:r>
      <w:r>
        <w:t xml:space="preserve">Das Ergebnis eines anderweit vorgenommenen Verkaufs oder Kaufes kann, falls die Ware einen Börsen- oder Marktpreis hat, dem Ersatzanspruche nur zugrunde gelegt werden, wenn der Verkauf oder Kauf sofort nach dem Ablaufe der bedungenen Leistungszeit oder Leistungsfrist bewirkt ist. </w:t>
      </w:r>
      <w:r>
        <w:rPr>
          <w:rStyle w:val="Satznummer"/>
        </w:rPr>
        <w:t>2</w:t>
      </w:r>
      <w:r>
        <w:t>Der Verkauf oder Kauf muß, wenn er nicht in öffentlicher Versteigerung geschieht, durch einen zu solchen Verkäufen oder Käufen öffentlich ermächtigten Handelsmakler oder eine zur öffentlichen Versteigerung befugte Person zum laufenden Preise erfolgen.</w:t>
      </w:r>
    </w:p>
    <w:p>
      <w:r>
        <w:t xml:space="preserve">(4) </w:t>
      </w:r>
      <w:r>
        <w:rPr>
          <w:rStyle w:val="Satznummer"/>
        </w:rPr>
        <w:t>1</w:t>
      </w:r>
      <w:r>
        <w:t xml:space="preserve">Auf den Verkauf mittels öffentlicher Versteigerung findet die Vorschrift des § 373 Abs. 4 Anwendung. </w:t>
      </w:r>
      <w:r>
        <w:rPr>
          <w:rStyle w:val="Satznummer"/>
        </w:rPr>
        <w:t>2</w:t>
      </w:r>
      <w:r>
        <w:t>Von dem Verkauf oder Kaufe hat der Gläubiger den Schuldner unverzüglich zu benachrichtigen; im Falle der Unterlassung ist er zum Schadensersatze verpflichtet.</w:t>
      </w:r>
    </w:p>
    <w:p>
      <w:pPr>
        <w:pStyle w:val="Heading3"/>
      </w:pPr>
      <w:bookmarkStart w:id="523" w:name="b522"/>
      <w:r>
        <w:t>§ 377</w:t>
      </w:r>
      <w:r>
        <w:t xml:space="preserve"> </w:t>
      </w:r>
      <w:r>
        <w:rPr>
          <w:rStyle w:val="Suchmarke"/>
        </w:rPr>
        <w:t>#377#</w:t>
      </w:r>
      <w:bookmarkEnd w:id="523"/>
    </w:p>
    <w:p>
      <w:r>
        <w:t>(1) Ist der Kauf für beide Teile ein Handelsgeschäft, so hat der Käufer die Ware unverzüglich nach der Ablieferung durch den Verkäufer, soweit dies nach ordnungsmäßigem Geschäftsgange tunlich ist, zu untersuchen und, wenn sich ein Mangel zeigt, dem Verkäufer unverzüglich Anzeige zu machen.</w:t>
      </w:r>
    </w:p>
    <w:p>
      <w:r>
        <w:t>(2) Unterläßt der Käufer die Anzeige, so gilt die Ware als genehmigt, es sei denn, daß es sich um einen Mangel handelt, der bei der Untersuchung nicht erkennbar war.</w:t>
      </w:r>
    </w:p>
    <w:p>
      <w:r>
        <w:t>(3) Zeigt sich später ein solcher Mangel, so muß die Anzeige unverzüglich nach der Entdeckung gemacht werden; anderenfalls gilt die Ware auch in Ansehung dieses Mangels als genehmigt.</w:t>
      </w:r>
    </w:p>
    <w:p>
      <w:r>
        <w:t>(4) Zur Erhaltung der Rechte des Käufers genügt die rechtzeitige Absendung der Anzeige.</w:t>
      </w:r>
    </w:p>
    <w:p>
      <w:r>
        <w:t>(5) Hat der Verkäufer den Mangel arglistig verschwiegen, so kann er sich auf diese Vorschriften nicht berufen.</w:t>
      </w:r>
    </w:p>
    <w:p>
      <w:pPr>
        <w:pStyle w:val="Heading3"/>
      </w:pPr>
      <w:bookmarkStart w:id="524" w:name="b523"/>
      <w:r>
        <w:t>§ 378 (weggefallen)</w:t>
      </w:r>
      <w:r>
        <w:t xml:space="preserve"> </w:t>
      </w:r>
      <w:r>
        <w:rPr>
          <w:rStyle w:val="Suchmarke"/>
        </w:rPr>
        <w:t>#378#</w:t>
      </w:r>
      <w:bookmarkEnd w:id="524"/>
    </w:p>
    <w:p>
      <w:pPr>
        <w:pStyle w:val="Heading3"/>
      </w:pPr>
      <w:bookmarkStart w:id="525" w:name="b524"/>
      <w:r>
        <w:t>§ 379</w:t>
      </w:r>
      <w:r>
        <w:t xml:space="preserve"> </w:t>
      </w:r>
      <w:r>
        <w:rPr>
          <w:rStyle w:val="Suchmarke"/>
        </w:rPr>
        <w:t>#379#</w:t>
      </w:r>
      <w:bookmarkEnd w:id="525"/>
    </w:p>
    <w:p>
      <w:r>
        <w:t>(1) Ist der Kauf für beide Teile ein Handelsgeschäft, so ist der Käufer, wenn er die ihm von einem anderen Orte übersendete Ware beanstandet, verpflichtet, für ihre einstweilige Aufbewahrung zu sorgen.</w:t>
      </w:r>
    </w:p>
    <w:p>
      <w:r>
        <w:t xml:space="preserve">(2) Er kann die Ware, wenn sie dem Verderb ausgesetzt und Gefahr im Verzug ist, unter Beobachtung der Vorschriften des </w:t>
      </w:r>
      <w:hyperlink w:anchor="b518" w:history="1">
        <w:r>
          <w:rPr>
            <w:color w:val="0A3A8C"/>
            <w:u w:val="single"/>
          </w:rPr>
          <w:t xml:space="preserve">§ 373</w:t>
        </w:r>
      </w:hyperlink>
      <w:r>
        <w:t xml:space="preserve"> verkaufen lassen.</w:t>
      </w:r>
    </w:p>
    <w:p>
      <w:pPr>
        <w:pStyle w:val="Heading3"/>
      </w:pPr>
      <w:bookmarkStart w:id="526" w:name="b525"/>
      <w:r>
        <w:t>§ 380</w:t>
      </w:r>
      <w:r>
        <w:t xml:space="preserve"> </w:t>
      </w:r>
      <w:r>
        <w:rPr>
          <w:rStyle w:val="Suchmarke"/>
        </w:rPr>
        <w:t>#380#</w:t>
      </w:r>
      <w:bookmarkEnd w:id="526"/>
    </w:p>
    <w:p>
      <w:r>
        <w:t>(1) Ist der Kaufpreis nach dem Gewichte der Ware zu berechnen, so kommt das Gewicht der Verpackung (Taragewicht) in Abzug, wenn nicht aus dem Vertrag oder dem Handelsgebrauche des Ortes, an welchem der Verkäufer zu erfüllen hat, sich ein anderes ergibt.</w:t>
      </w:r>
    </w:p>
    <w:p>
      <w:r>
        <w:t>(2) Ob und in welcher Höhe das Taragewicht nach einem bestimmten Ansatz oder Verhältnisse statt nach genauer Ausmittelung abzuziehen ist, sowie, ob und wieviel als Gutgewicht zugunsten des Käufers zu berechnen ist oder als Vergütung für schadhafte oder unbrauchbare Teile (Refaktie) gefordert werden kann, bestimmt sich nach dem Vertrag oder dem Handelsgebrauche des Ortes, an welchem der Verkäufer zu erfüllen hat.</w:t>
      </w:r>
    </w:p>
    <w:p>
      <w:pPr>
        <w:pStyle w:val="Heading3"/>
      </w:pPr>
      <w:bookmarkStart w:id="527" w:name="b526"/>
      <w:r>
        <w:t>§ 381</w:t>
      </w:r>
      <w:r>
        <w:t xml:space="preserve"> </w:t>
      </w:r>
      <w:r>
        <w:rPr>
          <w:rStyle w:val="Suchmarke"/>
        </w:rPr>
        <w:t>#381#</w:t>
      </w:r>
      <w:bookmarkEnd w:id="527"/>
    </w:p>
    <w:p>
      <w:r>
        <w:t>(1) Die in diesem Abschnitte für den Kauf von Waren getroffenen Vorschriften gelten auch für den Kauf von Wertpapieren.</w:t>
      </w:r>
    </w:p>
    <w:p>
      <w:r>
        <w:t>(2) Sie finden auch auf einen Vertrag Anwendung, der die Lieferung herzustellender oder zu erzeugender beweglicher Sachen zum Gegenstand hat.</w:t>
      </w:r>
    </w:p>
    <w:p>
      <w:pPr>
        <w:pStyle w:val="Heading3"/>
      </w:pPr>
      <w:bookmarkStart w:id="528" w:name="b527"/>
      <w:r>
        <w:t>§ 382 (weggefallen)</w:t>
      </w:r>
      <w:r>
        <w:t xml:space="preserve"> </w:t>
      </w:r>
      <w:r>
        <w:rPr>
          <w:rStyle w:val="Suchmarke"/>
        </w:rPr>
        <w:t>#382#</w:t>
      </w:r>
      <w:bookmarkEnd w:id="528"/>
    </w:p>
    <w:p>
      <w:pPr>
        <w:pStyle w:val="Heading2"/>
      </w:pPr>
      <w:bookmarkStart w:id="529" w:name="b528"/>
      <w:r>
        <w:t>Dritter Abschnitt Kommissionsgeschäft</w:t>
      </w:r>
      <w:bookmarkEnd w:id="529"/>
    </w:p>
    <w:p>
      <w:pPr>
        <w:pStyle w:val="Heading3"/>
      </w:pPr>
      <w:bookmarkStart w:id="530" w:name="b529"/>
      <w:r>
        <w:t>§ 383</w:t>
      </w:r>
      <w:r>
        <w:t xml:space="preserve"> </w:t>
      </w:r>
      <w:r>
        <w:rPr>
          <w:rStyle w:val="Suchmarke"/>
        </w:rPr>
        <w:t>#383#</w:t>
      </w:r>
      <w:bookmarkEnd w:id="530"/>
    </w:p>
    <w:p>
      <w:r>
        <w:t>(1) Kommissionär ist, wer es gewerbsmäßig übernimmt, Waren oder Wertpapiere für Rechnung eines anderen (des Kommittenten) in eigenem Namen zu kaufen oder zu verkaufen.</w:t>
      </w:r>
    </w:p>
    <w:p>
      <w:r>
        <w:t xml:space="preserve">(2) </w:t>
      </w:r>
      <w:r>
        <w:rPr>
          <w:rStyle w:val="Satznummer"/>
        </w:rPr>
        <w:t>1</w:t>
      </w:r>
      <w:r>
        <w:t xml:space="preserve">Die Vorschriften dieses Abschnittes finden auch Anwendung, wenn das Unternehmen des Kommissionärs nach Art oder Umfang einen in kaufmännischer Weise eingerichteten Geschäftsbetrieb nicht erfordert und die Firma des Unternehmens nicht nach § 2 in das Handelsregister eingetragen ist. </w:t>
      </w:r>
      <w:r>
        <w:rPr>
          <w:rStyle w:val="Satznummer"/>
        </w:rPr>
        <w:t>2</w:t>
      </w:r>
      <w:r>
        <w:t>In diesem Fall finden in Ansehung des Kommissionsgeschäfts auch die Vorschriften des Ersten Abschnittes des Vierten Buches mit Ausnahme der §§ 348 bis 350 Anwendung.</w:t>
      </w:r>
    </w:p>
    <w:p>
      <w:pPr>
        <w:pStyle w:val="Heading3"/>
      </w:pPr>
      <w:bookmarkStart w:id="531" w:name="b530"/>
      <w:r>
        <w:t>§ 384</w:t>
      </w:r>
      <w:r>
        <w:t xml:space="preserve"> </w:t>
      </w:r>
      <w:r>
        <w:rPr>
          <w:rStyle w:val="Suchmarke"/>
        </w:rPr>
        <w:t>#384#</w:t>
      </w:r>
      <w:bookmarkEnd w:id="531"/>
    </w:p>
    <w:p>
      <w:r>
        <w:t>(1) Der Kommissionär ist verpflichtet, das übernommene Geschäft mit der Sorgfalt eines ordentlichen Kaufmanns auszuführen; er hat hierbei das Interesse des Kommittenten wahrzunehmen und dessen Weisungen zu befolgen.</w:t>
      </w:r>
    </w:p>
    <w:p>
      <w:r>
        <w:t>(2) Er hat dem Kommittenten die erforderlichen Nachrichten zu geben, insbesondere von der Ausführung der Kommission unverzüglich Anzeige zu machen; er ist verpflichtet, dem Kommittenten über das Geschäft Rechenschaft abzulegen und ihm dasjenige herauszugeben, was er aus der Geschäftsbesorgung erlangt hat.</w:t>
      </w:r>
    </w:p>
    <w:p>
      <w:r>
        <w:t>(3) Der Kommissionär haftet dem Kommittenten für die Erfüllung des Geschäfts, wenn er ihm nicht zugleich mit der Anzeige von der Ausführung der Kommission den Dritten namhaft macht, mit dem er das Geschäft abgeschlossen hat.</w:t>
      </w:r>
    </w:p>
    <w:p>
      <w:pPr>
        <w:pStyle w:val="Heading3"/>
      </w:pPr>
      <w:bookmarkStart w:id="532" w:name="b531"/>
      <w:r>
        <w:t>§ 385</w:t>
      </w:r>
      <w:r>
        <w:t xml:space="preserve"> </w:t>
      </w:r>
      <w:r>
        <w:rPr>
          <w:rStyle w:val="Suchmarke"/>
        </w:rPr>
        <w:t>#385#</w:t>
      </w:r>
      <w:bookmarkEnd w:id="532"/>
    </w:p>
    <w:p>
      <w:r>
        <w:t>(1) Handelt der Kommissionär nicht gemäß den Weisungen des Kommittenten, so ist er diesem zum Ersatze des Schadens verpflichtet; der Kommittent braucht das Geschäft nicht für seine Rechnung gelten zu lassen.</w:t>
      </w:r>
    </w:p>
    <w:p>
      <w:r>
        <w:t>(2) Die Vorschriften des § 665 des Bürgerlichen Gesetzbuchs bleiben unberührt.</w:t>
      </w:r>
    </w:p>
    <w:p>
      <w:pPr>
        <w:pStyle w:val="Heading3"/>
      </w:pPr>
      <w:bookmarkStart w:id="533" w:name="b532"/>
      <w:r>
        <w:t>§ 386</w:t>
      </w:r>
      <w:r>
        <w:t xml:space="preserve"> </w:t>
      </w:r>
      <w:r>
        <w:rPr>
          <w:rStyle w:val="Suchmarke"/>
        </w:rPr>
        <w:t>#386#</w:t>
      </w:r>
      <w:bookmarkEnd w:id="533"/>
    </w:p>
    <w:p>
      <w:r>
        <w:t>(1) Hat der Kommissionär unter dem ihm gesetzten Preise verkauft oder hat er den ihm für den Einkauf gesetzten Preis überschritten, so muß der Kommittent, falls er das Geschäft als nicht für seine Rechnung abgeschlossen zurückweisen will, dies unverzüglich auf die Anzeige von der Ausführung des Geschäfts erklären; anderenfalls gilt die Abweichung von der Preisbestimmung als genehmigt.</w:t>
      </w:r>
    </w:p>
    <w:p>
      <w:r>
        <w:t xml:space="preserve">(2) </w:t>
      </w:r>
      <w:r>
        <w:rPr>
          <w:rStyle w:val="Satznummer"/>
        </w:rPr>
        <w:t>1</w:t>
      </w:r>
      <w:r>
        <w:t xml:space="preserve">Erbietet sich der Kommissionär zugleich mit der Anzeige von der Ausführung des Geschäfts zur Deckung des Preisunterschieds, so ist der Kommittent zur Zurückweisung nicht berechtigt. </w:t>
      </w:r>
      <w:r>
        <w:rPr>
          <w:rStyle w:val="Satznummer"/>
        </w:rPr>
        <w:t>2</w:t>
      </w:r>
      <w:r>
        <w:t>Der Anspruch des Kommittenten auf den Ersatz eines den Preisunterschied übersteigenden Schadens bleibt unberührt.</w:t>
      </w:r>
    </w:p>
    <w:p>
      <w:pPr>
        <w:pStyle w:val="Heading3"/>
      </w:pPr>
      <w:bookmarkStart w:id="534" w:name="b533"/>
      <w:r>
        <w:t>§ 387</w:t>
      </w:r>
      <w:r>
        <w:t xml:space="preserve"> </w:t>
      </w:r>
      <w:r>
        <w:rPr>
          <w:rStyle w:val="Suchmarke"/>
        </w:rPr>
        <w:t>#387#</w:t>
      </w:r>
      <w:bookmarkEnd w:id="534"/>
    </w:p>
    <w:p>
      <w:r>
        <w:t>(1) Schließt der Kommissionär zu vorteilhafteren Bedingungen ab, als sie ihm von dem Kommittenten gesetzt worden sind, so kommt dies dem Kommittenten zustatten.</w:t>
      </w:r>
    </w:p>
    <w:p>
      <w:r>
        <w:t>(2) Dies gilt insbesondere, wenn der Preis, für welchen der Kommissionär verkauft, den von dem Kommittenten bestimmten niedrigsten Preis übersteigt oder wenn der Preis, für welchen er einkauft, den von dem Kommittenten bestimmten höchsten Preis nicht erreicht.</w:t>
      </w:r>
    </w:p>
    <w:p>
      <w:pPr>
        <w:pStyle w:val="Heading3"/>
      </w:pPr>
      <w:bookmarkStart w:id="535" w:name="b534"/>
      <w:r>
        <w:t>§ 388</w:t>
      </w:r>
      <w:r>
        <w:t xml:space="preserve"> </w:t>
      </w:r>
      <w:r>
        <w:rPr>
          <w:rStyle w:val="Suchmarke"/>
        </w:rPr>
        <w:t>#388#</w:t>
      </w:r>
      <w:bookmarkEnd w:id="535"/>
    </w:p>
    <w:p>
      <w:r>
        <w:t>(1) Befindet sich das Gut, welches dem Kommissionär zugesendet ist, bei der Ablieferung in einem beschädigten oder mangelhaften Zustande, der äußerlich erkennbar ist, so hat der Kommissionär die Rechte gegen den Frachtführer oder Schiffer zu wahren, für den Beweis des Zustandes zu sorgen und dem Kommittenten unverzüglich Nachricht zu geben; im Falle der Unterlassung ist er zum Schadensersatze verpflichtet.</w:t>
      </w:r>
    </w:p>
    <w:p>
      <w:r>
        <w:t xml:space="preserve">(2) Ist das Gut dem Verderb ausgesetzt oder treten später Veränderungen an dem Gute ein, die dessen Entwertung befürchten lassen, und ist keine Zeit vorhanden, die Verfügung des Kommittenten einzuholen, oder ist der Kommittent in der Erteilung der Verfügung säumig, so kann der Kommissionär den Verkauf des Gutes nach Maßgabe der Vorschriften des </w:t>
      </w:r>
      <w:hyperlink w:anchor="b518" w:history="1">
        <w:r>
          <w:rPr>
            <w:color w:val="0A3A8C"/>
            <w:u w:val="single"/>
          </w:rPr>
          <w:t xml:space="preserve">§ 373</w:t>
        </w:r>
      </w:hyperlink>
      <w:r>
        <w:t xml:space="preserve"> bewirken.</w:t>
      </w:r>
    </w:p>
    <w:p>
      <w:pPr>
        <w:pStyle w:val="Heading3"/>
      </w:pPr>
      <w:bookmarkStart w:id="536" w:name="b535"/>
      <w:r>
        <w:t>§ 389</w:t>
      </w:r>
      <w:r>
        <w:t xml:space="preserve"> </w:t>
      </w:r>
      <w:r>
        <w:rPr>
          <w:rStyle w:val="Suchmarke"/>
        </w:rPr>
        <w:t>#389#</w:t>
      </w:r>
      <w:bookmarkEnd w:id="536"/>
    </w:p>
    <w:p>
      <w:r>
        <w:t>Unterläßt der Kommittent über das Gut zu verfügen, obwohl er dazu nach Lage der Sache verpflichtet ist, so hat der Kommissionär die nach § 373 dem Verkäufer zustehenden Rechte.</w:t>
      </w:r>
    </w:p>
    <w:p>
      <w:pPr>
        <w:pStyle w:val="Heading3"/>
      </w:pPr>
      <w:bookmarkStart w:id="537" w:name="b536"/>
      <w:r>
        <w:t>§ 390</w:t>
      </w:r>
      <w:r>
        <w:t xml:space="preserve"> </w:t>
      </w:r>
      <w:r>
        <w:rPr>
          <w:rStyle w:val="Suchmarke"/>
        </w:rPr>
        <w:t>#390#</w:t>
      </w:r>
      <w:bookmarkEnd w:id="537"/>
    </w:p>
    <w:p>
      <w:r>
        <w:t>(1) Der Kommissionär ist für den Verlust und die Beschädigung des in seiner Verwahrung befindlichen Gutes verantwortlich, es sei denn, daß der Verlust oder die Beschädigung auf Umständen beruht, die durch die Sorgfalt eines ordentlichen Kaufmanns nicht abgewendet werden konnten.</w:t>
      </w:r>
    </w:p>
    <w:p>
      <w:r>
        <w:t>(2) Der Kommissionär ist wegen der Unterlassung der Versicherung des Gutes nur verantwortlich, wenn er von dem Kommittenten angewiesen war, die Versicherung zu bewirken.</w:t>
      </w:r>
    </w:p>
    <w:p>
      <w:pPr>
        <w:pStyle w:val="Heading3"/>
      </w:pPr>
      <w:bookmarkStart w:id="538" w:name="b537"/>
      <w:r>
        <w:t>§ 391</w:t>
      </w:r>
      <w:r>
        <w:t xml:space="preserve"> </w:t>
      </w:r>
      <w:r>
        <w:rPr>
          <w:rStyle w:val="Suchmarke"/>
        </w:rPr>
        <w:t>#391#</w:t>
      </w:r>
      <w:bookmarkEnd w:id="538"/>
    </w:p>
    <w:p>
      <w:r>
        <w:rPr>
          <w:rStyle w:val="Satznummer"/>
        </w:rPr>
        <w:t>1</w:t>
      </w:r>
      <w:r>
        <w:t xml:space="preserve">Ist eine Einkaufskommission erteilt, die für beide Teile ein Handelsgeschäft ist, so finden in bezug auf die Verpflichtung des Kommittenten, das Gut zu untersuchen und dem Kommissionär von den entdeckten Mängeln Anzeige zu machen, sowie in bezug auf die Sorge für die Aufbewahrung des beanstandeten Gutes und auf den Verkauf bei drohendem Verderbe die für den Käufer geltenden Vorschriften der </w:t>
      </w:r>
      <w:hyperlink w:anchor="b522" w:history="1">
        <w:r>
          <w:rPr>
            <w:color w:val="0A3A8C"/>
            <w:u w:val="single"/>
          </w:rPr>
          <w:t xml:space="preserve">§§ 377</w:t>
        </w:r>
      </w:hyperlink>
      <w:r>
        <w:t xml:space="preserve"> bis </w:t>
      </w:r>
      <w:hyperlink w:anchor="b524" w:history="1">
        <w:r>
          <w:rPr>
            <w:color w:val="0A3A8C"/>
            <w:u w:val="single"/>
          </w:rPr>
          <w:t xml:space="preserve">379</w:t>
        </w:r>
      </w:hyperlink>
      <w:r>
        <w:t xml:space="preserve"> entsprechende Anwendung. </w:t>
      </w:r>
      <w:r>
        <w:rPr>
          <w:rStyle w:val="Satznummer"/>
        </w:rPr>
        <w:t>2</w:t>
      </w:r>
      <w:r>
        <w:t>Der Anspruch des Kommittenten auf Abtretung der Rechte, die dem Kommissionär gegen den Dritten zustehen, von welchem er das Gut für Rechnung des Kommittenten gekauft hat, wird durch eine verspätete Anzeige des Mangels nicht berührt.</w:t>
      </w:r>
    </w:p>
    <w:p>
      <w:pPr>
        <w:pStyle w:val="Heading3"/>
      </w:pPr>
      <w:bookmarkStart w:id="539" w:name="b538"/>
      <w:r>
        <w:t>§ 392</w:t>
      </w:r>
      <w:r>
        <w:t xml:space="preserve"> </w:t>
      </w:r>
      <w:r>
        <w:rPr>
          <w:rStyle w:val="Suchmarke"/>
        </w:rPr>
        <w:t>#392#</w:t>
      </w:r>
      <w:bookmarkEnd w:id="539"/>
    </w:p>
    <w:p>
      <w:r>
        <w:t>(1) Forderungen aus einem Geschäfte, das der Kommissionär abgeschlossen hat, kann der Kommittent dem Schuldner gegenüber erst nach der Abtretung geltend machen.</w:t>
      </w:r>
    </w:p>
    <w:p>
      <w:r>
        <w:t>(2) Jedoch gelten solche Forderungen, auch wenn sie nicht abgetreten sind, im Verhältnisse zwischen dem Kommittenten und dem Kommissionär oder dessen Gläubigern als Forderungen des Kommittenten.</w:t>
      </w:r>
    </w:p>
    <w:p>
      <w:pPr>
        <w:pStyle w:val="Heading3"/>
      </w:pPr>
      <w:bookmarkStart w:id="540" w:name="b539"/>
      <w:r>
        <w:t>§ 393</w:t>
      </w:r>
      <w:r>
        <w:t xml:space="preserve"> </w:t>
      </w:r>
      <w:r>
        <w:rPr>
          <w:rStyle w:val="Suchmarke"/>
        </w:rPr>
        <w:t>#393#</w:t>
      </w:r>
      <w:bookmarkEnd w:id="540"/>
    </w:p>
    <w:p>
      <w:r>
        <w:t>(1) Wird von dem Kommissionär ohne Zustimmung des Kommittenten einem Dritten ein Vorschuß geleistet oder Kredit gewährt, so handelt der Kommissionär auf eigene Gefahr.</w:t>
      </w:r>
    </w:p>
    <w:p>
      <w:r>
        <w:t>(2) Insoweit jedoch der Handelsgebrauch am Orte des Geschäfts die Stundung des Kaufpreises mit sich bringt, ist in Ermangelung einer anderen Bestimmung des Kommittenten auch der Kommissionär dazu berechtigt.</w:t>
      </w:r>
    </w:p>
    <w:p>
      <w:r>
        <w:t xml:space="preserve">(3) </w:t>
      </w:r>
      <w:r>
        <w:rPr>
          <w:rStyle w:val="Satznummer"/>
        </w:rPr>
        <w:t>1</w:t>
      </w:r>
      <w:r>
        <w:t xml:space="preserve">Verkauft der Kommissionär unbefugt auf Kredit, so ist er verpflichtet, dem Kommittenten sofort als Schuldner des Kaufpreises die Zahlung zu leisten. </w:t>
      </w:r>
      <w:r>
        <w:rPr>
          <w:rStyle w:val="Satznummer"/>
        </w:rPr>
        <w:t>2</w:t>
      </w:r>
      <w:r>
        <w:t xml:space="preserve">Wäre beim Verkaufe gegen bar der Preis geringer gewesen, so hat der Kommissionär nur den geringeren Preis und, wenn dieser niedriger ist als der ihm gesetzte Preis, auch den Unterschied nach </w:t>
      </w:r>
      <w:hyperlink w:anchor="b532" w:history="1">
        <w:r>
          <w:rPr>
            <w:color w:val="0A3A8C"/>
            <w:u w:val="single"/>
          </w:rPr>
          <w:t xml:space="preserve">§ 386</w:t>
        </w:r>
      </w:hyperlink>
      <w:r>
        <w:t xml:space="preserve"> zu vergüten.</w:t>
      </w:r>
    </w:p>
    <w:p>
      <w:pPr>
        <w:pStyle w:val="Heading3"/>
      </w:pPr>
      <w:bookmarkStart w:id="541" w:name="b540"/>
      <w:r>
        <w:t>§ 394</w:t>
      </w:r>
      <w:r>
        <w:t xml:space="preserve"> </w:t>
      </w:r>
      <w:r>
        <w:rPr>
          <w:rStyle w:val="Suchmarke"/>
        </w:rPr>
        <w:t>#394#</w:t>
      </w:r>
      <w:bookmarkEnd w:id="541"/>
    </w:p>
    <w:p>
      <w:r>
        <w:t>(1) Der Kommissionär hat für die Erfüllung der Verbindlichkeit des Dritten, mit dem er das Geschäft für Rechnung des Kommittenten abschließt, einzustehen, wenn dies von ihm übernommen oder am Orte seiner Niederlassung Handelsgebrauch ist.</w:t>
      </w:r>
    </w:p>
    <w:p>
      <w:r>
        <w:t xml:space="preserve">(2) </w:t>
      </w:r>
      <w:r>
        <w:rPr>
          <w:rStyle w:val="Satznummer"/>
        </w:rPr>
        <w:t>1</w:t>
      </w:r>
      <w:r>
        <w:t xml:space="preserve">Der Kommissionär, der für den Dritten einzustehen hat, ist dem Kommittenten für die Erfüllung im Zeitpunkte des Verfalls unmittelbar insoweit verhaftet, als die Erfüllung aus dem Vertragsverhältnisse gefordert werden kann. </w:t>
      </w:r>
      <w:r>
        <w:rPr>
          <w:rStyle w:val="Satznummer"/>
        </w:rPr>
        <w:t>2</w:t>
      </w:r>
      <w:r>
        <w:t>Er kann eine besondere Vergütung (Delkredereprovision) beanspruchen.</w:t>
      </w:r>
    </w:p>
    <w:p>
      <w:pPr>
        <w:pStyle w:val="Heading3"/>
      </w:pPr>
      <w:bookmarkStart w:id="542" w:name="b541"/>
      <w:r>
        <w:t>§ 395</w:t>
      </w:r>
      <w:r>
        <w:t xml:space="preserve"> </w:t>
      </w:r>
      <w:r>
        <w:rPr>
          <w:rStyle w:val="Suchmarke"/>
        </w:rPr>
        <w:t>#395#</w:t>
      </w:r>
      <w:bookmarkEnd w:id="542"/>
    </w:p>
    <w:p>
      <w:r>
        <w:t>Ein Kommissionär, der den Ankauf eines Wechsels übernimmt, ist verpflichtet, den Wechsel, wenn er ihn indossiert, in üblicher Weise und ohne Vorbehalt zu indossieren.</w:t>
      </w:r>
    </w:p>
    <w:p>
      <w:pPr>
        <w:pStyle w:val="Heading3"/>
      </w:pPr>
      <w:bookmarkStart w:id="543" w:name="b542"/>
      <w:r>
        <w:t>§ 396</w:t>
      </w:r>
      <w:r>
        <w:t xml:space="preserve"> </w:t>
      </w:r>
      <w:r>
        <w:rPr>
          <w:rStyle w:val="Suchmarke"/>
        </w:rPr>
        <w:t>#396#</w:t>
      </w:r>
      <w:bookmarkEnd w:id="543"/>
    </w:p>
    <w:p>
      <w:r>
        <w:t xml:space="preserve">(1) </w:t>
      </w:r>
      <w:r>
        <w:rPr>
          <w:rStyle w:val="Satznummer"/>
        </w:rPr>
        <w:t>1</w:t>
      </w:r>
      <w:r>
        <w:t xml:space="preserve">Der Kommissionär kann die Provision fordern, wenn das Geschäft zur Ausführung gekommen ist. </w:t>
      </w:r>
      <w:r>
        <w:rPr>
          <w:rStyle w:val="Satznummer"/>
        </w:rPr>
        <w:t>2</w:t>
      </w:r>
      <w:r>
        <w:t>Ist das Geschäft nicht zur Ausführung gekommen, so hat er gleichwohl den Anspruch auf die Auslieferungsprovision, sofern eine solche ortsgebräuchlich ist; auch kann er die Provision verlangen, wenn die Ausführung des von ihm abgeschlossenen Geschäfts nur aus einem in der Person des Kommittenten liegenden Grunde unterblieben ist.</w:t>
      </w:r>
    </w:p>
    <w:p>
      <w:r>
        <w:t>(2) Zu dem von dem Kommittenten für Aufwendungen des Kommissionärs nach den §§ 670 und 675 des Bürgerlichen Gesetzbuchs zu leistenden Ersatze gehört auch die Vergütung für die Benutzung der Lagerräume und der Beförderungsmittel des Kommissionärs.</w:t>
      </w:r>
    </w:p>
    <w:p>
      <w:pPr>
        <w:pStyle w:val="Heading3"/>
      </w:pPr>
      <w:bookmarkStart w:id="544" w:name="b543"/>
      <w:r>
        <w:t>§ 397 Pfandrecht des Kommissionärs</w:t>
      </w:r>
      <w:r>
        <w:t xml:space="preserve"> </w:t>
      </w:r>
      <w:r>
        <w:rPr>
          <w:rStyle w:val="Suchmarke"/>
        </w:rPr>
        <w:t>#397#</w:t>
      </w:r>
      <w:bookmarkEnd w:id="544"/>
    </w:p>
    <w:p>
      <w:r>
        <w:rPr>
          <w:rStyle w:val="Satznummer"/>
        </w:rPr>
        <w:t>1</w:t>
      </w:r>
      <w:r>
        <w:t xml:space="preserve">Der Kommissionär hat wegen der auf das Gut verwendeten Kosten, der Provision, der auf das Gut gegebenen Vorschüsse und Darlehen sowie der mit Rücksicht auf das Gut gezeichneten Wechsel oder in anderer Weise eingegangenen Verbindlichkeiten ein Pfandrecht an dem Kommissionsgut des Kommittenten oder eines Dritten, der dem Kauf oder Verkauf des Gutes zugestimmt hat. </w:t>
      </w:r>
      <w:r>
        <w:rPr>
          <w:rStyle w:val="Satznummer"/>
        </w:rPr>
        <w:t>2</w:t>
      </w:r>
      <w:r>
        <w:t xml:space="preserve">An dem Gut des Kommittenten hat der Kommissionär auch ein Pfandrecht wegen aller Forderungen aus laufender Rechnung in Kommissionsgeschäften. </w:t>
      </w:r>
      <w:r>
        <w:rPr>
          <w:rStyle w:val="Satznummer"/>
        </w:rPr>
        <w:t>3</w:t>
      </w:r>
      <w:r>
        <w:t>Das Pfandrecht nach den Sätzen 1 und 2 besteht jedoch nur an Kommissionsgut, das der Kommissionär im Besitz hat oder über das er mittels Konnossements, Ladescheins oder Lagerscheins verfügen kann.</w:t>
      </w:r>
    </w:p>
    <w:p>
      <w:pPr>
        <w:pStyle w:val="Heading3"/>
      </w:pPr>
      <w:bookmarkStart w:id="545" w:name="b544"/>
      <w:r>
        <w:t>§ 398</w:t>
      </w:r>
      <w:r>
        <w:t xml:space="preserve"> </w:t>
      </w:r>
      <w:r>
        <w:rPr>
          <w:rStyle w:val="Suchmarke"/>
        </w:rPr>
        <w:t>#398#</w:t>
      </w:r>
      <w:bookmarkEnd w:id="545"/>
    </w:p>
    <w:p>
      <w:r>
        <w:t xml:space="preserve">Der Kommissionär kann sich, auch wenn er Eigentümer des Kommissionsguts ist, für die in </w:t>
      </w:r>
      <w:hyperlink w:anchor="b543" w:history="1">
        <w:r>
          <w:rPr>
            <w:color w:val="0A3A8C"/>
            <w:u w:val="single"/>
          </w:rPr>
          <w:t xml:space="preserve">§ 397</w:t>
        </w:r>
      </w:hyperlink>
      <w:r>
        <w:t xml:space="preserve"> bezeichneten Ansprüche nach Maßgabe der für das Pfandrecht geltenden Vorschriften aus dem Gute befriedigen.</w:t>
      </w:r>
    </w:p>
    <w:p>
      <w:pPr>
        <w:pStyle w:val="Heading3"/>
      </w:pPr>
      <w:bookmarkStart w:id="546" w:name="b545"/>
      <w:r>
        <w:t>§ 399</w:t>
      </w:r>
      <w:r>
        <w:t xml:space="preserve"> </w:t>
      </w:r>
      <w:r>
        <w:rPr>
          <w:rStyle w:val="Suchmarke"/>
        </w:rPr>
        <w:t>#399#</w:t>
      </w:r>
      <w:bookmarkEnd w:id="546"/>
    </w:p>
    <w:p>
      <w:r>
        <w:t xml:space="preserve">Aus den Forderungen, welche durch das für Rechnung des Kommittenten geschlossene Geschäft begründet sind, kann sich der Kommissionär für die in </w:t>
      </w:r>
      <w:hyperlink w:anchor="b543" w:history="1">
        <w:r>
          <w:rPr>
            <w:color w:val="0A3A8C"/>
            <w:u w:val="single"/>
          </w:rPr>
          <w:t xml:space="preserve">§ 397</w:t>
        </w:r>
      </w:hyperlink>
      <w:r>
        <w:t xml:space="preserve"> bezeichneten Ansprüche vor dem Kommittenten und dessen Gläubigern befriedigen.</w:t>
      </w:r>
    </w:p>
    <w:p>
      <w:pPr>
        <w:pStyle w:val="Heading3"/>
      </w:pPr>
      <w:bookmarkStart w:id="547" w:name="b546"/>
      <w:r>
        <w:t>§ 400</w:t>
      </w:r>
      <w:r>
        <w:t xml:space="preserve"> </w:t>
      </w:r>
      <w:r>
        <w:rPr>
          <w:rStyle w:val="Suchmarke"/>
        </w:rPr>
        <w:t>#400#</w:t>
      </w:r>
      <w:bookmarkEnd w:id="547"/>
    </w:p>
    <w:p>
      <w:r>
        <w:t>(1) Die Kommission zum Einkauf oder zum Verkaufe von Waren, die einen Börsen- oder Marktpreis haben, sowie von Wertpapieren, bei denen ein Börsen- oder Marktpreis amtlich festgestellt wird, kann, wenn der Kommittent nicht ein anderes bestimmt hat, von dem Kommissionär dadurch ausgeführt werden, daß er das Gut, welches er einkaufen soll, selbst als Verkäufer liefert oder das Gut, welches er verkaufen soll, selbst als Käufer übernimmt.</w:t>
      </w:r>
    </w:p>
    <w:p>
      <w:r>
        <w:t xml:space="preserve">(2) </w:t>
      </w:r>
      <w:r>
        <w:rPr>
          <w:rStyle w:val="Satznummer"/>
        </w:rPr>
        <w:t>1</w:t>
      </w:r>
      <w:r>
        <w:t xml:space="preserve">Im Falle einer solchen Ausführung der Kommission beschränkt sich die Pflicht des Kommissionärs, Rechenschaft über die Abschließung des Kaufes oder Verkaufs abzulegen, auf den Nachweis, daß bei dem berechneten Preise der zur Zeit der Ausführung der Kommission bestehende Börsen- oder Marktpreis eingehalten ist. </w:t>
      </w:r>
      <w:r>
        <w:rPr>
          <w:rStyle w:val="Satznummer"/>
        </w:rPr>
        <w:t>2</w:t>
      </w:r>
      <w:r>
        <w:t>Als Zeit der Ausführung gilt der Zeitpunkt, in welchem der Kommissionär die Anzeige von der Ausführung zur Absendung an den Kommittenten abgegeben hat.</w:t>
      </w:r>
    </w:p>
    <w:p>
      <w:r>
        <w:t>(3) Ist bei einer Kommission, die während der Börsen- oder Marktzeit auszuführen war, die Ausführungsanzeige erst nach dem Schlusse der Börse oder des Marktes zur Absendung abgegeben, so darf der berechnete Preis für den Kommittenten nicht ungünstiger sein als der Preis, der am Schlusse der Börse oder des Marktes bestand.</w:t>
      </w:r>
    </w:p>
    <w:p>
      <w:r>
        <w:t>(4) Bei einer Kommission, die zu einem bestimmten Kurse (erster Kurs, Mittelkurs, letzter Kurs) ausgeführt werden soll, ist der Kommissionär ohne Rücksicht auf den Zeitpunkt der Absendung der Ausführungsanzeige berechtigt und verpflichtet, diesen Kurs dem Kommittenten in Rechnung zu stellen.</w:t>
      </w:r>
    </w:p>
    <w:p>
      <w:r>
        <w:t>(5) Bei Wertpapieren und Waren, für welche der Börsen- oder Marktpreis amtlich festgestellt wird, kann der Kommissionär im Falle der Ausführung der Kommission durch Selbsteintritt dem Kommittenten keinen ungünstigeren Preis als den amtlich festgestellten in Rechnung stellen.</w:t>
      </w:r>
    </w:p>
    <w:p>
      <w:pPr>
        <w:pStyle w:val="Heading3"/>
      </w:pPr>
      <w:bookmarkStart w:id="548" w:name="b547"/>
      <w:r>
        <w:t>§ 401</w:t>
      </w:r>
      <w:r>
        <w:t xml:space="preserve"> </w:t>
      </w:r>
      <w:r>
        <w:rPr>
          <w:rStyle w:val="Suchmarke"/>
        </w:rPr>
        <w:t>#401#</w:t>
      </w:r>
      <w:bookmarkEnd w:id="548"/>
    </w:p>
    <w:p>
      <w:r>
        <w:t xml:space="preserve">(1) Auch im Falle der Ausführung der Kommission durch Selbsteintritt hat der Kommissionär, wenn er bei Anwendung pflichtmäßiger Sorgfalt die Kommission zu einem günstigeren als dem nach </w:t>
      </w:r>
      <w:hyperlink w:anchor="b546" w:history="1">
        <w:r>
          <w:rPr>
            <w:color w:val="0A3A8C"/>
            <w:u w:val="single"/>
          </w:rPr>
          <w:t xml:space="preserve">§ 400</w:t>
        </w:r>
      </w:hyperlink>
      <w:r>
        <w:t xml:space="preserve"> sich ergebenden Preise ausführen konnte, dem Kommittenten den günstigeren Preis zu berechnen.</w:t>
      </w:r>
    </w:p>
    <w:p>
      <w:r>
        <w:t>(2) Hat der Kommissionär vor der Absendung der Ausführungsanzeige aus Anlaß der erteilten Kommission an der Börse oder am Markte ein Geschäft mit einem Dritten abgeschlossen, so darf er dem Kommittenten keinen ungünstigeren als den hierbei vereinbarten Preis berechnen.</w:t>
      </w:r>
    </w:p>
    <w:p>
      <w:pPr>
        <w:pStyle w:val="Heading3"/>
      </w:pPr>
      <w:bookmarkStart w:id="549" w:name="b548"/>
      <w:r>
        <w:t>§ 402</w:t>
      </w:r>
      <w:r>
        <w:t xml:space="preserve"> </w:t>
      </w:r>
      <w:r>
        <w:rPr>
          <w:rStyle w:val="Suchmarke"/>
        </w:rPr>
        <w:t>#402#</w:t>
      </w:r>
      <w:bookmarkEnd w:id="549"/>
    </w:p>
    <w:p>
      <w:r>
        <w:t xml:space="preserve">Die Vorschriften des </w:t>
      </w:r>
      <w:hyperlink w:anchor="b546" w:history="1">
        <w:r>
          <w:rPr>
            <w:color w:val="0A3A8C"/>
            <w:u w:val="single"/>
          </w:rPr>
          <w:t xml:space="preserve">§ 400</w:t>
        </w:r>
      </w:hyperlink>
      <w:r>
        <w:t xml:space="preserve"> Abs. 2 bis 5 und des </w:t>
      </w:r>
      <w:hyperlink w:anchor="b547" w:history="1">
        <w:r>
          <w:rPr>
            <w:color w:val="0A3A8C"/>
            <w:u w:val="single"/>
          </w:rPr>
          <w:t xml:space="preserve">§ 401</w:t>
        </w:r>
      </w:hyperlink>
      <w:r>
        <w:t xml:space="preserve"> können nicht durch Vertrag zum Nachteile des Kommittenten abgeändert werden.</w:t>
      </w:r>
    </w:p>
    <w:p>
      <w:pPr>
        <w:pStyle w:val="Heading3"/>
      </w:pPr>
      <w:bookmarkStart w:id="550" w:name="b549"/>
      <w:r>
        <w:t>§ 403</w:t>
      </w:r>
      <w:r>
        <w:t xml:space="preserve"> </w:t>
      </w:r>
      <w:r>
        <w:rPr>
          <w:rStyle w:val="Suchmarke"/>
        </w:rPr>
        <w:t>#403#</w:t>
      </w:r>
      <w:bookmarkEnd w:id="550"/>
    </w:p>
    <w:p>
      <w:r>
        <w:t>Der Kommissionär, der das Gut selbst als Verkäufer liefert oder als Käufer übernimmt, ist zu der gewöhnlichen Provision berechtigt und kann die bei Kommissionsgeschäften sonst regelmäßig vorkommenden Kosten berechnen.</w:t>
      </w:r>
    </w:p>
    <w:p>
      <w:pPr>
        <w:pStyle w:val="Heading3"/>
      </w:pPr>
      <w:bookmarkStart w:id="551" w:name="b550"/>
      <w:r>
        <w:t>§ 404</w:t>
      </w:r>
      <w:r>
        <w:t xml:space="preserve"> </w:t>
      </w:r>
      <w:r>
        <w:rPr>
          <w:rStyle w:val="Suchmarke"/>
        </w:rPr>
        <w:t>#404#</w:t>
      </w:r>
      <w:bookmarkEnd w:id="551"/>
    </w:p>
    <w:p>
      <w:r>
        <w:t xml:space="preserve">Die Vorschriften der </w:t>
      </w:r>
      <w:hyperlink w:anchor="b543" w:history="1">
        <w:r>
          <w:rPr>
            <w:color w:val="0A3A8C"/>
            <w:u w:val="single"/>
          </w:rPr>
          <w:t xml:space="preserve">§§ 397</w:t>
        </w:r>
      </w:hyperlink>
      <w:r>
        <w:t xml:space="preserve"> und </w:t>
      </w:r>
      <w:hyperlink w:anchor="b544" w:history="1">
        <w:r>
          <w:rPr>
            <w:color w:val="0A3A8C"/>
            <w:u w:val="single"/>
          </w:rPr>
          <w:t xml:space="preserve">398</w:t>
        </w:r>
      </w:hyperlink>
      <w:r>
        <w:t xml:space="preserve"> finden auch im Falle der Ausführung der Kommission durch Selbsteintritt Anwendung.</w:t>
      </w:r>
    </w:p>
    <w:p>
      <w:pPr>
        <w:pStyle w:val="Heading3"/>
      </w:pPr>
      <w:bookmarkStart w:id="552" w:name="b551"/>
      <w:r>
        <w:t>§ 405</w:t>
      </w:r>
      <w:r>
        <w:t xml:space="preserve"> </w:t>
      </w:r>
      <w:r>
        <w:rPr>
          <w:rStyle w:val="Suchmarke"/>
        </w:rPr>
        <w:t>#405#</w:t>
      </w:r>
      <w:bookmarkEnd w:id="552"/>
    </w:p>
    <w:p>
      <w:r>
        <w:t>(1) Zeigt der Kommissionär die Ausführung der Kommission an, ohne ausdrücklich zu bemerken, daß er selbst eintreten wolle, so gilt dies als Erklärung, daß die Ausführung durch Abschluß des Geschäfts mit einem Dritten für Rechnung des Kommittenten erfolgt sei.</w:t>
      </w:r>
    </w:p>
    <w:p>
      <w:r>
        <w:t>(2) Eine Vereinbarung zwischen dem Kommittenten und dem Kommissionär, daß die Erklärung darüber, ob die Kommission durch Selbsteintritt oder durch Abschluß mit einem Dritten ausgeführt sei, später als am Tage der Ausführungsanzeige abgegeben werden dürfe, ist nichtig.</w:t>
      </w:r>
    </w:p>
    <w:p>
      <w:r>
        <w:t>(3) Widerruft der Kommittent die Kommission und geht der Widerruf dem Kommissionär zu, bevor die Ausführungsanzeige zur Absendung abgegeben ist, so steht dem Kommissionär das Recht des Selbsteintritts nicht mehr zu.</w:t>
      </w:r>
    </w:p>
    <w:p>
      <w:pPr>
        <w:pStyle w:val="Heading3"/>
      </w:pPr>
      <w:bookmarkStart w:id="553" w:name="b552"/>
      <w:r>
        <w:t>§ 406</w:t>
      </w:r>
      <w:r>
        <w:t xml:space="preserve"> </w:t>
      </w:r>
      <w:r>
        <w:rPr>
          <w:rStyle w:val="Suchmarke"/>
        </w:rPr>
        <w:t>#406#</w:t>
      </w:r>
      <w:bookmarkEnd w:id="553"/>
    </w:p>
    <w:p>
      <w:r>
        <w:t xml:space="preserve">(1) </w:t>
      </w:r>
      <w:r>
        <w:rPr>
          <w:rStyle w:val="Satznummer"/>
        </w:rPr>
        <w:t>1</w:t>
      </w:r>
      <w:r>
        <w:t xml:space="preserve">Die Vorschriften dieses Abschnitts kommen auch zur Anwendung, wenn ein Kommissionär im Betriebe seines Handelsgewerbes ein Geschäft anderer als der in </w:t>
      </w:r>
      <w:hyperlink w:anchor="b529" w:history="1">
        <w:r>
          <w:rPr>
            <w:color w:val="0A3A8C"/>
            <w:u w:val="single"/>
          </w:rPr>
          <w:t xml:space="preserve">§ 383</w:t>
        </w:r>
      </w:hyperlink>
      <w:r>
        <w:t xml:space="preserve"> bezeichneten Art für Rechnung eines anderen in eigenem Namen zu schließen übernimmt. </w:t>
      </w:r>
      <w:r>
        <w:rPr>
          <w:rStyle w:val="Satznummer"/>
        </w:rPr>
        <w:t>2</w:t>
      </w:r>
      <w:r>
        <w:t>Das gleiche gilt, wenn ein Kaufmann, der nicht Kommissionär ist, im Betriebe seines Handelsgewerbes ein Geschäft in der bezeichneten Weise zu schließen übernimmt.</w:t>
      </w:r>
    </w:p>
    <w:p>
      <w:r>
        <w:t>(2) Als Einkaufs- und Verkaufskommission im Sinne dieses Abschnitts gilt auch eine Kommission, welche die Lieferung einer nicht vertretbaren beweglichen Sache, die aus einem von dem Unternehmer zu beschaffenden Stoffe herzustellen ist, zum Gegenstande hat.</w:t>
      </w:r>
    </w:p>
    <w:p>
      <w:pPr>
        <w:pStyle w:val="Heading2"/>
      </w:pPr>
      <w:bookmarkStart w:id="554" w:name="b553"/>
      <w:r>
        <w:t>Vierter Abschnitt Frachtgeschäft</w:t>
      </w:r>
      <w:bookmarkEnd w:id="554"/>
    </w:p>
    <w:p>
      <w:pPr>
        <w:pStyle w:val="Heading3"/>
      </w:pPr>
      <w:bookmarkStart w:id="555" w:name="b554"/>
      <w:r>
        <w:t>Erster Unterabschnitt Allgemeine Vorschriften</w:t>
      </w:r>
      <w:bookmarkEnd w:id="555"/>
    </w:p>
    <w:p>
      <w:pPr>
        <w:pStyle w:val="Heading4"/>
      </w:pPr>
      <w:bookmarkStart w:id="556" w:name="b555"/>
      <w:r>
        <w:t>§ 407 Frachtvertrag</w:t>
      </w:r>
      <w:r>
        <w:t xml:space="preserve"> </w:t>
      </w:r>
      <w:r>
        <w:rPr>
          <w:rStyle w:val="Suchmarke"/>
        </w:rPr>
        <w:t>#407#</w:t>
      </w:r>
      <w:bookmarkEnd w:id="556"/>
    </w:p>
    <w:p>
      <w:r>
        <w:t>(1) Durch den Frachtvertrag wird der Frachtführer verpflichtet, das Gut zum Bestimmungsort zu befördern und dort an den Empfänger abzuliefern.</w:t>
      </w:r>
    </w:p>
    <w:p>
      <w:r>
        <w:t>(2) Der Absender wird verpflichtet, die vereinbarte Fracht zu zahlen.</w:t>
      </w:r>
    </w:p>
    <w:p>
      <w:r>
        <w:t xml:space="preserve">(3) </w:t>
      </w:r>
      <w:r>
        <w:rPr>
          <w:rStyle w:val="Satznummer"/>
        </w:rPr>
        <w:t>1</w:t>
      </w:r>
      <w:r>
        <w:t>Die Vorschriften dieses Unterabschnitts gelten, wenn</w:t>
      </w:r>
    </w:p>
    <w:p>
      <w:pPr>
        <w:tabs>
          <w:tab w:pos="567" w:val="left"/>
        </w:tabs>
        <w:ind w:left="567" w:hanging="567"/>
      </w:pPr>
      <w:r>
        <w:t>1.</w:t>
      </w:r>
      <w:r>
        <w:tab/>
      </w:r>
      <w:r>
        <w:t>das Gut zu Lande, auf Binnengewässern oder mit Luftfahrzeugen befördert werden soll und</w:t>
      </w:r>
    </w:p>
    <w:p>
      <w:pPr>
        <w:tabs>
          <w:tab w:pos="567" w:val="left"/>
        </w:tabs>
        <w:ind w:left="567" w:hanging="567"/>
      </w:pPr>
      <w:r>
        <w:t>2.</w:t>
      </w:r>
      <w:r>
        <w:tab/>
      </w:r>
      <w:r>
        <w:t>die Beförderung zum Betrieb eines gewerblichen Unternehmens gehört.</w:t>
      </w:r>
    </w:p>
    <w:p>
      <w:r>
        <w:rPr>
          <w:rStyle w:val="Satznummer"/>
        </w:rPr>
        <w:t>2</w:t>
      </w:r>
      <w:r>
        <w:t xml:space="preserve">Erfordert das Unternehmen nach Art oder Umfang einen in kaufmännischer Weise eingerichteten Geschäftsbetrieb nicht und ist die Firma des Unternehmens auch nicht nach § 2 in das Handelsregister eingetragen, so sind in Ansehung des Frachtgeschäfts auch insoweit die Vorschriften des Ersten Abschnitts des Vierten Buches ergänzend anzuwenden; dies gilt jedoch nicht für die </w:t>
      </w:r>
      <w:hyperlink w:anchor="b490" w:history="1">
        <w:r>
          <w:rPr>
            <w:color w:val="0A3A8C"/>
            <w:u w:val="single"/>
          </w:rPr>
          <w:t xml:space="preserve">§§ 348</w:t>
        </w:r>
      </w:hyperlink>
      <w:r>
        <w:t xml:space="preserve"> bis </w:t>
      </w:r>
      <w:hyperlink w:anchor="b492" w:history="1">
        <w:r>
          <w:rPr>
            <w:color w:val="0A3A8C"/>
            <w:u w:val="single"/>
          </w:rPr>
          <w:t xml:space="preserve">350</w:t>
        </w:r>
      </w:hyperlink>
      <w:r>
        <w:t>.</w:t>
      </w:r>
    </w:p>
    <w:p>
      <w:pPr>
        <w:pStyle w:val="Heading4"/>
      </w:pPr>
      <w:bookmarkStart w:id="557" w:name="b556"/>
      <w:r>
        <w:t>§ 408 Frachtbrief. Verordnungsermächtigung</w:t>
      </w:r>
      <w:r>
        <w:t xml:space="preserve"> </w:t>
      </w:r>
      <w:r>
        <w:rPr>
          <w:rStyle w:val="Suchmarke"/>
        </w:rPr>
        <w:t>#408#</w:t>
      </w:r>
      <w:bookmarkEnd w:id="557"/>
    </w:p>
    <w:p>
      <w:r>
        <w:t xml:space="preserve">(1) </w:t>
      </w:r>
      <w:r>
        <w:rPr>
          <w:rStyle w:val="Satznummer"/>
        </w:rPr>
        <w:t>1</w:t>
      </w:r>
      <w:r>
        <w:t>Der Frachtführer kann die Ausstellung eines Frachtbriefs mit folgenden Angaben verlangen:</w:t>
      </w:r>
    </w:p>
    <w:p>
      <w:pPr>
        <w:tabs>
          <w:tab w:pos="567" w:val="left"/>
        </w:tabs>
        <w:ind w:left="567" w:hanging="567"/>
      </w:pPr>
      <w:r>
        <w:t>1.</w:t>
      </w:r>
      <w:r>
        <w:tab/>
      </w:r>
      <w:r>
        <w:t>Ort und Tag der Ausstellung;</w:t>
      </w:r>
    </w:p>
    <w:p>
      <w:pPr>
        <w:tabs>
          <w:tab w:pos="567" w:val="left"/>
        </w:tabs>
        <w:ind w:left="567" w:hanging="567"/>
      </w:pPr>
      <w:r>
        <w:t>2.</w:t>
      </w:r>
      <w:r>
        <w:tab/>
      </w:r>
      <w:r>
        <w:t>Name und Anschrift des Absenders;</w:t>
      </w:r>
    </w:p>
    <w:p>
      <w:pPr>
        <w:tabs>
          <w:tab w:pos="567" w:val="left"/>
        </w:tabs>
        <w:ind w:left="567" w:hanging="567"/>
      </w:pPr>
      <w:r>
        <w:t>3.</w:t>
      </w:r>
      <w:r>
        <w:tab/>
      </w:r>
      <w:r>
        <w:t>Name und Anschrift des Frachtführers;</w:t>
      </w:r>
    </w:p>
    <w:p>
      <w:pPr>
        <w:tabs>
          <w:tab w:pos="567" w:val="left"/>
        </w:tabs>
        <w:ind w:left="567" w:hanging="567"/>
      </w:pPr>
      <w:r>
        <w:t>4.</w:t>
      </w:r>
      <w:r>
        <w:tab/>
      </w:r>
      <w:r>
        <w:t>Stelle und Tag der Übernahme des Gutes sowie die für die Ablieferung vorgesehene Stelle;</w:t>
      </w:r>
    </w:p>
    <w:p>
      <w:pPr>
        <w:tabs>
          <w:tab w:pos="567" w:val="left"/>
        </w:tabs>
        <w:ind w:left="567" w:hanging="567"/>
      </w:pPr>
      <w:r>
        <w:t>5.</w:t>
      </w:r>
      <w:r>
        <w:tab/>
      </w:r>
      <w:r>
        <w:t>Name und Anschrift des Empfängers und eine etwaige Meldeadresse;</w:t>
      </w:r>
    </w:p>
    <w:p>
      <w:pPr>
        <w:tabs>
          <w:tab w:pos="567" w:val="left"/>
        </w:tabs>
        <w:ind w:left="567" w:hanging="567"/>
      </w:pPr>
      <w:r>
        <w:t>6.</w:t>
      </w:r>
      <w:r>
        <w:tab/>
      </w:r>
      <w:r>
        <w:t>die übliche Bezeichnung der Art des Gutes und die Art der Verpackung, bei gefährlichen Gütern ihre nach den Gefahrgutvorschriften vorgesehene, sonst ihre allgemein anerkannte Bezeichnung;</w:t>
      </w:r>
    </w:p>
    <w:p>
      <w:pPr>
        <w:tabs>
          <w:tab w:pos="567" w:val="left"/>
        </w:tabs>
        <w:ind w:left="567" w:hanging="567"/>
      </w:pPr>
      <w:r>
        <w:t>7.</w:t>
      </w:r>
      <w:r>
        <w:tab/>
      </w:r>
      <w:r>
        <w:t>Anzahl, Zeichen und Nummern der Frachtstücke;</w:t>
      </w:r>
    </w:p>
    <w:p>
      <w:pPr>
        <w:tabs>
          <w:tab w:pos="567" w:val="left"/>
        </w:tabs>
        <w:ind w:left="567" w:hanging="567"/>
      </w:pPr>
      <w:r>
        <w:t>8.</w:t>
      </w:r>
      <w:r>
        <w:tab/>
      </w:r>
      <w:r>
        <w:t>das Rohgewicht oder die anders angegebene Menge des Gutes;</w:t>
      </w:r>
    </w:p>
    <w:p>
      <w:pPr>
        <w:tabs>
          <w:tab w:pos="567" w:val="left"/>
        </w:tabs>
        <w:ind w:left="567" w:hanging="567"/>
      </w:pPr>
      <w:r>
        <w:t>9.</w:t>
      </w:r>
      <w:r>
        <w:tab/>
      </w:r>
      <w:r>
        <w:t>die bei Ablieferung geschuldete Fracht und die bis zur Ablieferung anfallenden Kosten sowie einen Vermerk über die Frachtzahlung;</w:t>
      </w:r>
    </w:p>
    <w:p>
      <w:pPr>
        <w:tabs>
          <w:tab w:pos="567" w:val="left"/>
        </w:tabs>
        <w:ind w:left="567" w:hanging="567"/>
      </w:pPr>
      <w:r>
        <w:t>10.</w:t>
      </w:r>
      <w:r>
        <w:tab/>
      </w:r>
      <w:r>
        <w:t>den Betrag einer bei der Ablieferung des Gutes einzuziehenden Nachnahme;</w:t>
      </w:r>
    </w:p>
    <w:p>
      <w:pPr>
        <w:tabs>
          <w:tab w:pos="567" w:val="left"/>
        </w:tabs>
        <w:ind w:left="567" w:hanging="567"/>
      </w:pPr>
      <w:r>
        <w:t>11.</w:t>
      </w:r>
      <w:r>
        <w:tab/>
      </w:r>
      <w:r>
        <w:t>Weisungen für die Zoll- und sonstige amtliche Behandlung des Gutes;</w:t>
      </w:r>
    </w:p>
    <w:p>
      <w:pPr>
        <w:tabs>
          <w:tab w:pos="567" w:val="left"/>
        </w:tabs>
        <w:ind w:left="567" w:hanging="567"/>
      </w:pPr>
      <w:r>
        <w:t>12.</w:t>
      </w:r>
      <w:r>
        <w:tab/>
      </w:r>
      <w:r>
        <w:t>eine Vereinbarung über die Beförderung in offenem, nicht mit Planen gedecktem Fahrzeug oder auf Deck.</w:t>
      </w:r>
    </w:p>
    <w:p>
      <w:r>
        <w:rPr>
          <w:rStyle w:val="Satznummer"/>
        </w:rPr>
        <w:t>2</w:t>
      </w:r>
      <w:r>
        <w:t>In den Frachtbrief können weitere Angaben eingetragen werden, die die Parteien für zweckmäßig halten.</w:t>
      </w:r>
    </w:p>
    <w:p>
      <w:r>
        <w:t xml:space="preserve">(2) </w:t>
      </w:r>
      <w:r>
        <w:rPr>
          <w:rStyle w:val="Satznummer"/>
        </w:rPr>
        <w:t>1</w:t>
      </w:r>
      <w:r>
        <w:t xml:space="preserve">Der Frachtbrief wird in drei Originalausfertigungen ausgestellt, die vom Absender unterzeichnet werden. </w:t>
      </w:r>
      <w:r>
        <w:rPr>
          <w:rStyle w:val="Satznummer"/>
        </w:rPr>
        <w:t>2</w:t>
      </w:r>
      <w:r>
        <w:t xml:space="preserve">Der Absender kann verlangen, daß auch der Frachtführer den Frachtbrief unterzeichnet. </w:t>
      </w:r>
      <w:r>
        <w:rPr>
          <w:rStyle w:val="Satznummer"/>
        </w:rPr>
        <w:t>3</w:t>
      </w:r>
      <w:r>
        <w:t xml:space="preserve">Nachbildungen der eigenhändigen Unterschriften durch Druck oder Stempel genügen. </w:t>
      </w:r>
      <w:r>
        <w:rPr>
          <w:rStyle w:val="Satznummer"/>
        </w:rPr>
        <w:t>4</w:t>
      </w:r>
      <w:r>
        <w:t>Eine Ausfertigung ist für den Absender bestimmt, eine begleitet das Gut, eine behält der Frachtführer.</w:t>
      </w:r>
    </w:p>
    <w:p>
      <w:r>
        <w:t xml:space="preserve">(3) </w:t>
      </w:r>
      <w:r>
        <w:rPr>
          <w:rStyle w:val="Satznummer"/>
        </w:rPr>
        <w:t>1</w:t>
      </w:r>
      <w:r>
        <w:t xml:space="preserve">Dem Frachtbrief gleichgestellt ist eine elektronische Aufzeichnung, die dieselben Funktionen erfüllt wie der Frachtbrief, sofern sichergestellt ist, dass die Authentizität und die Integrität der Aufzeichnung gewahrt bleiben (elektronischer Frachtbrief). </w:t>
      </w:r>
      <w:r>
        <w:rPr>
          <w:rStyle w:val="Satznummer"/>
        </w:rPr>
        <w:t>2</w:t>
      </w:r>
      <w:r>
        <w:t>Das Bundesministerium der Justiz wird ermächtigt, im Einvernehmen mit dem Bundesministerium des Innern und für Heimat durch Rechtsverordnung, die nicht der Zustimmung des Bundesrates bedarf, die Einzelheiten der Ausstellung, des Mitführens und der Vorlage eines elektronischen Frachtbriefs sowie des Verfahrens einer nachträglichen Eintragung in einen elektronischen Frachtbrief zu regeln.</w:t>
      </w:r>
    </w:p>
    <w:p>
      <w:pPr>
        <w:pStyle w:val="Heading4"/>
      </w:pPr>
      <w:bookmarkStart w:id="558" w:name="b557"/>
      <w:r>
        <w:t>§ 409 Beweiskraft des Frachtbriefs</w:t>
      </w:r>
      <w:r>
        <w:t xml:space="preserve"> </w:t>
      </w:r>
      <w:r>
        <w:rPr>
          <w:rStyle w:val="Suchmarke"/>
        </w:rPr>
        <w:t>#409#</w:t>
      </w:r>
      <w:bookmarkEnd w:id="558"/>
    </w:p>
    <w:p>
      <w:r>
        <w:t>(1) Der von beiden Parteien unterzeichnete Frachtbrief dient bis zum Beweis des Gegenteils als Nachweis für Abschluß und Inhalt des Frachtvertrages sowie für die Übernahme des Gutes durch den Frachtführer.</w:t>
      </w:r>
    </w:p>
    <w:p>
      <w:r>
        <w:t xml:space="preserve">(2) </w:t>
      </w:r>
      <w:r>
        <w:rPr>
          <w:rStyle w:val="Satznummer"/>
        </w:rPr>
        <w:t>1</w:t>
      </w:r>
      <w:r>
        <w:t xml:space="preserve">Der von beiden Parteien unterzeichnete Frachtbrief begründet ferner die Vermutung, daß das Gut und seine Verpackung bei der Übernahme durch den Frachtführer in äußerlich gutem Zustand waren und daß die Anzahl der Frachtstücke und ihre Zeichen und Nummern mit den Angaben im Frachtbrief übereinstimmen. </w:t>
      </w:r>
      <w:r>
        <w:rPr>
          <w:rStyle w:val="Satznummer"/>
        </w:rPr>
        <w:t>2</w:t>
      </w:r>
      <w:r>
        <w:t>Der Frachtbrief begründet diese Vermutung jedoch nicht, wenn der Frachtführer einen begründeten Vorbehalt in den Frachtbrief eingetragen hat; der Vorbehalt kann auch damit begründet werden, daß dem Frachtführer keine angemessenen Mittel zur Verfügung standen, die Richtigkeit der Angaben zu überprüfen.</w:t>
      </w:r>
    </w:p>
    <w:p>
      <w:r>
        <w:t xml:space="preserve">(3) </w:t>
      </w:r>
      <w:r>
        <w:rPr>
          <w:rStyle w:val="Satznummer"/>
        </w:rPr>
        <w:t>1</w:t>
      </w:r>
      <w:r>
        <w:t xml:space="preserve">Ist das Rohgewicht oder die anders angegebene Menge des Gutes oder der Inhalt der Frachtstücke vom Frachtführer überprüft und das Ergebnis der Überprüfung in den von beiden Parteien unterzeichneten Frachtbrief eingetragen worden, so begründet dieser auch die Vermutung, daß Gewicht, Menge oder Inhalt mit den Angaben im Frachtbrief übereinstimmt. </w:t>
      </w:r>
      <w:r>
        <w:rPr>
          <w:rStyle w:val="Satznummer"/>
        </w:rPr>
        <w:t>2</w:t>
      </w:r>
      <w:r>
        <w:t>Der Frachtführer ist verpflichtet, Gewicht, Menge oder Inhalt zu überprüfen, wenn der Absender dies verlangt und dem Frachtführer angemessene Mittel zur Überprüfung zur Verfügung stehen; der Frachtführer hat Anspruch auf Ersatz seiner Aufwendungen für die Überprüfung.</w:t>
      </w:r>
    </w:p>
    <w:p>
      <w:pPr>
        <w:pStyle w:val="Heading4"/>
      </w:pPr>
      <w:bookmarkStart w:id="559" w:name="b558"/>
      <w:r>
        <w:t>§ 410 Gefährliches Gut</w:t>
      </w:r>
      <w:r>
        <w:t xml:space="preserve"> </w:t>
      </w:r>
      <w:r>
        <w:rPr>
          <w:rStyle w:val="Suchmarke"/>
        </w:rPr>
        <w:t>#410#</w:t>
      </w:r>
      <w:bookmarkEnd w:id="559"/>
    </w:p>
    <w:p>
      <w:r>
        <w:t>(1) Soll gefährliches Gut befördert werden, so hat der Absender dem Frachtführer rechtzeitig in Textform die genaue Art der Gefahr und, soweit erforderlich, zu ergreifende Vorsichtsmaßnahmen mitzuteilen.</w:t>
      </w:r>
    </w:p>
    <w:p>
      <w:r>
        <w:t>(2) Der Frachtführer kann, sofern ihm nicht bei Übernahme des Gutes die Art der Gefahr bekannt war oder jedenfalls mitgeteilt worden ist,</w:t>
      </w:r>
    </w:p>
    <w:p>
      <w:pPr>
        <w:tabs>
          <w:tab w:pos="567" w:val="left"/>
        </w:tabs>
        <w:ind w:left="567" w:hanging="567"/>
      </w:pPr>
      <w:r>
        <w:t>1.</w:t>
      </w:r>
      <w:r>
        <w:tab/>
      </w:r>
      <w:r>
        <w:t>gefährliches Gut ausladen, einlagern, zurückbefördern oder, soweit erforderlich, vernichten oder unschädlich machen, ohne dem Absender deshalb ersatzpflichtig zu werden, und</w:t>
      </w:r>
    </w:p>
    <w:p>
      <w:pPr>
        <w:tabs>
          <w:tab w:pos="567" w:val="left"/>
        </w:tabs>
        <w:ind w:left="567" w:hanging="567"/>
      </w:pPr>
      <w:r>
        <w:t>2.</w:t>
      </w:r>
      <w:r>
        <w:tab/>
      </w:r>
      <w:r>
        <w:t>vom Absender wegen dieser Maßnahmen Ersatz der erforderlichen Aufwendungen verlangen.</w:t>
      </w:r>
    </w:p>
    <w:p>
      <w:pPr>
        <w:pStyle w:val="Heading4"/>
      </w:pPr>
      <w:bookmarkStart w:id="560" w:name="b559"/>
      <w:r>
        <w:t>§ 411 Verpackung. Kennzeichnung</w:t>
      </w:r>
      <w:r>
        <w:t xml:space="preserve"> </w:t>
      </w:r>
      <w:r>
        <w:rPr>
          <w:rStyle w:val="Suchmarke"/>
        </w:rPr>
        <w:t>#411#</w:t>
      </w:r>
      <w:bookmarkEnd w:id="560"/>
    </w:p>
    <w:p>
      <w:r>
        <w:rPr>
          <w:rStyle w:val="Satznummer"/>
        </w:rPr>
        <w:t>1</w:t>
      </w:r>
      <w:r>
        <w:t xml:space="preserve">Der Absender hat das Gut, soweit dessen Natur unter Berücksichtigung der vereinbarten Beförderung eine Verpackung erfordert, so zu verpacken, daß es vor Verlust und Beschädigung geschützt ist und daß auch dem Frachtführer keine Schäden entstehen. </w:t>
      </w:r>
      <w:r>
        <w:rPr>
          <w:rStyle w:val="Satznummer"/>
        </w:rPr>
        <w:t>2</w:t>
      </w:r>
      <w:r>
        <w:t xml:space="preserve">Soll das Gut in einem Container, auf einer Palette oder in oder auf einem sonstigen Lademittel, das zur Zusammenfassung von Frachtstücken verwendet wird, zur Beförderung übergeben werden, hat der Absender das Gut auch in oder auf dem Lademittel beförderungssicher zu stauen und zu sichern. </w:t>
      </w:r>
      <w:r>
        <w:rPr>
          <w:rStyle w:val="Satznummer"/>
        </w:rPr>
        <w:t>3</w:t>
      </w:r>
      <w:r>
        <w:t>Der Absender hat das Gut ferner, soweit dessen vertragsgemäße Behandlung dies erfordert, zu kennzeichnen.</w:t>
      </w:r>
    </w:p>
    <w:p>
      <w:pPr>
        <w:pStyle w:val="Heading4"/>
      </w:pPr>
      <w:bookmarkStart w:id="561" w:name="b560"/>
      <w:r>
        <w:t>§ 412 Verladen und Entladen. Verordnungsermächtigung</w:t>
      </w:r>
      <w:r>
        <w:t xml:space="preserve"> </w:t>
      </w:r>
      <w:r>
        <w:rPr>
          <w:rStyle w:val="Suchmarke"/>
        </w:rPr>
        <w:t>#412#</w:t>
      </w:r>
      <w:bookmarkEnd w:id="561"/>
    </w:p>
    <w:p>
      <w:r>
        <w:t xml:space="preserve">(1) </w:t>
      </w:r>
      <w:r>
        <w:rPr>
          <w:rStyle w:val="Satznummer"/>
        </w:rPr>
        <w:t>1</w:t>
      </w:r>
      <w:r>
        <w:t xml:space="preserve">Soweit sich aus den Umständen oder der Verkehrssitte nicht etwas anderes ergibt, hat der Absender das Gut beförderungssicher zu laden, zu stauen und zu befestigen (verladen) sowie zu entladen. </w:t>
      </w:r>
      <w:r>
        <w:rPr>
          <w:rStyle w:val="Satznummer"/>
        </w:rPr>
        <w:t>2</w:t>
      </w:r>
      <w:r>
        <w:t>Der Frachtführer hat für die betriebssichere Verladung zu sorgen.</w:t>
      </w:r>
    </w:p>
    <w:p>
      <w:r>
        <w:t>(2) Für die Lade- und Entladezeit, die sich mangels abweichender Vereinbarung nach einer den Umständen des Falles angemessenen Frist bemißt, kann keine besondere Vergütung verlangt werden.</w:t>
      </w:r>
    </w:p>
    <w:p>
      <w:r>
        <w:t>(3) Wartet der Frachtführer auf Grund vertraglicher Vereinbarung oder aus Gründen, die nicht seinem Risikobereich zuzurechnen sind, über die Lade- oder Entladezeit hinaus, so hat er Anspruch auf eine angemessene Vergütung (Standgeld).</w:t>
      </w:r>
    </w:p>
    <w:p>
      <w:r>
        <w:t>(4) Das Bundesministerium der Justiz wird ermächtigt, im Einvernehmen mit dem Bundesministerium für Digitales und Verkehr durch Rechtsverordnung, die nicht der Zustimmung des Bundesrates bedarf, für die Binnenschiffahrt unter Berücksichtigung der Art der zur Beförderung bestimmten Fahrzeuge, der Art und Menge der umzuschlagenden Güter, der beim Güterumschlag zur Verfügung stehenden technischen Mittel und der Erfordernisse eines beschleunigten Verkehrsablaufs die Voraussetzungen für den Beginn der Lade- und Entladezeit, deren Dauer sowie die Höhe des Standgeldes zu bestimmen.</w:t>
      </w:r>
    </w:p>
    <w:p>
      <w:pPr>
        <w:pStyle w:val="Heading4"/>
      </w:pPr>
      <w:bookmarkStart w:id="562" w:name="b561"/>
      <w:r>
        <w:t>§ 413 Begleitpapiere</w:t>
      </w:r>
      <w:r>
        <w:t xml:space="preserve"> </w:t>
      </w:r>
      <w:r>
        <w:rPr>
          <w:rStyle w:val="Suchmarke"/>
        </w:rPr>
        <w:t>#413#</w:t>
      </w:r>
      <w:bookmarkEnd w:id="562"/>
    </w:p>
    <w:p>
      <w:r>
        <w:t>(1) Der Absender hat dem Frachtführer alle Urkunden zur Verfügung zu stellen und Auskünfte zu erteilen, die für eine amtliche Behandlung, insbesondere eine Zollabfertigung, vor der Ablieferung des Gutes erforderlich sind.</w:t>
      </w:r>
    </w:p>
    <w:p>
      <w:r>
        <w:t xml:space="preserve">(2) </w:t>
      </w:r>
      <w:r>
        <w:rPr>
          <w:rStyle w:val="Satznummer"/>
        </w:rPr>
        <w:t>1</w:t>
      </w:r>
      <w:r>
        <w:t xml:space="preserve">Der Frachtführer ist für den Schaden verantwortlich, der durch Verlust oder Beschädigung der ihm übergebenen Urkunden oder durch deren unrichtige Verwendung verursacht worden ist, es sei denn, daß der Verlust, die Beschädigung oder die unrichtige Verwendung auf Umständen beruht, die der Frachtführer nicht vermeiden und deren Folgen er nicht abwenden konnte. </w:t>
      </w:r>
      <w:r>
        <w:rPr>
          <w:rStyle w:val="Satznummer"/>
        </w:rPr>
        <w:t>2</w:t>
      </w:r>
      <w:r>
        <w:t>Seine Haftung ist jedoch auf den Betrag begrenzt, der bei Verlust des Gutes zu zahlen wäre.</w:t>
      </w:r>
    </w:p>
    <w:p>
      <w:pPr>
        <w:pStyle w:val="Heading4"/>
      </w:pPr>
      <w:bookmarkStart w:id="563" w:name="b562"/>
      <w:r>
        <w:t>§ 414 Verschuldensunabhängige Haftung des Absenders in besonderen Fällen</w:t>
      </w:r>
      <w:r>
        <w:t xml:space="preserve"> </w:t>
      </w:r>
      <w:r>
        <w:rPr>
          <w:rStyle w:val="Suchmarke"/>
        </w:rPr>
        <w:t>#414#</w:t>
      </w:r>
      <w:bookmarkEnd w:id="563"/>
    </w:p>
    <w:p>
      <w:r>
        <w:t>(1) Der Absender hat, auch wenn ihn kein Verschulden trifft, dem Frachtführer Schäden und Aufwendungen zu ersetzen, die verursacht werden durch</w:t>
      </w:r>
    </w:p>
    <w:p>
      <w:pPr>
        <w:tabs>
          <w:tab w:pos="567" w:val="left"/>
        </w:tabs>
        <w:ind w:left="567" w:hanging="567"/>
      </w:pPr>
      <w:r>
        <w:t>1.</w:t>
      </w:r>
      <w:r>
        <w:tab/>
      </w:r>
      <w:r>
        <w:t>ungenügende Verpackung oder Kennzeichnung,</w:t>
      </w:r>
    </w:p>
    <w:p>
      <w:pPr>
        <w:tabs>
          <w:tab w:pos="567" w:val="left"/>
        </w:tabs>
        <w:ind w:left="567" w:hanging="567"/>
      </w:pPr>
      <w:r>
        <w:t>2.</w:t>
      </w:r>
      <w:r>
        <w:tab/>
      </w:r>
      <w:r>
        <w:t>Unrichtigkeit oder Unvollständigkeit der in den Frachtbrief aufgenommenen Angaben,</w:t>
      </w:r>
    </w:p>
    <w:p>
      <w:pPr>
        <w:tabs>
          <w:tab w:pos="567" w:val="left"/>
        </w:tabs>
        <w:ind w:left="567" w:hanging="567"/>
      </w:pPr>
      <w:r>
        <w:t>3.</w:t>
      </w:r>
      <w:r>
        <w:tab/>
      </w:r>
      <w:r>
        <w:t>Unterlassen der Mitteilung über die Gefährlichkeit des Gutes oder</w:t>
      </w:r>
    </w:p>
    <w:p>
      <w:pPr>
        <w:tabs>
          <w:tab w:pos="567" w:val="left"/>
        </w:tabs>
        <w:ind w:left="567" w:hanging="567"/>
      </w:pPr>
      <w:r>
        <w:t>4.</w:t>
      </w:r>
      <w:r>
        <w:tab/>
      </w:r>
      <w:r>
        <w:t xml:space="preserve">Fehlen, Unvollständigkeit oder Unrichtigkeit der in </w:t>
      </w:r>
      <w:hyperlink w:anchor="b561" w:history="1">
        <w:r>
          <w:rPr>
            <w:color w:val="0A3A8C"/>
            <w:u w:val="single"/>
          </w:rPr>
          <w:t xml:space="preserve">§ 413</w:t>
        </w:r>
      </w:hyperlink>
      <w:r>
        <w:t xml:space="preserve"> Abs. 1 genannten Urkunden oder Auskünfte.</w:t>
      </w:r>
    </w:p>
    <w:p>
      <w:r>
        <w:t>(2) Hat bei der Verursachung der Schäden oder Aufwendungen ein Verhalten des Frachtführers mitgewirkt, so hängen die Verpflichtung zum Ersatz sowie der Umfang des zu leistenden Ersatzes davon ab, inwieweit dieses Verhalten zu den Schäden und Aufwendungen beigetragen hat.</w:t>
      </w:r>
    </w:p>
    <w:p>
      <w:r>
        <w:t>(3) Ist der Absender ein Verbraucher, so hat er dem Frachtführer Schäden und Aufwendungen nach den Absätzen 1 und 2 nur zu ersetzen, soweit ihn ein Verschulden trifft.</w:t>
      </w:r>
    </w:p>
    <w:p>
      <w:pPr>
        <w:pStyle w:val="Heading4"/>
      </w:pPr>
      <w:bookmarkStart w:id="564" w:name="b563"/>
      <w:r>
        <w:t>§ 415 Kündigung durch den Absender</w:t>
      </w:r>
      <w:r>
        <w:t xml:space="preserve"> </w:t>
      </w:r>
      <w:r>
        <w:rPr>
          <w:rStyle w:val="Suchmarke"/>
        </w:rPr>
        <w:t>#415#</w:t>
      </w:r>
      <w:bookmarkEnd w:id="564"/>
    </w:p>
    <w:p>
      <w:r>
        <w:t>(1) Der Absender kann den Frachtvertrag jederzeit kündigen.</w:t>
      </w:r>
    </w:p>
    <w:p>
      <w:r>
        <w:t xml:space="preserve">(2) </w:t>
      </w:r>
      <w:r>
        <w:rPr>
          <w:rStyle w:val="Satznummer"/>
        </w:rPr>
        <w:t>1</w:t>
      </w:r>
      <w:r>
        <w:t>Kündigt der Absender, so kann der Frachtführer entweder</w:t>
      </w:r>
    </w:p>
    <w:p>
      <w:pPr>
        <w:tabs>
          <w:tab w:pos="567" w:val="left"/>
        </w:tabs>
        <w:ind w:left="567" w:hanging="567"/>
      </w:pPr>
      <w:r>
        <w:t>1.</w:t>
      </w:r>
      <w:r>
        <w:tab/>
      </w:r>
      <w:r>
        <w:t>die vereinbarte Fracht, das etwaige Standgeld sowie zu ersetzende Aufwendungen unter Anrechnung dessen, was er infolge der Aufhebung des Vertrages an Aufwendungen erspart oder anderweitig erwirbt oder zu erwerben böswillig unterläßt, oder</w:t>
      </w:r>
    </w:p>
    <w:p>
      <w:pPr>
        <w:tabs>
          <w:tab w:pos="567" w:val="left"/>
        </w:tabs>
        <w:ind w:left="567" w:hanging="567"/>
      </w:pPr>
      <w:r>
        <w:t>2.</w:t>
      </w:r>
      <w:r>
        <w:tab/>
      </w:r>
      <w:r>
        <w:t>ein Drittel der vereinbarten Fracht (Fautfracht)</w:t>
      </w:r>
    </w:p>
    <w:p>
      <w:r>
        <w:t xml:space="preserve">verlangen. </w:t>
      </w:r>
      <w:r>
        <w:rPr>
          <w:rStyle w:val="Satznummer"/>
        </w:rPr>
        <w:t>2</w:t>
      </w:r>
      <w:r>
        <w:t>Beruht die Kündigung auf Gründen, die dem Risikobereich des Frachtführers zuzurechnen sind, so entfällt der Anspruch auf Fautfracht nach Satz 1 Nr. 2; in diesem Falle entfällt auch der Anspruch nach Satz 1 Nr. 1, soweit die Beförderung für den Absender nicht von Interesse ist.</w:t>
      </w:r>
    </w:p>
    <w:p>
      <w:r>
        <w:t xml:space="preserve">(3) </w:t>
      </w:r>
      <w:r>
        <w:rPr>
          <w:rStyle w:val="Satznummer"/>
        </w:rPr>
        <w:t>1</w:t>
      </w:r>
      <w:r>
        <w:t xml:space="preserve">Wurde vor der Kündigung bereits Gut verladen, so kann der Frachtführer auf Kosten des Absenders Maßnahmen entsprechend </w:t>
      </w:r>
      <w:hyperlink w:anchor="b567" w:history="1">
        <w:r>
          <w:rPr>
            <w:color w:val="0A3A8C"/>
            <w:u w:val="single"/>
          </w:rPr>
          <w:t xml:space="preserve">§ 419</w:t>
        </w:r>
      </w:hyperlink>
      <w:r>
        <w:t xml:space="preserve"> Abs. 3 Satz 2 bis 4 ergreifen oder vom Absender verlangen, daß dieser das Gut unverzüglich entlädt. </w:t>
      </w:r>
      <w:r>
        <w:rPr>
          <w:rStyle w:val="Satznummer"/>
        </w:rPr>
        <w:t>2</w:t>
      </w:r>
      <w:r>
        <w:t xml:space="preserve">Der Frachtführer braucht das Entladen des Gutes nur zu dulden, soweit dies ohne Nachteile für seinen Betrieb und ohne Schäden für die Absender oder Empfänger anderer Sendungen möglich ist. </w:t>
      </w:r>
      <w:r>
        <w:rPr>
          <w:rStyle w:val="Satznummer"/>
        </w:rPr>
        <w:t>3</w:t>
      </w:r>
      <w:r>
        <w:t>Beruht die Kündigung auf Gründen, die dem Risikobereich des Frachtführers zuzurechnen sind, so ist abweichend von den Sätzen 1 und 2 der Frachtführer verpflichtet, das Gut, das bereits verladen wurde, unverzüglich auf eigene Kosten zu entladen.</w:t>
      </w:r>
    </w:p>
    <w:p>
      <w:pPr>
        <w:pStyle w:val="Heading4"/>
      </w:pPr>
      <w:bookmarkStart w:id="565" w:name="b564"/>
      <w:r>
        <w:t>§ 416 Anspruch auf Teilbeförderung</w:t>
      </w:r>
      <w:r>
        <w:t xml:space="preserve"> </w:t>
      </w:r>
      <w:r>
        <w:rPr>
          <w:rStyle w:val="Suchmarke"/>
        </w:rPr>
        <w:t>#416#</w:t>
      </w:r>
      <w:bookmarkEnd w:id="565"/>
    </w:p>
    <w:p>
      <w:r>
        <w:rPr>
          <w:rStyle w:val="Satznummer"/>
        </w:rPr>
        <w:t>1</w:t>
      </w:r>
      <w:r>
        <w:t xml:space="preserve">Wird das Gut nur teilweise verladen, so kann der Absender jederzeit verlangen, dass der Frachtführer mit der Beförderung des bereits verladenen Teils des Gutes beginnt. </w:t>
      </w:r>
      <w:r>
        <w:rPr>
          <w:rStyle w:val="Satznummer"/>
        </w:rPr>
        <w:t>2</w:t>
      </w:r>
      <w:r>
        <w:t xml:space="preserve">In diesem Fall gebührt dem Frachtführer die volle Fracht, das etwaige Standgeld sowie Ersatz der Aufwendungen, die ihm durch das Fehlen eines Teils des Gutes entstehen; von der vollen Fracht kommt jedoch die Fracht für dasjenige Gut in Abzug, welches der Frachtführer mit demselben Beförderungsmittel anstelle des nicht verladenen Gutes befördert. </w:t>
      </w:r>
      <w:r>
        <w:rPr>
          <w:rStyle w:val="Satznummer"/>
        </w:rPr>
        <w:t>3</w:t>
      </w:r>
      <w:r>
        <w:t xml:space="preserve">Der Frachtführer ist außerdem berechtigt, soweit ihm durch das Fehlen eines Teils des Gutes die Sicherheit für die volle Fracht entgeht, die Bestellung einer anderweitigen Sicherheit zu fordern. </w:t>
      </w:r>
      <w:r>
        <w:rPr>
          <w:rStyle w:val="Satznummer"/>
        </w:rPr>
        <w:t>4</w:t>
      </w:r>
      <w:r>
        <w:t>Beruht die Unvollständigkeit der Verladung auf Gründen, die dem Risikobereich des Frachtführers zuzurechnen sind, so steht diesem der Anspruch nach den Sätzen 2 und 3 nur insoweit zu, als tatsächlich Gut befördert wird.</w:t>
      </w:r>
    </w:p>
    <w:p>
      <w:pPr>
        <w:pStyle w:val="Heading4"/>
      </w:pPr>
      <w:bookmarkStart w:id="566" w:name="b565"/>
      <w:r>
        <w:t>§ 417 Rechte des Frachtführers bei Nichteinhaltung der Ladezeit</w:t>
      </w:r>
      <w:r>
        <w:t xml:space="preserve"> </w:t>
      </w:r>
      <w:r>
        <w:rPr>
          <w:rStyle w:val="Suchmarke"/>
        </w:rPr>
        <w:t>#417#</w:t>
      </w:r>
      <w:bookmarkEnd w:id="566"/>
    </w:p>
    <w:p>
      <w:r>
        <w:t>(1) Verlädt der Absender das Gut nicht innerhalb der Ladezeit oder stellt er, wenn ihm das Verladen nicht obliegt, das Gut nicht innerhalb der Ladezeit zur Verfügung, so kann ihm der Frachtführer eine angemessene Frist setzen, innerhalb derer das Gut verladen oder zur Verfügung gestellt werden soll.</w:t>
      </w:r>
    </w:p>
    <w:p>
      <w:r>
        <w:t xml:space="preserve">(2) Wird bis zum Ablauf der nach Absatz 1 gesetzten Frist kein Gut verladen oder zur Verfügung gestellt oder ist offensichtlich, dass innerhalb dieser Frist kein Gut verladen oder zur Verfügung gestellt wird, so kann der Frachtführer den Vertrag kündigen und die Ansprüche nach </w:t>
      </w:r>
      <w:hyperlink w:anchor="b563" w:history="1">
        <w:r>
          <w:rPr>
            <w:color w:val="0A3A8C"/>
            <w:u w:val="single"/>
          </w:rPr>
          <w:t xml:space="preserve">§ 415</w:t>
        </w:r>
      </w:hyperlink>
      <w:r>
        <w:t xml:space="preserve"> Abs. 2 geltend machen.</w:t>
      </w:r>
    </w:p>
    <w:p>
      <w:r>
        <w:t xml:space="preserve">(3) Wird das Gut bis zum Ablauf der nach Absatz 1 gesetzten Frist nur teilweise verladen oder zur Verfügung gestellt, so kann der Frachtführer mit der Beförderung des bereits verladenen Teils des Gutes beginnen und die Ansprüche nach </w:t>
      </w:r>
      <w:hyperlink w:anchor="b564" w:history="1">
        <w:r>
          <w:rPr>
            <w:color w:val="0A3A8C"/>
            <w:u w:val="single"/>
          </w:rPr>
          <w:t xml:space="preserve">§ 416</w:t>
        </w:r>
      </w:hyperlink>
      <w:r>
        <w:t xml:space="preserve"> Satz 2 und 3 geltend machen.</w:t>
      </w:r>
    </w:p>
    <w:p>
      <w:r>
        <w:t xml:space="preserve">(4) </w:t>
      </w:r>
      <w:r>
        <w:rPr>
          <w:rStyle w:val="Satznummer"/>
        </w:rPr>
        <w:t>1</w:t>
      </w:r>
      <w:r>
        <w:t xml:space="preserve">Der Frachtführer kann die Rechte nach Absatz 2 oder 3 auch ohne Fristsetzung ausüben, wenn der Absender sich ernsthaft und endgültig weigert, das Gut zu verladen oder zur Verfügung zu stellen. </w:t>
      </w:r>
      <w:r>
        <w:rPr>
          <w:rStyle w:val="Satznummer"/>
        </w:rPr>
        <w:t>2</w:t>
      </w:r>
      <w:r>
        <w:t>Er kann ferner den Vertrag nach Absatz 2 auch ohne Fristsetzung kündigen, wenn besondere Umstände vorliegen, die ihm unter Abwägung der beiderseitigen Interessen die Fortsetzung des Vertragsverhältnisses unzumutbar machen.</w:t>
      </w:r>
    </w:p>
    <w:p>
      <w:r>
        <w:t>(5) Dem Frachtführer stehen die Rechte nicht zu, wenn die Nichteinhaltung der Ladezeit auf Gründen beruht, die seinem Risikobereich zuzurechnen sind.</w:t>
      </w:r>
    </w:p>
    <w:p>
      <w:pPr>
        <w:pStyle w:val="Heading4"/>
      </w:pPr>
      <w:bookmarkStart w:id="567" w:name="b566"/>
      <w:r>
        <w:t>§ 418 Nachträgliche Weisungen</w:t>
      </w:r>
      <w:r>
        <w:t xml:space="preserve"> </w:t>
      </w:r>
      <w:r>
        <w:rPr>
          <w:rStyle w:val="Suchmarke"/>
        </w:rPr>
        <w:t>#418#</w:t>
      </w:r>
      <w:bookmarkEnd w:id="567"/>
    </w:p>
    <w:p>
      <w:r>
        <w:t xml:space="preserve">(1) </w:t>
      </w:r>
      <w:r>
        <w:rPr>
          <w:rStyle w:val="Satznummer"/>
        </w:rPr>
        <w:t>1</w:t>
      </w:r>
      <w:r>
        <w:t xml:space="preserve">Der Absender ist berechtigt, über das Gut zu verfügen. </w:t>
      </w:r>
      <w:r>
        <w:rPr>
          <w:rStyle w:val="Satznummer"/>
        </w:rPr>
        <w:t>2</w:t>
      </w:r>
      <w:r>
        <w:t xml:space="preserve">Er kann insbesondere verlangen, daß der Frachtführer das Gut nicht weiterbefördert oder es an einem anderen Bestimmungsort, an einer anderen Ablieferungsstelle oder an einen anderen Empfänger abliefert. </w:t>
      </w:r>
      <w:r>
        <w:rPr>
          <w:rStyle w:val="Satznummer"/>
        </w:rPr>
        <w:t>3</w:t>
      </w:r>
      <w:r>
        <w:t xml:space="preserve">Der Frachtführer ist nur insoweit zur Befolgung solcher Weisungen verpflichtet, als deren Ausführung weder Nachteile für den Betrieb seines Unternehmens noch Schäden für die Absender oder Empfänger anderer Sendungen mit sich zu bringen droht. </w:t>
      </w:r>
      <w:r>
        <w:rPr>
          <w:rStyle w:val="Satznummer"/>
        </w:rPr>
        <w:t>4</w:t>
      </w:r>
      <w:r>
        <w:t>Er kann vom Absender Ersatz seiner durch die Ausführung der Weisung entstehenden Aufwendungen sowie eine angemessene Vergütung verlangen; der Frachtführer kann die Befolgung der Weisung von einem Vorschuß abhängig machen.</w:t>
      </w:r>
    </w:p>
    <w:p>
      <w:r>
        <w:t xml:space="preserve">(2) </w:t>
      </w:r>
      <w:r>
        <w:rPr>
          <w:rStyle w:val="Satznummer"/>
        </w:rPr>
        <w:t>1</w:t>
      </w:r>
      <w:r>
        <w:t xml:space="preserve">Das Verfügungsrecht des Absenders erlischt nach Ankunft des Gutes an der Ablieferungsstelle. </w:t>
      </w:r>
      <w:r>
        <w:rPr>
          <w:rStyle w:val="Satznummer"/>
        </w:rPr>
        <w:t>2</w:t>
      </w:r>
      <w:r>
        <w:t xml:space="preserve">Von diesem Zeitpunkt an steht das Verfügungsrecht nach Absatz 1 dem Empfänger zu. </w:t>
      </w:r>
      <w:r>
        <w:rPr>
          <w:rStyle w:val="Satznummer"/>
        </w:rPr>
        <w:t>3</w:t>
      </w:r>
      <w:r>
        <w:t>Macht der Empfänger von diesem Recht Gebrauch, so hat er dem Frachtführer die entstehenden Mehraufwendungen zu ersetzen sowie eine angemessene Vergütung zu zahlen; der Frachtführer kann die Befolgung der Weisung von einem Vorschuß abhängig machen.</w:t>
      </w:r>
    </w:p>
    <w:p>
      <w:r>
        <w:t>(3) Hat der Empfänger in Ausübung seines Verfügungsrechts die Ablieferung des Gutes an einen Dritten angeordnet, so ist dieser nicht berechtigt, seinerseits einen anderen Empfänger zu bestimmen.</w:t>
      </w:r>
    </w:p>
    <w:p>
      <w:r>
        <w:t>(4) Ist ein Frachtbrief ausgestellt und von beiden Parteien unterzeichnet worden, so kann der Absender sein Verfügungsrecht nur gegen Vorlage der Absenderausfertigung des Frachtbriefs ausüben, sofern dies im Frachtbrief vorgeschrieben ist.</w:t>
      </w:r>
    </w:p>
    <w:p>
      <w:r>
        <w:t>(5) Beabsichtigt der Frachtführer, eine ihm erteilte Weisung nicht zu befolgen, so hat er denjenigen, der die Weisung gegeben hat, unverzüglich zu benachrichtigen.</w:t>
      </w:r>
    </w:p>
    <w:p>
      <w:r>
        <w:t xml:space="preserve">(6) </w:t>
      </w:r>
      <w:r>
        <w:rPr>
          <w:rStyle w:val="Satznummer"/>
        </w:rPr>
        <w:t>1</w:t>
      </w:r>
      <w:r>
        <w:t xml:space="preserve">Ist die Ausübung des Verfügungsrechts von der Vorlage des Frachtbriefs abhängig gemacht worden und führt der Frachtführer eine Weisung aus, ohne sich die Absenderausfertigung des Frachtbriefs vorlegen zu lassen, so haftet er dem Berechtigten für den daraus entstehenden Schaden. </w:t>
      </w:r>
      <w:r>
        <w:rPr>
          <w:rStyle w:val="Satznummer"/>
        </w:rPr>
        <w:t>2</w:t>
      </w:r>
      <w:r>
        <w:t>Die Haftung ist auf den Betrag begrenzt, der bei Verlust des Gutes zu zahlen wäre.</w:t>
      </w:r>
    </w:p>
    <w:p>
      <w:pPr>
        <w:pStyle w:val="Heading4"/>
      </w:pPr>
      <w:bookmarkStart w:id="568" w:name="b567"/>
      <w:r>
        <w:t>§ 419 Beförderungs- und Ablieferungshindernisse</w:t>
      </w:r>
      <w:r>
        <w:t xml:space="preserve"> </w:t>
      </w:r>
      <w:r>
        <w:rPr>
          <w:rStyle w:val="Suchmarke"/>
        </w:rPr>
        <w:t>#419#</w:t>
      </w:r>
      <w:bookmarkEnd w:id="568"/>
    </w:p>
    <w:p>
      <w:r>
        <w:t xml:space="preserve">(1) </w:t>
      </w:r>
      <w:r>
        <w:rPr>
          <w:rStyle w:val="Satznummer"/>
        </w:rPr>
        <w:t>1</w:t>
      </w:r>
      <w:r>
        <w:t xml:space="preserve">Wird nach Übernahme des Gutes erkennbar, dass die Beförderung oder Ablieferung nicht vertragsgemäß durchgeführt werden kann, so hat der Frachtführer Weisungen des nach § 418 oder § 446 Verfügungsberechtigten einzuholen. </w:t>
      </w:r>
      <w:r>
        <w:rPr>
          <w:rStyle w:val="Satznummer"/>
        </w:rPr>
        <w:t>2</w:t>
      </w:r>
      <w:r>
        <w:t xml:space="preserve">Ist der Empfänger verfügungsberechtigt und ist er nicht zu ermitteln oder verweigert er die Annahme des Gutes, so ist, wenn ein Ladeschein nicht ausgestellt ist, Verfügungsberechtigter nach Satz 1 der Absender; ist die Ausübung des Verfügungsrechts von der Vorlage eines Frachtbriefs abhängig gemacht worden, so bedarf es in diesem Fall der Vorlage des Frachtbriefs nicht. </w:t>
      </w:r>
      <w:r>
        <w:rPr>
          <w:rStyle w:val="Satznummer"/>
        </w:rPr>
        <w:t>3</w:t>
      </w:r>
      <w:r>
        <w:t xml:space="preserve">Der Frachtführer ist, wenn ihm Weisungen erteilt worden sind und das Hindernis nicht seinem Risikobereich zuzurechnen ist, berechtigt, Ansprüche nach </w:t>
      </w:r>
      <w:hyperlink w:anchor="b566" w:history="1">
        <w:r>
          <w:rPr>
            <w:color w:val="0A3A8C"/>
            <w:u w:val="single"/>
          </w:rPr>
          <w:t xml:space="preserve">§ 418</w:t>
        </w:r>
      </w:hyperlink>
      <w:r>
        <w:t xml:space="preserve"> Abs. 1 Satz 4 geltend zu machen.</w:t>
      </w:r>
    </w:p>
    <w:p>
      <w:r>
        <w:t xml:space="preserve">(2) Tritt das Beförderungs- oder Ablieferungshindernis ein, nachdem der Empfänger auf Grund seiner Verfügungsbefugnis nach </w:t>
      </w:r>
      <w:hyperlink w:anchor="b566" w:history="1">
        <w:r>
          <w:rPr>
            <w:color w:val="0A3A8C"/>
            <w:u w:val="single"/>
          </w:rPr>
          <w:t xml:space="preserve">§ 418</w:t>
        </w:r>
      </w:hyperlink>
      <w:r>
        <w:t xml:space="preserve"> die Weisung erteilt hat, das Gut an einen Dritten abzuliefern, so nimmt bei der Anwendung des Absatzes 1 der Empfänger die Stelle des Absenders und der Dritte die des Empfängers ein.</w:t>
      </w:r>
    </w:p>
    <w:p>
      <w:r>
        <w:t xml:space="preserve">(3) </w:t>
      </w:r>
      <w:r>
        <w:rPr>
          <w:rStyle w:val="Satznummer"/>
        </w:rPr>
        <w:t>1</w:t>
      </w:r>
      <w:r>
        <w:t xml:space="preserve">Kann der Frachtführer Weisungen, die er nach </w:t>
      </w:r>
      <w:hyperlink w:anchor="b566" w:history="1">
        <w:r>
          <w:rPr>
            <w:color w:val="0A3A8C"/>
            <w:u w:val="single"/>
          </w:rPr>
          <w:t xml:space="preserve">§ 418</w:t>
        </w:r>
      </w:hyperlink>
      <w:r>
        <w:t xml:space="preserve"> Abs. 1 Satz 3 befolgen müßte, innerhalb angemessener Zeit nicht erlangen, so hat er die Maßnahmen zu ergreifen, die im Interesse des Verfügungsberechtigten die besten zu sein scheinen. </w:t>
      </w:r>
      <w:r>
        <w:rPr>
          <w:rStyle w:val="Satznummer"/>
        </w:rPr>
        <w:t>2</w:t>
      </w:r>
      <w:r>
        <w:t xml:space="preserve">Er kann etwa das Gut entladen und verwahren, für Rechnung des nach § 418 oder § 446 Verfügungsberechtigten einem Dritten zur Verwahrung anvertrauen oder zurückbefördern; vertraut der Frachtführer das Gut einem Dritten an, so haftet er nur für die sorgfältige Auswahl des Dritten. </w:t>
      </w:r>
      <w:r>
        <w:rPr>
          <w:rStyle w:val="Satznummer"/>
        </w:rPr>
        <w:t>3</w:t>
      </w:r>
      <w:r>
        <w:t xml:space="preserve">Der Frachtführer kann das Gut auch gemäß </w:t>
      </w:r>
      <w:hyperlink w:anchor="b518" w:history="1">
        <w:r>
          <w:rPr>
            <w:color w:val="0A3A8C"/>
            <w:u w:val="single"/>
          </w:rPr>
          <w:t xml:space="preserve">§ 373</w:t>
        </w:r>
      </w:hyperlink>
      <w:r>
        <w:t xml:space="preserve"> Abs. 2 bis 4 verkaufen lassen, wenn es sich um verderbliche Ware handelt oder der Zustand des Gutes eine solche Maßnahme rechtfertigt oder wenn die andernfalls entstehenden Kosten in keinem angemessenen Verhältnis zum Wert des Gutes stehen. </w:t>
      </w:r>
      <w:r>
        <w:rPr>
          <w:rStyle w:val="Satznummer"/>
        </w:rPr>
        <w:t>4</w:t>
      </w:r>
      <w:r>
        <w:t xml:space="preserve">Unverwertbares Gut darf der Frachtführer vernichten. </w:t>
      </w:r>
      <w:r>
        <w:rPr>
          <w:rStyle w:val="Satznummer"/>
        </w:rPr>
        <w:t>5</w:t>
      </w:r>
      <w:r>
        <w:t>Nach dem Entladen des Gutes gilt die Beförderung als beendet.</w:t>
      </w:r>
    </w:p>
    <w:p>
      <w:r>
        <w:t>(4) Der Frachtführer hat wegen der nach Absatz 3 ergriffenen Maßnahmen Anspruch auf Ersatz der erforderlichen Aufwendungen und auf angemessene Vergütung, es sei denn, daß das Hindernis seinem Risikobereich zuzurechnen ist.</w:t>
      </w:r>
    </w:p>
    <w:p>
      <w:pPr>
        <w:pStyle w:val="Heading4"/>
      </w:pPr>
      <w:bookmarkStart w:id="569" w:name="b568"/>
      <w:r>
        <w:t>§ 420 Zahlung. Frachtberechnung</w:t>
      </w:r>
      <w:r>
        <w:t xml:space="preserve"> </w:t>
      </w:r>
      <w:r>
        <w:rPr>
          <w:rStyle w:val="Suchmarke"/>
        </w:rPr>
        <w:t>#420#</w:t>
      </w:r>
      <w:bookmarkEnd w:id="569"/>
    </w:p>
    <w:p>
      <w:r>
        <w:t xml:space="preserve">(1) </w:t>
      </w:r>
      <w:r>
        <w:rPr>
          <w:rStyle w:val="Satznummer"/>
        </w:rPr>
        <w:t>1</w:t>
      </w:r>
      <w:r>
        <w:t xml:space="preserve">Die Fracht ist bei Ablieferung des Gutes zu zahlen. </w:t>
      </w:r>
      <w:r>
        <w:rPr>
          <w:rStyle w:val="Satznummer"/>
        </w:rPr>
        <w:t>2</w:t>
      </w:r>
      <w:r>
        <w:t>Der Frachtführer hat über die Fracht hinaus einen Anspruch auf Ersatz von Aufwendungen, soweit diese für das Gut gemacht wurden und er sie den Umständen nach für erforderlich halten durfte.</w:t>
      </w:r>
    </w:p>
    <w:p>
      <w:r>
        <w:t xml:space="preserve">(2) </w:t>
      </w:r>
      <w:r>
        <w:rPr>
          <w:rStyle w:val="Satznummer"/>
        </w:rPr>
        <w:t>1</w:t>
      </w:r>
      <w:r>
        <w:t xml:space="preserve">Der Anspruch auf die Fracht entfällt, soweit die Beförderung unmöglich ist. </w:t>
      </w:r>
      <w:r>
        <w:rPr>
          <w:rStyle w:val="Satznummer"/>
        </w:rPr>
        <w:t>2</w:t>
      </w:r>
      <w:r>
        <w:t>Wird die Beförderung infolge eines Beförderungs- oder Ablieferungshindernisses vorzeitig beendet, so gebührt dem Frachtführer die anteilige Fracht für den zurückgelegten Teil der Beförderung, wenn diese für den Absender von Interesse ist.</w:t>
      </w:r>
    </w:p>
    <w:p>
      <w:r>
        <w:t xml:space="preserve">(3) </w:t>
      </w:r>
      <w:r>
        <w:rPr>
          <w:rStyle w:val="Satznummer"/>
        </w:rPr>
        <w:t>1</w:t>
      </w:r>
      <w:r>
        <w:t xml:space="preserve">Abweichend von Absatz 2 behält der Frachtführer den Anspruch auf die Fracht, wenn die Beförderung aus Gründen unmöglich ist, die dem Risikobereich des Absenders zuzurechnen sind oder die zu einer Zeit eintreten, zu welcher der Absender im Verzug der Annahme ist. </w:t>
      </w:r>
      <w:r>
        <w:rPr>
          <w:rStyle w:val="Satznummer"/>
        </w:rPr>
        <w:t>2</w:t>
      </w:r>
      <w:r>
        <w:t>Der Frachtführer muss sich jedoch das, was er an Aufwendungen erspart oder anderweitig erwirbt oder zu erwerben böswillig unterlässt, anrechnen lassen.</w:t>
      </w:r>
    </w:p>
    <w:p>
      <w:r>
        <w:t>(4) Tritt nach Beginn der Beförderung und vor Ankunft an der Ablieferungsstelle eine Verzögerung ein und beruht die Verzögerung auf Gründen, die dem Risikobereich des Absenders zuzurechnen sind, so gebührt dem Frachtführer neben der Fracht eine angemessene Vergütung.</w:t>
      </w:r>
    </w:p>
    <w:p>
      <w:r>
        <w:t>(5) Ist die Fracht nach Zahl, Gewicht oder anders angegebener Menge des Gutes vereinbart, so wird für die Berechnung der Fracht vermutet, daß Angaben hierzu im Frachtbrief oder Ladeschein zutreffen; dies gilt auch dann, wenn zu diesen Angaben ein Vorbehalt eingetragen ist, der damit begründet ist, daß keine angemessenen Mittel zur Verfügung standen, die Richtigkeit der Angaben zu überprüfen.</w:t>
      </w:r>
    </w:p>
    <w:p>
      <w:pPr>
        <w:pStyle w:val="Heading4"/>
      </w:pPr>
      <w:bookmarkStart w:id="570" w:name="b569"/>
      <w:r>
        <w:t>§ 421 Rechte des Empfängers. Zahlungspflicht</w:t>
      </w:r>
      <w:r>
        <w:t xml:space="preserve"> </w:t>
      </w:r>
      <w:r>
        <w:rPr>
          <w:rStyle w:val="Suchmarke"/>
        </w:rPr>
        <w:t>#421#</w:t>
      </w:r>
      <w:bookmarkEnd w:id="570"/>
    </w:p>
    <w:p>
      <w:r>
        <w:t xml:space="preserve">(1) </w:t>
      </w:r>
      <w:r>
        <w:rPr>
          <w:rStyle w:val="Satznummer"/>
        </w:rPr>
        <w:t>1</w:t>
      </w:r>
      <w:r>
        <w:t xml:space="preserve">Nach Ankunft des Gutes an der Ablieferungsstelle ist der Empfänger berechtigt, vom Frachtführer zu verlangen, ihm das Gut gegen Erfüllung der Verpflichtungen aus dem Frachtvertrag abzuliefern. </w:t>
      </w:r>
      <w:r>
        <w:rPr>
          <w:rStyle w:val="Satznummer"/>
        </w:rPr>
        <w:t>2</w:t>
      </w:r>
      <w:r>
        <w:t xml:space="preserve">Ist das Gut beschädigt oder verspätet abgeliefert worden oder verlorengegangen, so kann der Empfänger die Ansprüche aus dem Frachtvertrag im eigenen Namen gegen den Frachtführer geltend machen; der Absender bleibt zur Geltendmachung dieser Ansprüche befugt. </w:t>
      </w:r>
      <w:r>
        <w:rPr>
          <w:rStyle w:val="Satznummer"/>
        </w:rPr>
        <w:t>3</w:t>
      </w:r>
      <w:r>
        <w:t>Dabei macht es keinen Unterschied, ob Empfänger oder Absender im eigenen oder fremden Interesse handeln.</w:t>
      </w:r>
    </w:p>
    <w:p>
      <w:r>
        <w:t xml:space="preserve">(2) </w:t>
      </w:r>
      <w:r>
        <w:rPr>
          <w:rStyle w:val="Satznummer"/>
        </w:rPr>
        <w:t>1</w:t>
      </w:r>
      <w:r>
        <w:t xml:space="preserve">Der Empfänger, der sein Recht nach Absatz 1 Satz 1 geltend macht, hat die noch geschuldete Fracht bis zu dem Betrag zu zahlen, der aus dem Frachtbrief hervorgeht. </w:t>
      </w:r>
      <w:r>
        <w:rPr>
          <w:rStyle w:val="Satznummer"/>
        </w:rPr>
        <w:t>2</w:t>
      </w:r>
      <w:r>
        <w:t>Ist ein Frachtbrief nicht ausgestellt oder dem Empfänger nicht vorgelegt worden oder ergibt sich aus dem Frachtbrief nicht die Höhe der zu zahlenden Fracht, so hat der Empfänger die mit dem Absender vereinbarte Fracht zu zahlen, soweit diese nicht unangemessen ist.</w:t>
      </w:r>
    </w:p>
    <w:p>
      <w:r>
        <w:t xml:space="preserve">(3) Der Empfänger, der sein Recht nach Absatz 1 Satz 1 geltend macht, hat ferner ein Standgeld oder eine Vergütung nach </w:t>
      </w:r>
      <w:hyperlink w:anchor="b568" w:history="1">
        <w:r>
          <w:rPr>
            <w:color w:val="0A3A8C"/>
            <w:u w:val="single"/>
          </w:rPr>
          <w:t xml:space="preserve">§ 420</w:t>
        </w:r>
      </w:hyperlink>
      <w:r>
        <w:t xml:space="preserve"> Absatz 4 zu zahlen, ein Standgeld wegen Überschreitung der Ladezeit und eine Vergütung nach </w:t>
      </w:r>
      <w:hyperlink w:anchor="b568" w:history="1">
        <w:r>
          <w:rPr>
            <w:color w:val="0A3A8C"/>
            <w:u w:val="single"/>
          </w:rPr>
          <w:t xml:space="preserve">§ 420</w:t>
        </w:r>
      </w:hyperlink>
      <w:r>
        <w:t xml:space="preserve"> Absatz 4 jedoch nur, wenn ihm der geschuldete Betrag bei Ablieferung des Gutes mitgeteilt worden ist.</w:t>
      </w:r>
    </w:p>
    <w:p>
      <w:r>
        <w:t>(4) Der Absender bleibt zur Zahlung der nach dem Vertrag geschuldeten Beträge verpflichtet.</w:t>
      </w:r>
    </w:p>
    <w:p>
      <w:pPr>
        <w:pStyle w:val="Heading4"/>
      </w:pPr>
      <w:bookmarkStart w:id="571" w:name="b570"/>
      <w:r>
        <w:t>§ 422 Nachnahme</w:t>
      </w:r>
      <w:r>
        <w:t xml:space="preserve"> </w:t>
      </w:r>
      <w:r>
        <w:rPr>
          <w:rStyle w:val="Suchmarke"/>
        </w:rPr>
        <w:t>#422#</w:t>
      </w:r>
      <w:bookmarkEnd w:id="571"/>
    </w:p>
    <w:p>
      <w:r>
        <w:t>(1) Haben die Parteien vereinbart, daß das Gut nur gegen Einziehung einer Nachnahme an den Empfänger abgeliefert werden darf, so ist anzunehmen, daß der Betrag in bar oder in Form eines gleichwertigen Zahlungsmittels einzuziehen ist.</w:t>
      </w:r>
    </w:p>
    <w:p>
      <w:r>
        <w:t>(2) Das auf Grund der Einziehung Erlangte gilt im Verhältnis zu den Gläubigern des Frachtführers als auf den Absender übertragen.</w:t>
      </w:r>
    </w:p>
    <w:p>
      <w:r>
        <w:t>(3) Wird das Gut dem Empfänger ohne Einziehung der Nachnahme abgeliefert, so haftet der Frachtführer, auch wenn ihn kein Verschulden trifft, dem Absender für den daraus entstehenden Schaden, jedoch nur bis zur Höhe des Betrages der Nachnahme.</w:t>
      </w:r>
    </w:p>
    <w:p>
      <w:pPr>
        <w:pStyle w:val="Heading4"/>
      </w:pPr>
      <w:bookmarkStart w:id="572" w:name="b571"/>
      <w:r>
        <w:t>§ 423 Lieferfrist</w:t>
      </w:r>
      <w:r>
        <w:t xml:space="preserve"> </w:t>
      </w:r>
      <w:r>
        <w:rPr>
          <w:rStyle w:val="Suchmarke"/>
        </w:rPr>
        <w:t>#423#</w:t>
      </w:r>
      <w:bookmarkEnd w:id="572"/>
    </w:p>
    <w:p>
      <w:r>
        <w:t>Der Frachtführer ist verpflichtet, das Gut innerhalb der vereinbarten Frist oder mangels Vereinbarung innerhalb der Frist abzuliefern, die einem sorgfältigen Frachtführer unter Berücksichtigung der Umstände vernünftigerweise zuzubilligen ist (Lieferfrist).</w:t>
      </w:r>
    </w:p>
    <w:p>
      <w:pPr>
        <w:pStyle w:val="Heading4"/>
      </w:pPr>
      <w:bookmarkStart w:id="573" w:name="b572"/>
      <w:r>
        <w:t>§ 424 Verlustvermutung</w:t>
      </w:r>
      <w:r>
        <w:t xml:space="preserve"> </w:t>
      </w:r>
      <w:r>
        <w:rPr>
          <w:rStyle w:val="Suchmarke"/>
        </w:rPr>
        <w:t>#424#</w:t>
      </w:r>
      <w:bookmarkEnd w:id="573"/>
    </w:p>
    <w:p>
      <w:r>
        <w:t>(1) Der Anspruchsberechtigte kann das Gut als verloren betrachten, wenn es weder innerhalb der Lieferfrist noch innerhalb eines weiteren Zeitraums abgeliefert wird, der der Lieferfrist entspricht, mindestens aber zwanzig Tage, bei einer grenzüberschreitenden Beförderung dreißig Tage beträgt.</w:t>
      </w:r>
    </w:p>
    <w:p>
      <w:r>
        <w:t>(2) Erhält der Anspruchsberechtigte eine Entschädigung für den Verlust des Gutes, so kann er bei deren Empfang verlangen, daß er unverzüglich benachrichtigt wird, wenn das Gut wiederaufgefunden wird.</w:t>
      </w:r>
    </w:p>
    <w:p>
      <w:r>
        <w:t xml:space="preserve">(3) </w:t>
      </w:r>
      <w:r>
        <w:rPr>
          <w:rStyle w:val="Satznummer"/>
        </w:rPr>
        <w:t>1</w:t>
      </w:r>
      <w:r>
        <w:t xml:space="preserve">Der Anspruchsberechtigte kann innerhalb eines Monats nach Empfang der Benachrichtigung von dem Wiederauffinden des Gutes verlangen, daß ihm das Gut Zug um Zug gegen Erstattung der Entschädigung, gegebenenfalls abzüglich der in der Entschädigung enthaltenen Kosten, abgeliefert wird. </w:t>
      </w:r>
      <w:r>
        <w:rPr>
          <w:rStyle w:val="Satznummer"/>
        </w:rPr>
        <w:t>2</w:t>
      </w:r>
      <w:r>
        <w:t>Eine etwaige Pflicht zur Zahlung der Fracht sowie Ansprüche auf Schadenersatz bleiben unberührt.</w:t>
      </w:r>
    </w:p>
    <w:p>
      <w:r>
        <w:t>(4) Wird das Gut nach Zahlung einer Entschädigung wiederaufgefunden und hat der Anspruchsberechtigte eine Benachrichtigung nicht verlangt oder macht er nach Benachrichtigung seinen Anspruch auf Ablieferung nicht geltend, so kann der Frachtführer über das Gut frei verfügen.</w:t>
      </w:r>
    </w:p>
    <w:p>
      <w:pPr>
        <w:pStyle w:val="Heading4"/>
      </w:pPr>
      <w:bookmarkStart w:id="574" w:name="b573"/>
      <w:r>
        <w:t>§ 425 Haftung für Güter- und Verspätungsschäden. Schadensteilung</w:t>
      </w:r>
      <w:r>
        <w:t xml:space="preserve"> </w:t>
      </w:r>
      <w:r>
        <w:rPr>
          <w:rStyle w:val="Suchmarke"/>
        </w:rPr>
        <w:t>#425#</w:t>
      </w:r>
      <w:bookmarkEnd w:id="574"/>
    </w:p>
    <w:p>
      <w:r>
        <w:t>(1) Der Frachtführer haftet für den Schaden, der durch Verlust oder Beschädigung des Gutes in der Zeit von der Übernahme zur Beförderung bis zur Ablieferung oder durch Überschreitung der Lieferfrist entsteht.</w:t>
      </w:r>
    </w:p>
    <w:p>
      <w:r>
        <w:t>(2) Hat bei der Entstehung des Schadens ein Verhalten des Absenders oder des Empfängers oder ein besonderer Mangel des Gutes mitgewirkt, so hängen die Verpflichtung zum Ersatz sowie der Umfang des zu leistenden Ersatzes davon ab, inwieweit diese Umstände zu dem Schaden beigetragen haben.</w:t>
      </w:r>
    </w:p>
    <w:p>
      <w:pPr>
        <w:pStyle w:val="Heading4"/>
      </w:pPr>
      <w:bookmarkStart w:id="575" w:name="b574"/>
      <w:r>
        <w:t>§ 426 Haftungsausschluß</w:t>
      </w:r>
      <w:r>
        <w:t xml:space="preserve"> </w:t>
      </w:r>
      <w:r>
        <w:rPr>
          <w:rStyle w:val="Suchmarke"/>
        </w:rPr>
        <w:t>#426#</w:t>
      </w:r>
      <w:bookmarkEnd w:id="575"/>
    </w:p>
    <w:p>
      <w:r>
        <w:t>Der Frachtführer ist von der Haftung befreit, soweit der Verlust, die Beschädigung oder die Überschreitung der Lieferfrist auf Umständen beruht, die der Frachtführer auch bei größter Sorgfalt nicht vermeiden und deren Folgen er nicht abwenden konnte.</w:t>
      </w:r>
    </w:p>
    <w:p>
      <w:pPr>
        <w:pStyle w:val="Heading4"/>
      </w:pPr>
      <w:bookmarkStart w:id="576" w:name="b575"/>
      <w:r>
        <w:t>§ 427 Besondere Haftungsausschlußgründe</w:t>
      </w:r>
      <w:r>
        <w:t xml:space="preserve"> </w:t>
      </w:r>
      <w:r>
        <w:rPr>
          <w:rStyle w:val="Suchmarke"/>
        </w:rPr>
        <w:t>#427#</w:t>
      </w:r>
      <w:bookmarkEnd w:id="576"/>
    </w:p>
    <w:p>
      <w:r>
        <w:t>(1) Der Frachtführer ist von seiner Haftung befreit, soweit der Verlust, die Beschädigung oder die Überschreitung der Lieferfrist auf eine der folgenden Gefahren zurückzuführen ist:</w:t>
      </w:r>
    </w:p>
    <w:p>
      <w:pPr>
        <w:tabs>
          <w:tab w:pos="567" w:val="left"/>
        </w:tabs>
        <w:ind w:left="567" w:hanging="567"/>
      </w:pPr>
      <w:r>
        <w:t>1.</w:t>
      </w:r>
      <w:r>
        <w:tab/>
      </w:r>
      <w:r>
        <w:t>vereinbarte oder der Übung entsprechende Verwendung von offenen, nicht mit Planen gedeckten Fahrzeugen oder Verladung auf Deck;</w:t>
      </w:r>
    </w:p>
    <w:p>
      <w:pPr>
        <w:tabs>
          <w:tab w:pos="567" w:val="left"/>
        </w:tabs>
        <w:ind w:left="567" w:hanging="567"/>
      </w:pPr>
      <w:r>
        <w:t>2.</w:t>
      </w:r>
      <w:r>
        <w:tab/>
      </w:r>
      <w:r>
        <w:t>ungenügende Verpackung durch den Absender;</w:t>
      </w:r>
    </w:p>
    <w:p>
      <w:pPr>
        <w:tabs>
          <w:tab w:pos="567" w:val="left"/>
        </w:tabs>
        <w:ind w:left="567" w:hanging="567"/>
      </w:pPr>
      <w:r>
        <w:t>3.</w:t>
      </w:r>
      <w:r>
        <w:tab/>
      </w:r>
      <w:r>
        <w:t>Behandeln, Verladen oder Entladen des Gutes durch den Absender oder den Empfänger;</w:t>
      </w:r>
    </w:p>
    <w:p>
      <w:pPr>
        <w:tabs>
          <w:tab w:pos="567" w:val="left"/>
        </w:tabs>
        <w:ind w:left="567" w:hanging="567"/>
      </w:pPr>
      <w:r>
        <w:t>4.</w:t>
      </w:r>
      <w:r>
        <w:tab/>
      </w:r>
      <w:r>
        <w:t>natürliche Beschaffenheit des Gutes, die besonders leicht zu Schäden, insbesondere durch Bruch, Rost, inneren Verderb, Austrocknen, Auslaufen, normalen Schwund, führt;</w:t>
      </w:r>
    </w:p>
    <w:p>
      <w:pPr>
        <w:tabs>
          <w:tab w:pos="567" w:val="left"/>
        </w:tabs>
        <w:ind w:left="567" w:hanging="567"/>
      </w:pPr>
      <w:r>
        <w:t>5.</w:t>
      </w:r>
      <w:r>
        <w:tab/>
      </w:r>
      <w:r>
        <w:t>ungenügende Kennzeichnung der Frachtstücke durch den Absender;</w:t>
      </w:r>
    </w:p>
    <w:p>
      <w:pPr>
        <w:tabs>
          <w:tab w:pos="567" w:val="left"/>
        </w:tabs>
        <w:ind w:left="567" w:hanging="567"/>
      </w:pPr>
      <w:r>
        <w:t>6.</w:t>
      </w:r>
      <w:r>
        <w:tab/>
      </w:r>
      <w:r>
        <w:t>Beförderung lebender Tiere.</w:t>
      </w:r>
    </w:p>
    <w:p>
      <w:r>
        <w:t xml:space="preserve">(2) </w:t>
      </w:r>
      <w:r>
        <w:rPr>
          <w:rStyle w:val="Satznummer"/>
        </w:rPr>
        <w:t>1</w:t>
      </w:r>
      <w:r>
        <w:t xml:space="preserve">Ist ein Schaden eingetreten, der nach den Umständen des Falles aus einer der in Absatz 1 bezeichneten Gefahren entstehen konnte, so wird vermutet, daß der Schaden aus dieser Gefahr entstanden ist. </w:t>
      </w:r>
      <w:r>
        <w:rPr>
          <w:rStyle w:val="Satznummer"/>
        </w:rPr>
        <w:t>2</w:t>
      </w:r>
      <w:r>
        <w:t>Diese Vermutung gilt im Falle des Absatzes 1 Nr. 1 nicht bei außergewöhnlich großem Verlust.</w:t>
      </w:r>
    </w:p>
    <w:p>
      <w:r>
        <w:t>(3) Der Frachtführer kann sich auf Absatz 1 Nr. 1 nur berufen, soweit der Verlust, die Beschädigung oder die Überschreitung der Lieferfrist nicht darauf zurückzuführen ist, daß der Frachtführer besondere Weisungen des Absenders im Hinblick auf die Beförderung des Gutes nicht beachtet hat.</w:t>
      </w:r>
    </w:p>
    <w:p>
      <w:r>
        <w:t>(4) Ist der Frachtführer nach dem Frachtvertrag verpflichtet, das Gut gegen die Einwirkung von Hitze, Kälte, Temperaturschwankungen, Luftfeuchtigkeit, Erschütterungen oder ähnlichen Einflüssen besonders zu schützen, so kann er sich auf Absatz 1 Nr. 4 nur berufen, wenn er alle ihm nach den Umständen obliegenden Maßnahmen, insbesondere hinsichtlich der Auswahl, Instandhaltung und Verwendung besonderer Einrichtungen, getroffen und besondere Weisungen beachtet hat.</w:t>
      </w:r>
    </w:p>
    <w:p>
      <w:r>
        <w:t>(5) Der Frachtführer kann sich auf Absatz 1 Nr. 6 nur berufen, wenn er alle ihm nach den Umständen obliegenden Maßnahmen getroffen und besondere Weisungen beachtet hat.</w:t>
      </w:r>
    </w:p>
    <w:p>
      <w:pPr>
        <w:pStyle w:val="Heading4"/>
      </w:pPr>
      <w:bookmarkStart w:id="577" w:name="b576"/>
      <w:r>
        <w:t>§ 428 Haftung für andere</w:t>
      </w:r>
      <w:r>
        <w:t xml:space="preserve"> </w:t>
      </w:r>
      <w:r>
        <w:rPr>
          <w:rStyle w:val="Suchmarke"/>
        </w:rPr>
        <w:t>#428#</w:t>
      </w:r>
      <w:bookmarkEnd w:id="577"/>
    </w:p>
    <w:p>
      <w:r>
        <w:rPr>
          <w:rStyle w:val="Satznummer"/>
        </w:rPr>
        <w:t>1</w:t>
      </w:r>
      <w:r>
        <w:t xml:space="preserve">Der Frachtführer hat Handlungen und Unterlassungen seiner Leute in gleichem Umfange zu vertreten wie eigene Handlungen und Unterlassungen, wenn die Leute in Ausübung ihrer Verrichtungen handeln. </w:t>
      </w:r>
      <w:r>
        <w:rPr>
          <w:rStyle w:val="Satznummer"/>
        </w:rPr>
        <w:t>2</w:t>
      </w:r>
      <w:r>
        <w:t>Gleiches gilt für Handlungen und Unterlassungen anderer Personen, deren er sich bei Ausführung der Beförderung bedient.</w:t>
      </w:r>
    </w:p>
    <w:p>
      <w:pPr>
        <w:pStyle w:val="Heading4"/>
      </w:pPr>
      <w:bookmarkStart w:id="578" w:name="b577"/>
      <w:r>
        <w:t>§ 429 Wertersatz</w:t>
      </w:r>
      <w:r>
        <w:t xml:space="preserve"> </w:t>
      </w:r>
      <w:r>
        <w:rPr>
          <w:rStyle w:val="Suchmarke"/>
        </w:rPr>
        <w:t>#429#</w:t>
      </w:r>
      <w:bookmarkEnd w:id="578"/>
    </w:p>
    <w:p>
      <w:r>
        <w:t>(1) Hat der Frachtführer für gänzlichen oder teilweisen Verlust des Gutes Schadenersatz zu leisten, so ist der Wert am Ort und zur Zeit der Übernahme zur Beförderung zu ersetzen.</w:t>
      </w:r>
    </w:p>
    <w:p>
      <w:r>
        <w:t xml:space="preserve">(2) </w:t>
      </w:r>
      <w:r>
        <w:rPr>
          <w:rStyle w:val="Satznummer"/>
        </w:rPr>
        <w:t>1</w:t>
      </w:r>
      <w:r>
        <w:t xml:space="preserve">Bei Beschädigung des Gutes ist der Unterschied zwischen dem Wert des unbeschädigten Gutes am Ort und zur Zeit der Übernahme zur Beförderung und dem Wert zu ersetzen, den das beschädigte Gut am Ort und zur Zeit der Übernahme gehabt hätte. </w:t>
      </w:r>
      <w:r>
        <w:rPr>
          <w:rStyle w:val="Satznummer"/>
        </w:rPr>
        <w:t>2</w:t>
      </w:r>
      <w:r>
        <w:t>Es wird vermutet, daß die zur Schadensminderung und Schadensbehebung aufzuwendenden Kosten dem nach Satz 1 zu ermittelnden Unterschiedsbetrag entsprechen.</w:t>
      </w:r>
    </w:p>
    <w:p>
      <w:r>
        <w:t xml:space="preserve">(3) </w:t>
      </w:r>
      <w:r>
        <w:rPr>
          <w:rStyle w:val="Satznummer"/>
        </w:rPr>
        <w:t>1</w:t>
      </w:r>
      <w:r>
        <w:t xml:space="preserve">Der Wert des Gutes bestimmt sich nach dem Marktpreis, sonst nach dem gemeinen Wert von Gütern gleicher Art und Beschaffenheit. </w:t>
      </w:r>
      <w:r>
        <w:rPr>
          <w:rStyle w:val="Satznummer"/>
        </w:rPr>
        <w:t>2</w:t>
      </w:r>
      <w:r>
        <w:t>Ist das Gut unmittelbar vor Übernahme zur Beförderung verkauft worden, so wird vermutet, daß der in der Rechnung des Verkäufers ausgewiesene Kaufpreis abzüglich darin enthaltener Beförderungskosten der Marktpreis ist.</w:t>
      </w:r>
    </w:p>
    <w:p>
      <w:pPr>
        <w:pStyle w:val="Heading4"/>
      </w:pPr>
      <w:bookmarkStart w:id="579" w:name="b578"/>
      <w:r>
        <w:t>§ 430 Schadensfeststellungskosten</w:t>
      </w:r>
      <w:r>
        <w:t xml:space="preserve"> </w:t>
      </w:r>
      <w:r>
        <w:rPr>
          <w:rStyle w:val="Suchmarke"/>
        </w:rPr>
        <w:t>#430#</w:t>
      </w:r>
      <w:bookmarkEnd w:id="579"/>
    </w:p>
    <w:p>
      <w:r>
        <w:t xml:space="preserve">Bei Verlust oder Beschädigung des Gutes hat der Frachtführer über den nach </w:t>
      </w:r>
      <w:hyperlink w:anchor="b577" w:history="1">
        <w:r>
          <w:rPr>
            <w:color w:val="0A3A8C"/>
            <w:u w:val="single"/>
          </w:rPr>
          <w:t xml:space="preserve">§ 429</w:t>
        </w:r>
      </w:hyperlink>
      <w:r>
        <w:t xml:space="preserve"> zu leistenden Ersatz hinaus die Kosten der Feststellung des Schadens zu tragen.</w:t>
      </w:r>
    </w:p>
    <w:p>
      <w:pPr>
        <w:pStyle w:val="Heading4"/>
      </w:pPr>
      <w:bookmarkStart w:id="580" w:name="b579"/>
      <w:r>
        <w:t>§ 431 Haftungshöchstbetrag</w:t>
      </w:r>
      <w:r>
        <w:t xml:space="preserve"> </w:t>
      </w:r>
      <w:r>
        <w:rPr>
          <w:rStyle w:val="Suchmarke"/>
        </w:rPr>
        <w:t>#431#</w:t>
      </w:r>
      <w:bookmarkEnd w:id="580"/>
    </w:p>
    <w:p>
      <w:r>
        <w:t xml:space="preserve">(1) Die nach den </w:t>
      </w:r>
      <w:hyperlink w:anchor="b577" w:history="1">
        <w:r>
          <w:rPr>
            <w:color w:val="0A3A8C"/>
            <w:u w:val="single"/>
          </w:rPr>
          <w:t xml:space="preserve">§§ 429</w:t>
        </w:r>
      </w:hyperlink>
      <w:r>
        <w:t xml:space="preserve"> und </w:t>
      </w:r>
      <w:hyperlink w:anchor="b578" w:history="1">
        <w:r>
          <w:rPr>
            <w:color w:val="0A3A8C"/>
            <w:u w:val="single"/>
          </w:rPr>
          <w:t xml:space="preserve">430</w:t>
        </w:r>
      </w:hyperlink>
      <w:r>
        <w:t xml:space="preserve"> zu leistende Entschädigung wegen Verlust oder Beschädigung ist auf einen Betrag von 8,33 Rechnungseinheiten für jedes Kilogramm des Rohgewichts des Gutes begrenzt.</w:t>
      </w:r>
    </w:p>
    <w:p>
      <w:r>
        <w:t>(2) Besteht das Gut aus mehreren Frachtstücken (Sendung) und sind nur einzelne Frachtstücke verloren oder beschädigt worden, so ist der Berechnung nach Absatz 1</w:t>
      </w:r>
    </w:p>
    <w:p>
      <w:pPr>
        <w:tabs>
          <w:tab w:pos="567" w:val="left"/>
        </w:tabs>
        <w:ind w:left="567" w:hanging="567"/>
      </w:pPr>
      <w:r>
        <w:t>1.</w:t>
      </w:r>
      <w:r>
        <w:tab/>
      </w:r>
      <w:r>
        <w:t>die gesamte Sendung zu Grunde zu legen, wenn die gesamte Sendung entwertet ist, oder</w:t>
      </w:r>
    </w:p>
    <w:p>
      <w:pPr>
        <w:tabs>
          <w:tab w:pos="567" w:val="left"/>
        </w:tabs>
        <w:ind w:left="567" w:hanging="567"/>
      </w:pPr>
      <w:r>
        <w:t>2.</w:t>
      </w:r>
      <w:r>
        <w:tab/>
      </w:r>
      <w:r>
        <w:t>der entwertete Teil der Sendung zu Grunde zu legen, wenn nur ein Teil der Sendung entwertet ist.</w:t>
      </w:r>
    </w:p>
    <w:p>
      <w:r>
        <w:t>(3) Die Haftung des Frachtführers wegen Überschreitung der Lieferfrist ist auf den dreifachen Betrag der Fracht begrenzt.</w:t>
      </w:r>
    </w:p>
    <w:p>
      <w:r>
        <w:t xml:space="preserve">(4) </w:t>
      </w:r>
      <w:r>
        <w:rPr>
          <w:rStyle w:val="Satznummer"/>
        </w:rPr>
        <w:t>1</w:t>
      </w:r>
      <w:r>
        <w:t xml:space="preserve">Die in den Absätzen 1 und 2 genannte Rechnungseinheit ist das Sonderziehungsrecht des Internationalen Währungsfonds. </w:t>
      </w:r>
      <w:r>
        <w:rPr>
          <w:rStyle w:val="Satznummer"/>
        </w:rPr>
        <w:t>2</w:t>
      </w:r>
      <w:r>
        <w:t xml:space="preserve">Der Betrag wird in Euro entsprechend dem Wert des Euro gegenüber dem Sonderziehungsrecht am Tag der Übernahme des Gutes zur Beförderung oder an dem von den Parteien vereinbarten Tag umgerechnet. </w:t>
      </w:r>
      <w:r>
        <w:rPr>
          <w:rStyle w:val="Satznummer"/>
        </w:rPr>
        <w:t>3</w:t>
      </w:r>
      <w:r>
        <w:t>Der Wert des Euro gegenüber dem Sonderziehungsrecht wird nach der Berechnungsmethode ermittelt, die der Internationale Währungsfonds an dem betreffenden Tag für seine Operationen und Transaktionen anwendet.</w:t>
      </w:r>
    </w:p>
    <w:p>
      <w:pPr>
        <w:pStyle w:val="Heading4"/>
      </w:pPr>
      <w:bookmarkStart w:id="581" w:name="b580"/>
      <w:r>
        <w:t>§ 432 Ersatz sonstiger Kosten</w:t>
      </w:r>
      <w:r>
        <w:t xml:space="preserve"> </w:t>
      </w:r>
      <w:r>
        <w:rPr>
          <w:rStyle w:val="Suchmarke"/>
        </w:rPr>
        <w:t>#432#</w:t>
      </w:r>
      <w:bookmarkEnd w:id="581"/>
    </w:p>
    <w:p>
      <w:r>
        <w:rPr>
          <w:rStyle w:val="Satznummer"/>
        </w:rPr>
        <w:t>1</w:t>
      </w:r>
      <w:r>
        <w:t xml:space="preserve">Haftet der Frachtführer wegen Verlust oder Beschädigung, so hat er über den nach den </w:t>
      </w:r>
      <w:hyperlink w:anchor="b577" w:history="1">
        <w:r>
          <w:rPr>
            <w:color w:val="0A3A8C"/>
            <w:u w:val="single"/>
          </w:rPr>
          <w:t xml:space="preserve">§§ 429</w:t>
        </w:r>
      </w:hyperlink>
      <w:r>
        <w:t xml:space="preserve"> bis </w:t>
      </w:r>
      <w:hyperlink w:anchor="b579" w:history="1">
        <w:r>
          <w:rPr>
            <w:color w:val="0A3A8C"/>
            <w:u w:val="single"/>
          </w:rPr>
          <w:t xml:space="preserve">431</w:t>
        </w:r>
      </w:hyperlink>
      <w:r>
        <w:t xml:space="preserve"> zu leistenden Ersatz hinaus die Fracht, öffentliche Abgaben und sonstige Kosten aus Anlaß der Beförderung des Gutes zu erstatten, im Fall der Beschädigung jedoch nur in dem nach </w:t>
      </w:r>
      <w:hyperlink w:anchor="b577" w:history="1">
        <w:r>
          <w:rPr>
            <w:color w:val="0A3A8C"/>
            <w:u w:val="single"/>
          </w:rPr>
          <w:t xml:space="preserve">§ 429</w:t>
        </w:r>
      </w:hyperlink>
      <w:r>
        <w:t xml:space="preserve"> Abs. 2 zu ermittelnden Wertverhältnis. </w:t>
      </w:r>
      <w:r>
        <w:rPr>
          <w:rStyle w:val="Satznummer"/>
        </w:rPr>
        <w:t>2</w:t>
      </w:r>
      <w:r>
        <w:t>Weiteren Schaden hat er nicht zu ersetzen.</w:t>
      </w:r>
    </w:p>
    <w:p>
      <w:pPr>
        <w:pStyle w:val="Heading4"/>
      </w:pPr>
      <w:bookmarkStart w:id="582" w:name="b581"/>
      <w:r>
        <w:t>§ 433 Haftungshöchstbetrag bei sonstigen Vermögensschäden</w:t>
      </w:r>
      <w:r>
        <w:t xml:space="preserve"> </w:t>
      </w:r>
      <w:r>
        <w:rPr>
          <w:rStyle w:val="Suchmarke"/>
        </w:rPr>
        <w:t>#433#</w:t>
      </w:r>
      <w:bookmarkEnd w:id="582"/>
    </w:p>
    <w:p>
      <w:r>
        <w:t>Haftet der Frachtführer wegen der Verletzung einer mit der Ausführung der Beförderung des Gutes zusammenhängenden vertraglichen Pflicht für Schäden, die nicht durch Verlust oder Beschädigung des Gutes oder durch Überschreitung der Lieferfrist entstehen, und handelt es sich um andere Schäden als Sach- oder Personenschäden, so ist auch in diesem Falle die Haftung begrenzt, und zwar auf das Dreifache des Betrages, der bei Verlust des Gutes zu zahlen wäre.</w:t>
      </w:r>
    </w:p>
    <w:p>
      <w:pPr>
        <w:pStyle w:val="Heading4"/>
      </w:pPr>
      <w:bookmarkStart w:id="583" w:name="b582"/>
      <w:r>
        <w:t>§ 434 Außervertragliche Ansprüche</w:t>
      </w:r>
      <w:r>
        <w:t xml:space="preserve"> </w:t>
      </w:r>
      <w:r>
        <w:rPr>
          <w:rStyle w:val="Suchmarke"/>
        </w:rPr>
        <w:t>#434#</w:t>
      </w:r>
      <w:bookmarkEnd w:id="583"/>
    </w:p>
    <w:p>
      <w:r>
        <w:t>(1) Die in diesem Unterabschnitt und im Frachtvertrag vorgesehenen Haftungsbefreiungen und Haftungsbegrenzungen gelten auch für einen außervertraglichen Anspruch des Absenders oder des Empfängers gegen den Frachtführer wegen Verlust oder Beschädigung des Gutes oder wegen Überschreitung der Lieferfrist.</w:t>
      </w:r>
    </w:p>
    <w:p>
      <w:r>
        <w:t xml:space="preserve">(2) </w:t>
      </w:r>
      <w:r>
        <w:rPr>
          <w:rStyle w:val="Satznummer"/>
        </w:rPr>
        <w:t>1</w:t>
      </w:r>
      <w:r>
        <w:t xml:space="preserve">Der Frachtführer kann auch gegenüber außervertraglichen Ansprüchen Dritter wegen Verlust oder Beschädigung des Gutes die Einwendungen nach Absatz 1 geltend machen. </w:t>
      </w:r>
      <w:r>
        <w:rPr>
          <w:rStyle w:val="Satznummer"/>
        </w:rPr>
        <w:t>2</w:t>
      </w:r>
      <w:r>
        <w:t>Die Einwendungen können jedoch nicht geltend gemacht werden, wenn</w:t>
      </w:r>
    </w:p>
    <w:p>
      <w:pPr>
        <w:tabs>
          <w:tab w:pos="567" w:val="left"/>
        </w:tabs>
        <w:ind w:left="567" w:hanging="567"/>
      </w:pPr>
      <w:r>
        <w:t>1.</w:t>
      </w:r>
      <w:r>
        <w:tab/>
      </w:r>
      <w:r>
        <w:t xml:space="preserve">sie auf eine Vereinbarung gestützt werden, die von den in </w:t>
      </w:r>
      <w:hyperlink w:anchor="b597" w:history="1">
        <w:r>
          <w:rPr>
            <w:color w:val="0A3A8C"/>
            <w:u w:val="single"/>
          </w:rPr>
          <w:t xml:space="preserve">§ 449</w:t>
        </w:r>
      </w:hyperlink>
      <w:r>
        <w:t xml:space="preserve"> Absatz 1 Satz 1 genannten Vorschriften zu Lasten des Absenders abweicht,</w:t>
      </w:r>
    </w:p>
    <w:p>
      <w:pPr>
        <w:tabs>
          <w:tab w:pos="567" w:val="left"/>
        </w:tabs>
        <w:ind w:left="567" w:hanging="567"/>
      </w:pPr>
      <w:r>
        <w:t>2.</w:t>
      </w:r>
      <w:r>
        <w:tab/>
      </w:r>
      <w:r>
        <w:t>der Dritte der Beförderung nicht zugestimmt hat und der Frachtführer die fehlende Befugnis des Absenders, das Gut zu versenden, kannte oder infolge grober Fahrlässigkeit nicht kannte oder</w:t>
      </w:r>
    </w:p>
    <w:p>
      <w:pPr>
        <w:tabs>
          <w:tab w:pos="567" w:val="left"/>
        </w:tabs>
        <w:ind w:left="567" w:hanging="567"/>
      </w:pPr>
      <w:r>
        <w:t>3.</w:t>
      </w:r>
      <w:r>
        <w:tab/>
      </w:r>
      <w:r>
        <w:t>das Gut vor Übernahme zur Beförderung dem Dritten oder einer Person, die von diesem ihr Recht zum Besitz ableitet, abhanden gekommen ist.</w:t>
      </w:r>
    </w:p>
    <w:p>
      <w:r>
        <w:rPr>
          <w:rStyle w:val="Satznummer"/>
        </w:rPr>
        <w:t>3</w:t>
      </w:r>
      <w:r>
        <w:t xml:space="preserve">Satz 2 Nummer 1 gilt jedoch nicht für eine nach </w:t>
      </w:r>
      <w:hyperlink w:anchor="b597" w:history="1">
        <w:r>
          <w:rPr>
            <w:color w:val="0A3A8C"/>
            <w:u w:val="single"/>
          </w:rPr>
          <w:t xml:space="preserve">§ 449</w:t>
        </w:r>
      </w:hyperlink>
      <w:r>
        <w:t xml:space="preserve"> zulässige Vereinbarung über die Begrenzung der vom Frachtführer zu leistenden Entschädigung wegen Verlust oder Beschädigung des Gutes auf einen niedrigeren als den gesetzlich vorgesehenen Betrag, wenn dieser den Betrag von 2 Rechnungseinheiten nicht unterschreitet.</w:t>
      </w:r>
    </w:p>
    <w:p>
      <w:pPr>
        <w:pStyle w:val="Heading4"/>
      </w:pPr>
      <w:bookmarkStart w:id="584" w:name="b583"/>
      <w:r>
        <w:t>§ 435 Wegfall der Haftungsbefreiungen und -begrenzungen</w:t>
      </w:r>
      <w:r>
        <w:t xml:space="preserve"> </w:t>
      </w:r>
      <w:r>
        <w:rPr>
          <w:rStyle w:val="Suchmarke"/>
        </w:rPr>
        <w:t>#435#</w:t>
      </w:r>
      <w:bookmarkEnd w:id="584"/>
    </w:p>
    <w:p>
      <w:r>
        <w:t xml:space="preserve">Die in diesem Unterabschnitt und im Frachtvertrag vorgesehenen Haftungsbefreiungen und Haftungsbegrenzungen gelten nicht, wenn der Schaden auf eine Handlung oder Unterlassung zurückzuführen ist, die der Frachtführer oder eine in </w:t>
      </w:r>
      <w:hyperlink w:anchor="b576" w:history="1">
        <w:r>
          <w:rPr>
            <w:color w:val="0A3A8C"/>
            <w:u w:val="single"/>
          </w:rPr>
          <w:t xml:space="preserve">§ 428</w:t>
        </w:r>
      </w:hyperlink>
      <w:r>
        <w:t xml:space="preserve"> genannte Person vorsätzlich oder leichtfertig und in dem Bewußtsein, daß ein Schaden mit Wahrscheinlichkeit eintreten werde, begangen hat.</w:t>
      </w:r>
    </w:p>
    <w:p>
      <w:pPr>
        <w:pStyle w:val="Heading4"/>
      </w:pPr>
      <w:bookmarkStart w:id="585" w:name="b584"/>
      <w:r>
        <w:t>§ 436 Haftung der Leute</w:t>
      </w:r>
      <w:r>
        <w:t xml:space="preserve"> </w:t>
      </w:r>
      <w:r>
        <w:rPr>
          <w:rStyle w:val="Suchmarke"/>
        </w:rPr>
        <w:t>#436#</w:t>
      </w:r>
      <w:bookmarkEnd w:id="585"/>
    </w:p>
    <w:p>
      <w:r>
        <w:rPr>
          <w:rStyle w:val="Satznummer"/>
        </w:rPr>
        <w:t>1</w:t>
      </w:r>
      <w:r>
        <w:t xml:space="preserve">Werden Ansprüche aus außervertraglicher Haftung wegen Verlust oder Beschädigung des Gutes oder wegen Überschreitung der Lieferfrist gegen einen der Leute des Frachtführers erhoben, so kann sich auch jener auf die in diesem Unterabschnitt und im Frachtvertrag vorgesehenen Haftungsbefreiungen und -begrenzungen berufen. </w:t>
      </w:r>
      <w:r>
        <w:rPr>
          <w:rStyle w:val="Satznummer"/>
        </w:rPr>
        <w:t>2</w:t>
      </w:r>
      <w:r>
        <w:t>Dies gilt nicht, wenn er vorsätzlich oder leichtfertig und in dem Bewußtsein, daß ein Schaden mit Wahrscheinlichkeit eintreten werde, gehandelt hat.</w:t>
      </w:r>
    </w:p>
    <w:p>
      <w:pPr>
        <w:pStyle w:val="Heading4"/>
      </w:pPr>
      <w:bookmarkStart w:id="586" w:name="b585"/>
      <w:r>
        <w:t>§ 437 Ausführender Frachtführer</w:t>
      </w:r>
      <w:r>
        <w:t xml:space="preserve"> </w:t>
      </w:r>
      <w:r>
        <w:rPr>
          <w:rStyle w:val="Suchmarke"/>
        </w:rPr>
        <w:t>#437#</w:t>
      </w:r>
      <w:bookmarkEnd w:id="586"/>
    </w:p>
    <w:p>
      <w:r>
        <w:t xml:space="preserve">(1) </w:t>
      </w:r>
      <w:r>
        <w:rPr>
          <w:rStyle w:val="Satznummer"/>
        </w:rPr>
        <w:t>1</w:t>
      </w:r>
      <w:r>
        <w:t xml:space="preserve">Wird die Beförderung ganz oder teilweise durch einen Dritten ausgeführt (ausführender Frachtführer), so haftet dieser für den Schaden, der durch Verlust oder Beschädigung des Gutes oder durch Überschreitung der Lieferfrist während der durch ihn ausgeführten Beförderung entsteht, so, als wäre er der Frachtführer. </w:t>
      </w:r>
      <w:r>
        <w:rPr>
          <w:rStyle w:val="Satznummer"/>
        </w:rPr>
        <w:t>2</w:t>
      </w:r>
      <w:r>
        <w:t>Vertragliche Vereinbarungen mit dem Absender oder Empfänger, durch die der Frachtführer seine Haftung erweitert, wirken gegen den ausführenden Frachtführer nur, soweit er ihnen in Textform zugestimmt hat.</w:t>
      </w:r>
    </w:p>
    <w:p>
      <w:r>
        <w:t>(2) Der ausführende Frachtführer kann alle Einwendungen und Einreden geltend machen, die dem Frachtführer aus dem Frachtvertrag zustehen.</w:t>
      </w:r>
    </w:p>
    <w:p>
      <w:r>
        <w:t>(3) Frachtführer und ausführender Frachtführer haften als Gesamtschuldner.</w:t>
      </w:r>
    </w:p>
    <w:p>
      <w:r>
        <w:t xml:space="preserve">(4) Werden die Leute des ausführenden Frachtführers in Anspruch genommen, so gilt für diese </w:t>
      </w:r>
      <w:hyperlink w:anchor="b584" w:history="1">
        <w:r>
          <w:rPr>
            <w:color w:val="0A3A8C"/>
            <w:u w:val="single"/>
          </w:rPr>
          <w:t xml:space="preserve">§ 436</w:t>
        </w:r>
      </w:hyperlink>
      <w:r>
        <w:t xml:space="preserve"> entsprechend.</w:t>
      </w:r>
    </w:p>
    <w:p>
      <w:pPr>
        <w:pStyle w:val="Heading4"/>
      </w:pPr>
      <w:bookmarkStart w:id="587" w:name="b586"/>
      <w:r>
        <w:t>§ 438 Schadensanzeige</w:t>
      </w:r>
      <w:r>
        <w:t xml:space="preserve"> </w:t>
      </w:r>
      <w:r>
        <w:rPr>
          <w:rStyle w:val="Suchmarke"/>
        </w:rPr>
        <w:t>#438#</w:t>
      </w:r>
      <w:bookmarkEnd w:id="587"/>
    </w:p>
    <w:p>
      <w:r>
        <w:t xml:space="preserve">(1) </w:t>
      </w:r>
      <w:r>
        <w:rPr>
          <w:rStyle w:val="Satznummer"/>
        </w:rPr>
        <w:t>1</w:t>
      </w:r>
      <w:r>
        <w:t xml:space="preserve">Ist ein Verlust oder eine Beschädigung des Gutes äußerlich erkennbar und zeigt der Empfänger oder der Absender dem Frachtführer Verlust oder Beschädigung nicht spätestens bei Ablieferung des Gutes an, so wird vermutet, daß das Gut vollständig und unbeschädigt abgeliefert worden ist. </w:t>
      </w:r>
      <w:r>
        <w:rPr>
          <w:rStyle w:val="Satznummer"/>
        </w:rPr>
        <w:t>2</w:t>
      </w:r>
      <w:r>
        <w:t>Die Anzeige muß den Verlust oder die Beschädigung hinreichend deutlich kennzeichnen.</w:t>
      </w:r>
    </w:p>
    <w:p>
      <w:r>
        <w:t>(2) Die Vermutung nach Absatz 1 gilt auch, wenn der Verlust oder die Beschädigung äußerlich nicht erkennbar war und nicht innerhalb von sieben Tagen nach Ablieferung angezeigt worden ist.</w:t>
      </w:r>
    </w:p>
    <w:p>
      <w:r>
        <w:t>(3) Ansprüche wegen Überschreitung der Lieferfrist erlöschen, wenn der Empfänger dem Frachtführer die Überschreitung der Lieferfrist nicht innerhalb von einundzwanzig Tagen nach Ablieferung anzeigt.</w:t>
      </w:r>
    </w:p>
    <w:p>
      <w:r>
        <w:t xml:space="preserve">(4) </w:t>
      </w:r>
      <w:r>
        <w:rPr>
          <w:rStyle w:val="Satznummer"/>
        </w:rPr>
        <w:t>1</w:t>
      </w:r>
      <w:r>
        <w:t xml:space="preserve">Eine Schadensanzeige nach Ablieferung ist in Textform zu erstatten. </w:t>
      </w:r>
      <w:r>
        <w:rPr>
          <w:rStyle w:val="Satznummer"/>
        </w:rPr>
        <w:t>2</w:t>
      </w:r>
      <w:r>
        <w:t>Zur Wahrung der Frist genügt die rechtzeitige Absendung.</w:t>
      </w:r>
    </w:p>
    <w:p>
      <w:r>
        <w:t>(5) Werden Verlust, Beschädigung oder Überschreitung der Lieferfrist bei Ablieferung angezeigt, so genügt die Anzeige gegenüber demjenigen, der das Gut abliefert.</w:t>
      </w:r>
    </w:p>
    <w:p>
      <w:pPr>
        <w:pStyle w:val="Heading4"/>
      </w:pPr>
      <w:bookmarkStart w:id="588" w:name="b587"/>
      <w:r>
        <w:t>§ 439 Verjährung</w:t>
      </w:r>
      <w:r>
        <w:t xml:space="preserve"> </w:t>
      </w:r>
      <w:r>
        <w:rPr>
          <w:rStyle w:val="Suchmarke"/>
        </w:rPr>
        <w:t>#439#</w:t>
      </w:r>
      <w:bookmarkEnd w:id="588"/>
    </w:p>
    <w:p>
      <w:r>
        <w:t xml:space="preserve">(1) </w:t>
      </w:r>
      <w:r>
        <w:rPr>
          <w:rStyle w:val="Satznummer"/>
        </w:rPr>
        <w:t>1</w:t>
      </w:r>
      <w:r>
        <w:t xml:space="preserve">Ansprüche aus einer Beförderung, die den Vorschriften dieses Unterabschnitts unterliegt, verjähren in einem Jahr. </w:t>
      </w:r>
      <w:r>
        <w:rPr>
          <w:rStyle w:val="Satznummer"/>
        </w:rPr>
        <w:t>2</w:t>
      </w:r>
      <w:r>
        <w:t xml:space="preserve">Bei Vorsatz oder bei einem dem Vorsatz nach </w:t>
      </w:r>
      <w:hyperlink w:anchor="b583" w:history="1">
        <w:r>
          <w:rPr>
            <w:color w:val="0A3A8C"/>
            <w:u w:val="single"/>
          </w:rPr>
          <w:t xml:space="preserve">§ 435</w:t>
        </w:r>
      </w:hyperlink>
      <w:r>
        <w:t xml:space="preserve"> gleichstehenden Verschulden beträgt die Verjährungsfrist drei Jahre.</w:t>
      </w:r>
    </w:p>
    <w:p>
      <w:r>
        <w:t xml:space="preserve">(2) </w:t>
      </w:r>
      <w:r>
        <w:rPr>
          <w:rStyle w:val="Satznummer"/>
        </w:rPr>
        <w:t>1</w:t>
      </w:r>
      <w:r>
        <w:t xml:space="preserve">Die Verjährung beginnt mit Ablauf des Tages, an dem das Gut abgeliefert wurde. </w:t>
      </w:r>
      <w:r>
        <w:rPr>
          <w:rStyle w:val="Satznummer"/>
        </w:rPr>
        <w:t>2</w:t>
      </w:r>
      <w:r>
        <w:t xml:space="preserve">Ist das Gut nicht abgeliefert worden, beginnt die Verjährung mit dem Ablauf des Tages, an dem das Gut hätte abgeliefert werden müssen. </w:t>
      </w:r>
      <w:r>
        <w:rPr>
          <w:rStyle w:val="Satznummer"/>
        </w:rPr>
        <w:t>3</w:t>
      </w:r>
      <w:r>
        <w:t>Abweichend von den Sätzen 1 und 2 beginnt die Verjährung von Rückgriffsansprüchen mit dem Tag des Eintritts der Rechtskraft des Urteils gegen den Rückgriffsgläubiger oder, wenn kein rechtskräftiges Urteil vorliegt, mit dem Tag, an dem der Rückgriffsgläubiger den Anspruch befriedigt hat, es sei denn, der Rückgriffsschuldner wurde nicht innerhalb von drei Monaten, nachdem der Rückgriffsgläubiger Kenntnis von dem Schaden und der Person des Rückgriffsschuldners erlangt hat, über diesen Schaden unterrichtet.</w:t>
      </w:r>
    </w:p>
    <w:p>
      <w:r>
        <w:t xml:space="preserve">(3) </w:t>
      </w:r>
      <w:r>
        <w:rPr>
          <w:rStyle w:val="Satznummer"/>
        </w:rPr>
        <w:t>1</w:t>
      </w:r>
      <w:r>
        <w:t xml:space="preserve">Die Verjährung eines Anspruchs gegen den Frachtführer wird auch durch eine Erklärung des Absenders oder Empfängers, mit der dieser Ersatzansprüche erhebt, bis zu dem Zeitpunkt gehemmt, in dem der Frachtführer die Erfüllung des Anspruchs ablehnt. </w:t>
      </w:r>
      <w:r>
        <w:rPr>
          <w:rStyle w:val="Satznummer"/>
        </w:rPr>
        <w:t>2</w:t>
      </w:r>
      <w:r>
        <w:t xml:space="preserve">Die Erhebung der Ansprüche sowie die Ablehnung bedürfen der Textform. </w:t>
      </w:r>
      <w:r>
        <w:rPr>
          <w:rStyle w:val="Satznummer"/>
        </w:rPr>
        <w:t>3</w:t>
      </w:r>
      <w:r>
        <w:t>Eine weitere Erklärung, die denselben Ersatzanspruch zum Gegenstand hat, hemmt die Verjährung nicht erneut.</w:t>
      </w:r>
    </w:p>
    <w:p>
      <w:r>
        <w:t>(4) Die Verjährung von Schadensersatzansprüchen wegen Verlust oder Beschädigung des Gutes oder wegen Überschreitung der Lieferfrist kann nur durch Vereinbarung, die im einzelnen ausgehandelt ist, auch wenn sie für eine Mehrzahl von gleichartigen Verträgen zwischen denselben Vertragsparteien getroffen ist, erleichtert oder erschwert werden.</w:t>
      </w:r>
    </w:p>
    <w:p>
      <w:pPr>
        <w:pStyle w:val="Heading4"/>
      </w:pPr>
      <w:bookmarkStart w:id="589" w:name="b588"/>
      <w:r>
        <w:t>§ 440 Pfandrecht des Frachtführers</w:t>
      </w:r>
      <w:r>
        <w:t xml:space="preserve"> </w:t>
      </w:r>
      <w:r>
        <w:rPr>
          <w:rStyle w:val="Suchmarke"/>
        </w:rPr>
        <w:t>#440#</w:t>
      </w:r>
      <w:bookmarkEnd w:id="589"/>
    </w:p>
    <w:p>
      <w:r>
        <w:t xml:space="preserve">(1) </w:t>
      </w:r>
      <w:r>
        <w:rPr>
          <w:rStyle w:val="Satznummer"/>
        </w:rPr>
        <w:t>1</w:t>
      </w:r>
      <w:r>
        <w:t xml:space="preserve">Der Frachtführer hat für alle Forderungen aus dem Frachtvertrag ein Pfandrecht an dem ihm zur Beförderung übergebenen Gut des Absenders oder eines Dritten, der der Beförderung des Gutes zugestimmt hat. </w:t>
      </w:r>
      <w:r>
        <w:rPr>
          <w:rStyle w:val="Satznummer"/>
        </w:rPr>
        <w:t>2</w:t>
      </w:r>
      <w:r>
        <w:t xml:space="preserve">An dem Gut des Absenders hat der Frachtführer auch ein Pfandrecht für alle unbestrittenen Forderungen aus anderen mit dem Absender abgeschlossenen Fracht-, Seefracht-, Speditions- und Lagerverträgen. </w:t>
      </w:r>
      <w:r>
        <w:rPr>
          <w:rStyle w:val="Satznummer"/>
        </w:rPr>
        <w:t>3</w:t>
      </w:r>
      <w:r>
        <w:t>Das Pfandrecht nach den Sätzen 1 und 2 erstreckt sich auf die Begleitpapiere.</w:t>
      </w:r>
    </w:p>
    <w:p>
      <w:r>
        <w:t>(2) Das Pfandrecht besteht, solange der Frachtführer das Gut in seinem Besitz hat, insbesondere solange er mittels Konnossements, Ladescheins oder Lagerscheins darüber verfügen kann.</w:t>
      </w:r>
    </w:p>
    <w:p>
      <w:r>
        <w:t>(3) Das Pfandrecht besteht auch nach der Ablieferung fort, wenn der Frachtführer es innerhalb von drei Tagen nach der Ablieferung gerichtlich geltend macht und das Gut noch im Besitz des Empfängers ist.</w:t>
      </w:r>
    </w:p>
    <w:p>
      <w:r>
        <w:t xml:space="preserve">(4) </w:t>
      </w:r>
      <w:r>
        <w:rPr>
          <w:rStyle w:val="Satznummer"/>
        </w:rPr>
        <w:t>1</w:t>
      </w:r>
      <w:r>
        <w:t xml:space="preserve">Die in § 1234 Abs. 1 des Bürgerlichen Gesetzbuchs bezeichnete Androhung des Pfandverkaufs sowie die in den §§ 1237 und 1241 des Bürgerlichen Gesetzbuchs vorgesehenen Benachrichtigungen sind an den nach </w:t>
      </w:r>
      <w:hyperlink w:anchor="b566" w:history="1">
        <w:r>
          <w:rPr>
            <w:color w:val="0A3A8C"/>
            <w:u w:val="single"/>
          </w:rPr>
          <w:t xml:space="preserve">§ 418</w:t>
        </w:r>
      </w:hyperlink>
      <w:r>
        <w:t xml:space="preserve"> oder </w:t>
      </w:r>
      <w:hyperlink w:anchor="b594" w:history="1">
        <w:r>
          <w:rPr>
            <w:color w:val="0A3A8C"/>
            <w:u w:val="single"/>
          </w:rPr>
          <w:t xml:space="preserve">§ 446</w:t>
        </w:r>
      </w:hyperlink>
      <w:r>
        <w:t xml:space="preserve"> verfügungsberechtigten Empfänger zu richten. </w:t>
      </w:r>
      <w:r>
        <w:rPr>
          <w:rStyle w:val="Satznummer"/>
        </w:rPr>
        <w:t>2</w:t>
      </w:r>
      <w:r>
        <w:t>Ist dieser nicht zu ermitteln oder verweigert er die Annahme des Gutes, so haben die Androhung und die Benachrichtigung gegenüber dem Absender zu erfolgen.</w:t>
      </w:r>
    </w:p>
    <w:p>
      <w:pPr>
        <w:pStyle w:val="Heading4"/>
      </w:pPr>
      <w:bookmarkStart w:id="590" w:name="b589"/>
      <w:r>
        <w:t>§ 441 Nachfolgender Frachtführer</w:t>
      </w:r>
      <w:r>
        <w:t xml:space="preserve"> </w:t>
      </w:r>
      <w:r>
        <w:rPr>
          <w:rStyle w:val="Suchmarke"/>
        </w:rPr>
        <w:t>#441#</w:t>
      </w:r>
      <w:bookmarkEnd w:id="590"/>
    </w:p>
    <w:p>
      <w:r>
        <w:t xml:space="preserve">(1) </w:t>
      </w:r>
      <w:r>
        <w:rPr>
          <w:rStyle w:val="Satznummer"/>
        </w:rPr>
        <w:t>1</w:t>
      </w:r>
      <w:r>
        <w:t xml:space="preserve">Hat im Falle der Beförderung durch mehrere Frachtführer der letzte bei der Ablieferung die Forderungen der vorhergehenden Frachtführer einzuziehen, so hat er die Rechte der vorhergehenden Frachtführer, insbesondere auch das Pfandrecht, auszuüben. </w:t>
      </w:r>
      <w:r>
        <w:rPr>
          <w:rStyle w:val="Satznummer"/>
        </w:rPr>
        <w:t>2</w:t>
      </w:r>
      <w:r>
        <w:t>Das Pfandrecht jedes vorhergehenden Frachtführers bleibt so lange bestehen wie das Pfandrecht des letzten Frachtführers.</w:t>
      </w:r>
    </w:p>
    <w:p>
      <w:r>
        <w:t>(2) Wird ein vorhergehender Frachtführer von einem nachgehenden befriedigt, so gehen Forderung und Pfandrecht des ersteren auf den letzteren über.</w:t>
      </w:r>
    </w:p>
    <w:p>
      <w:r>
        <w:t>(3) Die Absätze 1 und 2 gelten auch für die Forderungen und Rechte eines Spediteurs, der an der Beförderung mitgewirkt hat.</w:t>
      </w:r>
    </w:p>
    <w:p>
      <w:pPr>
        <w:pStyle w:val="Heading4"/>
      </w:pPr>
      <w:bookmarkStart w:id="591" w:name="b590"/>
      <w:r>
        <w:t>§ 442 Rang mehrerer Pfandrechte</w:t>
      </w:r>
      <w:r>
        <w:t xml:space="preserve"> </w:t>
      </w:r>
      <w:r>
        <w:rPr>
          <w:rStyle w:val="Suchmarke"/>
        </w:rPr>
        <w:t>#442#</w:t>
      </w:r>
      <w:bookmarkEnd w:id="591"/>
    </w:p>
    <w:p>
      <w:r>
        <w:t xml:space="preserve">(1) Bestehen an demselben Gut mehrere nach den </w:t>
      </w:r>
      <w:hyperlink w:anchor="b543" w:history="1">
        <w:r>
          <w:rPr>
            <w:color w:val="0A3A8C"/>
            <w:u w:val="single"/>
          </w:rPr>
          <w:t xml:space="preserve">§§ 397</w:t>
        </w:r>
      </w:hyperlink>
      <w:r>
        <w:t xml:space="preserve">, </w:t>
      </w:r>
      <w:hyperlink w:anchor="b588" w:history="1">
        <w:r>
          <w:rPr>
            <w:color w:val="0A3A8C"/>
            <w:u w:val="single"/>
          </w:rPr>
          <w:t xml:space="preserve">440</w:t>
        </w:r>
      </w:hyperlink>
      <w:r>
        <w:t xml:space="preserve">, </w:t>
      </w:r>
      <w:hyperlink w:anchor="b627" w:history="1">
        <w:r>
          <w:rPr>
            <w:color w:val="0A3A8C"/>
            <w:u w:val="single"/>
          </w:rPr>
          <w:t xml:space="preserve">464</w:t>
        </w:r>
      </w:hyperlink>
      <w:r>
        <w:t xml:space="preserve">, </w:t>
      </w:r>
      <w:hyperlink w:anchor="b641" w:history="1">
        <w:r>
          <w:rPr>
            <w:color w:val="0A3A8C"/>
            <w:u w:val="single"/>
          </w:rPr>
          <w:t xml:space="preserve">475b</w:t>
        </w:r>
      </w:hyperlink>
      <w:r>
        <w:t xml:space="preserve"> und </w:t>
      </w:r>
      <w:hyperlink w:anchor="b673" w:history="1">
        <w:r>
          <w:rPr>
            <w:color w:val="0A3A8C"/>
            <w:u w:val="single"/>
          </w:rPr>
          <w:t xml:space="preserve">495</w:t>
        </w:r>
      </w:hyperlink>
      <w:r>
        <w:t xml:space="preserve"> begründete Pfandrechte, so geht unter denjenigen Pfandrechten, die durch die Versendung oder durch die Beförderung des Gutes entstanden sind, das später entstandene dem früher entstandenen vor.</w:t>
      </w:r>
    </w:p>
    <w:p>
      <w:r>
        <w:t>(2) Diese Pfandrechte haben Vorrang vor dem nicht aus der Versendung entstandenen Pfandrecht des Kommissionärs und des Lagerhalters sowie vor dem Pfandrecht des Spediteurs, des Frachtführers und des Verfrachters für Vorschüsse.</w:t>
      </w:r>
    </w:p>
    <w:p>
      <w:pPr>
        <w:pStyle w:val="Heading4"/>
      </w:pPr>
      <w:bookmarkStart w:id="592" w:name="b591"/>
      <w:r>
        <w:t>§ 443 Ladeschein. Verordnungsermächtigung</w:t>
      </w:r>
      <w:r>
        <w:t xml:space="preserve"> </w:t>
      </w:r>
      <w:r>
        <w:rPr>
          <w:rStyle w:val="Suchmarke"/>
        </w:rPr>
        <w:t>#443#</w:t>
      </w:r>
      <w:bookmarkEnd w:id="592"/>
    </w:p>
    <w:p>
      <w:r>
        <w:t xml:space="preserve">(1) </w:t>
      </w:r>
      <w:r>
        <w:rPr>
          <w:rStyle w:val="Satznummer"/>
        </w:rPr>
        <w:t>1</w:t>
      </w:r>
      <w:r>
        <w:t xml:space="preserve">Über die Verpflichtung zur Ablieferung des Gutes kann von dem Frachtführer ein Ladeschein ausgestellt werden, der die in </w:t>
      </w:r>
      <w:hyperlink w:anchor="b556" w:history="1">
        <w:r>
          <w:rPr>
            <w:color w:val="0A3A8C"/>
            <w:u w:val="single"/>
          </w:rPr>
          <w:t xml:space="preserve">§ 408</w:t>
        </w:r>
      </w:hyperlink>
      <w:r>
        <w:t xml:space="preserve"> Abs. 1 genannten Angaben enthalten soll. </w:t>
      </w:r>
      <w:r>
        <w:rPr>
          <w:rStyle w:val="Satznummer"/>
        </w:rPr>
        <w:t>2</w:t>
      </w:r>
      <w:r>
        <w:t>Der Ladeschein ist vom Frachtführer zu unterzeichnen; eine Nachbildung der eigenhändigen Unterschrift durch Druck oder durch Stempel genügt.</w:t>
      </w:r>
    </w:p>
    <w:p>
      <w:r>
        <w:t xml:space="preserve">(2) </w:t>
      </w:r>
      <w:r>
        <w:rPr>
          <w:rStyle w:val="Satznummer"/>
        </w:rPr>
        <w:t>1</w:t>
      </w:r>
      <w:r>
        <w:t xml:space="preserve">Ist der Ladeschein an Order gestellt, so soll er den Namen desjenigen enthalten, an dessen Order das Gut abgeliefert werden soll. </w:t>
      </w:r>
      <w:r>
        <w:rPr>
          <w:rStyle w:val="Satznummer"/>
        </w:rPr>
        <w:t>2</w:t>
      </w:r>
      <w:r>
        <w:t>Wird der Name nicht angegeben, so ist der Ladeschein als an Order des Absenders gestellt anzusehen.</w:t>
      </w:r>
    </w:p>
    <w:p>
      <w:r>
        <w:t xml:space="preserve">(3) </w:t>
      </w:r>
      <w:r>
        <w:rPr>
          <w:rStyle w:val="Satznummer"/>
        </w:rPr>
        <w:t>1</w:t>
      </w:r>
      <w:r>
        <w:t xml:space="preserve">Dem Ladeschein gleichgestellt ist eine elektronische Aufzeichnung, die dieselben Funktionen erfüllt wie der Ladeschein, sofern sichergestellt ist, dass die Authentizität und die Integrität der Aufzeichnung gewahrt bleiben (elektronischer Ladeschein). </w:t>
      </w:r>
      <w:r>
        <w:rPr>
          <w:rStyle w:val="Satznummer"/>
        </w:rPr>
        <w:t>2</w:t>
      </w:r>
      <w:r>
        <w:t>Das Bundesministerium der Justiz wird ermächtigt, im Einvernehmen mit dem Bundesministerium des Innern und für Heimat durch Rechtsverordnung, die nicht der Zustimmung des Bundesrates bedarf, die Einzelheiten der Ausstellung, Vorlage, Rückgabe und Übertragung eines elektronischen Ladescheins sowie die Einzelheiten des Verfahrens einer nachträglichen Eintragung in einen elektronischen Ladeschein zu regeln.</w:t>
      </w:r>
    </w:p>
    <w:p>
      <w:pPr>
        <w:pStyle w:val="Heading4"/>
      </w:pPr>
      <w:bookmarkStart w:id="593" w:name="b592"/>
      <w:r>
        <w:t>§ 444 Wirkung des Ladescheins. Legitimation</w:t>
      </w:r>
      <w:r>
        <w:t xml:space="preserve"> </w:t>
      </w:r>
      <w:r>
        <w:rPr>
          <w:rStyle w:val="Suchmarke"/>
        </w:rPr>
        <w:t>#444#</w:t>
      </w:r>
      <w:bookmarkEnd w:id="593"/>
    </w:p>
    <w:p>
      <w:r>
        <w:t xml:space="preserve">(1) Der Ladeschein begründet die Vermutung, dass der Frachtführer das Gut so übernommen hat, wie es im Ladeschein beschrieben ist; </w:t>
      </w:r>
      <w:hyperlink w:anchor="b557" w:history="1">
        <w:r>
          <w:rPr>
            <w:color w:val="0A3A8C"/>
            <w:u w:val="single"/>
          </w:rPr>
          <w:t xml:space="preserve">§ 409</w:t>
        </w:r>
      </w:hyperlink>
      <w:r>
        <w:t xml:space="preserve"> Absatz 2 und 3 Satz 1 gilt entsprechend.</w:t>
      </w:r>
    </w:p>
    <w:p>
      <w:r>
        <w:t xml:space="preserve">(2) </w:t>
      </w:r>
      <w:r>
        <w:rPr>
          <w:rStyle w:val="Satznummer"/>
        </w:rPr>
        <w:t>1</w:t>
      </w:r>
      <w:r>
        <w:t xml:space="preserve">Gegenüber einem im Ladeschein benannten Empfänger, an den der Ladeschein begeben wurde, kann der Frachtführer die Vermutung nach Absatz 1 nicht widerlegen, es sei denn, dem Empfänger war im Zeitpunkt der Begebung des Ladescheins bekannt oder infolge grober Fahrlässigkeit unbekannt, dass die Angaben im Ladeschein unrichtig sind. </w:t>
      </w:r>
      <w:r>
        <w:rPr>
          <w:rStyle w:val="Satznummer"/>
        </w:rPr>
        <w:t>2</w:t>
      </w:r>
      <w:r>
        <w:t xml:space="preserve">Gleiches gilt gegenüber einem Dritten, dem der Ladeschein übertragen wurde. </w:t>
      </w:r>
      <w:r>
        <w:rPr>
          <w:rStyle w:val="Satznummer"/>
        </w:rPr>
        <w:t>3</w:t>
      </w:r>
      <w:r>
        <w:t>Die Sätze 1 und 2 gelten nicht, wenn der aus dem Ladeschein Berechtigte den ausführenden Frachtführer nach § 437 in Anspruch nimmt und der Ladeschein weder vom ausführenden Frachtführer noch von einem für ihn zur Zeichnung von Ladescheinen Befugten ausgestellt wurde.</w:t>
      </w:r>
    </w:p>
    <w:p>
      <w:r>
        <w:t xml:space="preserve">(3) </w:t>
      </w:r>
      <w:r>
        <w:rPr>
          <w:rStyle w:val="Satznummer"/>
        </w:rPr>
        <w:t>1</w:t>
      </w:r>
      <w:r>
        <w:t xml:space="preserve">Die im Ladeschein verbrieften frachtvertraglichen Ansprüche können nur von dem aus dem Ladeschein Berechtigten geltend gemacht werden. </w:t>
      </w:r>
      <w:r>
        <w:rPr>
          <w:rStyle w:val="Satznummer"/>
        </w:rPr>
        <w:t>2</w:t>
      </w:r>
      <w:r>
        <w:t xml:space="preserve">Zugunsten des legitimierten Besitzers des Ladescheins wird vermutet, dass er der aus dem Ladeschein Berechtigte ist. </w:t>
      </w:r>
      <w:r>
        <w:rPr>
          <w:rStyle w:val="Satznummer"/>
        </w:rPr>
        <w:t>3</w:t>
      </w:r>
      <w:r>
        <w:t>Legitimierter Besitzer des Ladescheins ist, wer einen Ladeschein besitzt, der</w:t>
      </w:r>
    </w:p>
    <w:p>
      <w:pPr>
        <w:tabs>
          <w:tab w:pos="567" w:val="left"/>
        </w:tabs>
        <w:ind w:left="567" w:hanging="567"/>
      </w:pPr>
      <w:r>
        <w:t>1.</w:t>
      </w:r>
      <w:r>
        <w:tab/>
      </w:r>
      <w:r>
        <w:t>auf den Inhaber lautet,</w:t>
      </w:r>
    </w:p>
    <w:p>
      <w:pPr>
        <w:tabs>
          <w:tab w:pos="567" w:val="left"/>
        </w:tabs>
        <w:ind w:left="567" w:hanging="567"/>
      </w:pPr>
      <w:r>
        <w:t>2.</w:t>
      </w:r>
      <w:r>
        <w:tab/>
      </w:r>
      <w:r>
        <w:t>an Order lautet und den Besitzer als Empfänger benennt oder durch eine ununterbrochene Reihe von Indossamenten ausweist oder</w:t>
      </w:r>
    </w:p>
    <w:p>
      <w:pPr>
        <w:tabs>
          <w:tab w:pos="567" w:val="left"/>
        </w:tabs>
        <w:ind w:left="567" w:hanging="567"/>
      </w:pPr>
      <w:r>
        <w:t>3.</w:t>
      </w:r>
      <w:r>
        <w:tab/>
      </w:r>
      <w:r>
        <w:t>auf den Namen des Besitzers lautet.</w:t>
      </w:r>
    </w:p>
    <w:p>
      <w:pPr>
        <w:pStyle w:val="Heading4"/>
      </w:pPr>
      <w:bookmarkStart w:id="594" w:name="b593"/>
      <w:r>
        <w:t>§ 445 Ablieferung gegen Rückgabe des Ladescheins</w:t>
      </w:r>
      <w:r>
        <w:t xml:space="preserve"> </w:t>
      </w:r>
      <w:r>
        <w:rPr>
          <w:rStyle w:val="Suchmarke"/>
        </w:rPr>
        <w:t>#445#</w:t>
      </w:r>
      <w:bookmarkEnd w:id="594"/>
    </w:p>
    <w:p>
      <w:r>
        <w:t xml:space="preserve">(1) </w:t>
      </w:r>
      <w:r>
        <w:rPr>
          <w:rStyle w:val="Satznummer"/>
        </w:rPr>
        <w:t>1</w:t>
      </w:r>
      <w:r>
        <w:t xml:space="preserve">Nach Ankunft des Gutes an der Ablieferungsstelle ist der legitimierte Besitzer des Ladescheins berechtigt, vom Frachtführer die Ablieferung des Gutes zu verlangen. </w:t>
      </w:r>
      <w:r>
        <w:rPr>
          <w:rStyle w:val="Satznummer"/>
        </w:rPr>
        <w:t>2</w:t>
      </w:r>
      <w:r>
        <w:t>Macht er von diesem Recht Gebrauch, ist er entsprechend § 421 Absatz 2 und 3 zur Zahlung der Fracht und einer sonstigen Vergütung verpflichtet.</w:t>
      </w:r>
    </w:p>
    <w:p>
      <w:r>
        <w:t xml:space="preserve">(2) </w:t>
      </w:r>
      <w:r>
        <w:rPr>
          <w:rStyle w:val="Satznummer"/>
        </w:rPr>
        <w:t>1</w:t>
      </w:r>
      <w:r>
        <w:t xml:space="preserve">Der Frachtführer ist zur Ablieferung des Gutes nur gegen Rückgabe des Ladescheins, auf dem die Ablieferung bescheinigt ist, und gegen Leistung der noch ausstehenden, nach </w:t>
      </w:r>
      <w:hyperlink w:anchor="b569" w:history="1">
        <w:r>
          <w:rPr>
            <w:color w:val="0A3A8C"/>
            <w:u w:val="single"/>
          </w:rPr>
          <w:t xml:space="preserve">§ 421</w:t>
        </w:r>
      </w:hyperlink>
      <w:r>
        <w:t xml:space="preserve"> Absatz 2 und 3 geschuldeten Zahlungen verpflichtet. </w:t>
      </w:r>
      <w:r>
        <w:rPr>
          <w:rStyle w:val="Satznummer"/>
        </w:rPr>
        <w:t>2</w:t>
      </w:r>
      <w:r>
        <w:t>Er darf das Gut jedoch nicht dem legitimierten Besitzer des Ladescheins abliefern, wenn ihm bekannt oder infolge grober Fahrlässigkeit unbekannt ist, dass der legitimierte Besitzer des Ladescheins nicht der aus dem Ladeschein Berechtigte ist.</w:t>
      </w:r>
    </w:p>
    <w:p>
      <w:r>
        <w:t xml:space="preserve">(3) </w:t>
      </w:r>
      <w:r>
        <w:rPr>
          <w:rStyle w:val="Satznummer"/>
        </w:rPr>
        <w:t>1</w:t>
      </w:r>
      <w:r>
        <w:t xml:space="preserve">Liefert der Frachtführer das Gut einem anderen als dem legitimierten Besitzer des Ladescheins oder, im Falle des Absatzes 2 Satz 2, einem anderen als dem aus dem Ladeschein Berechtigten ab, haftet er für den Schaden, der dem aus dem Ladeschein Berechtigten daraus entsteht. </w:t>
      </w:r>
      <w:r>
        <w:rPr>
          <w:rStyle w:val="Satznummer"/>
        </w:rPr>
        <w:t>2</w:t>
      </w:r>
      <w:r>
        <w:t>Die Haftung ist auf den Betrag begrenzt, der bei Verlust des Gutes zu zahlen wäre.</w:t>
      </w:r>
    </w:p>
    <w:p>
      <w:pPr>
        <w:pStyle w:val="Heading4"/>
      </w:pPr>
      <w:bookmarkStart w:id="595" w:name="b594"/>
      <w:r>
        <w:t>§ 446 Befolgung von Weisungen</w:t>
      </w:r>
      <w:r>
        <w:t xml:space="preserve"> </w:t>
      </w:r>
      <w:r>
        <w:rPr>
          <w:rStyle w:val="Suchmarke"/>
        </w:rPr>
        <w:t>#446#</w:t>
      </w:r>
      <w:bookmarkEnd w:id="595"/>
    </w:p>
    <w:p>
      <w:r>
        <w:t xml:space="preserve">(1) </w:t>
      </w:r>
      <w:r>
        <w:rPr>
          <w:rStyle w:val="Satznummer"/>
        </w:rPr>
        <w:t>1</w:t>
      </w:r>
      <w:r>
        <w:t xml:space="preserve">Das Verfügungsrecht nach den </w:t>
      </w:r>
      <w:hyperlink w:anchor="b566" w:history="1">
        <w:r>
          <w:rPr>
            <w:color w:val="0A3A8C"/>
            <w:u w:val="single"/>
          </w:rPr>
          <w:t xml:space="preserve">§§ 418</w:t>
        </w:r>
      </w:hyperlink>
      <w:r>
        <w:t xml:space="preserve"> und </w:t>
      </w:r>
      <w:hyperlink w:anchor="b567" w:history="1">
        <w:r>
          <w:rPr>
            <w:color w:val="0A3A8C"/>
            <w:u w:val="single"/>
          </w:rPr>
          <w:t xml:space="preserve">419</w:t>
        </w:r>
      </w:hyperlink>
      <w:r>
        <w:t xml:space="preserve"> steht, wenn ein Ladeschein ausgestellt worden ist, ausschließlich dem legitimierten Besitzer des Ladescheins zu. </w:t>
      </w:r>
      <w:r>
        <w:rPr>
          <w:rStyle w:val="Satznummer"/>
        </w:rPr>
        <w:t>2</w:t>
      </w:r>
      <w:r>
        <w:t xml:space="preserve">Der Frachtführer darf Weisungen nur gegen Vorlage des Ladescheins ausführen. </w:t>
      </w:r>
      <w:r>
        <w:rPr>
          <w:rStyle w:val="Satznummer"/>
        </w:rPr>
        <w:t>3</w:t>
      </w:r>
      <w:r>
        <w:t>Weisungen des legitimierten Besitzers des Ladescheins darf er jedoch nicht ausführen, wenn ihm bekannt oder infolge grober Fahrlässigkeit unbekannt ist, dass der legitimierte Besitzer des Ladescheins nicht der aus dem Ladeschein Berechtigte ist.</w:t>
      </w:r>
    </w:p>
    <w:p>
      <w:r>
        <w:t xml:space="preserve">(2) </w:t>
      </w:r>
      <w:r>
        <w:rPr>
          <w:rStyle w:val="Satznummer"/>
        </w:rPr>
        <w:t>1</w:t>
      </w:r>
      <w:r>
        <w:t xml:space="preserve">Befolgt der Frachtführer Weisungen, ohne sich den Ladeschein vorlegen zu lassen, haftet er dem aus dem Ladeschein Berechtigten für den Schaden, der diesem daraus entsteht. </w:t>
      </w:r>
      <w:r>
        <w:rPr>
          <w:rStyle w:val="Satznummer"/>
        </w:rPr>
        <w:t>2</w:t>
      </w:r>
      <w:r>
        <w:t>Die Haftung ist auf den Betrag begrenzt, der bei Verlust des Gutes zu zahlen wäre.</w:t>
      </w:r>
    </w:p>
    <w:p>
      <w:pPr>
        <w:pStyle w:val="Heading4"/>
      </w:pPr>
      <w:bookmarkStart w:id="596" w:name="b595"/>
      <w:r>
        <w:t>§ 447 Einwendungen</w:t>
      </w:r>
      <w:r>
        <w:t xml:space="preserve"> </w:t>
      </w:r>
      <w:r>
        <w:rPr>
          <w:rStyle w:val="Suchmarke"/>
        </w:rPr>
        <w:t>#447#</w:t>
      </w:r>
      <w:bookmarkEnd w:id="596"/>
    </w:p>
    <w:p>
      <w:r>
        <w:t xml:space="preserve">(1) </w:t>
      </w:r>
      <w:r>
        <w:rPr>
          <w:rStyle w:val="Satznummer"/>
        </w:rPr>
        <w:t>1</w:t>
      </w:r>
      <w:r>
        <w:t xml:space="preserve">Dem aus dem Ladeschein Berechtigten kann der Frachtführer nur solche Einwendungen entgegensetzen, die die Gültigkeit der Erklärungen im Ladeschein betreffen oder sich aus dem Inhalt des Ladescheins ergeben oder dem Frachtführer unmittelbar gegenüber dem aus dem Ladeschein Berechtigten zustehen. </w:t>
      </w:r>
      <w:r>
        <w:rPr>
          <w:rStyle w:val="Satznummer"/>
        </w:rPr>
        <w:t>2</w:t>
      </w:r>
      <w:r>
        <w:t>Eine Vereinbarung, auf die im Ladeschein lediglich verwiesen wird, ist nicht Inhalt des Ladescheins.</w:t>
      </w:r>
    </w:p>
    <w:p>
      <w:r>
        <w:t>(2) Wird ein ausführender Frachtführer nach § 437 von dem aus dem Ladeschein Berechtigten in Anspruch genommen, kann auch der ausführende Frachtführer die Einwendungen nach Absatz 1 geltend machen.</w:t>
      </w:r>
    </w:p>
    <w:p>
      <w:pPr>
        <w:pStyle w:val="Heading4"/>
      </w:pPr>
      <w:bookmarkStart w:id="597" w:name="b596"/>
      <w:r>
        <w:t>§ 448 Traditionswirkung des Ladescheins</w:t>
      </w:r>
      <w:r>
        <w:t xml:space="preserve"> </w:t>
      </w:r>
      <w:r>
        <w:rPr>
          <w:rStyle w:val="Suchmarke"/>
        </w:rPr>
        <w:t>#448#</w:t>
      </w:r>
      <w:bookmarkEnd w:id="597"/>
    </w:p>
    <w:p>
      <w:r>
        <w:rPr>
          <w:rStyle w:val="Satznummer"/>
        </w:rPr>
        <w:t>1</w:t>
      </w:r>
      <w:r>
        <w:t xml:space="preserve">Die Begebung des Ladescheins an den darin benannten Empfänger hat, sofern der Frachtführer das Gut im Besitz hat, für den Erwerb von Rechten an dem Gut dieselben Wirkungen wie die Übergabe des Gutes. </w:t>
      </w:r>
      <w:r>
        <w:rPr>
          <w:rStyle w:val="Satznummer"/>
        </w:rPr>
        <w:t>2</w:t>
      </w:r>
      <w:r>
        <w:t>Gleiches gilt für die Übertragung des Ladescheins an Dritte.</w:t>
      </w:r>
    </w:p>
    <w:p>
      <w:pPr>
        <w:pStyle w:val="Heading4"/>
      </w:pPr>
      <w:bookmarkStart w:id="598" w:name="b597"/>
      <w:r>
        <w:t>§ 449 Abweichende Vereinbarungen über die Haftung</w:t>
      </w:r>
      <w:r>
        <w:t xml:space="preserve"> </w:t>
      </w:r>
      <w:r>
        <w:rPr>
          <w:rStyle w:val="Suchmarke"/>
        </w:rPr>
        <w:t>#449#</w:t>
      </w:r>
      <w:bookmarkEnd w:id="598"/>
    </w:p>
    <w:p>
      <w:r>
        <w:t xml:space="preserve">(1) </w:t>
      </w:r>
      <w:r>
        <w:rPr>
          <w:rStyle w:val="Satznummer"/>
        </w:rPr>
        <w:t>1</w:t>
      </w:r>
      <w:r>
        <w:t xml:space="preserve">Soweit der Frachtvertrag nicht die Beförderung von Briefen oder briefähnlichen Sendungen zum Gegenstand hat, kann von den Haftungsvorschriften in </w:t>
      </w:r>
      <w:hyperlink w:anchor="b561" w:history="1">
        <w:r>
          <w:rPr>
            <w:color w:val="0A3A8C"/>
            <w:u w:val="single"/>
          </w:rPr>
          <w:t xml:space="preserve">§ 413</w:t>
        </w:r>
      </w:hyperlink>
      <w:r>
        <w:t xml:space="preserve"> Absatz 2, den </w:t>
      </w:r>
      <w:hyperlink w:anchor="b562" w:history="1">
        <w:r>
          <w:rPr>
            <w:color w:val="0A3A8C"/>
            <w:u w:val="single"/>
          </w:rPr>
          <w:t xml:space="preserve">§§ 414</w:t>
        </w:r>
      </w:hyperlink>
      <w:r>
        <w:t xml:space="preserve">, </w:t>
      </w:r>
      <w:hyperlink w:anchor="b566" w:history="1">
        <w:r>
          <w:rPr>
            <w:color w:val="0A3A8C"/>
            <w:u w:val="single"/>
          </w:rPr>
          <w:t xml:space="preserve">418</w:t>
        </w:r>
      </w:hyperlink>
      <w:r>
        <w:t xml:space="preserve"> Absatz 6, </w:t>
      </w:r>
      <w:hyperlink w:anchor="b570" w:history="1">
        <w:r>
          <w:rPr>
            <w:color w:val="0A3A8C"/>
            <w:u w:val="single"/>
          </w:rPr>
          <w:t xml:space="preserve">§ 422</w:t>
        </w:r>
      </w:hyperlink>
      <w:r>
        <w:t xml:space="preserve"> Absatz 3, den </w:t>
      </w:r>
      <w:hyperlink w:anchor="b573" w:history="1">
        <w:r>
          <w:rPr>
            <w:color w:val="0A3A8C"/>
            <w:u w:val="single"/>
          </w:rPr>
          <w:t xml:space="preserve">§§ 425</w:t>
        </w:r>
      </w:hyperlink>
      <w:r>
        <w:t xml:space="preserve"> bis </w:t>
      </w:r>
      <w:hyperlink w:anchor="b586" w:history="1">
        <w:r>
          <w:rPr>
            <w:color w:val="0A3A8C"/>
            <w:u w:val="single"/>
          </w:rPr>
          <w:t xml:space="preserve">438</w:t>
        </w:r>
      </w:hyperlink>
      <w:r>
        <w:t xml:space="preserve">, </w:t>
      </w:r>
      <w:hyperlink w:anchor="b593" w:history="1">
        <w:r>
          <w:rPr>
            <w:color w:val="0A3A8C"/>
            <w:u w:val="single"/>
          </w:rPr>
          <w:t xml:space="preserve">445</w:t>
        </w:r>
      </w:hyperlink>
      <w:r>
        <w:t xml:space="preserve"> Absatz 3 und </w:t>
      </w:r>
      <w:hyperlink w:anchor="b594" w:history="1">
        <w:r>
          <w:rPr>
            <w:color w:val="0A3A8C"/>
            <w:u w:val="single"/>
          </w:rPr>
          <w:t xml:space="preserve">§ 446</w:t>
        </w:r>
      </w:hyperlink>
      <w:r>
        <w:t xml:space="preserve"> Absatz 2 nur durch Vereinbarung abgewichen werden, die im Einzelnen ausgehandelt wird, auch wenn sie für eine Mehrzahl von gleichartigen Verträgen zwischen denselben Vertragsparteien getroffen wird. </w:t>
      </w:r>
      <w:r>
        <w:rPr>
          <w:rStyle w:val="Satznummer"/>
        </w:rPr>
        <w:t>2</w:t>
      </w:r>
      <w:r>
        <w:t>Der Frachtführer kann sich jedoch auf eine Bestimmung im Ladeschein, die von den in Satz 1 genannten Vorschriften zu Lasten des aus dem Ladeschein Berechtigten abweicht, nicht gegenüber einem im Ladeschein benannten Empfänger, an den der Ladeschein begeben wurde, sowie gegenüber einem Dritten, dem der Ladeschein übertragen wurde, berufen.</w:t>
      </w:r>
    </w:p>
    <w:p>
      <w:r>
        <w:t xml:space="preserve">(2) </w:t>
      </w:r>
      <w:r>
        <w:rPr>
          <w:rStyle w:val="Satznummer"/>
        </w:rPr>
        <w:t>1</w:t>
      </w:r>
      <w:r>
        <w:t xml:space="preserve">Abweichend von Absatz 1 kann die vom Frachtführer zu leistende Entschädigung wegen Verlust oder Beschädigung des Gutes auch durch vorformulierte Vertragsbedingungen auf einen anderen als den in </w:t>
      </w:r>
      <w:hyperlink w:anchor="b579" w:history="1">
        <w:r>
          <w:rPr>
            <w:color w:val="0A3A8C"/>
            <w:u w:val="single"/>
          </w:rPr>
          <w:t xml:space="preserve">§ 431</w:t>
        </w:r>
      </w:hyperlink>
      <w:r>
        <w:t xml:space="preserve"> Absatz 1 und 2 vorgesehenen Betrag begrenzt werden, wenn dieser Betrag</w:t>
      </w:r>
    </w:p>
    <w:p>
      <w:pPr>
        <w:tabs>
          <w:tab w:pos="567" w:val="left"/>
        </w:tabs>
        <w:ind w:left="567" w:hanging="567"/>
      </w:pPr>
      <w:r>
        <w:t>1.</w:t>
      </w:r>
      <w:r>
        <w:tab/>
      </w:r>
      <w:r>
        <w:t>zwischen 2 und 40 Rechnungseinheiten liegt und der Verwender der vorformulierten Vertragsbedingungen seinen Vertragspartner in geeigneter Weise darauf hinweist, dass diese einen anderen als den gesetzlich vorgesehenen Betrag vorsehen, oder</w:t>
      </w:r>
    </w:p>
    <w:p>
      <w:pPr>
        <w:tabs>
          <w:tab w:pos="567" w:val="left"/>
        </w:tabs>
        <w:ind w:left="567" w:hanging="567"/>
      </w:pPr>
      <w:r>
        <w:t>2.</w:t>
      </w:r>
      <w:r>
        <w:tab/>
      </w:r>
      <w:r>
        <w:t xml:space="preserve">für den Verwender der vorformulierten Vertragsbedingungen ungünstiger ist als der in </w:t>
      </w:r>
      <w:hyperlink w:anchor="b579" w:history="1">
        <w:r>
          <w:rPr>
            <w:color w:val="0A3A8C"/>
            <w:u w:val="single"/>
          </w:rPr>
          <w:t xml:space="preserve">§ 431</w:t>
        </w:r>
      </w:hyperlink>
      <w:r>
        <w:t xml:space="preserve"> Absatz 1 und 2 vorgesehene Betrag.</w:t>
      </w:r>
    </w:p>
    <w:p>
      <w:r>
        <w:rPr>
          <w:rStyle w:val="Satznummer"/>
        </w:rPr>
        <w:t>2</w:t>
      </w:r>
      <w:r>
        <w:t xml:space="preserve">Ferner kann abweichend von Absatz 1 durch vorformulierte Vertragsbedingungen die vom Absender nach </w:t>
      </w:r>
      <w:hyperlink w:anchor="b562" w:history="1">
        <w:r>
          <w:rPr>
            <w:color w:val="0A3A8C"/>
            <w:u w:val="single"/>
          </w:rPr>
          <w:t xml:space="preserve">§ 414</w:t>
        </w:r>
      </w:hyperlink>
      <w:r>
        <w:t xml:space="preserve"> zu leistende Entschädigung der Höhe nach beschränkt werden.</w:t>
      </w:r>
    </w:p>
    <w:p>
      <w:r>
        <w:t>(3) Ist der Absender ein Verbraucher, so kann in keinem Fall zu seinem Nachteil von den in Absatz 1 Satz 1 genannten Vorschriften abgewichen werden, es sei denn, der Frachtvertrag hat die Beförderung von Briefen oder briefähnlichen Sendungen zum Gegenstand.</w:t>
      </w:r>
    </w:p>
    <w:p>
      <w:r>
        <w:t>(4) Unterliegt der Frachtvertrag ausländischem Recht, so sind die Absätze 1 bis 3 gleichwohl anzuwenden, wenn nach dem Vertrag sowohl der Ort der Übernahme als auch der Ort der Ablieferung des Gutes im Inland liegen.</w:t>
      </w:r>
    </w:p>
    <w:p>
      <w:pPr>
        <w:pStyle w:val="Heading4"/>
      </w:pPr>
      <w:bookmarkStart w:id="599" w:name="b598"/>
      <w:r>
        <w:t>§ 450 Anwendung von Seefrachtrecht</w:t>
      </w:r>
      <w:r>
        <w:t xml:space="preserve"> </w:t>
      </w:r>
      <w:r>
        <w:rPr>
          <w:rStyle w:val="Suchmarke"/>
        </w:rPr>
        <w:t>#450#</w:t>
      </w:r>
      <w:bookmarkEnd w:id="599"/>
    </w:p>
    <w:p>
      <w:r>
        <w:t>Hat der Frachtvertrag die Beförderung des Gutes ohne Umladung sowohl auf Binnen- als auch auf Seegewässern zum Gegenstand, so ist auf den Vertrag Seefrachtrecht anzuwenden, wenn</w:t>
      </w:r>
    </w:p>
    <w:p>
      <w:pPr>
        <w:tabs>
          <w:tab w:pos="567" w:val="left"/>
        </w:tabs>
        <w:ind w:left="567" w:hanging="567"/>
      </w:pPr>
      <w:r>
        <w:t>1.</w:t>
      </w:r>
      <w:r>
        <w:tab/>
      </w:r>
      <w:r>
        <w:t>ein Konnossement ausgestellt ist oder</w:t>
      </w:r>
    </w:p>
    <w:p>
      <w:pPr>
        <w:tabs>
          <w:tab w:pos="567" w:val="left"/>
        </w:tabs>
        <w:ind w:left="567" w:hanging="567"/>
      </w:pPr>
      <w:r>
        <w:t>2.</w:t>
      </w:r>
      <w:r>
        <w:tab/>
      </w:r>
      <w:r>
        <w:t>die auf Seegewässern zurückzulegende Strecke die größere ist.</w:t>
      </w:r>
    </w:p>
    <w:p>
      <w:pPr>
        <w:pStyle w:val="Heading3"/>
      </w:pPr>
      <w:bookmarkStart w:id="600" w:name="b599"/>
      <w:r>
        <w:t>Zweiter Unterabschnitt Beförderung von Umzugsgut</w:t>
      </w:r>
      <w:bookmarkEnd w:id="600"/>
    </w:p>
    <w:p>
      <w:pPr>
        <w:pStyle w:val="Heading4"/>
      </w:pPr>
      <w:bookmarkStart w:id="601" w:name="b600"/>
      <w:r>
        <w:t>§ 451 Umzugsvertrag</w:t>
      </w:r>
      <w:r>
        <w:t xml:space="preserve"> </w:t>
      </w:r>
      <w:r>
        <w:rPr>
          <w:rStyle w:val="Suchmarke"/>
        </w:rPr>
        <w:t>#451#</w:t>
      </w:r>
      <w:bookmarkEnd w:id="601"/>
    </w:p>
    <w:p>
      <w:r>
        <w:t>Hat der Frachtvertrag die Beförderung von Umzugsgut zum Gegenstand, so sind auf den Vertrag die Vorschriften des Ersten Unterabschnitts anzuwenden, soweit die folgenden besonderen Vorschriften oder anzuwendende internationale Übereinkommen nichts anderes bestimmen.</w:t>
      </w:r>
    </w:p>
    <w:p>
      <w:pPr>
        <w:pStyle w:val="Heading4"/>
      </w:pPr>
      <w:bookmarkStart w:id="602" w:name="b601"/>
      <w:r>
        <w:t>§ 451a Pflichten des Frachtführers</w:t>
      </w:r>
      <w:r>
        <w:t xml:space="preserve"> </w:t>
      </w:r>
      <w:r>
        <w:rPr>
          <w:rStyle w:val="Suchmarke"/>
        </w:rPr>
        <w:t>#451a#</w:t>
      </w:r>
      <w:bookmarkEnd w:id="602"/>
    </w:p>
    <w:p>
      <w:r>
        <w:t>(1) Die Pflichten des Frachtführers umfassen auch das Ab- und Aufbauen der Möbel sowie das Ver- und Entladen des Umzugsgutes.</w:t>
      </w:r>
    </w:p>
    <w:p>
      <w:r>
        <w:t>(2) Ist der Absender ein Verbraucher, so zählt zu den Pflichten des Frachtführers ferner die Ausführung sonstiger auf den Umzug bezogener Leistungen wie die Verpackung und Kennzeichnung des Umzugsgutes.</w:t>
      </w:r>
    </w:p>
    <w:p>
      <w:pPr>
        <w:pStyle w:val="Heading4"/>
      </w:pPr>
      <w:bookmarkStart w:id="603" w:name="b602"/>
      <w:r>
        <w:t>§ 451b Frachtbrief. Gefährliches Gut. Begleitpapiere. Mitteilungs- und Auskunftspflichten</w:t>
      </w:r>
      <w:r>
        <w:t xml:space="preserve"> </w:t>
      </w:r>
      <w:r>
        <w:rPr>
          <w:rStyle w:val="Suchmarke"/>
        </w:rPr>
        <w:t>#451b#</w:t>
      </w:r>
      <w:bookmarkEnd w:id="603"/>
    </w:p>
    <w:p>
      <w:r>
        <w:t xml:space="preserve">(1) Abweichend von </w:t>
      </w:r>
      <w:hyperlink w:anchor="b556" w:history="1">
        <w:r>
          <w:rPr>
            <w:color w:val="0A3A8C"/>
            <w:u w:val="single"/>
          </w:rPr>
          <w:t xml:space="preserve">§ 408</w:t>
        </w:r>
      </w:hyperlink>
      <w:r>
        <w:t xml:space="preserve"> ist der Absender nicht verpflichtet, einen Frachtbrief auszustellen.</w:t>
      </w:r>
    </w:p>
    <w:p>
      <w:r>
        <w:t xml:space="preserve">(2) </w:t>
      </w:r>
      <w:r>
        <w:rPr>
          <w:rStyle w:val="Satznummer"/>
        </w:rPr>
        <w:t>1</w:t>
      </w:r>
      <w:r>
        <w:t xml:space="preserve">Zählt zu dem Umzugsgut gefährliches Gut und ist der Absender ein Verbraucher, so ist er abweichend von </w:t>
      </w:r>
      <w:hyperlink w:anchor="b558" w:history="1">
        <w:r>
          <w:rPr>
            <w:color w:val="0A3A8C"/>
            <w:u w:val="single"/>
          </w:rPr>
          <w:t xml:space="preserve">§ 410</w:t>
        </w:r>
      </w:hyperlink>
      <w:r>
        <w:t xml:space="preserve"> lediglich verpflichtet, den Frachtführer über die von dem Gut ausgehende Gefahr allgemein zu unterrichten; die Unterrichtung bedarf keiner Form. </w:t>
      </w:r>
      <w:r>
        <w:rPr>
          <w:rStyle w:val="Satznummer"/>
        </w:rPr>
        <w:t>2</w:t>
      </w:r>
      <w:r>
        <w:t>Der Frachtführer hat den Absender über dessen Pflicht nach Satz 1 zu unterrichten.</w:t>
      </w:r>
    </w:p>
    <w:p>
      <w:r>
        <w:t xml:space="preserve">(3) </w:t>
      </w:r>
      <w:r>
        <w:rPr>
          <w:rStyle w:val="Satznummer"/>
        </w:rPr>
        <w:t>1</w:t>
      </w:r>
      <w:r>
        <w:t xml:space="preserve">Der Frachtführer hat den Absender, wenn dieser ein Verbraucher ist, über die zu beachtenden Zoll- und sonstigen Verwaltungsvorschriften zu unterrichten. </w:t>
      </w:r>
      <w:r>
        <w:rPr>
          <w:rStyle w:val="Satznummer"/>
        </w:rPr>
        <w:t>2</w:t>
      </w:r>
      <w:r>
        <w:t>Er ist jedoch nicht verpflichtet zu prüfen, ob vom Absender zur Verfügung gestellte Urkunden und erteilte Auskünfte richtig und vollständig sind.</w:t>
      </w:r>
    </w:p>
    <w:p>
      <w:pPr>
        <w:pStyle w:val="Heading4"/>
      </w:pPr>
      <w:bookmarkStart w:id="604" w:name="b603"/>
      <w:r>
        <w:t>§ 451c (weggefallen)</w:t>
      </w:r>
      <w:r>
        <w:t xml:space="preserve"> </w:t>
      </w:r>
      <w:r>
        <w:rPr>
          <w:rStyle w:val="Suchmarke"/>
        </w:rPr>
        <w:t>#451c#</w:t>
      </w:r>
      <w:bookmarkEnd w:id="604"/>
    </w:p>
    <w:p>
      <w:pPr>
        <w:pStyle w:val="Heading4"/>
      </w:pPr>
      <w:bookmarkStart w:id="605" w:name="b604"/>
      <w:r>
        <w:t>§ 451d Besondere Haftungsausschlußgründe</w:t>
      </w:r>
      <w:r>
        <w:t xml:space="preserve"> </w:t>
      </w:r>
      <w:r>
        <w:rPr>
          <w:rStyle w:val="Suchmarke"/>
        </w:rPr>
        <w:t>#451d#</w:t>
      </w:r>
      <w:bookmarkEnd w:id="605"/>
    </w:p>
    <w:p>
      <w:r>
        <w:t xml:space="preserve">(1) Abweichend von </w:t>
      </w:r>
      <w:hyperlink w:anchor="b575" w:history="1">
        <w:r>
          <w:rPr>
            <w:color w:val="0A3A8C"/>
            <w:u w:val="single"/>
          </w:rPr>
          <w:t xml:space="preserve">§ 427</w:t>
        </w:r>
      </w:hyperlink>
      <w:r>
        <w:t xml:space="preserve"> ist der Frachtführer von seiner Haftung befreit, soweit der Verlust oder die Beschädigung auf eine der folgenden Gefahren zurückzuführen ist:</w:t>
      </w:r>
    </w:p>
    <w:p>
      <w:pPr>
        <w:tabs>
          <w:tab w:pos="567" w:val="left"/>
        </w:tabs>
        <w:ind w:left="567" w:hanging="567"/>
      </w:pPr>
      <w:r>
        <w:t>1.</w:t>
      </w:r>
      <w:r>
        <w:tab/>
      </w:r>
      <w:r>
        <w:t>Beförderung von Edelmetallen, Juwelen, Edelsteinen, Geld, Briefmarken, Münzen, Wertpapieren oder Urkunden;</w:t>
      </w:r>
    </w:p>
    <w:p>
      <w:pPr>
        <w:tabs>
          <w:tab w:pos="567" w:val="left"/>
        </w:tabs>
        <w:ind w:left="567" w:hanging="567"/>
      </w:pPr>
      <w:r>
        <w:t>2.</w:t>
      </w:r>
      <w:r>
        <w:tab/>
      </w:r>
      <w:r>
        <w:t>ungenügende Verpackung oder Kennzeichnung durch den Absender;</w:t>
      </w:r>
    </w:p>
    <w:p>
      <w:pPr>
        <w:tabs>
          <w:tab w:pos="567" w:val="left"/>
        </w:tabs>
        <w:ind w:left="567" w:hanging="567"/>
      </w:pPr>
      <w:r>
        <w:t>3.</w:t>
      </w:r>
      <w:r>
        <w:tab/>
      </w:r>
      <w:r>
        <w:t>Behandeln, Verladen oder Entladen des Gutes durch den Absender;</w:t>
      </w:r>
    </w:p>
    <w:p>
      <w:pPr>
        <w:tabs>
          <w:tab w:pos="567" w:val="left"/>
        </w:tabs>
        <w:ind w:left="567" w:hanging="567"/>
      </w:pPr>
      <w:r>
        <w:t>4.</w:t>
      </w:r>
      <w:r>
        <w:tab/>
      </w:r>
      <w:r>
        <w:t>Beförderung von nicht vom Frachtführer verpacktem Gut in Behältern;</w:t>
      </w:r>
    </w:p>
    <w:p>
      <w:pPr>
        <w:tabs>
          <w:tab w:pos="567" w:val="left"/>
        </w:tabs>
        <w:ind w:left="567" w:hanging="567"/>
      </w:pPr>
      <w:r>
        <w:t>5.</w:t>
      </w:r>
      <w:r>
        <w:tab/>
      </w:r>
      <w:r>
        <w:t>Verladen oder Entladen von Gut, dessen Größe oder Gewicht den Raumverhältnissen an der Ladestelle oder Entladestelle nicht entspricht, sofern der Frachtführer den Absender auf die Gefahr einer Beschädigung vorher hingewiesen und der Absender auf der Durchführung der Leistung bestanden hat;</w:t>
      </w:r>
    </w:p>
    <w:p>
      <w:pPr>
        <w:tabs>
          <w:tab w:pos="567" w:val="left"/>
        </w:tabs>
        <w:ind w:left="567" w:hanging="567"/>
      </w:pPr>
      <w:r>
        <w:t>6.</w:t>
      </w:r>
      <w:r>
        <w:tab/>
      </w:r>
      <w:r>
        <w:t>Beförderung lebender Tiere oder von Pflanzen;</w:t>
      </w:r>
    </w:p>
    <w:p>
      <w:pPr>
        <w:tabs>
          <w:tab w:pos="567" w:val="left"/>
        </w:tabs>
        <w:ind w:left="567" w:hanging="567"/>
      </w:pPr>
      <w:r>
        <w:t>7.</w:t>
      </w:r>
      <w:r>
        <w:tab/>
      </w:r>
      <w:r>
        <w:t>natürliche oder mangelhafte Beschaffenheit des Gutes, der zufolge es besonders leicht Schäden, insbesondere durch Bruch, Funktionsstörungen, Rost, inneren Verderb oder Auslaufen, erleidet.</w:t>
      </w:r>
    </w:p>
    <w:p>
      <w:r>
        <w:t>(2) Ist ein Schaden eingetreten, der nach den Umständen des Falles aus einer der in Absatz 1 bezeichneten Gefahren entstehen konnte, so wird vermutet, daß der Schaden aus dieser Gefahr entstanden ist.</w:t>
      </w:r>
    </w:p>
    <w:p>
      <w:r>
        <w:t>(3) Der Frachtführer kann sich auf Absatz 1 nur berufen, wenn er alle ihm nach den Umständen obliegenden Maßnahmen getroffen und besondere Weisungen beachtet hat.</w:t>
      </w:r>
    </w:p>
    <w:p>
      <w:pPr>
        <w:pStyle w:val="Heading4"/>
      </w:pPr>
      <w:bookmarkStart w:id="606" w:name="b605"/>
      <w:r>
        <w:t>§ 451e Haftungshöchstbetrag</w:t>
      </w:r>
      <w:r>
        <w:t xml:space="preserve"> </w:t>
      </w:r>
      <w:r>
        <w:rPr>
          <w:rStyle w:val="Suchmarke"/>
        </w:rPr>
        <w:t>#451e#</w:t>
      </w:r>
      <w:bookmarkEnd w:id="606"/>
    </w:p>
    <w:p>
      <w:r>
        <w:t xml:space="preserve">Abweichend von </w:t>
      </w:r>
      <w:hyperlink w:anchor="b579" w:history="1">
        <w:r>
          <w:rPr>
            <w:color w:val="0A3A8C"/>
            <w:u w:val="single"/>
          </w:rPr>
          <w:t xml:space="preserve">§ 431</w:t>
        </w:r>
      </w:hyperlink>
      <w:r>
        <w:t xml:space="preserve"> Abs. 1 und 2 ist die Haftung des Frachtführers wegen Verlust oder Beschädigung auf einen Betrag von 620 Euro je Kubikmeter Laderaum, der zur Erfüllung des Vertrages benötigt wird, beschränkt.</w:t>
      </w:r>
    </w:p>
    <w:p>
      <w:pPr>
        <w:pStyle w:val="Heading4"/>
      </w:pPr>
      <w:bookmarkStart w:id="607" w:name="b606"/>
      <w:r>
        <w:t>§ 451f Schadensanzeige</w:t>
      </w:r>
      <w:r>
        <w:t xml:space="preserve"> </w:t>
      </w:r>
      <w:r>
        <w:rPr>
          <w:rStyle w:val="Suchmarke"/>
        </w:rPr>
        <w:t>#451f#</w:t>
      </w:r>
      <w:bookmarkEnd w:id="607"/>
    </w:p>
    <w:p>
      <w:r>
        <w:t xml:space="preserve">Abweichend von </w:t>
      </w:r>
      <w:hyperlink w:anchor="b586" w:history="1">
        <w:r>
          <w:rPr>
            <w:color w:val="0A3A8C"/>
            <w:u w:val="single"/>
          </w:rPr>
          <w:t xml:space="preserve">§ 438</w:t>
        </w:r>
      </w:hyperlink>
      <w:r>
        <w:t xml:space="preserve"> Abs. 1 und 2 erlöschen Ansprüche wegen Verlust oder Beschädigung des Gutes,</w:t>
      </w:r>
    </w:p>
    <w:p>
      <w:pPr>
        <w:tabs>
          <w:tab w:pos="567" w:val="left"/>
        </w:tabs>
        <w:ind w:left="567" w:hanging="567"/>
      </w:pPr>
      <w:r>
        <w:t>1.</w:t>
      </w:r>
      <w:r>
        <w:tab/>
      </w:r>
      <w:r>
        <w:t>wenn der Verlust oder die Beschädigung des Gutes äußerlich erkennbar war und dem Frachtführer nicht spätestens am Tag nach der Ablieferung angezeigt worden ist,</w:t>
      </w:r>
    </w:p>
    <w:p>
      <w:pPr>
        <w:tabs>
          <w:tab w:pos="567" w:val="left"/>
        </w:tabs>
        <w:ind w:left="567" w:hanging="567"/>
      </w:pPr>
      <w:r>
        <w:t>2.</w:t>
      </w:r>
      <w:r>
        <w:tab/>
      </w:r>
      <w:r>
        <w:t>wenn der Verlust oder die Beschädigung äußerlich nicht erkennbar war und dem Frachtführer nicht innerhalb von vierzehn Tagen nach Ablieferung angezeigt worden ist.</w:t>
      </w:r>
    </w:p>
    <w:p>
      <w:pPr>
        <w:pStyle w:val="Heading4"/>
      </w:pPr>
      <w:bookmarkStart w:id="608" w:name="b607"/>
      <w:r>
        <w:t>§ 451g Wegfall der Haftungsbefreiungen und -begrenzungen</w:t>
      </w:r>
      <w:r>
        <w:t xml:space="preserve"> </w:t>
      </w:r>
      <w:r>
        <w:rPr>
          <w:rStyle w:val="Suchmarke"/>
        </w:rPr>
        <w:t>#451g#</w:t>
      </w:r>
      <w:bookmarkEnd w:id="608"/>
    </w:p>
    <w:p>
      <w:r>
        <w:rPr>
          <w:rStyle w:val="Satznummer"/>
        </w:rPr>
        <w:t>1</w:t>
      </w:r>
      <w:r>
        <w:t xml:space="preserve">Ist der Absender ein Verbraucher, so kann sich der Frachtführer oder eine in </w:t>
      </w:r>
      <w:hyperlink w:anchor="b576" w:history="1">
        <w:r>
          <w:rPr>
            <w:color w:val="0A3A8C"/>
            <w:u w:val="single"/>
          </w:rPr>
          <w:t xml:space="preserve">§ 428</w:t>
        </w:r>
      </w:hyperlink>
      <w:r>
        <w:t xml:space="preserve"> genannte Person</w:t>
      </w:r>
    </w:p>
    <w:p>
      <w:pPr>
        <w:tabs>
          <w:tab w:pos="567" w:val="left"/>
        </w:tabs>
        <w:ind w:left="567" w:hanging="567"/>
      </w:pPr>
      <w:r>
        <w:t>1.</w:t>
      </w:r>
      <w:r>
        <w:tab/>
      </w:r>
      <w:r>
        <w:t xml:space="preserve">auf die in den </w:t>
      </w:r>
      <w:hyperlink w:anchor="b604" w:history="1">
        <w:r>
          <w:rPr>
            <w:color w:val="0A3A8C"/>
            <w:u w:val="single"/>
          </w:rPr>
          <w:t xml:space="preserve">§§ 451d</w:t>
        </w:r>
      </w:hyperlink>
      <w:r>
        <w:t xml:space="preserve"> und </w:t>
      </w:r>
      <w:hyperlink w:anchor="b605" w:history="1">
        <w:r>
          <w:rPr>
            <w:color w:val="0A3A8C"/>
            <w:u w:val="single"/>
          </w:rPr>
          <w:t xml:space="preserve">451e</w:t>
        </w:r>
      </w:hyperlink>
      <w:r>
        <w:t xml:space="preserve"> sowie in dem Ersten Unterabschnitt vorgesehenen Haftungsbefreiungen und Haftungsbegrenzungen nicht berufen, soweit der Frachtführer es unterläßt, den Absender bei Abschluß des Vertrages über die Haftungsbestimmungen zu unterrichten und auf die Möglichkeiten hinzuweisen, eine weitergehende Haftung zu vereinbaren oder das Gut zu versichern,</w:t>
      </w:r>
    </w:p>
    <w:p>
      <w:pPr>
        <w:tabs>
          <w:tab w:pos="567" w:val="left"/>
        </w:tabs>
        <w:ind w:left="567" w:hanging="567"/>
      </w:pPr>
      <w:r>
        <w:t>2.</w:t>
      </w:r>
      <w:r>
        <w:tab/>
      </w:r>
      <w:r>
        <w:t xml:space="preserve">auf </w:t>
      </w:r>
      <w:hyperlink w:anchor="b606" w:history="1">
        <w:r>
          <w:rPr>
            <w:color w:val="0A3A8C"/>
            <w:u w:val="single"/>
          </w:rPr>
          <w:t xml:space="preserve">§ 451f</w:t>
        </w:r>
      </w:hyperlink>
      <w:r>
        <w:t xml:space="preserve"> in Verbindung mit </w:t>
      </w:r>
      <w:hyperlink w:anchor="b586" w:history="1">
        <w:r>
          <w:rPr>
            <w:color w:val="0A3A8C"/>
            <w:u w:val="single"/>
          </w:rPr>
          <w:t xml:space="preserve">§ 438</w:t>
        </w:r>
      </w:hyperlink>
      <w:r>
        <w:t xml:space="preserve"> nicht berufen, soweit der Frachtführer es unterläßt, den Empfänger spätestens bei der Ablieferung des Gutes über die Form und Frist der Schadensanzeige sowie die Rechtsfolgen bei Unterlassen der Schadensanzeige zu unterrichten.</w:t>
      </w:r>
    </w:p>
    <w:p>
      <w:r>
        <w:rPr>
          <w:rStyle w:val="Satznummer"/>
        </w:rPr>
        <w:t>2</w:t>
      </w:r>
      <w:r>
        <w:t>Die Unterrichtung nach Satz 1 Nr. 1 muß in drucktechnisch deutlicher Gestaltung besonders hervorgehoben sein.</w:t>
      </w:r>
    </w:p>
    <w:p>
      <w:pPr>
        <w:pStyle w:val="Heading4"/>
      </w:pPr>
      <w:bookmarkStart w:id="609" w:name="b608"/>
      <w:r>
        <w:t>§ 451h Abweichende Vereinbarungen</w:t>
      </w:r>
      <w:r>
        <w:t xml:space="preserve"> </w:t>
      </w:r>
      <w:r>
        <w:rPr>
          <w:rStyle w:val="Suchmarke"/>
        </w:rPr>
        <w:t>#451h#</w:t>
      </w:r>
      <w:bookmarkEnd w:id="609"/>
    </w:p>
    <w:p>
      <w:r>
        <w:t>(1) Ist der Absender ein Verbraucher, so kann von den die Haftung des Frachtführers und des Absenders regelnden Vorschriften dieses Unterabschnitts sowie den danach auf den Umzugsvertrag anzuwendenden Vorschriften des Ersten Unterabschnitts nicht zum Nachteil des Absenders abgewichen werden.</w:t>
      </w:r>
    </w:p>
    <w:p>
      <w:r>
        <w:t xml:space="preserve">(2) </w:t>
      </w:r>
      <w:r>
        <w:rPr>
          <w:rStyle w:val="Satznummer"/>
        </w:rPr>
        <w:t>1</w:t>
      </w:r>
      <w:r>
        <w:t xml:space="preserve">In allen anderen als den in Absatz 1 genannten Fällen kann von den darin genannten Vorschriften nur durch Vereinbarung abgewichen werden, die im einzelnen ausgehandelt ist, auch wenn sie für eine Mehrzahl von gleichartigen Verträgen zwischen denselben Vertragsparteien getroffen ist. </w:t>
      </w:r>
      <w:r>
        <w:rPr>
          <w:rStyle w:val="Satznummer"/>
        </w:rPr>
        <w:t>2</w:t>
      </w:r>
      <w:r>
        <w:t xml:space="preserve">Die vom Frachtführer zu leistende Entschädigung wegen Verlust oder Beschädigung des Gutes kann jedoch auch durch vorformulierte Vertragsbedingungen auf einen anderen als den in </w:t>
      </w:r>
      <w:hyperlink w:anchor="b605" w:history="1">
        <w:r>
          <w:rPr>
            <w:color w:val="0A3A8C"/>
            <w:u w:val="single"/>
          </w:rPr>
          <w:t xml:space="preserve">§ 451e</w:t>
        </w:r>
      </w:hyperlink>
      <w:r>
        <w:t xml:space="preserve"> vorgesehenen Betrag begrenzt werden, wenn der Verwender der vorformulierten Vertragsbedingungen seinen Vertragspartner in geeigneter Weise darauf hinweist, dass diese einen anderen als den gesetzlich vorgesehenen Betrag vorsehen. </w:t>
      </w:r>
      <w:r>
        <w:rPr>
          <w:rStyle w:val="Satznummer"/>
        </w:rPr>
        <w:t>3</w:t>
      </w:r>
      <w:r>
        <w:t xml:space="preserve">Ferner kann durch vorformulierte Vertragsbedingungen die vom Absender nach </w:t>
      </w:r>
      <w:hyperlink w:anchor="b562" w:history="1">
        <w:r>
          <w:rPr>
            <w:color w:val="0A3A8C"/>
            <w:u w:val="single"/>
          </w:rPr>
          <w:t xml:space="preserve">§ 414</w:t>
        </w:r>
      </w:hyperlink>
      <w:r>
        <w:t xml:space="preserve"> zu leistende Entschädigung der Höhe nach beschränkt werden.</w:t>
      </w:r>
    </w:p>
    <w:p>
      <w:r>
        <w:t>(3) Unterliegt der Umzugsvertrag ausländischem Recht, so sind die Absätze 1 und 2 gleichwohl anzuwenden, wenn nach dem Vertrag der Ort der Übernahme und der Ort der Ablieferung des Gutes im Inland liegen.</w:t>
      </w:r>
    </w:p>
    <w:p>
      <w:pPr>
        <w:pStyle w:val="Heading3"/>
      </w:pPr>
      <w:bookmarkStart w:id="610" w:name="b609"/>
      <w:r>
        <w:t>Dritter Unterabschnitt Beförderung mit verschiedenartigen Beförderungsmitteln</w:t>
      </w:r>
      <w:bookmarkEnd w:id="610"/>
    </w:p>
    <w:p>
      <w:pPr>
        <w:pStyle w:val="Heading4"/>
      </w:pPr>
      <w:bookmarkStart w:id="611" w:name="b610"/>
      <w:r>
        <w:t>§ 452 Frachtvertrag über eine Beförderung mit verschiedenartigen Beförderungsmitteln</w:t>
      </w:r>
      <w:r>
        <w:t xml:space="preserve"> </w:t>
      </w:r>
      <w:r>
        <w:rPr>
          <w:rStyle w:val="Suchmarke"/>
        </w:rPr>
        <w:t>#452#</w:t>
      </w:r>
      <w:bookmarkEnd w:id="611"/>
    </w:p>
    <w:p>
      <w:r>
        <w:rPr>
          <w:rStyle w:val="Satznummer"/>
        </w:rPr>
        <w:t>1</w:t>
      </w:r>
      <w:r>
        <w:t xml:space="preserve">Wird die Beförderung des Gutes auf Grund eines einheitlichen Frachtvertrags mit verschiedenartigen Beförderungsmitteln durchgeführt und wären, wenn über jeden Teil der Beförderung mit jeweils einem Beförderungsmittel (Teilstrecke) zwischen den Vertragsparteien ein gesonderter Vertrag abgeschlossen worden wäre, mindestens zwei dieser Verträge verschiedenen Rechtsvorschriften unterworfen, so sind auf den Vertrag die Vorschriften des Ersten Unterabschnitts anzuwenden, soweit die folgenden besonderen Vorschriften oder anzuwendende internationale Übereinkommen nichts anderes bestimmen. </w:t>
      </w:r>
      <w:r>
        <w:rPr>
          <w:rStyle w:val="Satznummer"/>
        </w:rPr>
        <w:t>2</w:t>
      </w:r>
      <w:r>
        <w:t>Dies gilt auch dann, wenn ein Teil der Beförderung über See durchgeführt wird.</w:t>
      </w:r>
    </w:p>
    <w:p>
      <w:pPr>
        <w:pStyle w:val="Heading4"/>
      </w:pPr>
      <w:bookmarkStart w:id="612" w:name="b611"/>
      <w:r>
        <w:t>§ 452a Bekannter Schadensort</w:t>
      </w:r>
      <w:r>
        <w:t xml:space="preserve"> </w:t>
      </w:r>
      <w:r>
        <w:rPr>
          <w:rStyle w:val="Suchmarke"/>
        </w:rPr>
        <w:t>#452a#</w:t>
      </w:r>
      <w:bookmarkEnd w:id="612"/>
    </w:p>
    <w:p>
      <w:r>
        <w:rPr>
          <w:rStyle w:val="Satznummer"/>
        </w:rPr>
        <w:t>1</w:t>
      </w:r>
      <w:r>
        <w:t xml:space="preserve">Steht fest, daß der Verlust, die Beschädigung oder das Ereignis, das zu einer Überschreitung der Lieferfrist geführt hat, auf einer bestimmten Teilstrecke eingetreten ist, so bestimmt sich die Haftung des Frachtführers abweichend von den Vorschriften des Ersten Unterabschnitts nach den Rechtsvorschriften, die auf einen Vertrag über eine Beförderung auf dieser Teilstrecke anzuwenden wären. </w:t>
      </w:r>
      <w:r>
        <w:rPr>
          <w:rStyle w:val="Satznummer"/>
        </w:rPr>
        <w:t>2</w:t>
      </w:r>
      <w:r>
        <w:t>Der Beweis dafür, daß der Verlust, die Beschädigung oder das zu einer Überschreitung der Lieferfrist führende Ereignis auf einer bestimmten Teilstrecke eingetreten ist, obliegt demjenigen, der dies behauptet.</w:t>
      </w:r>
    </w:p>
    <w:p>
      <w:pPr>
        <w:pStyle w:val="Heading4"/>
      </w:pPr>
      <w:bookmarkStart w:id="613" w:name="b612"/>
      <w:r>
        <w:t>§ 452b Schadensanzeige. Verjährung</w:t>
      </w:r>
      <w:r>
        <w:t xml:space="preserve"> </w:t>
      </w:r>
      <w:r>
        <w:rPr>
          <w:rStyle w:val="Suchmarke"/>
        </w:rPr>
        <w:t>#452b#</w:t>
      </w:r>
      <w:bookmarkEnd w:id="613"/>
    </w:p>
    <w:p>
      <w:r>
        <w:t xml:space="preserve">(1) </w:t>
      </w:r>
      <w:r>
        <w:rPr>
          <w:rStyle w:val="Satznummer"/>
        </w:rPr>
        <w:t>1</w:t>
      </w:r>
      <w:hyperlink w:anchor="b586" w:history="1">
        <w:r>
          <w:rPr>
            <w:color w:val="0A3A8C"/>
            <w:u w:val="single"/>
          </w:rPr>
          <w:t xml:space="preserve">§ 438</w:t>
        </w:r>
      </w:hyperlink>
      <w:r>
        <w:t xml:space="preserve"> ist unabhängig davon anzuwenden, ob der Schadensort unbekannt ist, bekannt ist oder später bekannt wird. </w:t>
      </w:r>
      <w:r>
        <w:rPr>
          <w:rStyle w:val="Satznummer"/>
        </w:rPr>
        <w:t>2</w:t>
      </w:r>
      <w:r>
        <w:t>Die für die Schadensanzeige vorgeschriebene Form und Frist ist auch gewahrt, wenn die Vorschriften eingehalten werden, die auf einen Vertrag über eine Beförderung auf der letzten Teilstrecke anzuwenden wären.</w:t>
      </w:r>
    </w:p>
    <w:p>
      <w:r>
        <w:t xml:space="preserve">(2) </w:t>
      </w:r>
      <w:r>
        <w:rPr>
          <w:rStyle w:val="Satznummer"/>
        </w:rPr>
        <w:t>1</w:t>
      </w:r>
      <w:r>
        <w:t xml:space="preserve">Für den Beginn der Verjährung des Anspruchs wegen Verlust, Beschädigung oder Überschreitung der Lieferfrist ist, wenn auf den Ablieferungszeitpunkt abzustellen ist, der Zeitpunkt der Ablieferung an den Empfänger maßgebend. </w:t>
      </w:r>
      <w:r>
        <w:rPr>
          <w:rStyle w:val="Satznummer"/>
        </w:rPr>
        <w:t>2</w:t>
      </w:r>
      <w:r>
        <w:t xml:space="preserve">Der Anspruch verjährt auch bei bekanntem Schadensort frühestens nach Maßgabe des </w:t>
      </w:r>
      <w:hyperlink w:anchor="b587" w:history="1">
        <w:r>
          <w:rPr>
            <w:color w:val="0A3A8C"/>
            <w:u w:val="single"/>
          </w:rPr>
          <w:t xml:space="preserve">§ 439</w:t>
        </w:r>
      </w:hyperlink>
      <w:r>
        <w:t>.</w:t>
      </w:r>
    </w:p>
    <w:p>
      <w:pPr>
        <w:pStyle w:val="Heading4"/>
      </w:pPr>
      <w:bookmarkStart w:id="614" w:name="b613"/>
      <w:r>
        <w:t>§ 452c Umzugsvertrag über eine Beförderung mit verschiedenartigen Beförderungsmitteln</w:t>
      </w:r>
      <w:r>
        <w:t xml:space="preserve"> </w:t>
      </w:r>
      <w:r>
        <w:rPr>
          <w:rStyle w:val="Suchmarke"/>
        </w:rPr>
        <w:t>#452c#</w:t>
      </w:r>
      <w:bookmarkEnd w:id="614"/>
    </w:p>
    <w:p>
      <w:r>
        <w:rPr>
          <w:rStyle w:val="Satznummer"/>
        </w:rPr>
        <w:t>1</w:t>
      </w:r>
      <w:r>
        <w:t xml:space="preserve">Hat der Frachtvertrag die Beförderung von Umzugsgut mit verschiedenartigen Beförderungsmitteln zum Gegenstand, so sind auf den Vertrag die Vorschriften des Zweiten Unterabschnitts anzuwenden. </w:t>
      </w:r>
      <w:r>
        <w:rPr>
          <w:rStyle w:val="Satznummer"/>
        </w:rPr>
        <w:t>2</w:t>
      </w:r>
      <w:hyperlink w:anchor="b611" w:history="1">
        <w:r>
          <w:rPr>
            <w:color w:val="0A3A8C"/>
            <w:u w:val="single"/>
          </w:rPr>
          <w:t xml:space="preserve">§ 452a</w:t>
        </w:r>
      </w:hyperlink>
      <w:r>
        <w:t xml:space="preserve"> ist nur anzuwenden, soweit für die Teilstrecke, auf der der Schaden eingetreten ist, Bestimmungen eines für die Bundesrepublik Deutschland verbindlichen internationalen Übereinkommens gelten.</w:t>
      </w:r>
    </w:p>
    <w:p>
      <w:pPr>
        <w:pStyle w:val="Heading4"/>
      </w:pPr>
      <w:bookmarkStart w:id="615" w:name="b614"/>
      <w:r>
        <w:t>§ 452d Abweichende Vereinbarungen</w:t>
      </w:r>
      <w:r>
        <w:t xml:space="preserve"> </w:t>
      </w:r>
      <w:r>
        <w:rPr>
          <w:rStyle w:val="Suchmarke"/>
        </w:rPr>
        <w:t>#452d#</w:t>
      </w:r>
      <w:bookmarkEnd w:id="615"/>
    </w:p>
    <w:p>
      <w:r>
        <w:t xml:space="preserve">(1) </w:t>
      </w:r>
      <w:r>
        <w:rPr>
          <w:rStyle w:val="Satznummer"/>
        </w:rPr>
        <w:t>1</w:t>
      </w:r>
      <w:r>
        <w:t xml:space="preserve">Von der Regelung des </w:t>
      </w:r>
      <w:hyperlink w:anchor="b612" w:history="1">
        <w:r>
          <w:rPr>
            <w:color w:val="0A3A8C"/>
            <w:u w:val="single"/>
          </w:rPr>
          <w:t xml:space="preserve">§ 452b</w:t>
        </w:r>
      </w:hyperlink>
      <w:r>
        <w:t xml:space="preserve"> Abs. 2 Satz 1 kann nur durch Vereinbarung abgewichen werden, die im einzelnen ausgehandelt ist, auch wenn diese für eine Mehrzahl von gleichartigen Verträgen zwischen denselben Vertragsparteien getroffen ist. </w:t>
      </w:r>
      <w:r>
        <w:rPr>
          <w:rStyle w:val="Satznummer"/>
        </w:rPr>
        <w:t>2</w:t>
      </w:r>
      <w:r>
        <w:t>Von den übrigen Regelungen dieses Unterabschnitts kann nur insoweit durch vertragliche Vereinbarung abgewichen werden, als die darin in Bezug genommenen Vorschriften abweichende Vereinbarungen zulassen.</w:t>
      </w:r>
    </w:p>
    <w:p>
      <w:r>
        <w:t>(2) Abweichend von Absatz 1 kann jedoch auch durch vorformulierte Vertragsbedingungen vereinbart werden, daß sich die Haftung bei bekanntem Schadensort (</w:t>
      </w:r>
      <w:hyperlink w:anchor="b611" w:history="1">
        <w:r>
          <w:rPr>
            <w:color w:val="0A3A8C"/>
            <w:u w:val="single"/>
          </w:rPr>
          <w:t xml:space="preserve">§ 452a</w:t>
        </w:r>
      </w:hyperlink>
      <w:r>
        <w:t>)</w:t>
      </w:r>
    </w:p>
    <w:p>
      <w:pPr>
        <w:tabs>
          <w:tab w:pos="567" w:val="left"/>
        </w:tabs>
        <w:ind w:left="567" w:hanging="567"/>
      </w:pPr>
      <w:r>
        <w:t>1.</w:t>
      </w:r>
      <w:r>
        <w:tab/>
      </w:r>
      <w:r>
        <w:t>unabhängig davon, auf welcher Teilstrecke der Schaden eintreten wird, oder</w:t>
      </w:r>
    </w:p>
    <w:p>
      <w:pPr>
        <w:tabs>
          <w:tab w:pos="567" w:val="left"/>
        </w:tabs>
        <w:ind w:left="567" w:hanging="567"/>
      </w:pPr>
      <w:r>
        <w:t>2.</w:t>
      </w:r>
      <w:r>
        <w:tab/>
      </w:r>
      <w:r>
        <w:t>für den Fall des Schadenseintritts auf einer in der Vereinbarung genannten Teilstrecke</w:t>
      </w:r>
    </w:p>
    <w:p>
      <w:r>
        <w:t>nach den Vorschriften des Ersten Unterabschnitts bestimmt.</w:t>
      </w:r>
    </w:p>
    <w:p>
      <w:r>
        <w:t>(3) Vereinbarungen, die die Anwendung der für eine Teilstrecke zwingend geltenden Bestimmungen eines für die Bundesrepublik Deutschland verbindlichen internationalen Übereinkommens ausschließen, sind unwirksam.</w:t>
      </w:r>
    </w:p>
    <w:p>
      <w:pPr>
        <w:pStyle w:val="Heading2"/>
      </w:pPr>
      <w:bookmarkStart w:id="616" w:name="b615"/>
      <w:r>
        <w:t>Fünfter Abschnitt Speditionsgeschäft</w:t>
      </w:r>
      <w:bookmarkEnd w:id="616"/>
    </w:p>
    <w:p>
      <w:pPr>
        <w:pStyle w:val="Heading3"/>
      </w:pPr>
      <w:bookmarkStart w:id="617" w:name="b616"/>
      <w:r>
        <w:t>§ 453 Speditionsvertrag</w:t>
      </w:r>
      <w:r>
        <w:t xml:space="preserve"> </w:t>
      </w:r>
      <w:r>
        <w:rPr>
          <w:rStyle w:val="Suchmarke"/>
        </w:rPr>
        <w:t>#453#</w:t>
      </w:r>
      <w:bookmarkEnd w:id="617"/>
    </w:p>
    <w:p>
      <w:r>
        <w:t>(1) Durch den Speditionsvertrag wird der Spediteur verpflichtet, die Versendung des Gutes zu besorgen.</w:t>
      </w:r>
    </w:p>
    <w:p>
      <w:r>
        <w:t>(2) Der Versender wird verpflichtet, die vereinbarte Vergütung zu zahlen.</w:t>
      </w:r>
    </w:p>
    <w:p>
      <w:r>
        <w:t xml:space="preserve">(3) </w:t>
      </w:r>
      <w:r>
        <w:rPr>
          <w:rStyle w:val="Satznummer"/>
        </w:rPr>
        <w:t>1</w:t>
      </w:r>
      <w:r>
        <w:t xml:space="preserve">Die Vorschriften dieses Abschnitts gelten nur, wenn die Besorgung der Versendung zum Betrieb eines gewerblichen Unternehmens gehört. </w:t>
      </w:r>
      <w:r>
        <w:rPr>
          <w:rStyle w:val="Satznummer"/>
        </w:rPr>
        <w:t>2</w:t>
      </w:r>
      <w:r>
        <w:t xml:space="preserve">Erfordert das Unternehmen nach Art oder Umfang einen in kaufmännischer Weise eingerichteten Geschäftsbetrieb nicht und ist die Firma des Unternehmens auch nicht nach § 2 in das Handelsregister eingetragen, so sind in Ansehung des Speditionsgeschäfts auch insoweit die Vorschriften des Ersten Abschnitts des Vierten Buches ergänzend anzuwenden; dies gilt jedoch nicht für die </w:t>
      </w:r>
      <w:hyperlink w:anchor="b490" w:history="1">
        <w:r>
          <w:rPr>
            <w:color w:val="0A3A8C"/>
            <w:u w:val="single"/>
          </w:rPr>
          <w:t xml:space="preserve">§§ 348</w:t>
        </w:r>
      </w:hyperlink>
      <w:r>
        <w:t xml:space="preserve"> bis </w:t>
      </w:r>
      <w:hyperlink w:anchor="b492" w:history="1">
        <w:r>
          <w:rPr>
            <w:color w:val="0A3A8C"/>
            <w:u w:val="single"/>
          </w:rPr>
          <w:t xml:space="preserve">350</w:t>
        </w:r>
      </w:hyperlink>
      <w:r>
        <w:t>.</w:t>
      </w:r>
    </w:p>
    <w:p>
      <w:pPr>
        <w:pStyle w:val="Heading3"/>
      </w:pPr>
      <w:bookmarkStart w:id="618" w:name="b617"/>
      <w:r>
        <w:t>§ 454 Besorgung der Versendung</w:t>
      </w:r>
      <w:r>
        <w:t xml:space="preserve"> </w:t>
      </w:r>
      <w:r>
        <w:rPr>
          <w:rStyle w:val="Suchmarke"/>
        </w:rPr>
        <w:t>#454#</w:t>
      </w:r>
      <w:bookmarkEnd w:id="618"/>
    </w:p>
    <w:p>
      <w:r>
        <w:t>(1) Die Pflicht, die Versendung zu besorgen, umfaßt die Organisation der Beförderung, insbesondere</w:t>
      </w:r>
    </w:p>
    <w:p>
      <w:pPr>
        <w:tabs>
          <w:tab w:pos="567" w:val="left"/>
        </w:tabs>
        <w:ind w:left="567" w:hanging="567"/>
      </w:pPr>
      <w:r>
        <w:t>1.</w:t>
      </w:r>
      <w:r>
        <w:tab/>
      </w:r>
      <w:r>
        <w:t>die Bestimmung des Beförderungsmittels und des Beförderungsweges,</w:t>
      </w:r>
    </w:p>
    <w:p>
      <w:pPr>
        <w:tabs>
          <w:tab w:pos="567" w:val="left"/>
        </w:tabs>
        <w:ind w:left="567" w:hanging="567"/>
      </w:pPr>
      <w:r>
        <w:t>2.</w:t>
      </w:r>
      <w:r>
        <w:tab/>
      </w:r>
      <w:r>
        <w:t>die Auswahl ausführender Unternehmer, den Abschluß der für die Versendung erforderlichen Fracht-, Lager- und Speditionsverträge sowie die Erteilung von Informationen und Weisungen an die ausführenden Unternehmer und</w:t>
      </w:r>
    </w:p>
    <w:p>
      <w:pPr>
        <w:tabs>
          <w:tab w:pos="567" w:val="left"/>
        </w:tabs>
        <w:ind w:left="567" w:hanging="567"/>
      </w:pPr>
      <w:r>
        <w:t>3.</w:t>
      </w:r>
      <w:r>
        <w:tab/>
      </w:r>
      <w:r>
        <w:t xml:space="preserve">die Sicherung von </w:t>
      </w:r>
      <w:r>
        <w:rPr>
          <w:i/>
        </w:rPr>
        <w:t>Schadensersatzansprüchen</w:t>
      </w:r>
      <w:r>
        <w:t xml:space="preserve"> des Versenders.</w:t>
      </w:r>
    </w:p>
    <w:p>
      <w:r>
        <w:t xml:space="preserve">(2) </w:t>
      </w:r>
      <w:r>
        <w:rPr>
          <w:rStyle w:val="Satznummer"/>
        </w:rPr>
        <w:t>1</w:t>
      </w:r>
      <w:r>
        <w:t xml:space="preserve">Zu den Pflichten des Spediteurs zählt ferner die Ausführung sonstiger vereinbarter auf die Beförderung bezogener Leistungen wie die Versicherung und Verpackung des Gutes, seine Kennzeichnung und die Zollbehandlung. </w:t>
      </w:r>
      <w:r>
        <w:rPr>
          <w:rStyle w:val="Satznummer"/>
        </w:rPr>
        <w:t>2</w:t>
      </w:r>
      <w:r>
        <w:t>Der Spediteur schuldet jedoch nur den Abschluß der zur Erbringung dieser Leistungen erforderlichen Verträge, wenn sich dies aus der Vereinbarung ergibt.</w:t>
      </w:r>
    </w:p>
    <w:p>
      <w:r>
        <w:t>(3) Der Spediteur schließt die erforderlichen Verträge im eigenen Namen oder, sofern er hierzu bevollmächtigt ist, im Namen des Versenders ab.</w:t>
      </w:r>
    </w:p>
    <w:p>
      <w:r>
        <w:t>(4) Der Spediteur hat bei Erfüllung seiner Pflichten das Interesse des Versenders wahrzunehmen und dessen Weisungen zu befolgen.</w:t>
      </w:r>
    </w:p>
    <w:p>
      <w:pPr>
        <w:pStyle w:val="Heading3"/>
      </w:pPr>
      <w:bookmarkStart w:id="619" w:name="b618"/>
      <w:r>
        <w:t>§ 455 Behandlung des Gutes. Begleitpapiere. Mitteilungs- und Auskunftspflichten</w:t>
      </w:r>
      <w:r>
        <w:t xml:space="preserve"> </w:t>
      </w:r>
      <w:r>
        <w:rPr>
          <w:rStyle w:val="Suchmarke"/>
        </w:rPr>
        <w:t>#455#</w:t>
      </w:r>
      <w:bookmarkEnd w:id="619"/>
    </w:p>
    <w:p>
      <w:r>
        <w:t xml:space="preserve">(1) </w:t>
      </w:r>
      <w:r>
        <w:rPr>
          <w:rStyle w:val="Satznummer"/>
        </w:rPr>
        <w:t>1</w:t>
      </w:r>
      <w:r>
        <w:t xml:space="preserve">Der Versender ist verpflichtet, das Gut, soweit erforderlich, zu verpacken und zu kennzeichnen und Urkunden zur Verfügung zu stellen sowie alle Auskünfte zu erteilen, deren der Spediteur zur Erfüllung seiner Pflichten bedarf. </w:t>
      </w:r>
      <w:r>
        <w:rPr>
          <w:rStyle w:val="Satznummer"/>
        </w:rPr>
        <w:t>2</w:t>
      </w:r>
      <w:r>
        <w:t>Soll gefährliches Gut versendet werden, so hat der Versender dem Spediteur rechtzeitig in Textform die genaue Art der Gefahr und, soweit erforderlich, zu ergreifende Vorsichtsmaßnahmen mitzuteilen.</w:t>
      </w:r>
    </w:p>
    <w:p>
      <w:r>
        <w:t xml:space="preserve">(2) </w:t>
      </w:r>
      <w:r>
        <w:rPr>
          <w:rStyle w:val="Satznummer"/>
        </w:rPr>
        <w:t>1</w:t>
      </w:r>
      <w:r>
        <w:t>Der Versender hat, auch wenn ihn kein Verschulden trifft, dem Spediteur Schäden und Aufwendungen zu ersetzen, die verursacht werden durch</w:t>
      </w:r>
    </w:p>
    <w:p>
      <w:pPr>
        <w:tabs>
          <w:tab w:pos="567" w:val="left"/>
        </w:tabs>
        <w:ind w:left="567" w:hanging="567"/>
      </w:pPr>
      <w:r>
        <w:t>1.</w:t>
      </w:r>
      <w:r>
        <w:tab/>
      </w:r>
      <w:r>
        <w:t>ungenügende Verpackung oder Kennzeichnung,</w:t>
      </w:r>
    </w:p>
    <w:p>
      <w:pPr>
        <w:tabs>
          <w:tab w:pos="567" w:val="left"/>
        </w:tabs>
        <w:ind w:left="567" w:hanging="567"/>
      </w:pPr>
      <w:r>
        <w:t>2.</w:t>
      </w:r>
      <w:r>
        <w:tab/>
      </w:r>
      <w:r>
        <w:t>Unterlassen der Mitteilung über die Gefährlichkeit des Gutes oder</w:t>
      </w:r>
    </w:p>
    <w:p>
      <w:pPr>
        <w:tabs>
          <w:tab w:pos="567" w:val="left"/>
        </w:tabs>
        <w:ind w:left="567" w:hanging="567"/>
      </w:pPr>
      <w:r>
        <w:t>3.</w:t>
      </w:r>
      <w:r>
        <w:tab/>
      </w:r>
      <w:r>
        <w:t>Fehlen, Unvollständigkeit oder Unrichtigkeit der Urkunden oder Auskünfte, die für eine amtliche Behandlung des Gutes erforderlich sind.</w:t>
      </w:r>
    </w:p>
    <w:p>
      <w:r>
        <w:rPr>
          <w:rStyle w:val="Satznummer"/>
        </w:rPr>
        <w:t>2</w:t>
      </w:r>
      <w:hyperlink w:anchor="b562" w:history="1">
        <w:r>
          <w:rPr>
            <w:color w:val="0A3A8C"/>
            <w:u w:val="single"/>
          </w:rPr>
          <w:t xml:space="preserve">§ 414</w:t>
        </w:r>
      </w:hyperlink>
      <w:r>
        <w:t xml:space="preserve"> Absatz 2 ist entsprechend anzuwenden.</w:t>
      </w:r>
    </w:p>
    <w:p>
      <w:r>
        <w:t>(3) Ist der Versender ein Verbraucher, so hat er dem Spediteur Schäden und Aufwendungen nach Absatz 2 nur zu ersetzen, soweit ihn ein Verschulden trifft.</w:t>
      </w:r>
    </w:p>
    <w:p>
      <w:pPr>
        <w:pStyle w:val="Heading3"/>
      </w:pPr>
      <w:bookmarkStart w:id="620" w:name="b619"/>
      <w:r>
        <w:t>§ 456 Fälligkeit der Vergütung</w:t>
      </w:r>
      <w:r>
        <w:t xml:space="preserve"> </w:t>
      </w:r>
      <w:r>
        <w:rPr>
          <w:rStyle w:val="Suchmarke"/>
        </w:rPr>
        <w:t>#456#</w:t>
      </w:r>
      <w:bookmarkEnd w:id="620"/>
    </w:p>
    <w:p>
      <w:r>
        <w:t>Die Vergütung ist zu zahlen, wenn das Gut dem Frachtführer oder Verfrachter übergeben worden ist.</w:t>
      </w:r>
    </w:p>
    <w:p>
      <w:pPr>
        <w:pStyle w:val="Heading3"/>
      </w:pPr>
      <w:bookmarkStart w:id="621" w:name="b620"/>
      <w:r>
        <w:t>§ 457 Forderungen des Versenders</w:t>
      </w:r>
      <w:r>
        <w:t xml:space="preserve"> </w:t>
      </w:r>
      <w:r>
        <w:rPr>
          <w:rStyle w:val="Suchmarke"/>
        </w:rPr>
        <w:t>#457#</w:t>
      </w:r>
      <w:bookmarkEnd w:id="621"/>
    </w:p>
    <w:p>
      <w:r>
        <w:rPr>
          <w:rStyle w:val="Satznummer"/>
        </w:rPr>
        <w:t>1</w:t>
      </w:r>
      <w:r>
        <w:t xml:space="preserve">Der Versender kann Forderungen aus einem Vertrag, den der Spediteur für Rechnung des Versenders im eigenen Namen abgeschlossen hat, erst nach der Abtretung geltend machen. </w:t>
      </w:r>
      <w:r>
        <w:rPr>
          <w:rStyle w:val="Satznummer"/>
        </w:rPr>
        <w:t>2</w:t>
      </w:r>
      <w:r>
        <w:t>Solche Forderungen sowie das in Erfüllung solcher Forderungen Erlangte gelten jedoch im Verhältnis zu den Gläubigern des Spediteurs als auf den Versender übertragen.</w:t>
      </w:r>
    </w:p>
    <w:p>
      <w:pPr>
        <w:pStyle w:val="Heading3"/>
      </w:pPr>
      <w:bookmarkStart w:id="622" w:name="b621"/>
      <w:r>
        <w:t>§ 458 Selbsteintritt</w:t>
      </w:r>
      <w:r>
        <w:t xml:space="preserve"> </w:t>
      </w:r>
      <w:r>
        <w:rPr>
          <w:rStyle w:val="Suchmarke"/>
        </w:rPr>
        <w:t>#458#</w:t>
      </w:r>
      <w:bookmarkEnd w:id="622"/>
    </w:p>
    <w:p>
      <w:r>
        <w:rPr>
          <w:rStyle w:val="Satznummer"/>
        </w:rPr>
        <w:t>1</w:t>
      </w:r>
      <w:r>
        <w:t xml:space="preserve">Der Spediteur ist befugt, die Beförderung des Gutes durch Selbsteintritt auszuführen. </w:t>
      </w:r>
      <w:r>
        <w:rPr>
          <w:rStyle w:val="Satznummer"/>
        </w:rPr>
        <w:t>2</w:t>
      </w:r>
      <w:r>
        <w:t xml:space="preserve">Macht er von dieser Befugnis Gebrauch, so hat er hinsichtlich der Beförderung die Rechte und Pflichten eines Frachtführers oder Verfrachters. </w:t>
      </w:r>
      <w:r>
        <w:rPr>
          <w:rStyle w:val="Satznummer"/>
        </w:rPr>
        <w:t>3</w:t>
      </w:r>
      <w:r>
        <w:t>In diesem Fall kann er neben der Vergütung für seine Tätigkeit als Spediteur die gewöhnliche Fracht verlangen.</w:t>
      </w:r>
    </w:p>
    <w:p>
      <w:pPr>
        <w:pStyle w:val="Heading3"/>
      </w:pPr>
      <w:bookmarkStart w:id="623" w:name="b622"/>
      <w:r>
        <w:t>§ 459 Spedition zu festen Kosten</w:t>
      </w:r>
      <w:r>
        <w:t xml:space="preserve"> </w:t>
      </w:r>
      <w:r>
        <w:rPr>
          <w:rStyle w:val="Suchmarke"/>
        </w:rPr>
        <w:t>#459#</w:t>
      </w:r>
      <w:bookmarkEnd w:id="623"/>
    </w:p>
    <w:p>
      <w:r>
        <w:rPr>
          <w:rStyle w:val="Satznummer"/>
        </w:rPr>
        <w:t>1</w:t>
      </w:r>
      <w:r>
        <w:t xml:space="preserve">Soweit als Vergütung ein bestimmter Betrag vereinbart ist, der Kosten für die Beförderung einschließt, hat der Spediteur hinsichtlich der Beförderung die Rechte und Pflichten eines Frachtführers oder Verfrachters. </w:t>
      </w:r>
      <w:r>
        <w:rPr>
          <w:rStyle w:val="Satznummer"/>
        </w:rPr>
        <w:t>2</w:t>
      </w:r>
      <w:r>
        <w:t>In diesem Fall hat er Anspruch auf Ersatz seiner Aufwendungen nur, soweit dies üblich ist.</w:t>
      </w:r>
    </w:p>
    <w:p>
      <w:pPr>
        <w:pStyle w:val="Heading3"/>
      </w:pPr>
      <w:bookmarkStart w:id="624" w:name="b623"/>
      <w:r>
        <w:t>§ 460 Sammelladung</w:t>
      </w:r>
      <w:r>
        <w:t xml:space="preserve"> </w:t>
      </w:r>
      <w:r>
        <w:rPr>
          <w:rStyle w:val="Suchmarke"/>
        </w:rPr>
        <w:t>#460#</w:t>
      </w:r>
      <w:bookmarkEnd w:id="624"/>
    </w:p>
    <w:p>
      <w:r>
        <w:t>(1) Der Spediteur ist befugt, die Versendung des Gutes zusammen mit Gut eines anderen Versenders auf Grund eines für seine Rechnung über eine Sammelladung geschlossenen Frachtvertrages zu bewirken.</w:t>
      </w:r>
    </w:p>
    <w:p>
      <w:r>
        <w:t xml:space="preserve">(2) </w:t>
      </w:r>
      <w:r>
        <w:rPr>
          <w:rStyle w:val="Satznummer"/>
        </w:rPr>
        <w:t>1</w:t>
      </w:r>
      <w:r>
        <w:t xml:space="preserve">Macht der Spediteur von dieser Befugnis Gebrauch, so hat er hinsichtlich der Beförderung in Sammelladung die Rechte und Pflichten eines Frachtführers oder Verfrachters. </w:t>
      </w:r>
      <w:r>
        <w:rPr>
          <w:rStyle w:val="Satznummer"/>
        </w:rPr>
        <w:t>2</w:t>
      </w:r>
      <w:r>
        <w:t>In diesem Fall kann der Spediteur eine den Umständen nach angemessene Vergütung verlangen, höchstens aber die für die Beförderung des einzelnen Gutes gewöhnliche Fracht.</w:t>
      </w:r>
    </w:p>
    <w:p>
      <w:pPr>
        <w:pStyle w:val="Heading3"/>
      </w:pPr>
      <w:bookmarkStart w:id="625" w:name="b624"/>
      <w:r>
        <w:t>§ 461 Haftung des Spediteurs</w:t>
      </w:r>
      <w:r>
        <w:t xml:space="preserve"> </w:t>
      </w:r>
      <w:r>
        <w:rPr>
          <w:rStyle w:val="Suchmarke"/>
        </w:rPr>
        <w:t>#461#</w:t>
      </w:r>
      <w:bookmarkEnd w:id="625"/>
    </w:p>
    <w:p>
      <w:r>
        <w:t xml:space="preserve">(1) </w:t>
      </w:r>
      <w:r>
        <w:rPr>
          <w:rStyle w:val="Satznummer"/>
        </w:rPr>
        <w:t>1</w:t>
      </w:r>
      <w:r>
        <w:t xml:space="preserve">Der Spediteur haftet für den Schaden, der durch Verlust oder Beschädigung des in seiner Obhut befindlichen Gutes entsteht. </w:t>
      </w:r>
      <w:r>
        <w:rPr>
          <w:rStyle w:val="Satznummer"/>
        </w:rPr>
        <w:t>2</w:t>
      </w:r>
      <w:r>
        <w:t xml:space="preserve">Die </w:t>
      </w:r>
      <w:hyperlink w:anchor="b574" w:history="1">
        <w:r>
          <w:rPr>
            <w:color w:val="0A3A8C"/>
            <w:u w:val="single"/>
          </w:rPr>
          <w:t xml:space="preserve">§§ 426</w:t>
        </w:r>
      </w:hyperlink>
      <w:r>
        <w:t xml:space="preserve">, </w:t>
      </w:r>
      <w:hyperlink w:anchor="b575" w:history="1">
        <w:r>
          <w:rPr>
            <w:color w:val="0A3A8C"/>
            <w:u w:val="single"/>
          </w:rPr>
          <w:t xml:space="preserve">427</w:t>
        </w:r>
      </w:hyperlink>
      <w:r>
        <w:t xml:space="preserve">, </w:t>
      </w:r>
      <w:hyperlink w:anchor="b577" w:history="1">
        <w:r>
          <w:rPr>
            <w:color w:val="0A3A8C"/>
            <w:u w:val="single"/>
          </w:rPr>
          <w:t xml:space="preserve">429</w:t>
        </w:r>
      </w:hyperlink>
      <w:r>
        <w:t xml:space="preserve">, </w:t>
      </w:r>
      <w:hyperlink w:anchor="b578" w:history="1">
        <w:r>
          <w:rPr>
            <w:color w:val="0A3A8C"/>
            <w:u w:val="single"/>
          </w:rPr>
          <w:t xml:space="preserve">430</w:t>
        </w:r>
      </w:hyperlink>
      <w:r>
        <w:t xml:space="preserve">, </w:t>
      </w:r>
      <w:hyperlink w:anchor="b579" w:history="1">
        <w:r>
          <w:rPr>
            <w:color w:val="0A3A8C"/>
            <w:u w:val="single"/>
          </w:rPr>
          <w:t xml:space="preserve">431</w:t>
        </w:r>
      </w:hyperlink>
      <w:r>
        <w:t xml:space="preserve"> Abs. 1, 2 und 4, die </w:t>
      </w:r>
      <w:hyperlink w:anchor="b580" w:history="1">
        <w:r>
          <w:rPr>
            <w:color w:val="0A3A8C"/>
            <w:u w:val="single"/>
          </w:rPr>
          <w:t xml:space="preserve">§§ 432</w:t>
        </w:r>
      </w:hyperlink>
      <w:r>
        <w:t xml:space="preserve">, </w:t>
      </w:r>
      <w:hyperlink w:anchor="b582" w:history="1">
        <w:r>
          <w:rPr>
            <w:color w:val="0A3A8C"/>
            <w:u w:val="single"/>
          </w:rPr>
          <w:t xml:space="preserve">434</w:t>
        </w:r>
      </w:hyperlink>
      <w:r>
        <w:t xml:space="preserve"> bis </w:t>
      </w:r>
      <w:hyperlink w:anchor="b584" w:history="1">
        <w:r>
          <w:rPr>
            <w:color w:val="0A3A8C"/>
            <w:u w:val="single"/>
          </w:rPr>
          <w:t xml:space="preserve">436</w:t>
        </w:r>
      </w:hyperlink>
      <w:r>
        <w:t xml:space="preserve"> sind entsprechend anzuwenden.</w:t>
      </w:r>
    </w:p>
    <w:p>
      <w:r>
        <w:t xml:space="preserve">(2) </w:t>
      </w:r>
      <w:r>
        <w:rPr>
          <w:rStyle w:val="Satznummer"/>
        </w:rPr>
        <w:t>1</w:t>
      </w:r>
      <w:r>
        <w:t xml:space="preserve">Für Schaden, der nicht durch Verlust oder Beschädigung des in der Obhut des Spediteurs befindlichen Gutes entstanden ist, haftet der Spediteur, wenn er eine ihm nach </w:t>
      </w:r>
      <w:hyperlink w:anchor="b617" w:history="1">
        <w:r>
          <w:rPr>
            <w:color w:val="0A3A8C"/>
            <w:u w:val="single"/>
          </w:rPr>
          <w:t xml:space="preserve">§ 454</w:t>
        </w:r>
      </w:hyperlink>
      <w:r>
        <w:t xml:space="preserve"> obliegende Pflicht verletzt. </w:t>
      </w:r>
      <w:r>
        <w:rPr>
          <w:rStyle w:val="Satznummer"/>
        </w:rPr>
        <w:t>2</w:t>
      </w:r>
      <w:r>
        <w:t>Von dieser Haftung ist er befreit, wenn der Schaden durch die Sorgfalt eines ordentlichen Kaufmanns nicht abgewendet werden konnte.</w:t>
      </w:r>
    </w:p>
    <w:p>
      <w:r>
        <w:t>(3) Hat bei der Entstehung des Schadens ein Verhalten des Versenders oder ein besonderer Mangel des Gutes mitgewirkt, so hängen die Verpflichtung zum Ersatz sowie der Umfang des zu leistenden Ersatzes davon ab, inwieweit diese Umstände zu dem Schaden beigetragen haben.</w:t>
      </w:r>
    </w:p>
    <w:p>
      <w:pPr>
        <w:pStyle w:val="Heading3"/>
      </w:pPr>
      <w:bookmarkStart w:id="626" w:name="b625"/>
      <w:r>
        <w:t>§ 462 Haftung für andere</w:t>
      </w:r>
      <w:r>
        <w:t xml:space="preserve"> </w:t>
      </w:r>
      <w:r>
        <w:rPr>
          <w:rStyle w:val="Suchmarke"/>
        </w:rPr>
        <w:t>#462#</w:t>
      </w:r>
      <w:bookmarkEnd w:id="626"/>
    </w:p>
    <w:p>
      <w:r>
        <w:rPr>
          <w:rStyle w:val="Satznummer"/>
        </w:rPr>
        <w:t>1</w:t>
      </w:r>
      <w:r>
        <w:t xml:space="preserve">Der Spediteur hat Handlungen und Unterlassungen seiner Leute in gleichem Umfang zu vertreten wie eigene Handlungen und Unterlassungen, wenn die Leute in Ausübung ihrer Verrichtungen handeln. </w:t>
      </w:r>
      <w:r>
        <w:rPr>
          <w:rStyle w:val="Satznummer"/>
        </w:rPr>
        <w:t>2</w:t>
      </w:r>
      <w:r>
        <w:t>Gleiches gilt für Handlungen und Unterlassungen anderer Personen, deren er sich bei Erfüllung seiner Pflicht, die Versendung zu besorgen, bedient.</w:t>
      </w:r>
    </w:p>
    <w:p>
      <w:pPr>
        <w:pStyle w:val="Heading3"/>
      </w:pPr>
      <w:bookmarkStart w:id="627" w:name="b626"/>
      <w:r>
        <w:t>§ 463 Verjährung</w:t>
      </w:r>
      <w:r>
        <w:t xml:space="preserve"> </w:t>
      </w:r>
      <w:r>
        <w:rPr>
          <w:rStyle w:val="Suchmarke"/>
        </w:rPr>
        <w:t>#463#</w:t>
      </w:r>
      <w:bookmarkEnd w:id="627"/>
    </w:p>
    <w:p>
      <w:r>
        <w:t xml:space="preserve">Auf die Verjährung der Ansprüche aus einer Leistung, die den Vorschriften dieses Abschnitts unterliegt, ist </w:t>
      </w:r>
      <w:hyperlink w:anchor="b587" w:history="1">
        <w:r>
          <w:rPr>
            <w:color w:val="0A3A8C"/>
            <w:u w:val="single"/>
          </w:rPr>
          <w:t xml:space="preserve">§ 439</w:t>
        </w:r>
      </w:hyperlink>
      <w:r>
        <w:t xml:space="preserve"> entsprechend anzuwenden.</w:t>
      </w:r>
    </w:p>
    <w:p>
      <w:pPr>
        <w:pStyle w:val="Heading3"/>
      </w:pPr>
      <w:bookmarkStart w:id="628" w:name="b627"/>
      <w:r>
        <w:t>§ 464 Pfandrecht des Spediteurs</w:t>
      </w:r>
      <w:r>
        <w:t xml:space="preserve"> </w:t>
      </w:r>
      <w:r>
        <w:rPr>
          <w:rStyle w:val="Suchmarke"/>
        </w:rPr>
        <w:t>#464#</w:t>
      </w:r>
      <w:bookmarkEnd w:id="628"/>
    </w:p>
    <w:p>
      <w:r>
        <w:rPr>
          <w:rStyle w:val="Satznummer"/>
        </w:rPr>
        <w:t>1</w:t>
      </w:r>
      <w:r>
        <w:t xml:space="preserve">Der Spediteur hat für alle Forderungen aus dem Speditionsvertrag ein Pfandrecht an dem ihm zur Versendung übergebenen Gut des Versenders oder eines Dritten, der der Versendung des Gutes zugestimmt hat. </w:t>
      </w:r>
      <w:r>
        <w:rPr>
          <w:rStyle w:val="Satznummer"/>
        </w:rPr>
        <w:t>2</w:t>
      </w:r>
      <w:r>
        <w:t xml:space="preserve">An dem Gut des Versenders hat der Spediteur auch ein Pfandrecht für alle unbestrittenen Forderungen aus anderen mit dem Versender abgeschlossenen Speditions-, Fracht-, Seefracht- und Lagerverträgen. </w:t>
      </w:r>
      <w:r>
        <w:rPr>
          <w:rStyle w:val="Satznummer"/>
        </w:rPr>
        <w:t>3</w:t>
      </w:r>
      <w:hyperlink w:anchor="b588" w:history="1">
        <w:r>
          <w:rPr>
            <w:color w:val="0A3A8C"/>
            <w:u w:val="single"/>
          </w:rPr>
          <w:t xml:space="preserve">§ 440</w:t>
        </w:r>
      </w:hyperlink>
      <w:r>
        <w:t xml:space="preserve"> Absatz 1 Satz 3 und Absatz 2 bis 4 ist entsprechend anzuwenden.</w:t>
      </w:r>
    </w:p>
    <w:p>
      <w:pPr>
        <w:pStyle w:val="Heading3"/>
      </w:pPr>
      <w:bookmarkStart w:id="629" w:name="b628"/>
      <w:r>
        <w:t>§ 465 Nachfolgender Spediteur</w:t>
      </w:r>
      <w:r>
        <w:t xml:space="preserve"> </w:t>
      </w:r>
      <w:r>
        <w:rPr>
          <w:rStyle w:val="Suchmarke"/>
        </w:rPr>
        <w:t>#465#</w:t>
      </w:r>
      <w:bookmarkEnd w:id="629"/>
    </w:p>
    <w:p>
      <w:r>
        <w:t xml:space="preserve">(1) Wirkt an einer Beförderung neben dem Frachtführer auch ein Spediteur mit und hat dieser die Ablieferung zu bewirken, so ist auf den Spediteur </w:t>
      </w:r>
      <w:hyperlink w:anchor="b589" w:history="1">
        <w:r>
          <w:rPr>
            <w:color w:val="0A3A8C"/>
            <w:u w:val="single"/>
          </w:rPr>
          <w:t xml:space="preserve">§ 441</w:t>
        </w:r>
      </w:hyperlink>
      <w:r>
        <w:t xml:space="preserve"> Absatz 1 entsprechend anzuwenden.</w:t>
      </w:r>
    </w:p>
    <w:p>
      <w:r>
        <w:t>(2) Wird ein vorhergehender Frachtführer oder Spediteur von einem nachfolgenden Spediteur befriedigt, so gehen Forderung und Pfandrecht des ersteren auf den letzteren über.</w:t>
      </w:r>
    </w:p>
    <w:p>
      <w:pPr>
        <w:pStyle w:val="Heading3"/>
      </w:pPr>
      <w:bookmarkStart w:id="630" w:name="b629"/>
      <w:r>
        <w:t>§ 466 Abweichende Vereinbarungen über die Haftung</w:t>
      </w:r>
      <w:r>
        <w:t xml:space="preserve"> </w:t>
      </w:r>
      <w:r>
        <w:rPr>
          <w:rStyle w:val="Suchmarke"/>
        </w:rPr>
        <w:t>#466#</w:t>
      </w:r>
      <w:bookmarkEnd w:id="630"/>
    </w:p>
    <w:p>
      <w:r>
        <w:t xml:space="preserve">(1) Soweit der Speditionsvertrag nicht die Versendung von Briefen oder briefähnlichen Sendungen zum Gegenstand hat, kann von den Haftungsvorschriften in </w:t>
      </w:r>
      <w:hyperlink w:anchor="b618" w:history="1">
        <w:r>
          <w:rPr>
            <w:color w:val="0A3A8C"/>
            <w:u w:val="single"/>
          </w:rPr>
          <w:t xml:space="preserve">§ 455</w:t>
        </w:r>
      </w:hyperlink>
      <w:r>
        <w:t xml:space="preserve"> Absatz 2 und 3, </w:t>
      </w:r>
      <w:hyperlink w:anchor="b624" w:history="1">
        <w:r>
          <w:rPr>
            <w:color w:val="0A3A8C"/>
            <w:u w:val="single"/>
          </w:rPr>
          <w:t xml:space="preserve">§ 461</w:t>
        </w:r>
      </w:hyperlink>
      <w:r>
        <w:t xml:space="preserve"> Absatz 1 sowie in den </w:t>
      </w:r>
      <w:hyperlink w:anchor="b625" w:history="1">
        <w:r>
          <w:rPr>
            <w:color w:val="0A3A8C"/>
            <w:u w:val="single"/>
          </w:rPr>
          <w:t xml:space="preserve">§§ 462</w:t>
        </w:r>
      </w:hyperlink>
      <w:r>
        <w:t xml:space="preserve"> und </w:t>
      </w:r>
      <w:hyperlink w:anchor="b626" w:history="1">
        <w:r>
          <w:rPr>
            <w:color w:val="0A3A8C"/>
            <w:u w:val="single"/>
          </w:rPr>
          <w:t xml:space="preserve">463</w:t>
        </w:r>
      </w:hyperlink>
      <w:r>
        <w:t xml:space="preserve"> nur durch Vereinbarung abgewichen werden, die im Einzelnen ausgehandelt wird, auch wenn sie für eine Mehrzahl von gleichartigen Verträgen zwischen denselben Vertragsparteien getroffen wird.</w:t>
      </w:r>
    </w:p>
    <w:p>
      <w:r>
        <w:t xml:space="preserve">(2) </w:t>
      </w:r>
      <w:r>
        <w:rPr>
          <w:rStyle w:val="Satznummer"/>
        </w:rPr>
        <w:t>1</w:t>
      </w:r>
      <w:r>
        <w:t xml:space="preserve">Abweichend von Absatz 1 kann die vom Spediteur zu leistende Entschädigung wegen Verlust oder Beschädigung des Gutes auch durch vorformulierte Vertragsbedingungen auf einen anderen als den in </w:t>
      </w:r>
      <w:hyperlink w:anchor="b579" w:history="1">
        <w:r>
          <w:rPr>
            <w:color w:val="0A3A8C"/>
            <w:u w:val="single"/>
          </w:rPr>
          <w:t xml:space="preserve">§ 431</w:t>
        </w:r>
      </w:hyperlink>
      <w:r>
        <w:t xml:space="preserve"> Absatz 1 und 2 vorgesehenen Betrag begrenzt werden, wenn dieser Betrag</w:t>
      </w:r>
    </w:p>
    <w:p>
      <w:pPr>
        <w:tabs>
          <w:tab w:pos="567" w:val="left"/>
        </w:tabs>
        <w:ind w:left="567" w:hanging="567"/>
      </w:pPr>
      <w:r>
        <w:t>1.</w:t>
      </w:r>
      <w:r>
        <w:tab/>
      </w:r>
      <w:r>
        <w:t>zwischen 2 und 40 Rechnungseinheiten liegt und der Verwender der vorformulierten Vertragsbedingungen seinen Vertragspartner in geeigneter Weise darauf hinweist, dass diese einen anderen als den gesetzlich vorgesehenen Betrag vorsehen, oder</w:t>
      </w:r>
    </w:p>
    <w:p>
      <w:pPr>
        <w:tabs>
          <w:tab w:pos="567" w:val="left"/>
        </w:tabs>
        <w:ind w:left="567" w:hanging="567"/>
      </w:pPr>
      <w:r>
        <w:t>2.</w:t>
      </w:r>
      <w:r>
        <w:tab/>
      </w:r>
      <w:r>
        <w:t xml:space="preserve">für den Verwender der vorformulierten Vertragsbedingungen ungünstiger ist als der in </w:t>
      </w:r>
      <w:hyperlink w:anchor="b579" w:history="1">
        <w:r>
          <w:rPr>
            <w:color w:val="0A3A8C"/>
            <w:u w:val="single"/>
          </w:rPr>
          <w:t xml:space="preserve">§ 431</w:t>
        </w:r>
      </w:hyperlink>
      <w:r>
        <w:t xml:space="preserve"> Absatz 1 und 2 vorgesehene Betrag.</w:t>
      </w:r>
    </w:p>
    <w:p>
      <w:r>
        <w:rPr>
          <w:rStyle w:val="Satznummer"/>
        </w:rPr>
        <w:t>2</w:t>
      </w:r>
      <w:r>
        <w:t xml:space="preserve">Ferner kann durch vorformulierte Vertragsbedingungen die vom Versender nach </w:t>
      </w:r>
      <w:hyperlink w:anchor="b618" w:history="1">
        <w:r>
          <w:rPr>
            <w:color w:val="0A3A8C"/>
            <w:u w:val="single"/>
          </w:rPr>
          <w:t xml:space="preserve">§ 455</w:t>
        </w:r>
      </w:hyperlink>
      <w:r>
        <w:t xml:space="preserve"> Absatz 2 oder 3 zu leistende Entschädigung der Höhe nach beschränkt werden.</w:t>
      </w:r>
    </w:p>
    <w:p>
      <w:r>
        <w:t xml:space="preserve">(3) Von </w:t>
      </w:r>
      <w:hyperlink w:anchor="b621" w:history="1">
        <w:r>
          <w:rPr>
            <w:color w:val="0A3A8C"/>
            <w:u w:val="single"/>
          </w:rPr>
          <w:t xml:space="preserve">§ 458</w:t>
        </w:r>
      </w:hyperlink>
      <w:r>
        <w:t xml:space="preserve"> Satz 2, </w:t>
      </w:r>
      <w:hyperlink w:anchor="b622" w:history="1">
        <w:r>
          <w:rPr>
            <w:color w:val="0A3A8C"/>
            <w:u w:val="single"/>
          </w:rPr>
          <w:t xml:space="preserve">§ 459</w:t>
        </w:r>
      </w:hyperlink>
      <w:r>
        <w:t xml:space="preserve"> Satz 1 und </w:t>
      </w:r>
      <w:hyperlink w:anchor="b623" w:history="1">
        <w:r>
          <w:rPr>
            <w:color w:val="0A3A8C"/>
            <w:u w:val="single"/>
          </w:rPr>
          <w:t xml:space="preserve">§ 460</w:t>
        </w:r>
      </w:hyperlink>
      <w:r>
        <w:t xml:space="preserve"> Absatz 2 Satz 1 kann nur insoweit durch vertragliche Vereinbarung abgewichen werden, als die darin in Bezug genommenen Vorschriften abweichende Vereinbarungen zulassen.</w:t>
      </w:r>
    </w:p>
    <w:p>
      <w:r>
        <w:t>(4) Ist der Versender ein Verbraucher, so kann in keinem Fall zu seinem Nachteil von den in Absatz 1 genannten Vorschriften abgewichen werden, es sei denn, der Speditionsvertrag hat die Beförderung von Briefen oder briefähnlichen Sendungen zum Gegenstand.</w:t>
      </w:r>
    </w:p>
    <w:p>
      <w:r>
        <w:t>(5) Unterliegt der Speditionsvertrag ausländischem Recht, so sind die Absätze 1 bis 4 gleichwohl anzuwenden, wenn nach dem Vertrag sowohl der Ort der Übernahme als auch der Ort der Ablieferung des Gutes im Inland liegen.</w:t>
      </w:r>
    </w:p>
    <w:p>
      <w:pPr>
        <w:pStyle w:val="Heading2"/>
      </w:pPr>
      <w:bookmarkStart w:id="631" w:name="b630"/>
      <w:r>
        <w:t>Sechster Abschnitt Lagergeschäft</w:t>
      </w:r>
      <w:bookmarkEnd w:id="631"/>
    </w:p>
    <w:p>
      <w:pPr>
        <w:pStyle w:val="Heading3"/>
      </w:pPr>
      <w:bookmarkStart w:id="632" w:name="b631"/>
      <w:r>
        <w:t>§ 467 Lagervertrag</w:t>
      </w:r>
      <w:r>
        <w:t xml:space="preserve"> </w:t>
      </w:r>
      <w:r>
        <w:rPr>
          <w:rStyle w:val="Suchmarke"/>
        </w:rPr>
        <w:t>#467#</w:t>
      </w:r>
      <w:bookmarkEnd w:id="632"/>
    </w:p>
    <w:p>
      <w:r>
        <w:t>(1) Durch den Lagervertrag wird der Lagerhalter verpflichtet, das Gut zu lagern und aufzubewahren.</w:t>
      </w:r>
    </w:p>
    <w:p>
      <w:r>
        <w:t>(2) Der Einlagerer wird verpflichtet, die vereinbarte Vergütung zu zahlen.</w:t>
      </w:r>
    </w:p>
    <w:p>
      <w:r>
        <w:t xml:space="preserve">(3) </w:t>
      </w:r>
      <w:r>
        <w:rPr>
          <w:rStyle w:val="Satznummer"/>
        </w:rPr>
        <w:t>1</w:t>
      </w:r>
      <w:r>
        <w:t xml:space="preserve">Die Vorschriften dieses Abschnitts gelten nur, wenn die Lagerung und Aufbewahrung zum Betrieb eines gewerblichen Unternehmens gehören. </w:t>
      </w:r>
      <w:r>
        <w:rPr>
          <w:rStyle w:val="Satznummer"/>
        </w:rPr>
        <w:t>2</w:t>
      </w:r>
      <w:r>
        <w:t xml:space="preserve">Erfordert das Unternehmen nach Art oder Umfang einen in kaufmännischer Weise eingerichteten Geschäftsbetrieb nicht und ist die Firma des Unternehmens auch nicht nach § 2 in das Handelsregister eingetragen, so sind in Ansehung des Lagergeschäfts auch insoweit die Vorschriften des Ersten Abschnitts des Vierten Buches ergänzend anzuwenden; dies gilt jedoch nicht für die </w:t>
      </w:r>
      <w:hyperlink w:anchor="b490" w:history="1">
        <w:r>
          <w:rPr>
            <w:color w:val="0A3A8C"/>
            <w:u w:val="single"/>
          </w:rPr>
          <w:t xml:space="preserve">§§ 348</w:t>
        </w:r>
      </w:hyperlink>
      <w:r>
        <w:t xml:space="preserve"> bis </w:t>
      </w:r>
      <w:hyperlink w:anchor="b492" w:history="1">
        <w:r>
          <w:rPr>
            <w:color w:val="0A3A8C"/>
            <w:u w:val="single"/>
          </w:rPr>
          <w:t xml:space="preserve">350</w:t>
        </w:r>
      </w:hyperlink>
      <w:r>
        <w:t>.</w:t>
      </w:r>
    </w:p>
    <w:p>
      <w:pPr>
        <w:pStyle w:val="Heading3"/>
      </w:pPr>
      <w:bookmarkStart w:id="633" w:name="b632"/>
      <w:r>
        <w:t>§ 468 Behandlung des Gutes. Begleitpapiere. Mitteilungs- und Auskunftspflichten</w:t>
      </w:r>
      <w:r>
        <w:t xml:space="preserve"> </w:t>
      </w:r>
      <w:r>
        <w:rPr>
          <w:rStyle w:val="Suchmarke"/>
        </w:rPr>
        <w:t>#468#</w:t>
      </w:r>
      <w:bookmarkEnd w:id="633"/>
    </w:p>
    <w:p>
      <w:r>
        <w:t xml:space="preserve">(1) </w:t>
      </w:r>
      <w:r>
        <w:rPr>
          <w:rStyle w:val="Satznummer"/>
        </w:rPr>
        <w:t>1</w:t>
      </w:r>
      <w:r>
        <w:t xml:space="preserve">Der Einlagerer ist verpflichtet, dem Lagerhalter, wenn gefährliches Gut eingelagert werden soll, rechtzeitig in Textform die genaue Art der Gefahr und, soweit erforderlich, zu ergreifende Vorsichtsmaßnahmen mitzuteilen. </w:t>
      </w:r>
      <w:r>
        <w:rPr>
          <w:rStyle w:val="Satznummer"/>
        </w:rPr>
        <w:t>2</w:t>
      </w:r>
      <w:r>
        <w:t>Er hat ferner das Gut, soweit erforderlich, zu verpacken und zu kennzeichnen und Urkunden zur Verfügung zu stellen sowie alle Auskünfte zu erteilen, die der Lagerhalter zur Erfüllung seiner Pflichten benötigt.</w:t>
      </w:r>
    </w:p>
    <w:p>
      <w:r>
        <w:t xml:space="preserve">(2) </w:t>
      </w:r>
      <w:r>
        <w:rPr>
          <w:rStyle w:val="Satznummer"/>
        </w:rPr>
        <w:t>1</w:t>
      </w:r>
      <w:r>
        <w:t>Ist der Einlagerer ein Verbraucher, so ist abweichend von Absatz 1</w:t>
      </w:r>
    </w:p>
    <w:p>
      <w:pPr>
        <w:tabs>
          <w:tab w:pos="567" w:val="left"/>
        </w:tabs>
        <w:ind w:left="567" w:hanging="567"/>
      </w:pPr>
      <w:r>
        <w:t>1.</w:t>
      </w:r>
      <w:r>
        <w:tab/>
      </w:r>
      <w:r>
        <w:t>der Lagerhalter verpflichtet, das Gut, soweit erforderlich, zu verpacken und zu kennzeichnen,</w:t>
      </w:r>
    </w:p>
    <w:p>
      <w:pPr>
        <w:tabs>
          <w:tab w:pos="567" w:val="left"/>
        </w:tabs>
        <w:ind w:left="567" w:hanging="567"/>
      </w:pPr>
      <w:r>
        <w:t>2.</w:t>
      </w:r>
      <w:r>
        <w:tab/>
      </w:r>
      <w:r>
        <w:t>der Einlagerer lediglich verpflichtet, den Lagerhalter über die von dem Gut ausgehende Gefahr allgemein zu unterrichten; die Unterrichtung bedarf keiner Form.</w:t>
      </w:r>
    </w:p>
    <w:p>
      <w:r>
        <w:rPr>
          <w:rStyle w:val="Satznummer"/>
        </w:rPr>
        <w:t>2</w:t>
      </w:r>
      <w:r>
        <w:t>Der Lagerhalter hat in diesem Falle den Einlagerer über dessen Pflicht nach Satz 1 Nr. 2 sowie über die von ihm zu beachtenden Verwaltungsvorschriften über eine amtliche Behandlung des Gutes zu unterrichten.</w:t>
      </w:r>
    </w:p>
    <w:p>
      <w:r>
        <w:t xml:space="preserve">(3) </w:t>
      </w:r>
      <w:r>
        <w:rPr>
          <w:rStyle w:val="Satznummer"/>
        </w:rPr>
        <w:t>1</w:t>
      </w:r>
      <w:r>
        <w:t>Der Einlagerer hat, auch wenn ihn kein Verschulden trifft, dem Lagerhalter Schäden und Aufwendungen zu ersetzen, die verursacht werden durch</w:t>
      </w:r>
    </w:p>
    <w:p>
      <w:pPr>
        <w:tabs>
          <w:tab w:pos="567" w:val="left"/>
        </w:tabs>
        <w:ind w:left="567" w:hanging="567"/>
      </w:pPr>
      <w:r>
        <w:t>1.</w:t>
      </w:r>
      <w:r>
        <w:tab/>
      </w:r>
      <w:r>
        <w:t>ungenügende Verpackung oder Kennzeichnung,</w:t>
      </w:r>
    </w:p>
    <w:p>
      <w:pPr>
        <w:tabs>
          <w:tab w:pos="567" w:val="left"/>
        </w:tabs>
        <w:ind w:left="567" w:hanging="567"/>
      </w:pPr>
      <w:r>
        <w:t>2.</w:t>
      </w:r>
      <w:r>
        <w:tab/>
      </w:r>
      <w:r>
        <w:t>Unterlassen der Mitteilung über die Gefährlichkeit des Gutes oder</w:t>
      </w:r>
    </w:p>
    <w:p>
      <w:pPr>
        <w:tabs>
          <w:tab w:pos="567" w:val="left"/>
        </w:tabs>
        <w:ind w:left="567" w:hanging="567"/>
      </w:pPr>
      <w:r>
        <w:t>3.</w:t>
      </w:r>
      <w:r>
        <w:tab/>
      </w:r>
      <w:r>
        <w:t>Fehlen, Unvollständigkeit oder Unrichtigkeit der Urkunden oder Auskünfte, die für eine amtliche Behandlung des Gutes erforderlich sind.</w:t>
      </w:r>
    </w:p>
    <w:p>
      <w:r>
        <w:rPr>
          <w:rStyle w:val="Satznummer"/>
        </w:rPr>
        <w:t>2</w:t>
      </w:r>
      <w:hyperlink w:anchor="b562" w:history="1">
        <w:r>
          <w:rPr>
            <w:color w:val="0A3A8C"/>
            <w:u w:val="single"/>
          </w:rPr>
          <w:t xml:space="preserve">§ 414</w:t>
        </w:r>
      </w:hyperlink>
      <w:r>
        <w:t xml:space="preserve"> Absatz 2 ist entsprechend anzuwenden.</w:t>
      </w:r>
    </w:p>
    <w:p>
      <w:r>
        <w:t>(4) Ist der Einlagerer ein Verbraucher, so hat er dem Lagerhalter Schäden und Aufwendungen nach Absatz 3 nur zu ersetzen, soweit ihn ein Verschulden trifft.</w:t>
      </w:r>
    </w:p>
    <w:p>
      <w:pPr>
        <w:pStyle w:val="Heading3"/>
      </w:pPr>
      <w:bookmarkStart w:id="634" w:name="b633"/>
      <w:r>
        <w:t>§ 469 Sammellagerung</w:t>
      </w:r>
      <w:r>
        <w:t xml:space="preserve"> </w:t>
      </w:r>
      <w:r>
        <w:rPr>
          <w:rStyle w:val="Suchmarke"/>
        </w:rPr>
        <w:t>#469#</w:t>
      </w:r>
      <w:bookmarkEnd w:id="634"/>
    </w:p>
    <w:p>
      <w:r>
        <w:t>(1) Der Lagerhalter ist nur berechtigt, vertretbare Sachen mit anderen Sachen gleicher Art und Güte zu vermischen, wenn die beteiligten Einlagerer ausdrücklich einverstanden sind.</w:t>
      </w:r>
    </w:p>
    <w:p>
      <w:r>
        <w:t>(2) Ist der Lagerhalter berechtigt, Gut zu vermischen, so steht vom Zeitpunkt der Einlagerung ab den Eigentümern der eingelagerten Sachen Miteigentum nach Bruchteilen zu.</w:t>
      </w:r>
    </w:p>
    <w:p>
      <w:r>
        <w:t>(3) Der Lagerhalter kann jedem Einlagerer den ihm gebührenden Anteil ausliefern, ohne daß er hierzu der Genehmigung der übrigen Beteiligten bedarf.</w:t>
      </w:r>
    </w:p>
    <w:p>
      <w:pPr>
        <w:pStyle w:val="Heading3"/>
      </w:pPr>
      <w:bookmarkStart w:id="635" w:name="b634"/>
      <w:r>
        <w:t>§ 470 Empfang des Gutes</w:t>
      </w:r>
      <w:r>
        <w:t xml:space="preserve"> </w:t>
      </w:r>
      <w:r>
        <w:rPr>
          <w:rStyle w:val="Suchmarke"/>
        </w:rPr>
        <w:t>#470#</w:t>
      </w:r>
      <w:bookmarkEnd w:id="635"/>
    </w:p>
    <w:p>
      <w:r>
        <w:t>Befindet sich Gut, das dem Lagerhalter zugesandt ist, beim Empfang in einem beschädigten oder mangelhaften Zustand, der äußerlich erkennbar ist, so hat der Lagerhalter Schadenersatzansprüche des Einlagerers zu sichern und dem Einlagerer unverzüglich Nachricht zu geben.</w:t>
      </w:r>
    </w:p>
    <w:p>
      <w:pPr>
        <w:pStyle w:val="Heading3"/>
      </w:pPr>
      <w:bookmarkStart w:id="636" w:name="b635"/>
      <w:r>
        <w:t>§ 471 Erhaltung des Gutes</w:t>
      </w:r>
      <w:r>
        <w:t xml:space="preserve"> </w:t>
      </w:r>
      <w:r>
        <w:rPr>
          <w:rStyle w:val="Suchmarke"/>
        </w:rPr>
        <w:t>#471#</w:t>
      </w:r>
      <w:bookmarkEnd w:id="636"/>
    </w:p>
    <w:p>
      <w:r>
        <w:t xml:space="preserve">(1) </w:t>
      </w:r>
      <w:r>
        <w:rPr>
          <w:rStyle w:val="Satznummer"/>
        </w:rPr>
        <w:t>1</w:t>
      </w:r>
      <w:r>
        <w:t xml:space="preserve">Der Lagerhalter hat dem Einlagerer die Besichtigung des Gutes, die Entnahme von Proben und die zur Erhaltung des Gutes notwendigen Handlungen während der Geschäftsstunden zu gestatten. </w:t>
      </w:r>
      <w:r>
        <w:rPr>
          <w:rStyle w:val="Satznummer"/>
        </w:rPr>
        <w:t>2</w:t>
      </w:r>
      <w:r>
        <w:t>Er ist jedoch berechtigt und im Falle der Sammellagerung auch verpflichtet, die zur Erhaltung des Gutes erforderlichen Arbeiten selbst vorzunehmen.</w:t>
      </w:r>
    </w:p>
    <w:p>
      <w:r>
        <w:t xml:space="preserve">(2) </w:t>
      </w:r>
      <w:r>
        <w:rPr>
          <w:rStyle w:val="Satznummer"/>
        </w:rPr>
        <w:t>1</w:t>
      </w:r>
      <w:r>
        <w:t xml:space="preserve">Sind nach dem Empfang Veränderungen an dem Gut entstanden oder zu befürchten, die den Verlust oder die Beschädigung des Gutes oder Schäden des Lagerhalters erwarten lassen, so hat der Lagerhalter dies dem Einlagerer oder, wenn ein Lagerschein ausgestellt ist, dem letzten ihm bekannt gewordenen legitimierten Besitzer des Scheins unverzüglich anzuzeigen und dessen Weisungen einzuholen. </w:t>
      </w:r>
      <w:r>
        <w:rPr>
          <w:rStyle w:val="Satznummer"/>
        </w:rPr>
        <w:t>2</w:t>
      </w:r>
      <w:r>
        <w:t xml:space="preserve">Kann der Lagerhalter innerhalb angemessener Zeit Weisungen nicht erlangen, so hat er die angemessen erscheinenden Maßnahmen zu ergreifen. </w:t>
      </w:r>
      <w:r>
        <w:rPr>
          <w:rStyle w:val="Satznummer"/>
        </w:rPr>
        <w:t>3</w:t>
      </w:r>
      <w:r>
        <w:t xml:space="preserve">Er kann insbesondere das Gut gemäß </w:t>
      </w:r>
      <w:hyperlink w:anchor="b518" w:history="1">
        <w:r>
          <w:rPr>
            <w:color w:val="0A3A8C"/>
            <w:u w:val="single"/>
          </w:rPr>
          <w:t xml:space="preserve">§ 373</w:t>
        </w:r>
      </w:hyperlink>
      <w:r>
        <w:t xml:space="preserve"> verkaufen lassen; macht er von dieser Befugnis Gebrauch, so hat der Lagerhalter, wenn ein Lagerschein ausgestellt ist, die in </w:t>
      </w:r>
      <w:hyperlink w:anchor="b518" w:history="1">
        <w:r>
          <w:rPr>
            <w:color w:val="0A3A8C"/>
            <w:u w:val="single"/>
          </w:rPr>
          <w:t xml:space="preserve">§ 373</w:t>
        </w:r>
      </w:hyperlink>
      <w:r>
        <w:t xml:space="preserve"> Abs. 3 vorgesehene Androhung des Verkaufs sowie die in Absatz 5 derselben Vorschriften vorgesehenen Benachrichtigungen an den letzten ihm bekannt gewordenen legitimierten Besitzer des Lagerscheins zu richten.</w:t>
      </w:r>
    </w:p>
    <w:p>
      <w:pPr>
        <w:pStyle w:val="Heading3"/>
      </w:pPr>
      <w:bookmarkStart w:id="637" w:name="b636"/>
      <w:r>
        <w:t>§ 472 Versicherung. Einlagerung bei einem Dritten</w:t>
      </w:r>
      <w:r>
        <w:t xml:space="preserve"> </w:t>
      </w:r>
      <w:r>
        <w:rPr>
          <w:rStyle w:val="Suchmarke"/>
        </w:rPr>
        <w:t>#472#</w:t>
      </w:r>
      <w:bookmarkEnd w:id="637"/>
    </w:p>
    <w:p>
      <w:r>
        <w:t xml:space="preserve">(1) </w:t>
      </w:r>
      <w:r>
        <w:rPr>
          <w:rStyle w:val="Satznummer"/>
        </w:rPr>
        <w:t>1</w:t>
      </w:r>
      <w:r>
        <w:t xml:space="preserve">Der Lagerhalter ist verpflichtet, das Gut auf Verlangen des Einlagerers zu versichern. </w:t>
      </w:r>
      <w:r>
        <w:rPr>
          <w:rStyle w:val="Satznummer"/>
        </w:rPr>
        <w:t>2</w:t>
      </w:r>
      <w:r>
        <w:t>Ist der Einlagerer ein Verbraucher, so hat ihn der Lagerhalter auf die Möglichkeit hinzuweisen, das Gut zu versichern.</w:t>
      </w:r>
    </w:p>
    <w:p>
      <w:r>
        <w:t>(2) Der Lagerhalter ist nur berechtigt, das Gut bei einem Dritten einzulagern, wenn der Einlagerer ihm dies ausdrücklich gestattet hat.</w:t>
      </w:r>
    </w:p>
    <w:p>
      <w:pPr>
        <w:pStyle w:val="Heading3"/>
      </w:pPr>
      <w:bookmarkStart w:id="638" w:name="b637"/>
      <w:r>
        <w:t>§ 473 Dauer der Lagerung</w:t>
      </w:r>
      <w:r>
        <w:t xml:space="preserve"> </w:t>
      </w:r>
      <w:r>
        <w:rPr>
          <w:rStyle w:val="Suchmarke"/>
        </w:rPr>
        <w:t>#473#</w:t>
      </w:r>
      <w:bookmarkEnd w:id="638"/>
    </w:p>
    <w:p>
      <w:r>
        <w:t xml:space="preserve">(1) </w:t>
      </w:r>
      <w:r>
        <w:rPr>
          <w:rStyle w:val="Satznummer"/>
        </w:rPr>
        <w:t>1</w:t>
      </w:r>
      <w:r>
        <w:t xml:space="preserve">Der Einlagerer kann das Gut jederzeit herausverlangen. </w:t>
      </w:r>
      <w:r>
        <w:rPr>
          <w:rStyle w:val="Satznummer"/>
        </w:rPr>
        <w:t>2</w:t>
      </w:r>
      <w:r>
        <w:t>Ist der Lagervertrag auf unbestimmte Zeit geschlossen, so kann er den Vertrag jedoch nur unter Einhaltung einer Kündigungsfrist von einem Monat kündigen, es sei denn, es liegt ein wichtiger Grund vor, der zur Kündigung des Vertrags ohne Einhaltung der Kündigungsfrist berechtigt.</w:t>
      </w:r>
    </w:p>
    <w:p>
      <w:r>
        <w:t xml:space="preserve">(2) </w:t>
      </w:r>
      <w:r>
        <w:rPr>
          <w:rStyle w:val="Satznummer"/>
        </w:rPr>
        <w:t>1</w:t>
      </w:r>
      <w:r>
        <w:t xml:space="preserve">Der Lagerhalter kann die Rücknahme des Gutes nach Ablauf der vereinbarten Lagerzeit oder bei Einlagerung auf unbestimmte Zeit nach Kündigung des Vertrags unter Einhaltung einer Kündigungsfrist von einem Monat verlangen. </w:t>
      </w:r>
      <w:r>
        <w:rPr>
          <w:rStyle w:val="Satznummer"/>
        </w:rPr>
        <w:t>2</w:t>
      </w:r>
      <w:r>
        <w:t>Liegt ein wichtiger Grund vor, so kann der Lagerhalter auch vor Ablauf der Lagerzeit und ohne Einhaltung einer Kündigungsfrist die Rücknahme des Gutes verlangen.</w:t>
      </w:r>
    </w:p>
    <w:p>
      <w:r>
        <w:t>(3) Ist ein Lagerschein ausgestellt, so sind die Kündigung und das Rücknahmeverlangen an den letzten dem Lagerhalter bekannt gewordenen legitimierten Besitzer des Lagerscheins zu richten.</w:t>
      </w:r>
    </w:p>
    <w:p>
      <w:pPr>
        <w:pStyle w:val="Heading3"/>
      </w:pPr>
      <w:bookmarkStart w:id="639" w:name="b638"/>
      <w:r>
        <w:t>§ 474 Aufwendungsersatz</w:t>
      </w:r>
      <w:r>
        <w:t xml:space="preserve"> </w:t>
      </w:r>
      <w:r>
        <w:rPr>
          <w:rStyle w:val="Suchmarke"/>
        </w:rPr>
        <w:t>#474#</w:t>
      </w:r>
      <w:bookmarkEnd w:id="639"/>
    </w:p>
    <w:p>
      <w:r>
        <w:t>Der Lagerhalter hat Anspruch auf Ersatz seiner für das Gut gemachten Aufwendungen, soweit er sie den Umständen nach für erforderlich halten durfte.</w:t>
      </w:r>
    </w:p>
    <w:p>
      <w:pPr>
        <w:pStyle w:val="Heading3"/>
      </w:pPr>
      <w:bookmarkStart w:id="640" w:name="b639"/>
      <w:r>
        <w:t>§ 475 Haftung für Verlust oder Beschädigung</w:t>
      </w:r>
      <w:r>
        <w:t xml:space="preserve"> </w:t>
      </w:r>
      <w:r>
        <w:rPr>
          <w:rStyle w:val="Suchmarke"/>
        </w:rPr>
        <w:t>#475#</w:t>
      </w:r>
      <w:bookmarkEnd w:id="640"/>
    </w:p>
    <w:p>
      <w:r>
        <w:rPr>
          <w:rStyle w:val="Satznummer"/>
        </w:rPr>
        <w:t>1</w:t>
      </w:r>
      <w:r>
        <w:t xml:space="preserve">Der Lagerhalter haftet für den Schaden, der durch Verlust oder Beschädigung des Gutes in der Zeit von der Übernahme zur Lagerung bis zur Auslieferung entsteht, es sei denn, daß der Schaden durch die Sorgfalt eines ordentlichen Kaufmanns nicht abgewendet werden konnte. </w:t>
      </w:r>
      <w:r>
        <w:rPr>
          <w:rStyle w:val="Satznummer"/>
        </w:rPr>
        <w:t>2</w:t>
      </w:r>
      <w:r>
        <w:t xml:space="preserve">Dies gilt auch dann, wenn der Lagerhalter gemäß </w:t>
      </w:r>
      <w:hyperlink w:anchor="b636" w:history="1">
        <w:r>
          <w:rPr>
            <w:color w:val="0A3A8C"/>
            <w:u w:val="single"/>
          </w:rPr>
          <w:t xml:space="preserve">§ 472</w:t>
        </w:r>
      </w:hyperlink>
      <w:r>
        <w:t xml:space="preserve"> Abs. 2 das Gut bei einem Dritten einlagert.</w:t>
      </w:r>
    </w:p>
    <w:p>
      <w:pPr>
        <w:pStyle w:val="Heading3"/>
      </w:pPr>
      <w:bookmarkStart w:id="641" w:name="b640"/>
      <w:r>
        <w:t>§ 475a Verjährung</w:t>
      </w:r>
      <w:r>
        <w:t xml:space="preserve"> </w:t>
      </w:r>
      <w:r>
        <w:rPr>
          <w:rStyle w:val="Suchmarke"/>
        </w:rPr>
        <w:t>#475a#</w:t>
      </w:r>
      <w:bookmarkEnd w:id="641"/>
    </w:p>
    <w:p>
      <w:r>
        <w:rPr>
          <w:rStyle w:val="Satznummer"/>
        </w:rPr>
        <w:t>1</w:t>
      </w:r>
      <w:r>
        <w:t xml:space="preserve">Auf die Verjährung von Ansprüchen aus einer Lagerung, die den Vorschriften dieses Abschnitts unterliegt, findet </w:t>
      </w:r>
      <w:hyperlink w:anchor="b587" w:history="1">
        <w:r>
          <w:rPr>
            <w:color w:val="0A3A8C"/>
            <w:u w:val="single"/>
          </w:rPr>
          <w:t xml:space="preserve">§ 439</w:t>
        </w:r>
      </w:hyperlink>
      <w:r>
        <w:t xml:space="preserve"> entsprechende Anwendung. </w:t>
      </w:r>
      <w:r>
        <w:rPr>
          <w:rStyle w:val="Satznummer"/>
        </w:rPr>
        <w:t>2</w:t>
      </w:r>
      <w:r>
        <w:t>Im Falle des gänzlichen Verlusts beginnt die Verjährung mit Ablauf des Tages, an dem der Lagerhalter dem Einlagerer oder, wenn ein Lagerschein ausgestellt ist, dem letzten ihm bekannt gewordenen legitimierten Besitzer des Lagerscheins den Verlust anzeigt.</w:t>
      </w:r>
    </w:p>
    <w:p>
      <w:pPr>
        <w:pStyle w:val="Heading3"/>
      </w:pPr>
      <w:bookmarkStart w:id="642" w:name="b641"/>
      <w:r>
        <w:t>§ 475b Pfandrecht des Lagerhalters</w:t>
      </w:r>
      <w:r>
        <w:t xml:space="preserve"> </w:t>
      </w:r>
      <w:r>
        <w:rPr>
          <w:rStyle w:val="Suchmarke"/>
        </w:rPr>
        <w:t>#475b#</w:t>
      </w:r>
      <w:bookmarkEnd w:id="642"/>
    </w:p>
    <w:p>
      <w:r>
        <w:t xml:space="preserve">(1) </w:t>
      </w:r>
      <w:r>
        <w:rPr>
          <w:rStyle w:val="Satznummer"/>
        </w:rPr>
        <w:t>1</w:t>
      </w:r>
      <w:r>
        <w:t xml:space="preserve">Der Lagerhalter hat für alle Forderungen aus dem Lagervertrag ein Pfandrecht an dem ihm zur Lagerung übergebenen Gut des Einlagerers oder eines Dritten, der der Lagerung zugestimmt hat. </w:t>
      </w:r>
      <w:r>
        <w:rPr>
          <w:rStyle w:val="Satznummer"/>
        </w:rPr>
        <w:t>2</w:t>
      </w:r>
      <w:r>
        <w:t xml:space="preserve">An dem Gut des Einlagerers hat der Lagerhalter auch ein Pfandrecht für alle unbestrittenen Forderungen aus anderen mit dem Einlagerer abgeschlossenen Lager-, Fracht-, Seefracht- und Speditionsverträgen. </w:t>
      </w:r>
      <w:r>
        <w:rPr>
          <w:rStyle w:val="Satznummer"/>
        </w:rPr>
        <w:t>3</w:t>
      </w:r>
      <w:r>
        <w:t>Das Pfandrecht erstreckt sich auch auf die Forderung aus einer Versicherung sowie auf die Begleitpapiere.</w:t>
      </w:r>
    </w:p>
    <w:p>
      <w:r>
        <w:t>(2) Ist ein Orderlagerschein durch Indossament übertragen worden, so besteht das Pfandrecht dem legitimierten Besitzer des Lagerscheins gegenüber nur wegen der Vergütungen und Aufwendungen, die aus dem Lagerschein ersichtlich sind oder ihm bei Erwerb des Lagerscheins bekannt oder infolge grober Fahrlässigkeit unbekannt waren.</w:t>
      </w:r>
    </w:p>
    <w:p>
      <w:r>
        <w:t>(3) Das Pfandrecht besteht, solange der Lagerhalter das Gut in seinem Besitz hat, insbesondere solange er mittels Konnossements, Ladescheins oder Lagerscheins darüber verfügen kann.</w:t>
      </w:r>
    </w:p>
    <w:p>
      <w:pPr>
        <w:pStyle w:val="Heading3"/>
      </w:pPr>
      <w:bookmarkStart w:id="643" w:name="b642"/>
      <w:r>
        <w:t>§ 475c Lagerschein. Verordnungsermächtigung</w:t>
      </w:r>
      <w:r>
        <w:t xml:space="preserve"> </w:t>
      </w:r>
      <w:r>
        <w:rPr>
          <w:rStyle w:val="Suchmarke"/>
        </w:rPr>
        <w:t>#475c#</w:t>
      </w:r>
      <w:bookmarkEnd w:id="643"/>
    </w:p>
    <w:p>
      <w:r>
        <w:t>(1) Über die Verpflichtung zur Auslieferung des Gutes kann von dem Lagerhalter, nachdem er das Gut erhalten hat, ein Lagerschein ausgestellt werden, der die folgenden Angaben enthalten soll:</w:t>
      </w:r>
    </w:p>
    <w:p>
      <w:pPr>
        <w:tabs>
          <w:tab w:pos="567" w:val="left"/>
        </w:tabs>
        <w:ind w:left="567" w:hanging="567"/>
      </w:pPr>
      <w:r>
        <w:t>1.</w:t>
      </w:r>
      <w:r>
        <w:tab/>
      </w:r>
      <w:r>
        <w:t>Ort und Tag der Ausstellung des Lagerscheins;</w:t>
      </w:r>
    </w:p>
    <w:p>
      <w:pPr>
        <w:tabs>
          <w:tab w:pos="567" w:val="left"/>
        </w:tabs>
        <w:ind w:left="567" w:hanging="567"/>
      </w:pPr>
      <w:r>
        <w:t>2.</w:t>
      </w:r>
      <w:r>
        <w:tab/>
      </w:r>
      <w:r>
        <w:t>Name und Anschrift des Einlagerers;</w:t>
      </w:r>
    </w:p>
    <w:p>
      <w:pPr>
        <w:tabs>
          <w:tab w:pos="567" w:val="left"/>
        </w:tabs>
        <w:ind w:left="567" w:hanging="567"/>
      </w:pPr>
      <w:r>
        <w:t>3.</w:t>
      </w:r>
      <w:r>
        <w:tab/>
      </w:r>
      <w:r>
        <w:t>Name und Anschrift des Lagerhalters;</w:t>
      </w:r>
    </w:p>
    <w:p>
      <w:pPr>
        <w:tabs>
          <w:tab w:pos="567" w:val="left"/>
        </w:tabs>
        <w:ind w:left="567" w:hanging="567"/>
      </w:pPr>
      <w:r>
        <w:t>4.</w:t>
      </w:r>
      <w:r>
        <w:tab/>
      </w:r>
      <w:r>
        <w:t>Ort und Tag der Einlagerung;</w:t>
      </w:r>
    </w:p>
    <w:p>
      <w:pPr>
        <w:tabs>
          <w:tab w:pos="567" w:val="left"/>
        </w:tabs>
        <w:ind w:left="567" w:hanging="567"/>
      </w:pPr>
      <w:r>
        <w:t>5.</w:t>
      </w:r>
      <w:r>
        <w:tab/>
      </w:r>
      <w:r>
        <w:t>die übliche Bezeichnung der Art des Gutes und die Art der Verpackung, bei gefährlichen Gütern ihre nach den Gefahrgutvorschriften vorgesehene, sonst ihre allgemein anerkannte Bezeichnung;</w:t>
      </w:r>
    </w:p>
    <w:p>
      <w:pPr>
        <w:tabs>
          <w:tab w:pos="567" w:val="left"/>
        </w:tabs>
        <w:ind w:left="567" w:hanging="567"/>
      </w:pPr>
      <w:r>
        <w:t>6.</w:t>
      </w:r>
      <w:r>
        <w:tab/>
      </w:r>
      <w:r>
        <w:t>Anzahl, Zeichen und Nummern der Packstücke;</w:t>
      </w:r>
    </w:p>
    <w:p>
      <w:pPr>
        <w:tabs>
          <w:tab w:pos="567" w:val="left"/>
        </w:tabs>
        <w:ind w:left="567" w:hanging="567"/>
      </w:pPr>
      <w:r>
        <w:t>7.</w:t>
      </w:r>
      <w:r>
        <w:tab/>
      </w:r>
      <w:r>
        <w:t>Rohgewicht oder die anders angegebene Menge des Gutes;</w:t>
      </w:r>
    </w:p>
    <w:p>
      <w:pPr>
        <w:tabs>
          <w:tab w:pos="567" w:val="left"/>
        </w:tabs>
        <w:ind w:left="567" w:hanging="567"/>
      </w:pPr>
      <w:r>
        <w:t>8.</w:t>
      </w:r>
      <w:r>
        <w:tab/>
      </w:r>
      <w:r>
        <w:t>im Falle der Sammellagerung einen Vermerk hierüber.</w:t>
      </w:r>
    </w:p>
    <w:p>
      <w:r>
        <w:t>(2) In den Lagerschein können weitere Angaben eingetragen werden, die der Lagerhalter für zweckmäßig hält.</w:t>
      </w:r>
    </w:p>
    <w:p>
      <w:r>
        <w:t xml:space="preserve">(3) </w:t>
      </w:r>
      <w:r>
        <w:rPr>
          <w:rStyle w:val="Satznummer"/>
        </w:rPr>
        <w:t>1</w:t>
      </w:r>
      <w:r>
        <w:t xml:space="preserve">Der Lagerschein ist vom Lagerhalter zu unterzeichnen. </w:t>
      </w:r>
      <w:r>
        <w:rPr>
          <w:rStyle w:val="Satznummer"/>
        </w:rPr>
        <w:t>2</w:t>
      </w:r>
      <w:r>
        <w:t>Eine Nachbildung der eigenhändigen Unterschrift durch Druck oder Stempel genügt.</w:t>
      </w:r>
    </w:p>
    <w:p>
      <w:r>
        <w:t xml:space="preserve">(4) </w:t>
      </w:r>
      <w:r>
        <w:rPr>
          <w:rStyle w:val="Satznummer"/>
        </w:rPr>
        <w:t>1</w:t>
      </w:r>
      <w:r>
        <w:t xml:space="preserve">Dem Lagerschein gleichgestellt ist eine elektronische Aufzeichnung, die dieselben Funktionen erfüllt wie der Lagerschein, sofern sichergestellt ist, dass die Authentizität und die Integrität der Aufzeichnung gewahrt bleiben (elektronischer Lagerschein). </w:t>
      </w:r>
      <w:r>
        <w:rPr>
          <w:rStyle w:val="Satznummer"/>
        </w:rPr>
        <w:t>2</w:t>
      </w:r>
      <w:r>
        <w:t>Das Bundesministerium der Justiz wird ermächtigt, im Einvernehmen mit dem Bundesministerium des Innern und für Heimat durch Rechtsverordnung, die nicht der Zustimmung des Bundesrates bedarf, die Einzelheiten der Ausstellung, Vorlage, Rückgabe und Übertragung eines elektronischen Lagerscheins sowie die Einzelheiten des Verfahrens über nachträgliche Eintragungen in einen elektronischen Lagerschein zu regeln.</w:t>
      </w:r>
    </w:p>
    <w:p>
      <w:pPr>
        <w:pStyle w:val="Heading3"/>
      </w:pPr>
      <w:bookmarkStart w:id="644" w:name="b643"/>
      <w:r>
        <w:t>§ 475d Wirkung des Lagerscheins. Legitimation</w:t>
      </w:r>
      <w:r>
        <w:t xml:space="preserve"> </w:t>
      </w:r>
      <w:r>
        <w:rPr>
          <w:rStyle w:val="Suchmarke"/>
        </w:rPr>
        <w:t>#475d#</w:t>
      </w:r>
      <w:bookmarkEnd w:id="644"/>
    </w:p>
    <w:p>
      <w:r>
        <w:t xml:space="preserve">(1) </w:t>
      </w:r>
      <w:r>
        <w:rPr>
          <w:rStyle w:val="Satznummer"/>
        </w:rPr>
        <w:t>1</w:t>
      </w:r>
      <w:r>
        <w:t xml:space="preserve">Der Lagerschein begründet die Vermutung, dass das Gut und seine Verpackung in Bezug auf den äußerlich erkennbaren Zustand sowie auf Anzahl, Zeichen und Nummern der Packstücke wie im Lagerschein beschrieben übernommen worden sind. </w:t>
      </w:r>
      <w:r>
        <w:rPr>
          <w:rStyle w:val="Satznummer"/>
        </w:rPr>
        <w:t>2</w:t>
      </w:r>
      <w:r>
        <w:t>Ist das Rohgewicht oder die anders angegebene Menge des Gutes oder der Inhalt vom Lagerhalter überprüft und das Ergebnis der Überprüfung in den Lagerschein eingetragen worden, so begründet dieser auch die Vermutung, dass Gewicht, Menge oder Inhalt mit den Angaben im Lagerschein übereinstimmt.</w:t>
      </w:r>
    </w:p>
    <w:p>
      <w:r>
        <w:t xml:space="preserve">(2) </w:t>
      </w:r>
      <w:r>
        <w:rPr>
          <w:rStyle w:val="Satznummer"/>
        </w:rPr>
        <w:t>1</w:t>
      </w:r>
      <w:r>
        <w:t xml:space="preserve">Wird der Lagerschein an eine Person begeben, die darin als zum Empfang des Gutes berechtigt benannt ist, kann der Lagerhalter ihr gegenüber die Vermutung nach Absatz 1 nicht widerlegen, es sei denn, der Person war im Zeitpunkt der Begebung des Lagerscheins bekannt oder infolge grober Fahrlässigkeit unbekannt, dass die Angaben im Lagerschein unrichtig sind. </w:t>
      </w:r>
      <w:r>
        <w:rPr>
          <w:rStyle w:val="Satznummer"/>
        </w:rPr>
        <w:t>2</w:t>
      </w:r>
      <w:r>
        <w:t>Gleiches gilt gegenüber einem Dritten, dem der Lagerschein übertragen wird.</w:t>
      </w:r>
    </w:p>
    <w:p>
      <w:r>
        <w:t xml:space="preserve">(3) </w:t>
      </w:r>
      <w:r>
        <w:rPr>
          <w:rStyle w:val="Satznummer"/>
        </w:rPr>
        <w:t>1</w:t>
      </w:r>
      <w:r>
        <w:t xml:space="preserve">Die im Lagerschein verbrieften lagervertraglichen Ansprüche können nur von dem aus dem Lagerschein Berechtigten geltend gemacht werden. </w:t>
      </w:r>
      <w:r>
        <w:rPr>
          <w:rStyle w:val="Satznummer"/>
        </w:rPr>
        <w:t>2</w:t>
      </w:r>
      <w:r>
        <w:t xml:space="preserve">Zugunsten des legitimierten Besitzers des Lagerscheins wird vermutet, dass er der aus dem Lagerschein Berechtigte ist. </w:t>
      </w:r>
      <w:r>
        <w:rPr>
          <w:rStyle w:val="Satznummer"/>
        </w:rPr>
        <w:t>3</w:t>
      </w:r>
      <w:r>
        <w:t>Legitimierter Besitzer des Lagerscheins ist, wer einen Lagerschein besitzt, der</w:t>
      </w:r>
    </w:p>
    <w:p>
      <w:pPr>
        <w:tabs>
          <w:tab w:pos="567" w:val="left"/>
        </w:tabs>
        <w:ind w:left="567" w:hanging="567"/>
      </w:pPr>
      <w:r>
        <w:t>1.</w:t>
      </w:r>
      <w:r>
        <w:tab/>
      </w:r>
      <w:r>
        <w:t>auf den Inhaber lautet,</w:t>
      </w:r>
    </w:p>
    <w:p>
      <w:pPr>
        <w:tabs>
          <w:tab w:pos="567" w:val="left"/>
        </w:tabs>
        <w:ind w:left="567" w:hanging="567"/>
      </w:pPr>
      <w:r>
        <w:t>2.</w:t>
      </w:r>
      <w:r>
        <w:tab/>
      </w:r>
      <w:r>
        <w:t>an Order lautet und den Besitzer als denjenigen, der zum Empfang des Gutes berechtigt ist, benennt oder durch eine ununterbrochene Reihe von Indossamenten ausweist oder</w:t>
      </w:r>
    </w:p>
    <w:p>
      <w:pPr>
        <w:tabs>
          <w:tab w:pos="567" w:val="left"/>
        </w:tabs>
        <w:ind w:left="567" w:hanging="567"/>
      </w:pPr>
      <w:r>
        <w:t>3.</w:t>
      </w:r>
      <w:r>
        <w:tab/>
      </w:r>
      <w:r>
        <w:t>auf den Namen des Besitzers lautet.</w:t>
      </w:r>
    </w:p>
    <w:p>
      <w:pPr>
        <w:pStyle w:val="Heading3"/>
      </w:pPr>
      <w:bookmarkStart w:id="645" w:name="b644"/>
      <w:r>
        <w:t>§ 475e Auslieferung gegen Rückgabe des Lagerscheins</w:t>
      </w:r>
      <w:r>
        <w:t xml:space="preserve"> </w:t>
      </w:r>
      <w:r>
        <w:rPr>
          <w:rStyle w:val="Suchmarke"/>
        </w:rPr>
        <w:t>#475e#</w:t>
      </w:r>
      <w:bookmarkEnd w:id="645"/>
    </w:p>
    <w:p>
      <w:r>
        <w:t>(1) Der legitimierte Besitzer des Lagerscheins ist berechtigt, vom Lagerhalter die Auslieferung des Gutes zu verlangen.</w:t>
      </w:r>
    </w:p>
    <w:p>
      <w:r>
        <w:t xml:space="preserve">(2) </w:t>
      </w:r>
      <w:r>
        <w:rPr>
          <w:rStyle w:val="Satznummer"/>
        </w:rPr>
        <w:t>1</w:t>
      </w:r>
      <w:r>
        <w:t xml:space="preserve">Ist ein Lagerschein ausgestellt, so ist der Lagerhalter zur Auslieferung des Gutes nur gegen Rückgabe des Lagerscheins, auf dem die Auslieferung bescheinigt ist, verpflichtet. </w:t>
      </w:r>
      <w:r>
        <w:rPr>
          <w:rStyle w:val="Satznummer"/>
        </w:rPr>
        <w:t>2</w:t>
      </w:r>
      <w:r>
        <w:t xml:space="preserve">Der Lagerhalter ist nicht verpflichtet, die Echtheit der Indossamente zu prüfen. </w:t>
      </w:r>
      <w:r>
        <w:rPr>
          <w:rStyle w:val="Satznummer"/>
        </w:rPr>
        <w:t>3</w:t>
      </w:r>
      <w:r>
        <w:t>Er darf das Gut jedoch nicht dem legitimierten Besitzer des Lagerscheins ausliefern, wenn ihm bekannt oder infolge grober Fahrlässigkeit unbekannt ist, dass der legitimierte Besitzer des Lagerscheins nicht der aus dem Lagerschein Berechtigte ist.</w:t>
      </w:r>
    </w:p>
    <w:p>
      <w:r>
        <w:t xml:space="preserve">(3) </w:t>
      </w:r>
      <w:r>
        <w:rPr>
          <w:rStyle w:val="Satznummer"/>
        </w:rPr>
        <w:t>1</w:t>
      </w:r>
      <w:r>
        <w:t xml:space="preserve">Die Auslieferung eines Teils des Gutes erfolgt gegen Abschreibung auf dem Lagerschein. </w:t>
      </w:r>
      <w:r>
        <w:rPr>
          <w:rStyle w:val="Satznummer"/>
        </w:rPr>
        <w:t>2</w:t>
      </w:r>
      <w:r>
        <w:t>Der Abschreibungsvermerk ist vom Lagerhalter zu unterschreiben.</w:t>
      </w:r>
    </w:p>
    <w:p>
      <w:r>
        <w:t>(4) Der Lagerhalter haftet dem aus dem Lagerschein Berechtigten für den Schaden, der daraus entsteht, daß er das Gut ausgeliefert hat, ohne sich den Lagerschein zurückgeben zu lassen oder ohne einen Abschreibungsvermerk einzutragen.</w:t>
      </w:r>
    </w:p>
    <w:p>
      <w:pPr>
        <w:pStyle w:val="Heading3"/>
      </w:pPr>
      <w:bookmarkStart w:id="646" w:name="b645"/>
      <w:r>
        <w:t>§ 475f Einwendungen</w:t>
      </w:r>
      <w:r>
        <w:t xml:space="preserve"> </w:t>
      </w:r>
      <w:r>
        <w:rPr>
          <w:rStyle w:val="Suchmarke"/>
        </w:rPr>
        <w:t>#475f#</w:t>
      </w:r>
      <w:bookmarkEnd w:id="646"/>
    </w:p>
    <w:p>
      <w:r>
        <w:rPr>
          <w:rStyle w:val="Satznummer"/>
        </w:rPr>
        <w:t>1</w:t>
      </w:r>
      <w:r>
        <w:t xml:space="preserve">Dem aus dem Lagerschein Berechtigten kann der Lagerhalter nur solche Einwendungen entgegensetzen, die die Gültigkeit der Erklärungen im Lagerschein betreffen oder sich aus dem Inhalt des Lagerscheins ergeben oder dem Lagerhalter unmittelbar gegenüber dem aus dem Lagerschein Berechtigten zustehen. </w:t>
      </w:r>
      <w:r>
        <w:rPr>
          <w:rStyle w:val="Satznummer"/>
        </w:rPr>
        <w:t>2</w:t>
      </w:r>
      <w:r>
        <w:t>Eine Vereinbarung, auf die im Lagerschein lediglich verwiesen wird, ist nicht Inhalt des Lagerscheins.</w:t>
      </w:r>
    </w:p>
    <w:p>
      <w:pPr>
        <w:pStyle w:val="Heading3"/>
      </w:pPr>
      <w:bookmarkStart w:id="647" w:name="b646"/>
      <w:r>
        <w:t>§ 475g Traditionswirkung des Lagerscheins</w:t>
      </w:r>
      <w:r>
        <w:t xml:space="preserve"> </w:t>
      </w:r>
      <w:r>
        <w:rPr>
          <w:rStyle w:val="Suchmarke"/>
        </w:rPr>
        <w:t>#475g#</w:t>
      </w:r>
      <w:bookmarkEnd w:id="647"/>
    </w:p>
    <w:p>
      <w:r>
        <w:rPr>
          <w:rStyle w:val="Satznummer"/>
        </w:rPr>
        <w:t>1</w:t>
      </w:r>
      <w:r>
        <w:t xml:space="preserve">Die Begebung des Lagerscheins an denjenigen, der darin als der zum Empfang des Gutes Berechtigte benannt ist, hat, sofern der Lagerhalter das Gut im Besitz hat, für den Erwerb von Rechten an dem Gut dieselben Wirkungen wie die Übergabe des Gutes. </w:t>
      </w:r>
      <w:r>
        <w:rPr>
          <w:rStyle w:val="Satznummer"/>
        </w:rPr>
        <w:t>2</w:t>
      </w:r>
      <w:r>
        <w:t>Gleiches gilt für die Übertragung des Lagerscheins an Dritte.</w:t>
      </w:r>
    </w:p>
    <w:p>
      <w:pPr>
        <w:pStyle w:val="Heading3"/>
      </w:pPr>
      <w:bookmarkStart w:id="648" w:name="b647"/>
      <w:r>
        <w:t>§ 475h Abweichende Vereinbarungen</w:t>
      </w:r>
      <w:r>
        <w:t xml:space="preserve"> </w:t>
      </w:r>
      <w:r>
        <w:rPr>
          <w:rStyle w:val="Suchmarke"/>
        </w:rPr>
        <w:t>#475h#</w:t>
      </w:r>
      <w:bookmarkEnd w:id="648"/>
    </w:p>
    <w:p>
      <w:r>
        <w:t xml:space="preserve">Ist der Einlagerer ein Verbraucher, so kann nicht zu dessen Nachteil von den </w:t>
      </w:r>
      <w:hyperlink w:anchor="b640" w:history="1">
        <w:r>
          <w:rPr>
            <w:color w:val="0A3A8C"/>
            <w:u w:val="single"/>
          </w:rPr>
          <w:t xml:space="preserve">§§ 475a</w:t>
        </w:r>
      </w:hyperlink>
      <w:r>
        <w:t xml:space="preserve"> und </w:t>
      </w:r>
      <w:hyperlink w:anchor="b644" w:history="1">
        <w:r>
          <w:rPr>
            <w:color w:val="0A3A8C"/>
            <w:u w:val="single"/>
          </w:rPr>
          <w:t xml:space="preserve">475e</w:t>
        </w:r>
      </w:hyperlink>
      <w:r>
        <w:t xml:space="preserve"> Absatz 4 abgewichen werden.</w:t>
      </w:r>
    </w:p>
    <w:p>
      <w:pPr>
        <w:pStyle w:val="Heading1"/>
      </w:pPr>
      <w:bookmarkStart w:id="649" w:name="b648"/>
      <w:r>
        <w:t>Fünftes Buch Seehandel</w:t>
      </w:r>
      <w:bookmarkEnd w:id="649"/>
    </w:p>
    <w:p>
      <w:pPr>
        <w:pStyle w:val="Heading2"/>
      </w:pPr>
      <w:bookmarkStart w:id="650" w:name="b649"/>
      <w:r>
        <w:t>Erster Abschnitt Personen der Schifffahrt</w:t>
      </w:r>
      <w:bookmarkEnd w:id="650"/>
    </w:p>
    <w:p>
      <w:pPr>
        <w:pStyle w:val="Heading3"/>
      </w:pPr>
      <w:bookmarkStart w:id="651" w:name="b650"/>
      <w:r>
        <w:t>§ 476 Reeder</w:t>
      </w:r>
      <w:r>
        <w:t xml:space="preserve"> </w:t>
      </w:r>
      <w:r>
        <w:rPr>
          <w:rStyle w:val="Suchmarke"/>
        </w:rPr>
        <w:t>#476#</w:t>
      </w:r>
      <w:bookmarkEnd w:id="651"/>
    </w:p>
    <w:p>
      <w:r>
        <w:t>Reeder ist der Eigentümer eines von ihm zum Erwerb durch Seefahrt betriebenen Schiffes.</w:t>
      </w:r>
    </w:p>
    <w:p>
      <w:pPr>
        <w:pStyle w:val="Heading3"/>
      </w:pPr>
      <w:bookmarkStart w:id="652" w:name="b651"/>
      <w:r>
        <w:t>§ 477 Ausrüster</w:t>
      </w:r>
      <w:r>
        <w:t xml:space="preserve"> </w:t>
      </w:r>
      <w:r>
        <w:rPr>
          <w:rStyle w:val="Suchmarke"/>
        </w:rPr>
        <w:t>#477#</w:t>
      </w:r>
      <w:bookmarkEnd w:id="652"/>
    </w:p>
    <w:p>
      <w:r>
        <w:t>(1) Ausrüster ist, wer ein ihm nicht gehörendes Schiff zum Erwerb durch Seefahrt betreibt.</w:t>
      </w:r>
    </w:p>
    <w:p>
      <w:r>
        <w:t>(2) Der Ausrüster wird im Verhältnis zu Dritten als Reeder angesehen.</w:t>
      </w:r>
    </w:p>
    <w:p>
      <w:r>
        <w:t>(3) Wird der Eigentümer eines Schiffes von einem Dritten als Reeder in Anspruch genommen, so kann er sich dem Dritten gegenüber nur dann darauf berufen, dass nicht er, sondern ein Ausrüster das Schiff zum Erwerb durch Seefahrt betreibt, wenn er dem Dritten unverzüglich nach Geltendmachung des Anspruchs den Namen und die Anschrift des Ausrüsters mitteilt.</w:t>
      </w:r>
    </w:p>
    <w:p>
      <w:pPr>
        <w:pStyle w:val="Heading3"/>
      </w:pPr>
      <w:bookmarkStart w:id="653" w:name="b652"/>
      <w:r>
        <w:t>§ 478 Schiffsbesatzung</w:t>
      </w:r>
      <w:r>
        <w:t xml:space="preserve"> </w:t>
      </w:r>
      <w:r>
        <w:rPr>
          <w:rStyle w:val="Suchmarke"/>
        </w:rPr>
        <w:t>#478#</w:t>
      </w:r>
      <w:bookmarkEnd w:id="653"/>
    </w:p>
    <w:p>
      <w:r>
        <w:t>Die Schiffsbesatzung besteht aus dem Kapitän, den Schiffsoffizieren, der Schiffsmannschaft sowie allen sonstigen im Rahmen des Schiffsbetriebs tätigen Personen, die vom Reeder oder Ausrüster des Schiffes angestellt sind oder dem Reeder oder Ausrüster von einem Dritten zur Arbeitsleistung im Rahmen des Schiffsbetriebs überlassen werden und die den Anordnungen des Kapitäns unterstellt sind.</w:t>
      </w:r>
    </w:p>
    <w:p>
      <w:pPr>
        <w:pStyle w:val="Heading3"/>
      </w:pPr>
      <w:bookmarkStart w:id="654" w:name="b653"/>
      <w:r>
        <w:t>§ 479 Rechte des Kapitäns. Tagebuch</w:t>
      </w:r>
      <w:r>
        <w:t xml:space="preserve"> </w:t>
      </w:r>
      <w:r>
        <w:rPr>
          <w:rStyle w:val="Suchmarke"/>
        </w:rPr>
        <w:t>#479#</w:t>
      </w:r>
      <w:bookmarkEnd w:id="654"/>
    </w:p>
    <w:p>
      <w:r>
        <w:t xml:space="preserve">(1) </w:t>
      </w:r>
      <w:r>
        <w:rPr>
          <w:rStyle w:val="Satznummer"/>
        </w:rPr>
        <w:t>1</w:t>
      </w:r>
      <w:r>
        <w:t xml:space="preserve">Der Kapitän ist befugt, für den Reeder alle Geschäfte und Rechtshandlungen vorzunehmen, die der Betrieb des Schiffes gewöhnlich mit sich bringt. </w:t>
      </w:r>
      <w:r>
        <w:rPr>
          <w:rStyle w:val="Satznummer"/>
        </w:rPr>
        <w:t>2</w:t>
      </w:r>
      <w:r>
        <w:t xml:space="preserve">Diese Befugnis erstreckt sich auch auf den Abschluss von Frachtverträgen und die Ausstellung von Konnossementen. </w:t>
      </w:r>
      <w:r>
        <w:rPr>
          <w:rStyle w:val="Satznummer"/>
        </w:rPr>
        <w:t>3</w:t>
      </w:r>
      <w:r>
        <w:t>Eine Beschränkung dieser Befugnis braucht ein Dritter nur dann gegen sich gelten zu lassen, wenn er sie kannte oder kennen musste.</w:t>
      </w:r>
    </w:p>
    <w:p>
      <w:r>
        <w:t xml:space="preserve">(2) </w:t>
      </w:r>
      <w:r>
        <w:rPr>
          <w:rStyle w:val="Satznummer"/>
        </w:rPr>
        <w:t>1</w:t>
      </w:r>
      <w:r>
        <w:t xml:space="preserve">Ist auf dem Schiff ein Tagebuch zu führen, so hat der Kapitän alle Unfälle einzutragen, die sich während der Reise ereignen und die das Schiff, Personen oder die Ladung betreffen oder sonst einen Vermögensnachteil zur Folge haben können. </w:t>
      </w:r>
      <w:r>
        <w:rPr>
          <w:rStyle w:val="Satznummer"/>
        </w:rPr>
        <w:t>2</w:t>
      </w:r>
      <w:r>
        <w:t xml:space="preserve">Die Unfälle sind unter Angabe der Mittel zu beschreiben, die zur Abwendung oder Verringerung der Nachteile angewendet wurden. </w:t>
      </w:r>
      <w:r>
        <w:rPr>
          <w:rStyle w:val="Satznummer"/>
        </w:rPr>
        <w:t>3</w:t>
      </w:r>
      <w:r>
        <w:t>Die durch den Unfall Betroffenen können eine Abschrift der Eintragungen zum Unfall sowie eine Beglaubigung dieser Abschrift verlangen.</w:t>
      </w:r>
    </w:p>
    <w:p>
      <w:pPr>
        <w:pStyle w:val="Heading3"/>
      </w:pPr>
      <w:bookmarkStart w:id="655" w:name="b654"/>
      <w:r>
        <w:t>§ 480 Verantwortlichkeit des Reeders für Schiffsbesatzung und Lotsen</w:t>
      </w:r>
      <w:r>
        <w:t xml:space="preserve"> </w:t>
      </w:r>
      <w:r>
        <w:rPr>
          <w:rStyle w:val="Suchmarke"/>
        </w:rPr>
        <w:t>#480#</w:t>
      </w:r>
      <w:bookmarkEnd w:id="655"/>
    </w:p>
    <w:p>
      <w:r>
        <w:rPr>
          <w:rStyle w:val="Satznummer"/>
        </w:rPr>
        <w:t>1</w:t>
      </w:r>
      <w:r>
        <w:t xml:space="preserve">Hat sich ein Mitglied der Schiffsbesatzung oder ein an Bord tätiger Lotse in Ausübung seiner Tätigkeit einem Dritten gegenüber schadensersatzpflichtig gemacht, so haftet auch der Reeder für den Schaden. </w:t>
      </w:r>
      <w:r>
        <w:rPr>
          <w:rStyle w:val="Satznummer"/>
        </w:rPr>
        <w:t>2</w:t>
      </w:r>
      <w:r>
        <w:t xml:space="preserve">Der Reeder haftet jedoch einem Ladungsbeteiligten für einen Schaden wegen Verlust oder Beschädigung von Gut, das mit dem Schiff befördert wird, nur so, als wäre er der Verfrachter; </w:t>
      </w:r>
      <w:hyperlink w:anchor="b688" w:history="1">
        <w:r>
          <w:rPr>
            <w:color w:val="0A3A8C"/>
            <w:u w:val="single"/>
          </w:rPr>
          <w:t xml:space="preserve">§ 509</w:t>
        </w:r>
      </w:hyperlink>
      <w:r>
        <w:t xml:space="preserve"> ist entsprechend anzuwenden.</w:t>
      </w:r>
    </w:p>
    <w:p>
      <w:pPr>
        <w:pStyle w:val="Heading2"/>
      </w:pPr>
      <w:bookmarkStart w:id="656" w:name="b655"/>
      <w:r>
        <w:t>Zweiter Abschnitt Beförderungsverträge</w:t>
      </w:r>
      <w:bookmarkEnd w:id="656"/>
    </w:p>
    <w:p>
      <w:pPr>
        <w:pStyle w:val="Heading3"/>
      </w:pPr>
      <w:bookmarkStart w:id="657" w:name="b656"/>
      <w:r>
        <w:t>Erster Unterabschnitt Seefrachtverträge</w:t>
      </w:r>
      <w:bookmarkEnd w:id="657"/>
    </w:p>
    <w:p>
      <w:pPr>
        <w:pStyle w:val="Heading4"/>
      </w:pPr>
      <w:bookmarkStart w:id="658" w:name="b657"/>
      <w:r>
        <w:t>Erster Titel Stückgutfrachtvertrag</w:t>
      </w:r>
      <w:bookmarkEnd w:id="658"/>
    </w:p>
    <w:p>
      <w:pPr>
        <w:pStyle w:val="Heading5"/>
      </w:pPr>
      <w:bookmarkStart w:id="659" w:name="b658"/>
      <w:r>
        <w:t>Erster Untertitel Allgemeine Vorschriften</w:t>
      </w:r>
      <w:bookmarkEnd w:id="659"/>
    </w:p>
    <w:p>
      <w:pPr>
        <w:pStyle w:val="Heading6"/>
      </w:pPr>
      <w:bookmarkStart w:id="660" w:name="b659"/>
      <w:r>
        <w:t>§ 481 Hauptpflichten. Anwendungsbereich</w:t>
      </w:r>
      <w:r>
        <w:t xml:space="preserve"> </w:t>
      </w:r>
      <w:r>
        <w:rPr>
          <w:rStyle w:val="Suchmarke"/>
        </w:rPr>
        <w:t>#481#</w:t>
      </w:r>
      <w:bookmarkEnd w:id="660"/>
    </w:p>
    <w:p>
      <w:r>
        <w:t>(1) Durch den Stückgutfrachtvertrag wird der Verfrachter verpflichtet, das Gut mit einem Schiff über See zum Bestimmungsort zu befördern und dort dem Empfänger abzuliefern.</w:t>
      </w:r>
    </w:p>
    <w:p>
      <w:r>
        <w:t>(2) Der Befrachter wird verpflichtet, die vereinbarte Fracht zu zahlen.</w:t>
      </w:r>
    </w:p>
    <w:p>
      <w:r>
        <w:t xml:space="preserve">(3) </w:t>
      </w:r>
      <w:r>
        <w:rPr>
          <w:rStyle w:val="Satznummer"/>
        </w:rPr>
        <w:t>1</w:t>
      </w:r>
      <w:r>
        <w:t xml:space="preserve">Die Vorschriften dieses Titels gelten, wenn die Beförderung zum Betrieb eines gewerblichen Unternehmens gehört. </w:t>
      </w:r>
      <w:r>
        <w:rPr>
          <w:rStyle w:val="Satznummer"/>
        </w:rPr>
        <w:t>2</w:t>
      </w:r>
      <w:r>
        <w:t xml:space="preserve">Erfordert das Unternehmen nach Art oder Umfang einen in kaufmännischer Weise eingerichteten Geschäftsbetrieb nicht und ist die Firma des Unternehmens auch nicht nach § 2 in das Handelsregister eingetragen, so sind in Ansehung des Stückgutfrachtvertrags auch insoweit die Vorschriften des Ersten Abschnitts des Vierten Buches ergänzend anzuwenden; dies gilt jedoch nicht für die </w:t>
      </w:r>
      <w:hyperlink w:anchor="b490" w:history="1">
        <w:r>
          <w:rPr>
            <w:color w:val="0A3A8C"/>
            <w:u w:val="single"/>
          </w:rPr>
          <w:t xml:space="preserve">§§ 348</w:t>
        </w:r>
      </w:hyperlink>
      <w:r>
        <w:t xml:space="preserve"> bis </w:t>
      </w:r>
      <w:hyperlink w:anchor="b492" w:history="1">
        <w:r>
          <w:rPr>
            <w:color w:val="0A3A8C"/>
            <w:u w:val="single"/>
          </w:rPr>
          <w:t xml:space="preserve">350</w:t>
        </w:r>
      </w:hyperlink>
      <w:r>
        <w:t>.</w:t>
      </w:r>
    </w:p>
    <w:p>
      <w:pPr>
        <w:pStyle w:val="Heading6"/>
      </w:pPr>
      <w:bookmarkStart w:id="661" w:name="b660"/>
      <w:r>
        <w:t>§ 482 Allgemeine Angaben zum Gut</w:t>
      </w:r>
      <w:r>
        <w:t xml:space="preserve"> </w:t>
      </w:r>
      <w:r>
        <w:rPr>
          <w:rStyle w:val="Suchmarke"/>
        </w:rPr>
        <w:t>#482#</w:t>
      </w:r>
      <w:bookmarkEnd w:id="661"/>
    </w:p>
    <w:p>
      <w:r>
        <w:t xml:space="preserve">(1) </w:t>
      </w:r>
      <w:r>
        <w:rPr>
          <w:rStyle w:val="Satznummer"/>
        </w:rPr>
        <w:t>1</w:t>
      </w:r>
      <w:r>
        <w:t xml:space="preserve">Der Befrachter hat dem Verfrachter vor Übergabe des Gutes die für die Durchführung der Beförderung erforderlichen Angaben zum Gut zu machen. </w:t>
      </w:r>
      <w:r>
        <w:rPr>
          <w:rStyle w:val="Satznummer"/>
        </w:rPr>
        <w:t>2</w:t>
      </w:r>
      <w:r>
        <w:t>Insbesondere hat der Befrachter in Textform Angaben über Maß, Zahl oder Gewicht sowie über Merkzeichen und die Art des Gutes zu machen.</w:t>
      </w:r>
    </w:p>
    <w:p>
      <w:r>
        <w:t>(2) Übergibt ein vom Befrachter benannter Dritter dem Verfrachter das Gut zur Beförderung, so kann der Verfrachter auch von diesem die in Absatz 1 Satz 2 genannten Angaben verlangen.</w:t>
      </w:r>
    </w:p>
    <w:p>
      <w:pPr>
        <w:pStyle w:val="Heading6"/>
      </w:pPr>
      <w:bookmarkStart w:id="662" w:name="b661"/>
      <w:r>
        <w:t>§ 483 Gefährliches Gut</w:t>
      </w:r>
      <w:r>
        <w:t xml:space="preserve"> </w:t>
      </w:r>
      <w:r>
        <w:rPr>
          <w:rStyle w:val="Suchmarke"/>
        </w:rPr>
        <w:t>#483#</w:t>
      </w:r>
      <w:bookmarkEnd w:id="662"/>
    </w:p>
    <w:p>
      <w:r>
        <w:t xml:space="preserve">(1) Soll gefährliches Gut befördert werden, so haben der Befrachter und der in </w:t>
      </w:r>
      <w:hyperlink w:anchor="b660" w:history="1">
        <w:r>
          <w:rPr>
            <w:color w:val="0A3A8C"/>
            <w:u w:val="single"/>
          </w:rPr>
          <w:t xml:space="preserve">§ 482</w:t>
        </w:r>
      </w:hyperlink>
      <w:r>
        <w:t xml:space="preserve"> Absatz 2 genannte Dritte dem Verfrachter rechtzeitig in Textform die genaue Art der Gefahr und, soweit erforderlich, zu ergreifende Vorsichtsmaßnahmen mitzuteilen.</w:t>
      </w:r>
    </w:p>
    <w:p>
      <w:r>
        <w:t xml:space="preserve">(2) </w:t>
      </w:r>
      <w:r>
        <w:rPr>
          <w:rStyle w:val="Satznummer"/>
        </w:rPr>
        <w:t>1</w:t>
      </w:r>
      <w:r>
        <w:t xml:space="preserve">Der Verfrachter kann, sofern ihm, dem Kapitän oder dem Schiffsagenten nicht bei Übernahme des Gutes die Art der Gefahr bekannt war oder jedenfalls mitgeteilt worden ist, gefährliches Gut ausladen, einlagern, zurückbefördern oder, soweit erforderlich, vernichten oder unschädlich machen, ohne dem Befrachter deshalb ersatzpflichtig zu werden. </w:t>
      </w:r>
      <w:r>
        <w:rPr>
          <w:rStyle w:val="Satznummer"/>
        </w:rPr>
        <w:t>2</w:t>
      </w:r>
      <w:r>
        <w:t>War dem Verfrachter, dem Kapitän oder dem Schiffsagenten bei Übernahme des Gutes die Art der Gefahr bekannt oder war sie ihm jedenfalls mitgeteilt worden, so kann der Verfrachter nur dann die Maßnahmen nach Satz 1 ergreifen, ohne dem Befrachter deshalb ersatzpflichtig zu werden, wenn das gefährliche Gut Schiff oder Ladung gefährdet und die Gefahr nicht durch ein Verschulden des Verfrachters herbeigeführt worden ist.</w:t>
      </w:r>
    </w:p>
    <w:p>
      <w:r>
        <w:t xml:space="preserve">(3) Der Verfrachter kann vom Befrachter und dem in </w:t>
      </w:r>
      <w:hyperlink w:anchor="b660" w:history="1">
        <w:r>
          <w:rPr>
            <w:color w:val="0A3A8C"/>
            <w:u w:val="single"/>
          </w:rPr>
          <w:t xml:space="preserve">§ 482</w:t>
        </w:r>
      </w:hyperlink>
      <w:r>
        <w:t xml:space="preserve"> Absatz 2 genannten Dritten, sofern dieser bei der Abladung unrichtige oder unvollständige Angaben gemacht hat, wegen der nach Absatz 2 Satz 1 ergriffenen Maßnahmen Ersatz der erforderlichen Aufwendungen verlangen.</w:t>
      </w:r>
    </w:p>
    <w:p>
      <w:pPr>
        <w:pStyle w:val="Heading6"/>
      </w:pPr>
      <w:bookmarkStart w:id="663" w:name="b662"/>
      <w:r>
        <w:t>§ 484 Verpackung. Kennzeichnung</w:t>
      </w:r>
      <w:r>
        <w:t xml:space="preserve"> </w:t>
      </w:r>
      <w:r>
        <w:rPr>
          <w:rStyle w:val="Suchmarke"/>
        </w:rPr>
        <w:t>#484#</w:t>
      </w:r>
      <w:bookmarkEnd w:id="663"/>
    </w:p>
    <w:p>
      <w:r>
        <w:rPr>
          <w:rStyle w:val="Satznummer"/>
        </w:rPr>
        <w:t>1</w:t>
      </w:r>
      <w:r>
        <w:t xml:space="preserve">Der Befrachter hat das Gut, soweit dessen Natur unter Berücksichtigung der vereinbarten Beförderung eine Verpackung erfordert, so zu verpacken, dass es vor Verlust und Beschädigung geschützt ist und dass auch dem Verfrachter keine Schäden entstehen. </w:t>
      </w:r>
      <w:r>
        <w:rPr>
          <w:rStyle w:val="Satznummer"/>
        </w:rPr>
        <w:t>2</w:t>
      </w:r>
      <w:r>
        <w:t xml:space="preserve">Soll das Gut in einem Container, auf einer Palette oder in oder auf einem sonstigen Lademittel zur Beförderung übergeben werden, das zur Zusammenfassung von Frachtstücken verwendet wird, hat der Befrachter das Gut auch in oder auf dem Lademittel beförderungssicher zu stauen und zu sichern. </w:t>
      </w:r>
      <w:r>
        <w:rPr>
          <w:rStyle w:val="Satznummer"/>
        </w:rPr>
        <w:t>3</w:t>
      </w:r>
      <w:r>
        <w:t>Der Befrachter hat das Gut ferner, soweit dessen vertragsgemäße Behandlung dies erfordert, zu kennzeichnen.</w:t>
      </w:r>
    </w:p>
    <w:p>
      <w:pPr>
        <w:pStyle w:val="Heading6"/>
      </w:pPr>
      <w:bookmarkStart w:id="664" w:name="b663"/>
      <w:r>
        <w:t>§ 485 See- und Ladungstüchtigkeit</w:t>
      </w:r>
      <w:r>
        <w:t xml:space="preserve"> </w:t>
      </w:r>
      <w:r>
        <w:rPr>
          <w:rStyle w:val="Suchmarke"/>
        </w:rPr>
        <w:t>#485#</w:t>
      </w:r>
      <w:bookmarkEnd w:id="664"/>
    </w:p>
    <w:p>
      <w:r>
        <w:t>Der Verfrachter hat dafür zu sorgen, dass das Schiff in seetüchtigem Stand, gehörig eingerichtet, ausgerüstet, bemannt und mit genügenden Vorräten versehen ist (Seetüchtigkeit) sowie dass sich die Laderäume einschließlich der Kühl- und Gefrierräume sowie alle anderen Teile des Schiffs, in oder auf denen Güter verladen werden, in dem für die Aufnahme, Beförderung und Erhaltung der Güter erforderlichen Zustand befinden (Ladungstüchtigkeit).</w:t>
      </w:r>
    </w:p>
    <w:p>
      <w:pPr>
        <w:pStyle w:val="Heading6"/>
      </w:pPr>
      <w:bookmarkStart w:id="665" w:name="b664"/>
      <w:r>
        <w:t>§ 486 Abladen. Verladen. Umladen. Löschen</w:t>
      </w:r>
      <w:r>
        <w:t xml:space="preserve"> </w:t>
      </w:r>
      <w:r>
        <w:rPr>
          <w:rStyle w:val="Suchmarke"/>
        </w:rPr>
        <w:t>#486#</w:t>
      </w:r>
      <w:bookmarkEnd w:id="665"/>
    </w:p>
    <w:p>
      <w:r>
        <w:t xml:space="preserve">(1) </w:t>
      </w:r>
      <w:r>
        <w:rPr>
          <w:rStyle w:val="Satznummer"/>
        </w:rPr>
        <w:t>1</w:t>
      </w:r>
      <w:r>
        <w:t xml:space="preserve">Der Befrachter hat die Übergabe des Gutes an den Verfrachter zur Beförderung (Abladung) innerhalb der vertraglich vereinbarten Zeit zu bewirken. </w:t>
      </w:r>
      <w:r>
        <w:rPr>
          <w:rStyle w:val="Satznummer"/>
        </w:rPr>
        <w:t>2</w:t>
      </w:r>
      <w:r>
        <w:t xml:space="preserve">Der Verfrachter hat demjenigen, der das Gut ablädt, auf dessen Verlangen ein Empfangsbekenntnis in Textform zu erteilen. </w:t>
      </w:r>
      <w:r>
        <w:rPr>
          <w:rStyle w:val="Satznummer"/>
        </w:rPr>
        <w:t>3</w:t>
      </w:r>
      <w:r>
        <w:t>Das Empfangsbekenntnis kann auch in einem Konnossement oder Seefrachtbrief erteilt werden.</w:t>
      </w:r>
    </w:p>
    <w:p>
      <w:r>
        <w:t>(2) Soweit sich aus den Umständen oder der Verkehrssitte nichts anderes ergibt, hat der Verfrachter das Gut in das Schiff zu laden und dort zu stauen und zu sichern (verladen) sowie das Gut zu löschen.</w:t>
      </w:r>
    </w:p>
    <w:p>
      <w:r>
        <w:t>(3) Befindet sich das Gut in einem Container, ist der Verfrachter befugt, den Container umzuladen.</w:t>
      </w:r>
    </w:p>
    <w:p>
      <w:r>
        <w:t xml:space="preserve">(4) </w:t>
      </w:r>
      <w:r>
        <w:rPr>
          <w:rStyle w:val="Satznummer"/>
        </w:rPr>
        <w:t>1</w:t>
      </w:r>
      <w:r>
        <w:t xml:space="preserve">Der Verfrachter darf das Gut ohne Zustimmung des Befrachters nicht auf Deck verladen. </w:t>
      </w:r>
      <w:r>
        <w:rPr>
          <w:rStyle w:val="Satznummer"/>
        </w:rPr>
        <w:t>2</w:t>
      </w:r>
      <w:r>
        <w:t>Wird ein Konnossement ausgestellt, ist die Zustimmung des Abladers (</w:t>
      </w:r>
      <w:hyperlink w:anchor="b693" w:history="1">
        <w:r>
          <w:rPr>
            <w:color w:val="0A3A8C"/>
            <w:u w:val="single"/>
          </w:rPr>
          <w:t xml:space="preserve">§ 513</w:t>
        </w:r>
      </w:hyperlink>
      <w:r>
        <w:t xml:space="preserve"> Absatz 2) erforderlich. </w:t>
      </w:r>
      <w:r>
        <w:rPr>
          <w:rStyle w:val="Satznummer"/>
        </w:rPr>
        <w:t>3</w:t>
      </w:r>
      <w:r>
        <w:t>Das Gut darf jedoch ohne Zustimmung auf Deck verladen werden, wenn es sich in oder auf einem Lademittel befindet, das für die Beförderung auf Deck tauglich ist, und wenn das Deck für die Beförderung eines solchen Lademittels ausgerüstet ist.</w:t>
      </w:r>
    </w:p>
    <w:p>
      <w:pPr>
        <w:pStyle w:val="Heading6"/>
      </w:pPr>
      <w:bookmarkStart w:id="666" w:name="b665"/>
      <w:r>
        <w:t>§ 487 Begleitpapiere</w:t>
      </w:r>
      <w:r>
        <w:t xml:space="preserve"> </w:t>
      </w:r>
      <w:r>
        <w:rPr>
          <w:rStyle w:val="Suchmarke"/>
        </w:rPr>
        <w:t>#487#</w:t>
      </w:r>
      <w:bookmarkEnd w:id="666"/>
    </w:p>
    <w:p>
      <w:r>
        <w:t>(1) Der Befrachter hat dem Verfrachter alle Urkunden zur Verfügung zu stellen und Auskünfte zu erteilen, die für eine amtliche Behandlung, insbesondere eine Zollabfertigung, vor der Ablieferung erforderlich sind.</w:t>
      </w:r>
    </w:p>
    <w:p>
      <w:r>
        <w:t xml:space="preserve">(2) </w:t>
      </w:r>
      <w:r>
        <w:rPr>
          <w:rStyle w:val="Satznummer"/>
        </w:rPr>
        <w:t>1</w:t>
      </w:r>
      <w:r>
        <w:t xml:space="preserve">Der Verfrachter ist für den Schaden verantwortlich, der durch Verlust oder Beschädigung der ihm übergebenen Urkunden oder durch deren unrichtige Verwendung verursacht worden ist, es sei denn, der Schaden hätte durch die Sorgfalt eines ordentlichen Verfrachters nicht abgewendet werden können. </w:t>
      </w:r>
      <w:r>
        <w:rPr>
          <w:rStyle w:val="Satznummer"/>
        </w:rPr>
        <w:t>2</w:t>
      </w:r>
      <w:r>
        <w:t xml:space="preserve">Die Haftung ist auf den Betrag begrenzt, der bei Verlust des Gutes zu zahlen wäre. </w:t>
      </w:r>
      <w:r>
        <w:rPr>
          <w:rStyle w:val="Satznummer"/>
        </w:rPr>
        <w:t>3</w:t>
      </w:r>
      <w:r>
        <w:t xml:space="preserve">Eine Vereinbarung, durch die die Haftung erweitert oder weiter verringert wird, ist nur wirksam, wenn sie im Einzelnen ausgehandelt wird, auch wenn sie für eine Mehrzahl von gleichartigen Verträgen zwischen denselben Vertragsparteien getroffen wird. </w:t>
      </w:r>
      <w:r>
        <w:rPr>
          <w:rStyle w:val="Satznummer"/>
        </w:rPr>
        <w:t>4</w:t>
      </w:r>
      <w:r>
        <w:t>Eine Bestimmung im Konnossement, durch die die Haftung weiter verringert wird, ist jedoch Dritten gegenüber unwirksam.</w:t>
      </w:r>
    </w:p>
    <w:p>
      <w:pPr>
        <w:pStyle w:val="Heading6"/>
      </w:pPr>
      <w:bookmarkStart w:id="667" w:name="b666"/>
      <w:r>
        <w:t>§ 488 Haftung des Befrachters und Dritter</w:t>
      </w:r>
      <w:r>
        <w:t xml:space="preserve"> </w:t>
      </w:r>
      <w:r>
        <w:rPr>
          <w:rStyle w:val="Suchmarke"/>
        </w:rPr>
        <w:t>#488#</w:t>
      </w:r>
      <w:bookmarkEnd w:id="667"/>
    </w:p>
    <w:p>
      <w:r>
        <w:t xml:space="preserve">(1) </w:t>
      </w:r>
      <w:r>
        <w:rPr>
          <w:rStyle w:val="Satznummer"/>
        </w:rPr>
        <w:t>1</w:t>
      </w:r>
      <w:r>
        <w:t>Der Befrachter hat dem Verfrachter Schäden und Aufwendungen zu ersetzen, die verursacht werden durch</w:t>
      </w:r>
    </w:p>
    <w:p>
      <w:pPr>
        <w:tabs>
          <w:tab w:pos="567" w:val="left"/>
        </w:tabs>
        <w:ind w:left="567" w:hanging="567"/>
      </w:pPr>
      <w:r>
        <w:t>1.</w:t>
      </w:r>
      <w:r>
        <w:tab/>
      </w:r>
      <w:r>
        <w:t>Unrichtigkeit oder Unvollständigkeit der erforderlichen Angaben zum Gut,</w:t>
      </w:r>
    </w:p>
    <w:p>
      <w:pPr>
        <w:tabs>
          <w:tab w:pos="567" w:val="left"/>
        </w:tabs>
        <w:ind w:left="567" w:hanging="567"/>
      </w:pPr>
      <w:r>
        <w:t>2.</w:t>
      </w:r>
      <w:r>
        <w:tab/>
      </w:r>
      <w:r>
        <w:t>Unterlassen der Mitteilung über die Gefährlichkeit des Gutes,</w:t>
      </w:r>
    </w:p>
    <w:p>
      <w:pPr>
        <w:tabs>
          <w:tab w:pos="567" w:val="left"/>
        </w:tabs>
        <w:ind w:left="567" w:hanging="567"/>
      </w:pPr>
      <w:r>
        <w:t>3.</w:t>
      </w:r>
      <w:r>
        <w:tab/>
      </w:r>
      <w:r>
        <w:t>ungenügende Verpackung oder Kennzeichnung oder</w:t>
      </w:r>
    </w:p>
    <w:p>
      <w:pPr>
        <w:tabs>
          <w:tab w:pos="567" w:val="left"/>
        </w:tabs>
        <w:ind w:left="567" w:hanging="567"/>
      </w:pPr>
      <w:r>
        <w:t>4.</w:t>
      </w:r>
      <w:r>
        <w:tab/>
      </w:r>
      <w:r>
        <w:t xml:space="preserve">Fehlen, Unvollständigkeit oder Unrichtigkeit der in </w:t>
      </w:r>
      <w:hyperlink w:anchor="b665" w:history="1">
        <w:r>
          <w:rPr>
            <w:color w:val="0A3A8C"/>
            <w:u w:val="single"/>
          </w:rPr>
          <w:t xml:space="preserve">§ 487</w:t>
        </w:r>
      </w:hyperlink>
      <w:r>
        <w:t xml:space="preserve"> Absatz 1 genannten Urkunden oder Auskünfte.</w:t>
      </w:r>
    </w:p>
    <w:p>
      <w:r>
        <w:rPr>
          <w:rStyle w:val="Satznummer"/>
        </w:rPr>
        <w:t>2</w:t>
      </w:r>
      <w:r>
        <w:t>Der Befrachter ist jedoch von seiner Haftung befreit, wenn er die Pflichtverletzung nicht zu vertreten hat.</w:t>
      </w:r>
    </w:p>
    <w:p>
      <w:r>
        <w:t xml:space="preserve">(2) </w:t>
      </w:r>
      <w:r>
        <w:rPr>
          <w:rStyle w:val="Satznummer"/>
        </w:rPr>
        <w:t>1</w:t>
      </w:r>
      <w:r>
        <w:t xml:space="preserve">Macht der in </w:t>
      </w:r>
      <w:hyperlink w:anchor="b660" w:history="1">
        <w:r>
          <w:rPr>
            <w:color w:val="0A3A8C"/>
            <w:u w:val="single"/>
          </w:rPr>
          <w:t xml:space="preserve">§ 482</w:t>
        </w:r>
      </w:hyperlink>
      <w:r>
        <w:t xml:space="preserve"> Absatz 2 genannte Dritte unrichtige oder unvollständige Angaben bei der Abladung oder unterlässt er es, den Verfrachter über die Gefährlichkeit des Gutes zu unterrichten, so kann der Verfrachter auch von diesem Ersatz der hierdurch verursachten Schäden und Aufwendungen verlangen. </w:t>
      </w:r>
      <w:r>
        <w:rPr>
          <w:rStyle w:val="Satznummer"/>
        </w:rPr>
        <w:t>2</w:t>
      </w:r>
      <w:r>
        <w:t>Dies gilt nicht, wenn der Dritte die Pflichtverletzung nicht zu vertreten hat.</w:t>
      </w:r>
    </w:p>
    <w:p>
      <w:r>
        <w:t xml:space="preserve">(3) </w:t>
      </w:r>
      <w:r>
        <w:rPr>
          <w:rStyle w:val="Satznummer"/>
        </w:rPr>
        <w:t>1</w:t>
      </w:r>
      <w:r>
        <w:t>Wird ein Konnossement ausgestellt, so haben der Befrachter und der Ablader (</w:t>
      </w:r>
      <w:hyperlink w:anchor="b693" w:history="1">
        <w:r>
          <w:rPr>
            <w:color w:val="0A3A8C"/>
            <w:u w:val="single"/>
          </w:rPr>
          <w:t xml:space="preserve">§ 513</w:t>
        </w:r>
      </w:hyperlink>
      <w:r>
        <w:t xml:space="preserve"> Absatz 2), auch wenn sie kein Verschulden trifft, dem Verfrachter Schäden und Aufwendungen zu ersetzen, die verursacht werden durch</w:t>
      </w:r>
    </w:p>
    <w:p>
      <w:pPr>
        <w:tabs>
          <w:tab w:pos="567" w:val="left"/>
        </w:tabs>
        <w:ind w:left="567" w:hanging="567"/>
      </w:pPr>
      <w:r>
        <w:t>1.</w:t>
      </w:r>
      <w:r>
        <w:tab/>
      </w:r>
      <w:r>
        <w:t xml:space="preserve">Unrichtigkeit oder Unvollständigkeit der in das Konnossement aufgenommenen Angaben nach </w:t>
      </w:r>
      <w:hyperlink w:anchor="b695" w:history="1">
        <w:r>
          <w:rPr>
            <w:color w:val="0A3A8C"/>
            <w:u w:val="single"/>
          </w:rPr>
          <w:t xml:space="preserve">§ 515</w:t>
        </w:r>
      </w:hyperlink>
      <w:r>
        <w:t xml:space="preserve"> Absatz 1 Nummer 8 über Maß, Zahl oder Gewicht sowie über Merkzeichen des Gutes oder</w:t>
      </w:r>
    </w:p>
    <w:p>
      <w:pPr>
        <w:tabs>
          <w:tab w:pos="567" w:val="left"/>
        </w:tabs>
        <w:ind w:left="567" w:hanging="567"/>
      </w:pPr>
      <w:r>
        <w:t>2.</w:t>
      </w:r>
      <w:r>
        <w:tab/>
      </w:r>
      <w:r>
        <w:t>Unterlassen der Mitteilung über die Gefährlichkeit des Gutes.</w:t>
      </w:r>
    </w:p>
    <w:p>
      <w:r>
        <w:rPr>
          <w:rStyle w:val="Satznummer"/>
        </w:rPr>
        <w:t>2</w:t>
      </w:r>
      <w:r>
        <w:t>Jeder von ihnen haftet jedoch dem Verfrachter nur für die Schäden und Aufwendungen, die aus der Unrichtigkeit oder Unvollständigkeit seiner jeweiligen Angaben entstehen.</w:t>
      </w:r>
    </w:p>
    <w:p>
      <w:r>
        <w:t>(4) Hat bei der Verursachung der Schäden oder Aufwendungen ein Verhalten des Verfrachters mitgewirkt, so hängen die Verpflichtung des Befrachters und des Abladers nach Absatz 3 zum Ersatz sowie der Umfang des zu leistenden Ersatzes davon ab, inwieweit dieses Verhalten zu den Schäden und Aufwendungen beigetragen hat.</w:t>
      </w:r>
    </w:p>
    <w:p>
      <w:r>
        <w:t xml:space="preserve">(5) </w:t>
      </w:r>
      <w:r>
        <w:rPr>
          <w:rStyle w:val="Satznummer"/>
        </w:rPr>
        <w:t>1</w:t>
      </w:r>
      <w:r>
        <w:t xml:space="preserve">Eine Vereinbarung, durch die die Haftung nach Absatz 1, 2 oder 3 ausgeschlossen wird, ist nur wirksam, wenn sie im Einzelnen ausgehandelt wird, auch wenn sie für eine Mehrzahl von gleichartigen Verträgen zwischen denselben Vertragsparteien getroffen wird. </w:t>
      </w:r>
      <w:r>
        <w:rPr>
          <w:rStyle w:val="Satznummer"/>
        </w:rPr>
        <w:t>2</w:t>
      </w:r>
      <w:r>
        <w:t>Abweichend von Satz 1 kann jedoch die vom Befrachter oder Ablader zu leistende Entschädigung der Höhe nach auch durch vorformulierte Vertragsbedingungen beschränkt werden.</w:t>
      </w:r>
    </w:p>
    <w:p>
      <w:pPr>
        <w:pStyle w:val="Heading6"/>
      </w:pPr>
      <w:bookmarkStart w:id="668" w:name="b667"/>
      <w:r>
        <w:t>§ 489 Kündigung durch den Befrachter</w:t>
      </w:r>
      <w:r>
        <w:t xml:space="preserve"> </w:t>
      </w:r>
      <w:r>
        <w:rPr>
          <w:rStyle w:val="Suchmarke"/>
        </w:rPr>
        <w:t>#489#</w:t>
      </w:r>
      <w:bookmarkEnd w:id="668"/>
    </w:p>
    <w:p>
      <w:r>
        <w:t>(1) Der Befrachter kann den Stückgutfrachtvertrag jederzeit kündigen.</w:t>
      </w:r>
    </w:p>
    <w:p>
      <w:r>
        <w:t xml:space="preserve">(2) </w:t>
      </w:r>
      <w:r>
        <w:rPr>
          <w:rStyle w:val="Satznummer"/>
        </w:rPr>
        <w:t>1</w:t>
      </w:r>
      <w:r>
        <w:t>Kündigt der Befrachter, so kann der Verfrachter Folgendes verlangen:</w:t>
      </w:r>
    </w:p>
    <w:p>
      <w:pPr>
        <w:tabs>
          <w:tab w:pos="567" w:val="left"/>
        </w:tabs>
        <w:ind w:left="567" w:hanging="567"/>
      </w:pPr>
      <w:r>
        <w:t>1.</w:t>
      </w:r>
      <w:r>
        <w:tab/>
      </w:r>
      <w:r>
        <w:t>die vereinbarte Fracht sowie zu ersetzende Aufwendungen unter Anrechnung dessen, was der Verfrachter infolge der Aufhebung des Vertrags an Aufwendungen erspart oder anderweitig erwirbt oder zu erwerben böswillig unterlässt, oder</w:t>
      </w:r>
    </w:p>
    <w:p>
      <w:pPr>
        <w:tabs>
          <w:tab w:pos="567" w:val="left"/>
        </w:tabs>
        <w:ind w:left="567" w:hanging="567"/>
      </w:pPr>
      <w:r>
        <w:t>2.</w:t>
      </w:r>
      <w:r>
        <w:tab/>
      </w:r>
      <w:r>
        <w:t>ein Drittel der vereinbarten Fracht (Fautfracht).</w:t>
      </w:r>
    </w:p>
    <w:p>
      <w:r>
        <w:rPr>
          <w:rStyle w:val="Satznummer"/>
        </w:rPr>
        <w:t>2</w:t>
      </w:r>
      <w:r>
        <w:t>Beruht die Kündigung auf Gründen, die dem Risikobereich des Verfrachters zuzurechnen sind, so entfällt der Anspruch auf Fautfracht nach Satz 1 Nummer 2; in diesem Falle entfällt auch der Anspruch nach Satz 1 Nummer 1, soweit die Beförderung für den Befrachter nicht von Interesse ist.</w:t>
      </w:r>
    </w:p>
    <w:p>
      <w:r>
        <w:t xml:space="preserve">(3) </w:t>
      </w:r>
      <w:r>
        <w:rPr>
          <w:rStyle w:val="Satznummer"/>
        </w:rPr>
        <w:t>1</w:t>
      </w:r>
      <w:r>
        <w:t xml:space="preserve">Wurde vor der Kündigung bereits Gut verladen, so kann der Verfrachter auf Kosten des Befrachters Maßnahmen entsprechend </w:t>
      </w:r>
      <w:hyperlink w:anchor="b670" w:history="1">
        <w:r>
          <w:rPr>
            <w:color w:val="0A3A8C"/>
            <w:u w:val="single"/>
          </w:rPr>
          <w:t xml:space="preserve">§ 492</w:t>
        </w:r>
      </w:hyperlink>
      <w:r>
        <w:t xml:space="preserve"> Absatz 3 Satz 2 bis 4 ergreifen. </w:t>
      </w:r>
      <w:r>
        <w:rPr>
          <w:rStyle w:val="Satznummer"/>
        </w:rPr>
        <w:t>2</w:t>
      </w:r>
      <w:r>
        <w:t>Beruht die Kündigung auf Gründen, die dem Risikobereich des Verfrachters zuzurechnen sind, so sind abweichend von Satz 1 die Kosten vom Verfrachter zu tragen.</w:t>
      </w:r>
    </w:p>
    <w:p>
      <w:pPr>
        <w:pStyle w:val="Heading6"/>
      </w:pPr>
      <w:bookmarkStart w:id="669" w:name="b668"/>
      <w:r>
        <w:t>§ 490 Rechte des Verfrachters bei säumiger Abladung</w:t>
      </w:r>
      <w:r>
        <w:t xml:space="preserve"> </w:t>
      </w:r>
      <w:r>
        <w:rPr>
          <w:rStyle w:val="Suchmarke"/>
        </w:rPr>
        <w:t>#490#</w:t>
      </w:r>
      <w:bookmarkEnd w:id="669"/>
    </w:p>
    <w:p>
      <w:r>
        <w:t>(1) Bewirkt der Befrachter die Abladung des Gutes nicht oder nicht vollständig innerhalb der vertraglich vereinbarten Zeit, so kann der Verfrachter dem Befrachter eine angemessene Frist setzen, innerhalb derer das Gut abgeladen werden soll.</w:t>
      </w:r>
    </w:p>
    <w:p>
      <w:r>
        <w:t xml:space="preserve">(2) Wird das Gut bis zum Ablauf der nach Absatz 1 gesetzten Frist nicht abgeladen oder ist offensichtlich, dass die Abladung innerhalb dieser Frist nicht bewirkt werden wird, so kann der Verfrachter den Vertrag kündigen und die Ansprüche nach </w:t>
      </w:r>
      <w:hyperlink w:anchor="b667" w:history="1">
        <w:r>
          <w:rPr>
            <w:color w:val="0A3A8C"/>
            <w:u w:val="single"/>
          </w:rPr>
          <w:t xml:space="preserve">§ 489</w:t>
        </w:r>
      </w:hyperlink>
      <w:r>
        <w:t xml:space="preserve"> Absatz 2 geltend machen.</w:t>
      </w:r>
    </w:p>
    <w:p>
      <w:r>
        <w:t xml:space="preserve">(3) </w:t>
      </w:r>
      <w:r>
        <w:rPr>
          <w:rStyle w:val="Satznummer"/>
        </w:rPr>
        <w:t>1</w:t>
      </w:r>
      <w:r>
        <w:t xml:space="preserve">Wird das Gut bis zum Ablauf der nach Absatz 1 gesetzten Frist nur teilweise abgeladen, so kann der Verfrachter den bereits verladenen Teil des Gutes befördern und die volle Fracht sowie Ersatz der Aufwendungen verlangen, die ihm durch das Fehlen eines Teils des Gutes entstehen. </w:t>
      </w:r>
      <w:r>
        <w:rPr>
          <w:rStyle w:val="Satznummer"/>
        </w:rPr>
        <w:t>2</w:t>
      </w:r>
      <w:r>
        <w:t xml:space="preserve">Von der vollen Fracht ist jedoch die Fracht für die Beförderung desjenigen Gutes abzuziehen, welches der Verfrachter mit demselben Schiff anstelle des nicht verladenen Gutes befördert. </w:t>
      </w:r>
      <w:r>
        <w:rPr>
          <w:rStyle w:val="Satznummer"/>
        </w:rPr>
        <w:t>3</w:t>
      </w:r>
      <w:r>
        <w:t>Soweit dem Verfrachter durch das Fehlen eines Teils des Gutes die Sicherheit für die volle Fracht entgeht, kann er außerdem eine anderweitige Sicherheit verlangen.</w:t>
      </w:r>
    </w:p>
    <w:p>
      <w:r>
        <w:t xml:space="preserve">(4) </w:t>
      </w:r>
      <w:r>
        <w:rPr>
          <w:rStyle w:val="Satznummer"/>
        </w:rPr>
        <w:t>1</w:t>
      </w:r>
      <w:r>
        <w:t xml:space="preserve">Der Verfrachter kann die Rechte nach Absatz 2 oder 3 auch ohne Fristsetzung ausüben, wenn der Befrachter oder der in </w:t>
      </w:r>
      <w:hyperlink w:anchor="b660" w:history="1">
        <w:r>
          <w:rPr>
            <w:color w:val="0A3A8C"/>
            <w:u w:val="single"/>
          </w:rPr>
          <w:t xml:space="preserve">§ 482</w:t>
        </w:r>
      </w:hyperlink>
      <w:r>
        <w:t xml:space="preserve"> Absatz 2 genannte Dritte die Abladung ernsthaft und endgültig verweigert. </w:t>
      </w:r>
      <w:r>
        <w:rPr>
          <w:rStyle w:val="Satznummer"/>
        </w:rPr>
        <w:t>2</w:t>
      </w:r>
      <w:r>
        <w:t>Er kann ferner den Vertrag nach Absatz 2 auch ohne Fristsetzung kündigen, wenn besondere Umstände vorliegen, die ihm unter Abwägung der beiderseitigen Interessen die Fortsetzung des Vertragsverhältnisses unzumutbar machen.</w:t>
      </w:r>
    </w:p>
    <w:p>
      <w:r>
        <w:t>(5) Dem Verfrachter stehen die Rechte nicht zu, soweit das Gut aus Gründen, die dem Risikobereich des Verfrachters zuzurechnen sind, nicht innerhalb der vertraglich vereinbarten Zeit abgeladen wird.</w:t>
      </w:r>
    </w:p>
    <w:p>
      <w:pPr>
        <w:pStyle w:val="Heading6"/>
      </w:pPr>
      <w:bookmarkStart w:id="670" w:name="b669"/>
      <w:r>
        <w:t>§ 491 Nachträgliche Weisungen</w:t>
      </w:r>
      <w:r>
        <w:t xml:space="preserve"> </w:t>
      </w:r>
      <w:r>
        <w:rPr>
          <w:rStyle w:val="Suchmarke"/>
        </w:rPr>
        <w:t>#491#</w:t>
      </w:r>
      <w:bookmarkEnd w:id="670"/>
    </w:p>
    <w:p>
      <w:r>
        <w:t xml:space="preserve">(1) </w:t>
      </w:r>
      <w:r>
        <w:rPr>
          <w:rStyle w:val="Satznummer"/>
        </w:rPr>
        <w:t>1</w:t>
      </w:r>
      <w:r>
        <w:t xml:space="preserve">Soweit </w:t>
      </w:r>
      <w:hyperlink w:anchor="b700" w:history="1">
        <w:r>
          <w:rPr>
            <w:color w:val="0A3A8C"/>
            <w:u w:val="single"/>
          </w:rPr>
          <w:t xml:space="preserve">§ 520</w:t>
        </w:r>
      </w:hyperlink>
      <w:r>
        <w:t xml:space="preserve"> Absatz 1 nichts Abweichendes bestimmt, ist der Befrachter berechtigt, über das Gut zu verfügen. </w:t>
      </w:r>
      <w:r>
        <w:rPr>
          <w:rStyle w:val="Satznummer"/>
        </w:rPr>
        <w:t>2</w:t>
      </w:r>
      <w:r>
        <w:t xml:space="preserve">Er kann insbesondere verlangen, dass der Verfrachter das Gut nicht weiterbefördert, es zu einem anderen Bestimmungsort befördert oder es an einem anderen Löschplatz oder einem anderen Empfänger abliefert. </w:t>
      </w:r>
      <w:r>
        <w:rPr>
          <w:rStyle w:val="Satznummer"/>
        </w:rPr>
        <w:t>3</w:t>
      </w:r>
      <w:r>
        <w:t xml:space="preserve">Der Verfrachter ist nur insoweit zur Befolgung solcher Weisungen verpflichtet, als deren Ausführung weder Nachteile für den Betrieb seines Unternehmens noch Schäden für die Befrachter oder Empfänger anderer Sendungen mit sich zu bringen droht. </w:t>
      </w:r>
      <w:r>
        <w:rPr>
          <w:rStyle w:val="Satznummer"/>
        </w:rPr>
        <w:t>4</w:t>
      </w:r>
      <w:r>
        <w:t>Er kann vom Befrachter Ersatz seiner durch die Ausführung der Weisung entstehenden Aufwendungen sowie eine angemessene Vergütung verlangen; der Verfrachter kann die Befolgung der Weisung von einem Vorschuss abhängig machen.</w:t>
      </w:r>
    </w:p>
    <w:p>
      <w:r>
        <w:t xml:space="preserve">(2) </w:t>
      </w:r>
      <w:r>
        <w:rPr>
          <w:rStyle w:val="Satznummer"/>
        </w:rPr>
        <w:t>1</w:t>
      </w:r>
      <w:r>
        <w:t xml:space="preserve">Das Verfügungsrecht des Befrachters erlischt nach Ankunft des Gutes am Löschplatz. </w:t>
      </w:r>
      <w:r>
        <w:rPr>
          <w:rStyle w:val="Satznummer"/>
        </w:rPr>
        <w:t>2</w:t>
      </w:r>
      <w:r>
        <w:t xml:space="preserve">Von diesem Zeitpunkt an steht das Verfügungsrecht nach Absatz 1 dem Empfänger zu. </w:t>
      </w:r>
      <w:r>
        <w:rPr>
          <w:rStyle w:val="Satznummer"/>
        </w:rPr>
        <w:t>3</w:t>
      </w:r>
      <w:r>
        <w:t>Macht der Empfänger von diesem Recht Gebrauch, so hat er dem Verfrachter die dadurch entstehenden Aufwendungen zu ersetzen sowie eine angemessene Vergütung zu zahlen; der Verfrachter kann die Befolgung der Weisung von einem Vorschuss abhängig machen.</w:t>
      </w:r>
    </w:p>
    <w:p>
      <w:r>
        <w:t>(3) Ist ein Seefrachtbrief ausgestellt worden, so kann der Befrachter sein Verfügungsrecht nur gegen Vorlage der für ihn bestimmten Ausfertigung des Seefrachtbriefs ausüben, sofern dies darin vorgeschrieben ist.</w:t>
      </w:r>
    </w:p>
    <w:p>
      <w:r>
        <w:t>(4) Beabsichtigt der Verfrachter, eine ihm erteilte Weisung nicht zu befolgen, so hat er denjenigen, der die Weisung gegeben hat, unverzüglich zu benachrichtigen.</w:t>
      </w:r>
    </w:p>
    <w:p>
      <w:r>
        <w:t xml:space="preserve">(5) </w:t>
      </w:r>
      <w:r>
        <w:rPr>
          <w:rStyle w:val="Satznummer"/>
        </w:rPr>
        <w:t>1</w:t>
      </w:r>
      <w:r>
        <w:t xml:space="preserve">Ist die Ausübung des Verfügungsrechts von der Vorlage eines Seefrachtbriefs abhängig gemacht worden und führt der Verfrachter eine Weisung aus, ohne sich die Ausfertigung des Seefrachtbriefs vorlegen zu lassen, so haftet er dem Berechtigten für den daraus entstehenden Schaden. </w:t>
      </w:r>
      <w:r>
        <w:rPr>
          <w:rStyle w:val="Satznummer"/>
        </w:rPr>
        <w:t>2</w:t>
      </w:r>
      <w:r>
        <w:t xml:space="preserve">Die Haftung ist auf den Betrag begrenzt, der bei Verlust des Gutes zu zahlen wäre. </w:t>
      </w:r>
      <w:r>
        <w:rPr>
          <w:rStyle w:val="Satznummer"/>
        </w:rPr>
        <w:t>3</w:t>
      </w:r>
      <w:r>
        <w:t>Eine Vereinbarung, durch die die Haftung erweitert oder weiter verringert wird, ist nur wirksam, wenn sie im Einzelnen ausgehandelt wird, auch wenn sie für eine Mehrzahl von gleichartigen Verträgen zwischen denselben Vertragsparteien getroffen wird.</w:t>
      </w:r>
    </w:p>
    <w:p>
      <w:pPr>
        <w:pStyle w:val="Heading6"/>
      </w:pPr>
      <w:bookmarkStart w:id="671" w:name="b670"/>
      <w:r>
        <w:t>§ 492 Beförderungs- und Ablieferungshindernisse</w:t>
      </w:r>
      <w:r>
        <w:t xml:space="preserve"> </w:t>
      </w:r>
      <w:r>
        <w:rPr>
          <w:rStyle w:val="Suchmarke"/>
        </w:rPr>
        <w:t>#492#</w:t>
      </w:r>
      <w:bookmarkEnd w:id="671"/>
    </w:p>
    <w:p>
      <w:r>
        <w:t xml:space="preserve">(1) </w:t>
      </w:r>
      <w:r>
        <w:rPr>
          <w:rStyle w:val="Satznummer"/>
        </w:rPr>
        <w:t>1</w:t>
      </w:r>
      <w:r>
        <w:t xml:space="preserve">Wird nach Übernahme des Gutes erkennbar, dass die Beförderung oder Ablieferung nicht vertragsgemäß durchgeführt werden kann, so hat der Verfrachter Weisungen des nach § 491 oder § 520 Verfügungsberechtigten einzuholen. </w:t>
      </w:r>
      <w:r>
        <w:rPr>
          <w:rStyle w:val="Satznummer"/>
        </w:rPr>
        <w:t>2</w:t>
      </w:r>
      <w:r>
        <w:t xml:space="preserve">Ist der Empfänger verfügungsberechtigt und ist er nicht zu ermitteln oder verweigert er die Annahme des Gutes, so ist, wenn ein Konnossement nicht ausgestellt ist, Verfügungsberechtigter nach Satz 1 der Befrachter; ist die Ausübung des Verfügungsrechts von der Vorlage eines Seefrachtbriefs abhängig gemacht worden, so bedarf es der Vorlage des Seefrachtbriefs nicht. </w:t>
      </w:r>
      <w:r>
        <w:rPr>
          <w:rStyle w:val="Satznummer"/>
        </w:rPr>
        <w:t>3</w:t>
      </w:r>
      <w:r>
        <w:t xml:space="preserve">Der Verfrachter ist, wenn ihm Weisungen erteilt worden sind und das Hindernis nicht seinem Risikobereich zuzurechnen ist, berechtigt, Ansprüche nach </w:t>
      </w:r>
      <w:hyperlink w:anchor="b669" w:history="1">
        <w:r>
          <w:rPr>
            <w:color w:val="0A3A8C"/>
            <w:u w:val="single"/>
          </w:rPr>
          <w:t xml:space="preserve">§ 491</w:t>
        </w:r>
      </w:hyperlink>
      <w:r>
        <w:t xml:space="preserve"> Absatz 1 Satz 4 geltend zu machen.</w:t>
      </w:r>
    </w:p>
    <w:p>
      <w:r>
        <w:t xml:space="preserve">(2) Tritt das Beförderungs- oder Ablieferungshindernis ein, nachdem der Empfänger auf Grund seiner Verfügungsbefugnis nach </w:t>
      </w:r>
      <w:hyperlink w:anchor="b669" w:history="1">
        <w:r>
          <w:rPr>
            <w:color w:val="0A3A8C"/>
            <w:u w:val="single"/>
          </w:rPr>
          <w:t xml:space="preserve">§ 491</w:t>
        </w:r>
      </w:hyperlink>
      <w:r>
        <w:t xml:space="preserve"> die Weisung erteilt hat, das Gut einem Dritten abzuliefern, so nimmt bei der Anwendung des Absatzes 1 der Empfänger die Stelle des Befrachters und der Dritte die des Empfängers ein.</w:t>
      </w:r>
    </w:p>
    <w:p>
      <w:r>
        <w:t xml:space="preserve">(3) </w:t>
      </w:r>
      <w:r>
        <w:rPr>
          <w:rStyle w:val="Satznummer"/>
        </w:rPr>
        <w:t>1</w:t>
      </w:r>
      <w:r>
        <w:t xml:space="preserve">Kann der Verfrachter Weisungen, die er nach </w:t>
      </w:r>
      <w:hyperlink w:anchor="b669" w:history="1">
        <w:r>
          <w:rPr>
            <w:color w:val="0A3A8C"/>
            <w:u w:val="single"/>
          </w:rPr>
          <w:t xml:space="preserve">§ 491</w:t>
        </w:r>
      </w:hyperlink>
      <w:r>
        <w:t xml:space="preserve"> Absatz 1 Satz 3 befolgen müsste, innerhalb angemessener Zeit nicht erlangen, so hat er die Maßnahmen zu ergreifen, die im Interesse des Verfügungsberechtigten die besten zu sein scheinen. </w:t>
      </w:r>
      <w:r>
        <w:rPr>
          <w:rStyle w:val="Satznummer"/>
        </w:rPr>
        <w:t>2</w:t>
      </w:r>
      <w:r>
        <w:t xml:space="preserve">Er kann etwa das Gut löschen und verwahren, für Rechnung des nach § 491 oder § 520 Verfügungsberechtigten einem Dritten zur Verwahrung anvertrauen oder zurückbefördern; vertraut der Verfrachter das Gut einem Dritten an, so haftet er nur für die sorgfältige Auswahl des Dritten. </w:t>
      </w:r>
      <w:r>
        <w:rPr>
          <w:rStyle w:val="Satznummer"/>
        </w:rPr>
        <w:t>3</w:t>
      </w:r>
      <w:r>
        <w:t xml:space="preserve">Der Verfrachter kann das Gut auch gemäß </w:t>
      </w:r>
      <w:hyperlink w:anchor="b518" w:history="1">
        <w:r>
          <w:rPr>
            <w:color w:val="0A3A8C"/>
            <w:u w:val="single"/>
          </w:rPr>
          <w:t xml:space="preserve">§ 373</w:t>
        </w:r>
      </w:hyperlink>
      <w:r>
        <w:t xml:space="preserve"> Absatz 2 bis 4 verkaufen lassen, wenn es sich um verderbliche Ware handelt oder der Zustand des Gutes eine solche Maßnahme rechtfertigt oder wenn die andernfalls entstehenden Kosten in keinem angemessenen Verhältnis zum Wert des Gutes stehen. </w:t>
      </w:r>
      <w:r>
        <w:rPr>
          <w:rStyle w:val="Satznummer"/>
        </w:rPr>
        <w:t>4</w:t>
      </w:r>
      <w:r>
        <w:t xml:space="preserve">Unverwertbares Gut darf der Verfrachter vernichten. </w:t>
      </w:r>
      <w:r>
        <w:rPr>
          <w:rStyle w:val="Satznummer"/>
        </w:rPr>
        <w:t>5</w:t>
      </w:r>
      <w:r>
        <w:t>Nach dem Löschen des Gutes gilt die Beförderung als beendet.</w:t>
      </w:r>
    </w:p>
    <w:p>
      <w:r>
        <w:t>(4) Der Verfrachter hat wegen der nach Absatz 3 ergriffenen Maßnahmen Anspruch auf Ersatz der erforderlichen Aufwendungen und auf angemessene Vergütung, es sei denn, dass das Hindernis seinem Risikobereich zuzurechnen ist.</w:t>
      </w:r>
    </w:p>
    <w:p>
      <w:pPr>
        <w:pStyle w:val="Heading6"/>
      </w:pPr>
      <w:bookmarkStart w:id="672" w:name="b671"/>
      <w:r>
        <w:t>§ 493 Zahlung. Frachtberechnung</w:t>
      </w:r>
      <w:r>
        <w:t xml:space="preserve"> </w:t>
      </w:r>
      <w:r>
        <w:rPr>
          <w:rStyle w:val="Suchmarke"/>
        </w:rPr>
        <w:t>#493#</w:t>
      </w:r>
      <w:bookmarkEnd w:id="672"/>
    </w:p>
    <w:p>
      <w:r>
        <w:t xml:space="preserve">(1) </w:t>
      </w:r>
      <w:r>
        <w:rPr>
          <w:rStyle w:val="Satznummer"/>
        </w:rPr>
        <w:t>1</w:t>
      </w:r>
      <w:r>
        <w:t xml:space="preserve">Die Fracht ist bei Ablieferung des Gutes zu zahlen. </w:t>
      </w:r>
      <w:r>
        <w:rPr>
          <w:rStyle w:val="Satznummer"/>
        </w:rPr>
        <w:t>2</w:t>
      </w:r>
      <w:r>
        <w:t>Der Verfrachter hat über die Fracht hinaus einen Anspruch auf Ersatz von Aufwendungen, soweit diese für das Gut gemacht wurden und er sie den Umständen nach für erforderlich halten durfte.</w:t>
      </w:r>
    </w:p>
    <w:p>
      <w:r>
        <w:t xml:space="preserve">(2) </w:t>
      </w:r>
      <w:r>
        <w:rPr>
          <w:rStyle w:val="Satznummer"/>
        </w:rPr>
        <w:t>1</w:t>
      </w:r>
      <w:r>
        <w:t xml:space="preserve">Der Anspruch auf die Fracht entfällt, soweit die Beförderung unmöglich ist. </w:t>
      </w:r>
      <w:r>
        <w:rPr>
          <w:rStyle w:val="Satznummer"/>
        </w:rPr>
        <w:t>2</w:t>
      </w:r>
      <w:r>
        <w:t>Wird die Beförderung infolge eines Beförderungs- oder Ablieferungshindernisses vorzeitig beendet, so gebührt dem Verfrachter die anteilige Fracht für den zurückgelegten Teil der Beförderung, wenn diese für den Befrachter von Interesse ist.</w:t>
      </w:r>
    </w:p>
    <w:p>
      <w:r>
        <w:t xml:space="preserve">(3) </w:t>
      </w:r>
      <w:r>
        <w:rPr>
          <w:rStyle w:val="Satznummer"/>
        </w:rPr>
        <w:t>1</w:t>
      </w:r>
      <w:r>
        <w:t xml:space="preserve">Abweichend von Absatz 2 behält der Verfrachter den Anspruch auf die Fracht, wenn die Beförderung aus Gründen unmöglich ist, die dem Risikobereich des Befrachters zuzurechnen sind oder die zu einer Zeit eintreten, zu welcher der Befrachter im Verzug der Annahme ist. </w:t>
      </w:r>
      <w:r>
        <w:rPr>
          <w:rStyle w:val="Satznummer"/>
        </w:rPr>
        <w:t>2</w:t>
      </w:r>
      <w:r>
        <w:t>Der Verfrachter muss sich jedoch das, was er an Aufwendungen erspart oder anderweitig erwirbt oder zu erwerben böswillig unterlässt, anrechnen lassen.</w:t>
      </w:r>
    </w:p>
    <w:p>
      <w:r>
        <w:t>(4) Tritt nach Beginn der Beförderung und vor Ankunft am Löschplatz eine Verzögerung ein und beruht die Verzögerung auf Gründen, die dem Risikobereich des Befrachters zuzurechnen sind, so gebührt dem Verfrachter neben der Fracht eine angemessene Vergütung.</w:t>
      </w:r>
    </w:p>
    <w:p>
      <w:r>
        <w:t>(5) Ist die Fracht nach Zahl, Gewicht oder anders angegebener Menge des Gutes vereinbart, so wird für die Berechnung der Fracht vermutet, dass Angaben hierzu im Seefrachtbrief oder Konnossement zutreffen; dies gilt auch dann, wenn zu diesen Angaben ein Vorbehalt eingetragen ist, der damit begründet ist, dass keine angemessenen Mittel zur Verfügung standen, die Richtigkeit der Angaben zu überprüfen.</w:t>
      </w:r>
    </w:p>
    <w:p>
      <w:pPr>
        <w:pStyle w:val="Heading6"/>
      </w:pPr>
      <w:bookmarkStart w:id="673" w:name="b672"/>
      <w:r>
        <w:t>§ 494 Rechte des Empfängers. Zahlungspflicht</w:t>
      </w:r>
      <w:r>
        <w:t xml:space="preserve"> </w:t>
      </w:r>
      <w:r>
        <w:rPr>
          <w:rStyle w:val="Suchmarke"/>
        </w:rPr>
        <w:t>#494#</w:t>
      </w:r>
      <w:bookmarkEnd w:id="673"/>
    </w:p>
    <w:p>
      <w:r>
        <w:t xml:space="preserve">(1) </w:t>
      </w:r>
      <w:r>
        <w:rPr>
          <w:rStyle w:val="Satznummer"/>
        </w:rPr>
        <w:t>1</w:t>
      </w:r>
      <w:r>
        <w:t xml:space="preserve">Nach Ankunft des Gutes am Löschplatz ist der Empfänger berechtigt, vom Verfrachter zu verlangen, ihm das Gut gegen Erfüllung der Verpflichtungen aus dem Stückgutfrachtvertrag abzuliefern. </w:t>
      </w:r>
      <w:r>
        <w:rPr>
          <w:rStyle w:val="Satznummer"/>
        </w:rPr>
        <w:t>2</w:t>
      </w:r>
      <w:r>
        <w:t xml:space="preserve">Ist das Gut beschädigt oder verspätet abgeliefert worden oder verloren gegangen, so kann der Empfänger die Ansprüche aus dem Stückgutfrachtvertrag im eigenen Namen gegen den Verfrachter geltend machen; der Befrachter bleibt zur Geltendmachung dieser Ansprüche befugt. </w:t>
      </w:r>
      <w:r>
        <w:rPr>
          <w:rStyle w:val="Satznummer"/>
        </w:rPr>
        <w:t>3</w:t>
      </w:r>
      <w:r>
        <w:t>Dabei macht es keinen Unterschied, ob der Empfänger oder der Befrachter im eigenen oder fremden Interesse handelt.</w:t>
      </w:r>
    </w:p>
    <w:p>
      <w:r>
        <w:t xml:space="preserve">(2) </w:t>
      </w:r>
      <w:r>
        <w:rPr>
          <w:rStyle w:val="Satznummer"/>
        </w:rPr>
        <w:t>1</w:t>
      </w:r>
      <w:r>
        <w:t xml:space="preserve">Der Empfänger, der sein Recht nach Absatz 1 Satz 1 geltend macht, hat die noch geschuldete Fracht bis zu dem Betrag zu zahlen, der aus dem Beförderungsdokument hervorgeht. </w:t>
      </w:r>
      <w:r>
        <w:rPr>
          <w:rStyle w:val="Satznummer"/>
        </w:rPr>
        <w:t>2</w:t>
      </w:r>
      <w:r>
        <w:t>Ist ein Beförderungsdokument nicht ausgestellt oder dem Empfänger nicht vorgelegt worden oder ergibt sich aus dem Beförderungsdokument nicht die Höhe der zu zahlenden Fracht, so hat der Empfänger die mit dem Befrachter vereinbarte Fracht zu zahlen, soweit diese nicht unangemessen ist.</w:t>
      </w:r>
    </w:p>
    <w:p>
      <w:r>
        <w:t xml:space="preserve">(3) Der Empfänger, der sein Recht nach Absatz 1 Satz 1 geltend macht, hat ferner eine Vergütung nach </w:t>
      </w:r>
      <w:hyperlink w:anchor="b671" w:history="1">
        <w:r>
          <w:rPr>
            <w:color w:val="0A3A8C"/>
            <w:u w:val="single"/>
          </w:rPr>
          <w:t xml:space="preserve">§ 493</w:t>
        </w:r>
      </w:hyperlink>
      <w:r>
        <w:t xml:space="preserve"> Absatz 4 zu zahlen, wenn ihm der geschuldete Betrag bei Ablieferung des Gutes mitgeteilt worden ist.</w:t>
      </w:r>
    </w:p>
    <w:p>
      <w:r>
        <w:t>(4) Der Befrachter bleibt zur Zahlung der nach dem Vertrag geschuldeten Beträge verpflichtet.</w:t>
      </w:r>
    </w:p>
    <w:p>
      <w:pPr>
        <w:pStyle w:val="Heading6"/>
      </w:pPr>
      <w:bookmarkStart w:id="674" w:name="b673"/>
      <w:r>
        <w:t>§ 495 Pfandrecht des Verfrachters</w:t>
      </w:r>
      <w:r>
        <w:t xml:space="preserve"> </w:t>
      </w:r>
      <w:r>
        <w:rPr>
          <w:rStyle w:val="Suchmarke"/>
        </w:rPr>
        <w:t>#495#</w:t>
      </w:r>
      <w:bookmarkEnd w:id="674"/>
    </w:p>
    <w:p>
      <w:r>
        <w:t xml:space="preserve">(1) </w:t>
      </w:r>
      <w:r>
        <w:rPr>
          <w:rStyle w:val="Satznummer"/>
        </w:rPr>
        <w:t>1</w:t>
      </w:r>
      <w:r>
        <w:t xml:space="preserve">Der Verfrachter hat für alle Forderungen aus dem Stückgutfrachtvertrag ein Pfandrecht an dem ihm zur Beförderung übergebenen Gut des Befrachters, des Abladers oder eines Dritten, der der Beförderung des Gutes zugestimmt hat. </w:t>
      </w:r>
      <w:r>
        <w:rPr>
          <w:rStyle w:val="Satznummer"/>
        </w:rPr>
        <w:t>2</w:t>
      </w:r>
      <w:r>
        <w:t xml:space="preserve">An dem Gut des Befrachters hat der Verfrachter auch ein Pfandrecht für alle unbestrittenen Forderungen aus anderen mit dem Befrachter abgeschlossenen Seefracht-, Fracht-, Speditions- und Lagerverträgen. </w:t>
      </w:r>
      <w:r>
        <w:rPr>
          <w:rStyle w:val="Satznummer"/>
        </w:rPr>
        <w:t>3</w:t>
      </w:r>
      <w:r>
        <w:t>Das Pfandrecht erstreckt sich auf die Begleitpapiere.</w:t>
      </w:r>
    </w:p>
    <w:p>
      <w:r>
        <w:t>(2) Das Pfandrecht besteht, solange der Verfrachter das Gut in seinem Besitz hat, insbesondere solange er mittels Konnossements, Ladescheins oder Lagerscheins darüber verfügen kann.</w:t>
      </w:r>
    </w:p>
    <w:p>
      <w:r>
        <w:t>(3) Das Pfandrecht besteht auch nach der Ablieferung fort, wenn der Verfrachter es innerhalb von zehn Tagen nach der Ablieferung gerichtlich geltend macht und das Gut noch im Besitz des Empfängers ist.</w:t>
      </w:r>
    </w:p>
    <w:p>
      <w:r>
        <w:t xml:space="preserve">(4) </w:t>
      </w:r>
      <w:r>
        <w:rPr>
          <w:rStyle w:val="Satznummer"/>
        </w:rPr>
        <w:t>1</w:t>
      </w:r>
      <w:r>
        <w:t xml:space="preserve">Die in § 1234 Absatz 1 des Bürgerlichen Gesetzbuchs bezeichnete Androhung des Pfandverkaufs sowie die in den §§ 1237 und 1241 des Bürgerlichen Gesetzbuchs vorgesehenen Benachrichtigungen sind an den nach </w:t>
      </w:r>
      <w:hyperlink w:anchor="b669" w:history="1">
        <w:r>
          <w:rPr>
            <w:color w:val="0A3A8C"/>
            <w:u w:val="single"/>
          </w:rPr>
          <w:t xml:space="preserve">§ 491</w:t>
        </w:r>
      </w:hyperlink>
      <w:r>
        <w:t xml:space="preserve"> oder </w:t>
      </w:r>
      <w:hyperlink w:anchor="b700" w:history="1">
        <w:r>
          <w:rPr>
            <w:color w:val="0A3A8C"/>
            <w:u w:val="single"/>
          </w:rPr>
          <w:t xml:space="preserve">§ 520</w:t>
        </w:r>
      </w:hyperlink>
      <w:r>
        <w:t xml:space="preserve"> verfügungsberechtigten Empfänger zu richten. </w:t>
      </w:r>
      <w:r>
        <w:rPr>
          <w:rStyle w:val="Satznummer"/>
        </w:rPr>
        <w:t>2</w:t>
      </w:r>
      <w:r>
        <w:t>Ist dieser nicht zu ermitteln oder verweigert er die Annahme des Gutes, so sind die Androhung und die Benachrichtigungen an den Befrachter zu richten.</w:t>
      </w:r>
    </w:p>
    <w:p>
      <w:pPr>
        <w:pStyle w:val="Heading6"/>
      </w:pPr>
      <w:bookmarkStart w:id="675" w:name="b674"/>
      <w:r>
        <w:t>§ 496 Nachfolgender Verfrachter</w:t>
      </w:r>
      <w:r>
        <w:t xml:space="preserve"> </w:t>
      </w:r>
      <w:r>
        <w:rPr>
          <w:rStyle w:val="Suchmarke"/>
        </w:rPr>
        <w:t>#496#</w:t>
      </w:r>
      <w:bookmarkEnd w:id="675"/>
    </w:p>
    <w:p>
      <w:r>
        <w:t xml:space="preserve">(1) </w:t>
      </w:r>
      <w:r>
        <w:rPr>
          <w:rStyle w:val="Satznummer"/>
        </w:rPr>
        <w:t>1</w:t>
      </w:r>
      <w:r>
        <w:t xml:space="preserve">Hat im Falle der Beförderung durch mehrere Verfrachter der letzte bei der Ablieferung die Forderungen vorhergehender Verfrachter einzuziehen, so hat er die Rechte der vorhergehenden Verfrachter, insbesondere auch das Pfandrecht, auszuüben. </w:t>
      </w:r>
      <w:r>
        <w:rPr>
          <w:rStyle w:val="Satznummer"/>
        </w:rPr>
        <w:t>2</w:t>
      </w:r>
      <w:r>
        <w:t>Das Pfandrecht jedes vorhergehenden Verfrachters bleibt so lange bestehen wie das Pfandrecht des letzten Verfrachters.</w:t>
      </w:r>
    </w:p>
    <w:p>
      <w:r>
        <w:t>(2) Wird ein vorhergehender Verfrachter von einem nachfolgenden befriedigt, so gehen Forderung und Pfandrecht des ersteren auf den letzteren über.</w:t>
      </w:r>
    </w:p>
    <w:p>
      <w:r>
        <w:t>(3) Die Absätze 1 und 2 gelten auch für die Forderungen und Rechte eines Spediteurs, der an der Beförderung mitgewirkt hat.</w:t>
      </w:r>
    </w:p>
    <w:p>
      <w:pPr>
        <w:pStyle w:val="Heading6"/>
      </w:pPr>
      <w:bookmarkStart w:id="676" w:name="b675"/>
      <w:r>
        <w:t>§ 497 Rang mehrerer Pfandrechte</w:t>
      </w:r>
      <w:r>
        <w:t xml:space="preserve"> </w:t>
      </w:r>
      <w:r>
        <w:rPr>
          <w:rStyle w:val="Suchmarke"/>
        </w:rPr>
        <w:t>#497#</w:t>
      </w:r>
      <w:bookmarkEnd w:id="676"/>
    </w:p>
    <w:p>
      <w:r>
        <w:t xml:space="preserve">Bestehen an demselben Gut mehrere nach den </w:t>
      </w:r>
      <w:hyperlink w:anchor="b543" w:history="1">
        <w:r>
          <w:rPr>
            <w:color w:val="0A3A8C"/>
            <w:u w:val="single"/>
          </w:rPr>
          <w:t xml:space="preserve">§§ 397</w:t>
        </w:r>
      </w:hyperlink>
      <w:r>
        <w:t xml:space="preserve">, </w:t>
      </w:r>
      <w:hyperlink w:anchor="b588" w:history="1">
        <w:r>
          <w:rPr>
            <w:color w:val="0A3A8C"/>
            <w:u w:val="single"/>
          </w:rPr>
          <w:t xml:space="preserve">440</w:t>
        </w:r>
      </w:hyperlink>
      <w:r>
        <w:t xml:space="preserve">, </w:t>
      </w:r>
      <w:hyperlink w:anchor="b627" w:history="1">
        <w:r>
          <w:rPr>
            <w:color w:val="0A3A8C"/>
            <w:u w:val="single"/>
          </w:rPr>
          <w:t xml:space="preserve">464</w:t>
        </w:r>
      </w:hyperlink>
      <w:r>
        <w:t xml:space="preserve">, </w:t>
      </w:r>
      <w:hyperlink w:anchor="b641" w:history="1">
        <w:r>
          <w:rPr>
            <w:color w:val="0A3A8C"/>
            <w:u w:val="single"/>
          </w:rPr>
          <w:t xml:space="preserve">475b</w:t>
        </w:r>
      </w:hyperlink>
      <w:r>
        <w:t xml:space="preserve"> und </w:t>
      </w:r>
      <w:hyperlink w:anchor="b673" w:history="1">
        <w:r>
          <w:rPr>
            <w:color w:val="0A3A8C"/>
            <w:u w:val="single"/>
          </w:rPr>
          <w:t xml:space="preserve">495</w:t>
        </w:r>
      </w:hyperlink>
      <w:r>
        <w:t xml:space="preserve"> begründete Pfandrechte, so bestimmt sich der Rang dieser Pfandrechte untereinander nach </w:t>
      </w:r>
      <w:hyperlink w:anchor="b590" w:history="1">
        <w:r>
          <w:rPr>
            <w:color w:val="0A3A8C"/>
            <w:u w:val="single"/>
          </w:rPr>
          <w:t xml:space="preserve">§ 442</w:t>
        </w:r>
      </w:hyperlink>
      <w:r>
        <w:t>.</w:t>
      </w:r>
    </w:p>
    <w:p>
      <w:pPr>
        <w:pStyle w:val="Heading5"/>
      </w:pPr>
      <w:bookmarkStart w:id="677" w:name="b676"/>
      <w:r>
        <w:t>Zweiter Untertitel Haftung wegen Verlust oder Beschädigung des Gutes</w:t>
      </w:r>
      <w:bookmarkEnd w:id="677"/>
    </w:p>
    <w:p>
      <w:pPr>
        <w:pStyle w:val="Heading6"/>
      </w:pPr>
      <w:bookmarkStart w:id="678" w:name="b677"/>
      <w:r>
        <w:t>§ 498 Haftungsgrund</w:t>
      </w:r>
      <w:r>
        <w:t xml:space="preserve"> </w:t>
      </w:r>
      <w:r>
        <w:rPr>
          <w:rStyle w:val="Suchmarke"/>
        </w:rPr>
        <w:t>#498#</w:t>
      </w:r>
      <w:bookmarkEnd w:id="678"/>
    </w:p>
    <w:p>
      <w:r>
        <w:t>(1) Der Verfrachter haftet für den Schaden, der durch Verlust oder Beschädigung des Gutes in der Zeit von der Übernahme zur Beförderung bis zur Ablieferung entsteht.</w:t>
      </w:r>
    </w:p>
    <w:p>
      <w:r>
        <w:t xml:space="preserve">(2) </w:t>
      </w:r>
      <w:r>
        <w:rPr>
          <w:rStyle w:val="Satznummer"/>
        </w:rPr>
        <w:t>1</w:t>
      </w:r>
      <w:r>
        <w:t xml:space="preserve">Der Verfrachter ist von seiner Haftung nach Absatz 1 befreit, soweit der Verlust oder die Beschädigung auf Umständen beruht, die durch die Sorgfalt eines ordentlichen Verfrachters nicht hätten abgewendet werden können. </w:t>
      </w:r>
      <w:r>
        <w:rPr>
          <w:rStyle w:val="Satznummer"/>
        </w:rPr>
        <w:t>2</w:t>
      </w:r>
      <w:r>
        <w:t>Wurde das Gut mit einem seeuntüchtigen oder ladungsuntüchtigen Schiff befördert und ist nach den Umständen des Falles wahrscheinlich, dass der Verlust oder die Beschädigung auf dem Mangel der See- oder Ladungstüchtigkeit beruht, so ist der Verfrachter jedoch nur dann nach Satz 1 von seiner Haftung befreit, wenn er auch beweist, dass der Mangel der See- oder Ladungstüchtigkeit bei Anwendung der Sorgfalt eines ordentlichen Verfrachters bis zum Antritt der Reise nicht zu entdecken war.</w:t>
      </w:r>
    </w:p>
    <w:p>
      <w:r>
        <w:t>(3) Hat bei der Entstehung des Schadens ein Verschulden des Beschädigten mitgewirkt, so hängt die Verpflichtung zum Ersatz sowie der Umfang des zu leistenden Ersatzes von den Umständen, insbesondere davon ab, inwieweit der Schaden vorwiegend von dem einen oder dem anderen Teil verursacht worden ist.</w:t>
      </w:r>
    </w:p>
    <w:p>
      <w:pPr>
        <w:pStyle w:val="Heading6"/>
      </w:pPr>
      <w:bookmarkStart w:id="679" w:name="b678"/>
      <w:r>
        <w:t>§ 499 Besondere Schadensursachen</w:t>
      </w:r>
      <w:r>
        <w:t xml:space="preserve"> </w:t>
      </w:r>
      <w:r>
        <w:rPr>
          <w:rStyle w:val="Suchmarke"/>
        </w:rPr>
        <w:t>#499#</w:t>
      </w:r>
      <w:bookmarkEnd w:id="679"/>
    </w:p>
    <w:p>
      <w:r>
        <w:t xml:space="preserve">(1) </w:t>
      </w:r>
      <w:r>
        <w:rPr>
          <w:rStyle w:val="Satznummer"/>
        </w:rPr>
        <w:t>1</w:t>
      </w:r>
      <w:r>
        <w:t>Der Verfrachter haftet nicht, soweit der Verlust oder die Beschädigung auf einem der folgenden Umstände beruht:</w:t>
      </w:r>
    </w:p>
    <w:p>
      <w:pPr>
        <w:tabs>
          <w:tab w:pos="567" w:val="left"/>
        </w:tabs>
        <w:ind w:left="567" w:hanging="567"/>
      </w:pPr>
      <w:r>
        <w:t>1.</w:t>
      </w:r>
      <w:r>
        <w:tab/>
      </w:r>
      <w:r>
        <w:t>Gefahren oder Unfällen der See und anderer schiffbarer Gewässer,</w:t>
      </w:r>
    </w:p>
    <w:p>
      <w:pPr>
        <w:tabs>
          <w:tab w:pos="567" w:val="left"/>
        </w:tabs>
        <w:ind w:left="567" w:hanging="567"/>
      </w:pPr>
      <w:r>
        <w:t>2.</w:t>
      </w:r>
      <w:r>
        <w:tab/>
      </w:r>
      <w:r>
        <w:t>kriegerischen Ereignissen, Unruhen, Handlungen öffentlicher Feinde oder Verfügungen von hoher Hand sowie Quarantänebeschränkungen,</w:t>
      </w:r>
    </w:p>
    <w:p>
      <w:pPr>
        <w:tabs>
          <w:tab w:pos="567" w:val="left"/>
        </w:tabs>
        <w:ind w:left="567" w:hanging="567"/>
      </w:pPr>
      <w:r>
        <w:t>3.</w:t>
      </w:r>
      <w:r>
        <w:tab/>
      </w:r>
      <w:r>
        <w:t>gerichtlicher Beschlagnahme,</w:t>
      </w:r>
    </w:p>
    <w:p>
      <w:pPr>
        <w:tabs>
          <w:tab w:pos="567" w:val="left"/>
        </w:tabs>
        <w:ind w:left="567" w:hanging="567"/>
      </w:pPr>
      <w:r>
        <w:t>4.</w:t>
      </w:r>
      <w:r>
        <w:tab/>
      </w:r>
      <w:r>
        <w:t>Streik, Aussperrung oder sonstiger Arbeitsbehinderung,</w:t>
      </w:r>
    </w:p>
    <w:p>
      <w:pPr>
        <w:tabs>
          <w:tab w:pos="567" w:val="left"/>
        </w:tabs>
        <w:ind w:left="567" w:hanging="567"/>
      </w:pPr>
      <w:r>
        <w:t>5.</w:t>
      </w:r>
      <w:r>
        <w:tab/>
      </w:r>
      <w:r>
        <w:t>Handlungen oder Unterlassungen des Befrachters oder Abladers, insbesondere ungenügender Verpackung oder ungenügender Kennzeichnung der Frachtstücke durch den Befrachter oder Ablader,</w:t>
      </w:r>
    </w:p>
    <w:p>
      <w:pPr>
        <w:tabs>
          <w:tab w:pos="567" w:val="left"/>
        </w:tabs>
        <w:ind w:left="567" w:hanging="567"/>
      </w:pPr>
      <w:r>
        <w:t>6.</w:t>
      </w:r>
      <w:r>
        <w:tab/>
      </w:r>
      <w:r>
        <w:t>der natürlichen Art oder Beschaffenheit des Gutes, die besonders leicht zu Schäden, insbesondere durch Bruch, Rost, inneren Verderb, Austrocknen, Auslaufen, normalen Schwund an Raumgehalt oder Gewicht, führt,</w:t>
      </w:r>
    </w:p>
    <w:p>
      <w:pPr>
        <w:tabs>
          <w:tab w:pos="567" w:val="left"/>
        </w:tabs>
        <w:ind w:left="567" w:hanging="567"/>
      </w:pPr>
      <w:r>
        <w:t>7.</w:t>
      </w:r>
      <w:r>
        <w:tab/>
      </w:r>
      <w:r>
        <w:t>der Beförderung lebender Tiere,</w:t>
      </w:r>
    </w:p>
    <w:p>
      <w:pPr>
        <w:tabs>
          <w:tab w:pos="567" w:val="left"/>
        </w:tabs>
        <w:ind w:left="567" w:hanging="567"/>
      </w:pPr>
      <w:r>
        <w:t>8.</w:t>
      </w:r>
      <w:r>
        <w:tab/>
      </w:r>
      <w:r>
        <w:t>Maßnahmen zur Rettung von Menschen auf Seegewässern,</w:t>
      </w:r>
    </w:p>
    <w:p>
      <w:pPr>
        <w:tabs>
          <w:tab w:pos="567" w:val="left"/>
        </w:tabs>
        <w:ind w:left="567" w:hanging="567"/>
      </w:pPr>
      <w:r>
        <w:t>9.</w:t>
      </w:r>
      <w:r>
        <w:tab/>
      </w:r>
      <w:r>
        <w:t>Bergungsmaßnahmen auf Seegewässern.</w:t>
      </w:r>
    </w:p>
    <w:p>
      <w:r>
        <w:rPr>
          <w:rStyle w:val="Satznummer"/>
        </w:rPr>
        <w:t>2</w:t>
      </w:r>
      <w:r>
        <w:t>Satz 1 gilt nicht, wenn der Schaden durch die Sorgfalt eines ordentlichen Verfrachters hätte abgewendet werden können.</w:t>
      </w:r>
    </w:p>
    <w:p>
      <w:r>
        <w:t xml:space="preserve">(2) </w:t>
      </w:r>
      <w:r>
        <w:rPr>
          <w:rStyle w:val="Satznummer"/>
        </w:rPr>
        <w:t>1</w:t>
      </w:r>
      <w:r>
        <w:t xml:space="preserve">Ist nach den Umständen des Falles wahrscheinlich, dass der Verlust oder die Beschädigung auf einem der in Absatz 1 Satz 1 aufgeführten Umstände beruht, so wird vermutet, dass der Schaden auf diesem Umstand beruht. </w:t>
      </w:r>
      <w:r>
        <w:rPr>
          <w:rStyle w:val="Satznummer"/>
        </w:rPr>
        <w:t>2</w:t>
      </w:r>
      <w:r>
        <w:t>Satz 1 gilt nicht, wenn das Gut mit einem seeuntüchtigen oder ladungsuntüchtigen Schiff befördert wurde.</w:t>
      </w:r>
    </w:p>
    <w:p>
      <w:r>
        <w:t>(3) Ist der Verfrachter nach dem Stückgutfrachtvertrag verpflichtet, das Gut gegen die Einwirkung von Hitze, Kälte, Temperaturschwankungen, Luftfeuchtigkeit, Erschütterungen oder ähnlichen Einflüssen besonders zu schützen, so kann er sich auf Absatz 1 Satz 1 Nummer 6 nur berufen, wenn er alle ihm nach den Umständen obliegenden Maßnahmen, insbesondere hinsichtlich der Auswahl, Instandhaltung und Verwendung besonderer Einrichtungen, getroffen und besondere Weisungen beachtet hat.</w:t>
      </w:r>
    </w:p>
    <w:p>
      <w:r>
        <w:t>(4) Der Verfrachter kann sich auf Absatz 1 Satz 1 Nummer 7 nur berufen, wenn er alle ihm nach den Umständen obliegenden Maßnahmen getroffen und besondere Weisungen beachtet hat.</w:t>
      </w:r>
    </w:p>
    <w:p>
      <w:pPr>
        <w:pStyle w:val="Heading6"/>
      </w:pPr>
      <w:bookmarkStart w:id="680" w:name="b679"/>
      <w:r>
        <w:t>§ 500 Unerlaubte Verladung auf Deck</w:t>
      </w:r>
      <w:r>
        <w:t xml:space="preserve"> </w:t>
      </w:r>
      <w:r>
        <w:rPr>
          <w:rStyle w:val="Suchmarke"/>
        </w:rPr>
        <w:t>#500#</w:t>
      </w:r>
      <w:bookmarkEnd w:id="680"/>
    </w:p>
    <w:p>
      <w:r>
        <w:rPr>
          <w:rStyle w:val="Satznummer"/>
        </w:rPr>
        <w:t>1</w:t>
      </w:r>
      <w:r>
        <w:t xml:space="preserve">Hat der Verfrachter ohne die nach </w:t>
      </w:r>
      <w:hyperlink w:anchor="b664" w:history="1">
        <w:r>
          <w:rPr>
            <w:color w:val="0A3A8C"/>
            <w:u w:val="single"/>
          </w:rPr>
          <w:t xml:space="preserve">§ 486</w:t>
        </w:r>
      </w:hyperlink>
      <w:r>
        <w:t xml:space="preserve"> Absatz 4 erforderliche Zustimmung des Befrachters oder des Abladers Gut auf Deck verladen, haftet er, auch wenn ihn kein Verschulden trifft, für den Schaden, der dadurch entsteht, dass das Gut auf Grund der Verladung auf Deck verloren gegangen ist oder beschädigt wurde. </w:t>
      </w:r>
      <w:r>
        <w:rPr>
          <w:rStyle w:val="Satznummer"/>
        </w:rPr>
        <w:t>2</w:t>
      </w:r>
      <w:r>
        <w:t>Im Falle von Satz 1 wird vermutet, dass der Verlust oder die Beschädigung des Gutes darauf zurückzuführen ist, dass das Gut auf Deck verladen wurde.</w:t>
      </w:r>
    </w:p>
    <w:p>
      <w:pPr>
        <w:pStyle w:val="Heading6"/>
      </w:pPr>
      <w:bookmarkStart w:id="681" w:name="b680"/>
      <w:r>
        <w:t>§ 501 Haftung für andere</w:t>
      </w:r>
      <w:r>
        <w:t xml:space="preserve"> </w:t>
      </w:r>
      <w:r>
        <w:rPr>
          <w:rStyle w:val="Suchmarke"/>
        </w:rPr>
        <w:t>#501#</w:t>
      </w:r>
      <w:bookmarkEnd w:id="681"/>
    </w:p>
    <w:p>
      <w:r>
        <w:rPr>
          <w:rStyle w:val="Satznummer"/>
        </w:rPr>
        <w:t>1</w:t>
      </w:r>
      <w:r>
        <w:t xml:space="preserve">Der Verfrachter hat ein Verschulden seiner Leute und der Schiffsbesatzung in gleichem Umfang zu vertreten wie eigenes Verschulden. </w:t>
      </w:r>
      <w:r>
        <w:rPr>
          <w:rStyle w:val="Satznummer"/>
        </w:rPr>
        <w:t>2</w:t>
      </w:r>
      <w:r>
        <w:t>Gleiches gilt für das Verschulden anderer Personen, deren er sich bei Ausführung der Beförderung bedient.</w:t>
      </w:r>
    </w:p>
    <w:p>
      <w:pPr>
        <w:pStyle w:val="Heading6"/>
      </w:pPr>
      <w:bookmarkStart w:id="682" w:name="b681"/>
      <w:r>
        <w:t>§ 502 Wertersatz</w:t>
      </w:r>
      <w:r>
        <w:t xml:space="preserve"> </w:t>
      </w:r>
      <w:r>
        <w:rPr>
          <w:rStyle w:val="Suchmarke"/>
        </w:rPr>
        <w:t>#502#</w:t>
      </w:r>
      <w:bookmarkEnd w:id="682"/>
    </w:p>
    <w:p>
      <w:r>
        <w:t>(1) Hat der Verfrachter nach den Bestimmungen dieses Untertitels für gänzlichen oder teilweisen Verlust des Gutes Schadensersatz zu leisten, so ist der Wert zu ersetzen, den das verlorene Gut bei fristgemäßer Ablieferung am vertraglich vereinbarten Bestimmungsort gehabt hätte.</w:t>
      </w:r>
    </w:p>
    <w:p>
      <w:r>
        <w:t xml:space="preserve">(2) </w:t>
      </w:r>
      <w:r>
        <w:rPr>
          <w:rStyle w:val="Satznummer"/>
        </w:rPr>
        <w:t>1</w:t>
      </w:r>
      <w:r>
        <w:t xml:space="preserve">Hat der Verfrachter nach den Bestimmungen dieses Untertitels für die Beschädigung des Gutes Schadensersatz zu leisten, so ist der Unterschied zwischen dem Wert des beschädigten Gutes am Ort und zur Zeit der Ablieferung und dem Wert zu ersetzen, den das unbeschädigte Gut am Ort und zur Zeit der Ablieferung gehabt hätte. </w:t>
      </w:r>
      <w:r>
        <w:rPr>
          <w:rStyle w:val="Satznummer"/>
        </w:rPr>
        <w:t>2</w:t>
      </w:r>
      <w:r>
        <w:t>Es wird vermutet, dass die zur Schadensminderung und Schadensbehebung aufzuwendenden Kosten dem nach Satz 1 zu ermittelnden Unterschiedsbetrag entsprechen.</w:t>
      </w:r>
    </w:p>
    <w:p>
      <w:r>
        <w:t xml:space="preserve">(3) </w:t>
      </w:r>
      <w:r>
        <w:rPr>
          <w:rStyle w:val="Satznummer"/>
        </w:rPr>
        <w:t>1</w:t>
      </w:r>
      <w:r>
        <w:t xml:space="preserve">Der Wert des Gutes bestimmt sich nach dem Marktpreis, sonst nach dem gemeinen Wert von Gütern gleicher Art und Beschaffenheit. </w:t>
      </w:r>
      <w:r>
        <w:rPr>
          <w:rStyle w:val="Satznummer"/>
        </w:rPr>
        <w:t>2</w:t>
      </w:r>
      <w:r>
        <w:t>Ist das Gut unmittelbar vor der Übernahme zur Beförderung verkauft worden, so wird vermutet, dass der in der Rechnung des Verkäufers ausgewiesene Kaufpreis einschließlich darin enthaltener Beförderungskosten der Marktpreis ist.</w:t>
      </w:r>
    </w:p>
    <w:p>
      <w:r>
        <w:t>(4) Von dem nach den vorstehenden Absätzen zu ersetzenden Wert ist der Betrag abzuziehen, der infolge des Verlusts oder der Beschädigung an Zöllen und sonstigen Kosten sowie im Falle des Verlusts an Fracht erspart ist.</w:t>
      </w:r>
    </w:p>
    <w:p>
      <w:pPr>
        <w:pStyle w:val="Heading6"/>
      </w:pPr>
      <w:bookmarkStart w:id="683" w:name="b682"/>
      <w:r>
        <w:t>§ 503 Schadensfeststellungskosten</w:t>
      </w:r>
      <w:r>
        <w:t xml:space="preserve"> </w:t>
      </w:r>
      <w:r>
        <w:rPr>
          <w:rStyle w:val="Suchmarke"/>
        </w:rPr>
        <w:t>#503#</w:t>
      </w:r>
      <w:bookmarkEnd w:id="683"/>
    </w:p>
    <w:p>
      <w:r>
        <w:t xml:space="preserve">Bei Verlust oder Beschädigung des Gutes hat der Verfrachter über den nach </w:t>
      </w:r>
      <w:hyperlink w:anchor="b681" w:history="1">
        <w:r>
          <w:rPr>
            <w:color w:val="0A3A8C"/>
            <w:u w:val="single"/>
          </w:rPr>
          <w:t xml:space="preserve">§ 502</w:t>
        </w:r>
      </w:hyperlink>
      <w:r>
        <w:t xml:space="preserve"> zu leistenden Ersatz hinaus die Kosten der Feststellung des Schadens zu tragen.</w:t>
      </w:r>
    </w:p>
    <w:p>
      <w:pPr>
        <w:pStyle w:val="Heading6"/>
      </w:pPr>
      <w:bookmarkStart w:id="684" w:name="b683"/>
      <w:r>
        <w:t>§ 504 Haftungshöchstbetrag bei Güterschäden</w:t>
      </w:r>
      <w:r>
        <w:t xml:space="preserve"> </w:t>
      </w:r>
      <w:r>
        <w:rPr>
          <w:rStyle w:val="Suchmarke"/>
        </w:rPr>
        <w:t>#504#</w:t>
      </w:r>
      <w:bookmarkEnd w:id="684"/>
    </w:p>
    <w:p>
      <w:r>
        <w:t xml:space="preserve">(1) </w:t>
      </w:r>
      <w:r>
        <w:rPr>
          <w:rStyle w:val="Satznummer"/>
        </w:rPr>
        <w:t>1</w:t>
      </w:r>
      <w:r>
        <w:t xml:space="preserve">Die nach den </w:t>
      </w:r>
      <w:hyperlink w:anchor="b681" w:history="1">
        <w:r>
          <w:rPr>
            <w:color w:val="0A3A8C"/>
            <w:u w:val="single"/>
          </w:rPr>
          <w:t xml:space="preserve">§§ 502</w:t>
        </w:r>
      </w:hyperlink>
      <w:r>
        <w:t xml:space="preserve"> und </w:t>
      </w:r>
      <w:hyperlink w:anchor="b682" w:history="1">
        <w:r>
          <w:rPr>
            <w:color w:val="0A3A8C"/>
            <w:u w:val="single"/>
          </w:rPr>
          <w:t xml:space="preserve">503</w:t>
        </w:r>
      </w:hyperlink>
      <w:r>
        <w:t xml:space="preserve"> zu leistende Entschädigung wegen Verlust oder Beschädigung ist auf einen Betrag von 666,67 Rechnungseinheiten für das Stück oder die Einheit oder einen Betrag von 2 Rechnungseinheiten für das Kilogramm des Rohgewichts des Gutes begrenzt, je nachdem, welcher Betrag höher ist. </w:t>
      </w:r>
      <w:r>
        <w:rPr>
          <w:rStyle w:val="Satznummer"/>
        </w:rPr>
        <w:t>2</w:t>
      </w:r>
      <w:r>
        <w:t xml:space="preserve">Wird ein Container, eine Palette oder ein sonstiges Lademittel verwendet, das zur Zusammenfassung von Frachtstücken verwendet wird, so gilt jedes Stück und jede Einheit, welche in einem Beförderungsdokument als in einem solchen Lademittel enthalten angegeben sind, als Stück oder Einheit im Sinne des Satzes 1. </w:t>
      </w:r>
      <w:r>
        <w:rPr>
          <w:rStyle w:val="Satznummer"/>
        </w:rPr>
        <w:t>3</w:t>
      </w:r>
      <w:r>
        <w:t>Soweit das Beförderungsdokument solche Angaben nicht enthält, gilt das Lademittel als Stück oder Einheit.</w:t>
      </w:r>
    </w:p>
    <w:p>
      <w:r>
        <w:t>(2) Besteht das Gut aus mehreren Frachtstücken (Ladung) und sind nur einzelne Frachtstücke verloren oder beschädigt worden, so ist der Berechnung der Begrenzung nach Absatz 1</w:t>
      </w:r>
    </w:p>
    <w:p>
      <w:pPr>
        <w:tabs>
          <w:tab w:pos="567" w:val="left"/>
        </w:tabs>
        <w:ind w:left="567" w:hanging="567"/>
      </w:pPr>
      <w:r>
        <w:t>1.</w:t>
      </w:r>
      <w:r>
        <w:tab/>
      </w:r>
      <w:r>
        <w:t>die gesamte Ladung zu Grunde zu legen, wenn die gesamte Ladung entwertet ist, oder</w:t>
      </w:r>
    </w:p>
    <w:p>
      <w:pPr>
        <w:tabs>
          <w:tab w:pos="567" w:val="left"/>
        </w:tabs>
        <w:ind w:left="567" w:hanging="567"/>
      </w:pPr>
      <w:r>
        <w:t>2.</w:t>
      </w:r>
      <w:r>
        <w:tab/>
      </w:r>
      <w:r>
        <w:t>der entwertete Teil der Ladung zu Grunde zu legen, wenn nur ein Teil der Ladung entwertet ist.</w:t>
      </w:r>
    </w:p>
    <w:p>
      <w:pPr>
        <w:pStyle w:val="Heading6"/>
      </w:pPr>
      <w:bookmarkStart w:id="685" w:name="b684"/>
      <w:r>
        <w:t>§ 505 Rechnungseinheit</w:t>
      </w:r>
      <w:r>
        <w:t xml:space="preserve"> </w:t>
      </w:r>
      <w:r>
        <w:rPr>
          <w:rStyle w:val="Suchmarke"/>
        </w:rPr>
        <w:t>#505#</w:t>
      </w:r>
      <w:bookmarkEnd w:id="685"/>
    </w:p>
    <w:p>
      <w:r>
        <w:rPr>
          <w:rStyle w:val="Satznummer"/>
        </w:rPr>
        <w:t>1</w:t>
      </w:r>
      <w:r>
        <w:t xml:space="preserve">Die in diesem Untertitel genannte Rechnungseinheit ist das Sonderziehungsrecht des Internationalen Währungsfonds. </w:t>
      </w:r>
      <w:r>
        <w:rPr>
          <w:rStyle w:val="Satznummer"/>
        </w:rPr>
        <w:t>2</w:t>
      </w:r>
      <w:r>
        <w:t xml:space="preserve">Der Betrag wird in Euro entsprechend dem Wert des Euro gegenüber dem Sonderziehungsrecht am Tag der Ablieferung des Gutes oder an dem von den Parteien vereinbarten Tag umgerechnet. </w:t>
      </w:r>
      <w:r>
        <w:rPr>
          <w:rStyle w:val="Satznummer"/>
        </w:rPr>
        <w:t>3</w:t>
      </w:r>
      <w:r>
        <w:t>Der Wert des Euro gegenüber dem Sonderziehungsrecht wird nach der Berechnungsmethode ermittelt, die der Internationale Währungsfonds an dem betreffenden Tag für seine Operationen und Transaktionen anwendet.</w:t>
      </w:r>
    </w:p>
    <w:p>
      <w:pPr>
        <w:pStyle w:val="Heading6"/>
      </w:pPr>
      <w:bookmarkStart w:id="686" w:name="b685"/>
      <w:r>
        <w:t>§ 506 Außervertragliche Ansprüche</w:t>
      </w:r>
      <w:r>
        <w:t xml:space="preserve"> </w:t>
      </w:r>
      <w:r>
        <w:rPr>
          <w:rStyle w:val="Suchmarke"/>
        </w:rPr>
        <w:t>#506#</w:t>
      </w:r>
      <w:bookmarkEnd w:id="686"/>
    </w:p>
    <w:p>
      <w:r>
        <w:t>(1) Die in diesem Untertitel und im Stückgutfrachtvertrag vorgesehenen Haftungsbefreiungen und Haftungsbegrenzungen gelten auch für einen außervertraglichen Anspruch des Befrachters oder des Empfängers gegen den Verfrachter wegen Verlust oder Beschädigung des Gutes.</w:t>
      </w:r>
    </w:p>
    <w:p>
      <w:r>
        <w:t xml:space="preserve">(2) </w:t>
      </w:r>
      <w:r>
        <w:rPr>
          <w:rStyle w:val="Satznummer"/>
        </w:rPr>
        <w:t>1</w:t>
      </w:r>
      <w:r>
        <w:t xml:space="preserve">Der Verfrachter kann auch gegenüber außervertraglichen Ansprüchen Dritter wegen Verlust oder Beschädigung des Gutes die Einwendungen nach Absatz 1 geltend machen. </w:t>
      </w:r>
      <w:r>
        <w:rPr>
          <w:rStyle w:val="Satznummer"/>
        </w:rPr>
        <w:t>2</w:t>
      </w:r>
      <w:r>
        <w:t>Die Einwendungen können jedoch nicht geltend gemacht werden, wenn</w:t>
      </w:r>
    </w:p>
    <w:p>
      <w:pPr>
        <w:tabs>
          <w:tab w:pos="567" w:val="left"/>
        </w:tabs>
        <w:ind w:left="567" w:hanging="567"/>
      </w:pPr>
      <w:r>
        <w:t>1.</w:t>
      </w:r>
      <w:r>
        <w:tab/>
      </w:r>
      <w:r>
        <w:t>sie auf eine Vereinbarung gestützt werden, die von den Vorschriften dieses Untertitels zu Lasten des Befrachters abweicht,</w:t>
      </w:r>
    </w:p>
    <w:p>
      <w:pPr>
        <w:tabs>
          <w:tab w:pos="567" w:val="left"/>
        </w:tabs>
        <w:ind w:left="567" w:hanging="567"/>
      </w:pPr>
      <w:r>
        <w:t>2.</w:t>
      </w:r>
      <w:r>
        <w:tab/>
      </w:r>
      <w:r>
        <w:t>der Dritte der Beförderung nicht zugestimmt hat und der Verfrachter die fehlende Befugnis des Befrachters, das Gut zu versenden, kannte oder infolge grober Fahrlässigkeit nicht kannte oder</w:t>
      </w:r>
    </w:p>
    <w:p>
      <w:pPr>
        <w:tabs>
          <w:tab w:pos="567" w:val="left"/>
        </w:tabs>
        <w:ind w:left="567" w:hanging="567"/>
      </w:pPr>
      <w:r>
        <w:t>3.</w:t>
      </w:r>
      <w:r>
        <w:tab/>
      </w:r>
      <w:r>
        <w:t>das Gut dem Dritten oder einer Person, die von diesem ihr Recht zum Besitz ableitet, vor Übernahme zur Beförderung abhanden gekommen ist.</w:t>
      </w:r>
    </w:p>
    <w:p>
      <w:r>
        <w:rPr>
          <w:rStyle w:val="Satznummer"/>
        </w:rPr>
        <w:t>3</w:t>
      </w:r>
      <w:r>
        <w:t xml:space="preserve">Satz 2 Nummer 1 gilt jedoch nicht für eine nach </w:t>
      </w:r>
      <w:hyperlink w:anchor="b691" w:history="1">
        <w:r>
          <w:rPr>
            <w:color w:val="0A3A8C"/>
            <w:u w:val="single"/>
          </w:rPr>
          <w:t xml:space="preserve">§ 512</w:t>
        </w:r>
      </w:hyperlink>
      <w:r>
        <w:t xml:space="preserve"> Absatz 2 Nummer 1 zulässige Vereinbarung über die Haftung des Verfrachters für einen Schaden, der durch ein Verhalten bei der Führung oder der sonstigen Bedienung des Schiffes oder durch Feuer oder Explosion an Bord des Schiffes entstanden ist.</w:t>
      </w:r>
    </w:p>
    <w:p>
      <w:pPr>
        <w:pStyle w:val="Heading6"/>
      </w:pPr>
      <w:bookmarkStart w:id="687" w:name="b686"/>
      <w:r>
        <w:t>§ 507 Wegfall der Haftungsbefreiungen und -begrenzungen</w:t>
      </w:r>
      <w:r>
        <w:t xml:space="preserve"> </w:t>
      </w:r>
      <w:r>
        <w:rPr>
          <w:rStyle w:val="Suchmarke"/>
        </w:rPr>
        <w:t>#507#</w:t>
      </w:r>
      <w:bookmarkEnd w:id="687"/>
    </w:p>
    <w:p>
      <w:r>
        <w:t>Die in diesem Untertitel und im Stückgutfrachtvertrag vorgesehenen Haftungsbefreiungen und Haftungsbegrenzungen gelten nicht, wenn</w:t>
      </w:r>
    </w:p>
    <w:p>
      <w:pPr>
        <w:tabs>
          <w:tab w:pos="567" w:val="left"/>
        </w:tabs>
        <w:ind w:left="567" w:hanging="567"/>
      </w:pPr>
      <w:r>
        <w:t>1.</w:t>
      </w:r>
      <w:r>
        <w:tab/>
      </w:r>
      <w:r>
        <w:t>der Schaden auf eine Handlung oder Unterlassung zurückzuführen ist, die der Verfrachter selbst vorsätzlich oder leichtfertig und in dem Bewusstsein begangen hat, dass ein Schaden mit Wahrscheinlichkeit eintreten werde, oder</w:t>
      </w:r>
    </w:p>
    <w:p>
      <w:pPr>
        <w:tabs>
          <w:tab w:pos="567" w:val="left"/>
        </w:tabs>
        <w:ind w:left="567" w:hanging="567"/>
      </w:pPr>
      <w:r>
        <w:t>2.</w:t>
      </w:r>
      <w:r>
        <w:tab/>
      </w:r>
      <w:r>
        <w:t>der Verfrachter mit dem Befrachter oder dem Ablader vereinbart hat, dass das Gut unter Deck befördert wird, und der Schaden darauf zurückzuführen ist, dass das Gut auf Deck verladen wurde.</w:t>
      </w:r>
    </w:p>
    <w:p>
      <w:pPr>
        <w:pStyle w:val="Heading6"/>
      </w:pPr>
      <w:bookmarkStart w:id="688" w:name="b687"/>
      <w:r>
        <w:t>§ 508 Haftung der Leute und der Schiffsbesatzung</w:t>
      </w:r>
      <w:r>
        <w:t xml:space="preserve"> </w:t>
      </w:r>
      <w:r>
        <w:rPr>
          <w:rStyle w:val="Suchmarke"/>
        </w:rPr>
        <w:t>#508#</w:t>
      </w:r>
      <w:bookmarkEnd w:id="688"/>
    </w:p>
    <w:p>
      <w:r>
        <w:t xml:space="preserve">(1) </w:t>
      </w:r>
      <w:r>
        <w:rPr>
          <w:rStyle w:val="Satznummer"/>
        </w:rPr>
        <w:t>1</w:t>
      </w:r>
      <w:r>
        <w:t xml:space="preserve">Werden Ansprüche aus außervertraglicher Haftung wegen Verlust oder Beschädigung des Gutes gegen einen der Leute des Verfrachters geltend gemacht, so kann sich auch jener auf die in diesem Untertitel und im Stückgutfrachtvertrag vorgesehenen Haftungsbefreiungen und Haftungsbegrenzungen berufen. </w:t>
      </w:r>
      <w:r>
        <w:rPr>
          <w:rStyle w:val="Satznummer"/>
        </w:rPr>
        <w:t>2</w:t>
      </w:r>
      <w:r>
        <w:t>Gleiches gilt, wenn die Ansprüche gegen ein Mitglied der Schiffsbesatzung geltend gemacht werden.</w:t>
      </w:r>
    </w:p>
    <w:p>
      <w:r>
        <w:t>(2) Eine Berufung auf die Haftungsbefreiungen und Haftungsbegrenzungen nach Absatz 1 ist ausgeschlossen, wenn der Schuldner vorsätzlich oder leichtfertig und in dem Bewusstsein gehandelt hat, dass ein Schaden mit Wahrscheinlichkeit eintreten werde.</w:t>
      </w:r>
    </w:p>
    <w:p>
      <w:r>
        <w:t>(3) Sind für den Verlust oder die Beschädigung des Gutes sowohl der Verfrachter als auch eine der in Absatz 1 genannten Personen verantwortlich, so haften sie als Gesamtschuldner.</w:t>
      </w:r>
    </w:p>
    <w:p>
      <w:pPr>
        <w:pStyle w:val="Heading6"/>
      </w:pPr>
      <w:bookmarkStart w:id="689" w:name="b688"/>
      <w:r>
        <w:t>§ 509 Ausführender Verfrachter</w:t>
      </w:r>
      <w:r>
        <w:t xml:space="preserve"> </w:t>
      </w:r>
      <w:r>
        <w:rPr>
          <w:rStyle w:val="Suchmarke"/>
        </w:rPr>
        <w:t>#509#</w:t>
      </w:r>
      <w:bookmarkEnd w:id="689"/>
    </w:p>
    <w:p>
      <w:r>
        <w:t>(1) Wird die Beförderung ganz oder teilweise durch einen Dritten ausgeführt, der nicht der Verfrachter ist, so haftet der Dritte (ausführender Verfrachter) für den Schaden, der durch Verlust oder Beschädigung des Gutes während der durch ihn ausgeführten Beförderung entsteht, so, als wäre er der Verfrachter.</w:t>
      </w:r>
    </w:p>
    <w:p>
      <w:r>
        <w:t>(2) Vertragliche Vereinbarungen mit dem Befrachter oder Empfänger, durch die der Verfrachter seine Haftung erweitert, wirken gegen den ausführenden Verfrachter nur, soweit er ihnen in Textform zugestimmt hat.</w:t>
      </w:r>
    </w:p>
    <w:p>
      <w:r>
        <w:t>(3) Der ausführende Verfrachter kann alle Einwendungen und Einreden geltend machen, die dem Verfrachter aus dem Stückgutfrachtvertrag zustehen.</w:t>
      </w:r>
    </w:p>
    <w:p>
      <w:r>
        <w:t>(4) Verfrachter und ausführender Verfrachter haften als Gesamtschuldner.</w:t>
      </w:r>
    </w:p>
    <w:p>
      <w:r>
        <w:t xml:space="preserve">(5) Wird einer der Leute des ausführenden Verfrachters oder ein Mitglied der Schiffsbesatzung in Anspruch genommen, so ist </w:t>
      </w:r>
      <w:hyperlink w:anchor="b687" w:history="1">
        <w:r>
          <w:rPr>
            <w:color w:val="0A3A8C"/>
            <w:u w:val="single"/>
          </w:rPr>
          <w:t xml:space="preserve">§ 508</w:t>
        </w:r>
      </w:hyperlink>
      <w:r>
        <w:t xml:space="preserve"> entsprechend anzuwenden.</w:t>
      </w:r>
    </w:p>
    <w:p>
      <w:pPr>
        <w:pStyle w:val="Heading6"/>
      </w:pPr>
      <w:bookmarkStart w:id="690" w:name="b689"/>
      <w:r>
        <w:t>§ 510 Schadensanzeige</w:t>
      </w:r>
      <w:r>
        <w:t xml:space="preserve"> </w:t>
      </w:r>
      <w:r>
        <w:rPr>
          <w:rStyle w:val="Suchmarke"/>
        </w:rPr>
        <w:t>#510#</w:t>
      </w:r>
      <w:bookmarkEnd w:id="690"/>
    </w:p>
    <w:p>
      <w:r>
        <w:t xml:space="preserve">(1) </w:t>
      </w:r>
      <w:r>
        <w:rPr>
          <w:rStyle w:val="Satznummer"/>
        </w:rPr>
        <w:t>1</w:t>
      </w:r>
      <w:r>
        <w:t xml:space="preserve">Ist ein Verlust oder eine Beschädigung des Gutes äußerlich erkennbar und zeigt der Empfänger oder der Befrachter dem Verfrachter Verlust oder Beschädigung nicht spätestens bei Ablieferung des Gutes an, so wird vermutet, dass das Gut vollständig und unbeschädigt abgeliefert worden ist. </w:t>
      </w:r>
      <w:r>
        <w:rPr>
          <w:rStyle w:val="Satznummer"/>
        </w:rPr>
        <w:t>2</w:t>
      </w:r>
      <w:r>
        <w:t>Die Anzeige muss den Verlust oder die Beschädigung hinreichend deutlich kennzeichnen.</w:t>
      </w:r>
    </w:p>
    <w:p>
      <w:r>
        <w:t>(2) Die Vermutung nach Absatz 1 gilt auch, wenn der Verlust oder die Beschädigung äußerlich nicht erkennbar war und nicht innerhalb von drei Tagen nach Ablieferung angezeigt worden ist.</w:t>
      </w:r>
    </w:p>
    <w:p>
      <w:r>
        <w:t xml:space="preserve">(3) </w:t>
      </w:r>
      <w:r>
        <w:rPr>
          <w:rStyle w:val="Satznummer"/>
        </w:rPr>
        <w:t>1</w:t>
      </w:r>
      <w:r>
        <w:t xml:space="preserve">Die Schadensanzeige ist in Textform zu erstatten. </w:t>
      </w:r>
      <w:r>
        <w:rPr>
          <w:rStyle w:val="Satznummer"/>
        </w:rPr>
        <w:t>2</w:t>
      </w:r>
      <w:r>
        <w:t>Zur Wahrung der Frist genügt die rechtzeitige Absendung.</w:t>
      </w:r>
    </w:p>
    <w:p>
      <w:r>
        <w:t>(4) Wird Verlust oder Beschädigung bei Ablieferung angezeigt, so genügt die Anzeige gegenüber demjenigen, der das Gut abliefert.</w:t>
      </w:r>
    </w:p>
    <w:p>
      <w:pPr>
        <w:pStyle w:val="Heading6"/>
      </w:pPr>
      <w:bookmarkStart w:id="691" w:name="b690"/>
      <w:r>
        <w:t>§ 511 Verlustvermutung</w:t>
      </w:r>
      <w:r>
        <w:t xml:space="preserve"> </w:t>
      </w:r>
      <w:r>
        <w:rPr>
          <w:rStyle w:val="Suchmarke"/>
        </w:rPr>
        <w:t>#511#</w:t>
      </w:r>
      <w:bookmarkEnd w:id="691"/>
    </w:p>
    <w:p>
      <w:r>
        <w:t xml:space="preserve">(1) </w:t>
      </w:r>
      <w:r>
        <w:rPr>
          <w:rStyle w:val="Satznummer"/>
        </w:rPr>
        <w:t>1</w:t>
      </w:r>
      <w:r>
        <w:t xml:space="preserve">Der Anspruchsberechtigte kann das Gut als verloren betrachten, wenn es nicht innerhalb eines Zeitraums abgeliefert wird, der dem Zweifachen der vereinbarten Lieferfrist entspricht, mindestens aber 30 Tage, bei einer grenzüberschreitenden Beförderung 60 Tage beträgt. </w:t>
      </w:r>
      <w:r>
        <w:rPr>
          <w:rStyle w:val="Satznummer"/>
        </w:rPr>
        <w:t>2</w:t>
      </w:r>
      <w:r>
        <w:t>Satz 1 gilt nicht, wenn der Verfrachter das Gut wegen eines Zurückbehaltungsrechts oder eines Pfandrechts nicht abzuliefern braucht oder wenn an dem Gut ein Pfandrecht für eine Forderung auf einen Beitrag zur Großen Haverei besteht und das Gut daher nicht ausgeliefert werden darf.</w:t>
      </w:r>
    </w:p>
    <w:p>
      <w:r>
        <w:t>(2) Erhält der Anspruchsberechtigte eine Entschädigung für den Verlust des Gutes, so kann er bei deren Empfang verlangen, dass er unverzüglich benachrichtigt wird, wenn das Gut wieder aufgefunden wird.</w:t>
      </w:r>
    </w:p>
    <w:p>
      <w:r>
        <w:t xml:space="preserve">(3) </w:t>
      </w:r>
      <w:r>
        <w:rPr>
          <w:rStyle w:val="Satznummer"/>
        </w:rPr>
        <w:t>1</w:t>
      </w:r>
      <w:r>
        <w:t xml:space="preserve">Der Anspruchsberechtigte kann innerhalb eines Monats nach Empfang der Benachrichtigung von dem Wiederauffinden des Gutes verlangen, dass ihm das Gut Zug um Zug gegen Erstattung der Entschädigung, gegebenenfalls abzüglich der in der Entschädigung enthaltenen Kosten, abgeliefert wird. </w:t>
      </w:r>
      <w:r>
        <w:rPr>
          <w:rStyle w:val="Satznummer"/>
        </w:rPr>
        <w:t>2</w:t>
      </w:r>
      <w:r>
        <w:t>Eine etwaige Pflicht zur Zahlung der Fracht sowie Ansprüche auf Schadensersatz bleiben unberührt.</w:t>
      </w:r>
    </w:p>
    <w:p>
      <w:r>
        <w:t>(4) Wird das Gut nach Zahlung einer Entschädigung wieder aufgefunden und hat der Anspruchsberechtigte eine Benachrichtigung nicht verlangt oder macht er nach Benachrichtigung seinen Anspruch auf Ablieferung nicht geltend, so kann der Verfrachter über das Gut frei verfügen.</w:t>
      </w:r>
    </w:p>
    <w:p>
      <w:pPr>
        <w:pStyle w:val="Heading6"/>
      </w:pPr>
      <w:bookmarkStart w:id="692" w:name="b691"/>
      <w:r>
        <w:t>§ 512 Abweichende Vereinbarungen</w:t>
      </w:r>
      <w:r>
        <w:t xml:space="preserve"> </w:t>
      </w:r>
      <w:r>
        <w:rPr>
          <w:rStyle w:val="Suchmarke"/>
        </w:rPr>
        <w:t>#512#</w:t>
      </w:r>
      <w:bookmarkEnd w:id="692"/>
    </w:p>
    <w:p>
      <w:r>
        <w:t>(1) Von den Vorschriften dieses Untertitels kann nur durch Vereinbarung abgewichen werden, die im Einzelnen ausgehandelt wird, auch wenn sie für eine Mehrzahl von gleichartigen Verträgen zwischen denselben Vertragsparteien getroffen wird.</w:t>
      </w:r>
    </w:p>
    <w:p>
      <w:r>
        <w:t>(2) Abweichend von Absatz 1 kann jedoch auch durch vorformulierte Vertragsbedingungen bestimmt werden, dass</w:t>
      </w:r>
    </w:p>
    <w:p>
      <w:pPr>
        <w:tabs>
          <w:tab w:pos="567" w:val="left"/>
        </w:tabs>
        <w:ind w:left="567" w:hanging="567"/>
      </w:pPr>
      <w:r>
        <w:t>1.</w:t>
      </w:r>
      <w:r>
        <w:tab/>
      </w:r>
      <w:r>
        <w:t>der Verfrachter ein Verschulden seiner Leute und der Schiffsbesatzung nicht zu vertreten hat, wenn der Schaden durch ein Verhalten bei der Führung oder der sonstigen Bedienung des Schiffes, jedoch nicht bei der Durchführung von Maßnahmen, die überwiegend im Interesse der Ladung getroffen wurden, oder durch Feuer oder Explosion an Bord des Schiffes entstanden ist,</w:t>
      </w:r>
    </w:p>
    <w:p>
      <w:pPr>
        <w:tabs>
          <w:tab w:pos="567" w:val="left"/>
        </w:tabs>
        <w:ind w:left="567" w:hanging="567"/>
      </w:pPr>
      <w:r>
        <w:t>2.</w:t>
      </w:r>
      <w:r>
        <w:tab/>
      </w:r>
      <w:r>
        <w:t xml:space="preserve">die Haftung des Verfrachters wegen Verlust oder Beschädigung auf höhere als die in </w:t>
      </w:r>
      <w:hyperlink w:anchor="b683" w:history="1">
        <w:r>
          <w:rPr>
            <w:color w:val="0A3A8C"/>
            <w:u w:val="single"/>
          </w:rPr>
          <w:t xml:space="preserve">§ 504</w:t>
        </w:r>
      </w:hyperlink>
      <w:r>
        <w:t xml:space="preserve"> vorgesehenen Beträge begrenzt ist.</w:t>
      </w:r>
    </w:p>
    <w:p>
      <w:pPr>
        <w:pStyle w:val="Heading5"/>
      </w:pPr>
      <w:bookmarkStart w:id="693" w:name="b692"/>
      <w:r>
        <w:t>Dritter Untertitel Beförderungsdokumente</w:t>
      </w:r>
      <w:bookmarkEnd w:id="693"/>
    </w:p>
    <w:p>
      <w:pPr>
        <w:pStyle w:val="Heading6"/>
      </w:pPr>
      <w:bookmarkStart w:id="694" w:name="b693"/>
      <w:r>
        <w:t>§ 513 Anspruch auf Ausstellung eines Konnossements</w:t>
      </w:r>
      <w:r>
        <w:t xml:space="preserve"> </w:t>
      </w:r>
      <w:r>
        <w:rPr>
          <w:rStyle w:val="Suchmarke"/>
        </w:rPr>
        <w:t>#513#</w:t>
      </w:r>
      <w:bookmarkEnd w:id="694"/>
    </w:p>
    <w:p>
      <w:r>
        <w:t xml:space="preserve">(1) </w:t>
      </w:r>
      <w:r>
        <w:rPr>
          <w:rStyle w:val="Satznummer"/>
        </w:rPr>
        <w:t>1</w:t>
      </w:r>
      <w:r>
        <w:t xml:space="preserve">Der Verfrachter hat, sofern im Stückgutfrachtvertrag nicht etwas Abweichendes vereinbart ist, dem Ablader auf dessen Verlangen ein Orderkonnossement auszustellen, das nach Wahl des Abladers an dessen Order, an die Order des Empfängers oder lediglich an Order zu stellen ist; im letzteren Fall ist unter der Order die Order des Abladers zu verstehen. </w:t>
      </w:r>
      <w:r>
        <w:rPr>
          <w:rStyle w:val="Satznummer"/>
        </w:rPr>
        <w:t>2</w:t>
      </w:r>
      <w:r>
        <w:t>Der Kapitän und jeder andere zur Zeichnung von Konnossementen für den Reeder Befugte sind berechtigt, das Konnossement für den Verfrachter auszustellen.</w:t>
      </w:r>
    </w:p>
    <w:p>
      <w:r>
        <w:t xml:space="preserve">(2) </w:t>
      </w:r>
      <w:r>
        <w:rPr>
          <w:rStyle w:val="Satznummer"/>
        </w:rPr>
        <w:t>1</w:t>
      </w:r>
      <w:r>
        <w:t xml:space="preserve">Ablader ist, wer das Gut dem Verfrachter zur Beförderung übergibt und vom Befrachter als Ablader zur Eintragung in das Konnossement benannt ist. </w:t>
      </w:r>
      <w:r>
        <w:rPr>
          <w:rStyle w:val="Satznummer"/>
        </w:rPr>
        <w:t>2</w:t>
      </w:r>
      <w:r>
        <w:t>Übergibt ein anderer als der Ablader das Gut oder ist ein Ablader nicht benannt, gilt der Befrachter als Ablader.</w:t>
      </w:r>
    </w:p>
    <w:p>
      <w:pPr>
        <w:pStyle w:val="Heading6"/>
      </w:pPr>
      <w:bookmarkStart w:id="695" w:name="b694"/>
      <w:r>
        <w:t>§ 514 Bord- und Übernahmekonnossement</w:t>
      </w:r>
      <w:r>
        <w:t xml:space="preserve"> </w:t>
      </w:r>
      <w:r>
        <w:rPr>
          <w:rStyle w:val="Suchmarke"/>
        </w:rPr>
        <w:t>#514#</w:t>
      </w:r>
      <w:bookmarkEnd w:id="695"/>
    </w:p>
    <w:p>
      <w:r>
        <w:t xml:space="preserve">(1) </w:t>
      </w:r>
      <w:r>
        <w:rPr>
          <w:rStyle w:val="Satznummer"/>
        </w:rPr>
        <w:t>1</w:t>
      </w:r>
      <w:r>
        <w:t xml:space="preserve">Das Konnossement ist auszustellen, sobald der Verfrachter das Gut übernommen hat. </w:t>
      </w:r>
      <w:r>
        <w:rPr>
          <w:rStyle w:val="Satznummer"/>
        </w:rPr>
        <w:t>2</w:t>
      </w:r>
      <w:r>
        <w:t>Durch das Konnossement bestätigt der Verfrachter den Empfang des Gutes und verpflichtet sich, es zum Bestimmungsort zu befördern und dem aus dem Konnossement Berechtigten gegen Rückgabe des Konnossements abzuliefern.</w:t>
      </w:r>
    </w:p>
    <w:p>
      <w:r>
        <w:t xml:space="preserve">(2) </w:t>
      </w:r>
      <w:r>
        <w:rPr>
          <w:rStyle w:val="Satznummer"/>
        </w:rPr>
        <w:t>1</w:t>
      </w:r>
      <w:r>
        <w:t xml:space="preserve">Ist das Gut an Bord genommen worden, so hat der Verfrachter das Konnossement mit der Angabe auszustellen, wann und in welches Schiff das Gut an Bord genommen wurde (Bordkonnossement). </w:t>
      </w:r>
      <w:r>
        <w:rPr>
          <w:rStyle w:val="Satznummer"/>
        </w:rPr>
        <w:t>2</w:t>
      </w:r>
      <w:r>
        <w:t>Ist bereits vor dem Zeitpunkt, in dem das Gut an Bord genommen wurde, ein Konnossement ausgestellt worden (Übernahmekonnossement), so hat der Verfrachter auf Verlangen des Abladers im Konnossement zu vermerken, wann und in welches Schiff das Gut an Bord genommen wurde, sobald dies geschehen ist (Bordvermerk).</w:t>
      </w:r>
    </w:p>
    <w:p>
      <w:r>
        <w:t>(3) Das Konnossement ist in der vom Ablader geforderten Anzahl von Originalausfertigungen auszustellen.</w:t>
      </w:r>
    </w:p>
    <w:p>
      <w:pPr>
        <w:pStyle w:val="Heading6"/>
      </w:pPr>
      <w:bookmarkStart w:id="696" w:name="b695"/>
      <w:r>
        <w:t>§ 515 Inhalt des Konnossements</w:t>
      </w:r>
      <w:r>
        <w:t xml:space="preserve"> </w:t>
      </w:r>
      <w:r>
        <w:rPr>
          <w:rStyle w:val="Suchmarke"/>
        </w:rPr>
        <w:t>#515#</w:t>
      </w:r>
      <w:bookmarkEnd w:id="696"/>
    </w:p>
    <w:p>
      <w:r>
        <w:t>(1) Das Konnossement soll folgende Angaben enthalten:</w:t>
      </w:r>
    </w:p>
    <w:p>
      <w:pPr>
        <w:tabs>
          <w:tab w:pos="567" w:val="left"/>
        </w:tabs>
        <w:ind w:left="567" w:hanging="567"/>
      </w:pPr>
      <w:r>
        <w:t>1.</w:t>
      </w:r>
      <w:r>
        <w:tab/>
      </w:r>
      <w:r>
        <w:t>Ort und Tag der Ausstellung,</w:t>
      </w:r>
    </w:p>
    <w:p>
      <w:pPr>
        <w:tabs>
          <w:tab w:pos="567" w:val="left"/>
        </w:tabs>
        <w:ind w:left="567" w:hanging="567"/>
      </w:pPr>
      <w:r>
        <w:t>2.</w:t>
      </w:r>
      <w:r>
        <w:tab/>
      </w:r>
      <w:r>
        <w:t>Name und Anschrift des Abladers,</w:t>
      </w:r>
    </w:p>
    <w:p>
      <w:pPr>
        <w:tabs>
          <w:tab w:pos="567" w:val="left"/>
        </w:tabs>
        <w:ind w:left="567" w:hanging="567"/>
      </w:pPr>
      <w:r>
        <w:t>3.</w:t>
      </w:r>
      <w:r>
        <w:tab/>
      </w:r>
      <w:r>
        <w:t>Name des Schiffes,</w:t>
      </w:r>
    </w:p>
    <w:p>
      <w:pPr>
        <w:tabs>
          <w:tab w:pos="567" w:val="left"/>
        </w:tabs>
        <w:ind w:left="567" w:hanging="567"/>
      </w:pPr>
      <w:r>
        <w:t>4.</w:t>
      </w:r>
      <w:r>
        <w:tab/>
      </w:r>
      <w:r>
        <w:t>Name und Anschrift des Verfrachters,</w:t>
      </w:r>
    </w:p>
    <w:p>
      <w:pPr>
        <w:tabs>
          <w:tab w:pos="567" w:val="left"/>
        </w:tabs>
        <w:ind w:left="567" w:hanging="567"/>
      </w:pPr>
      <w:r>
        <w:t>5.</w:t>
      </w:r>
      <w:r>
        <w:tab/>
      </w:r>
      <w:r>
        <w:t>Abladungshafen und Bestimmungsort,</w:t>
      </w:r>
    </w:p>
    <w:p>
      <w:pPr>
        <w:tabs>
          <w:tab w:pos="567" w:val="left"/>
        </w:tabs>
        <w:ind w:left="567" w:hanging="567"/>
      </w:pPr>
      <w:r>
        <w:t>6.</w:t>
      </w:r>
      <w:r>
        <w:tab/>
      </w:r>
      <w:r>
        <w:t>Name und Anschrift des Empfängers und eine etwaige Meldeadresse,</w:t>
      </w:r>
    </w:p>
    <w:p>
      <w:pPr>
        <w:tabs>
          <w:tab w:pos="567" w:val="left"/>
        </w:tabs>
        <w:ind w:left="567" w:hanging="567"/>
      </w:pPr>
      <w:r>
        <w:t>7.</w:t>
      </w:r>
      <w:r>
        <w:tab/>
      </w:r>
      <w:r>
        <w:t>Art des Gutes und dessen äußerlich erkennbare Verfassung und Beschaffenheit,</w:t>
      </w:r>
    </w:p>
    <w:p>
      <w:pPr>
        <w:tabs>
          <w:tab w:pos="567" w:val="left"/>
        </w:tabs>
        <w:ind w:left="567" w:hanging="567"/>
      </w:pPr>
      <w:r>
        <w:t>8.</w:t>
      </w:r>
      <w:r>
        <w:tab/>
      </w:r>
      <w:r>
        <w:t>Maß, Zahl oder Gewicht des Gutes und dauerhafte und lesbare Merkzeichen,</w:t>
      </w:r>
    </w:p>
    <w:p>
      <w:pPr>
        <w:tabs>
          <w:tab w:pos="567" w:val="left"/>
        </w:tabs>
        <w:ind w:left="567" w:hanging="567"/>
      </w:pPr>
      <w:r>
        <w:t>9.</w:t>
      </w:r>
      <w:r>
        <w:tab/>
      </w:r>
      <w:r>
        <w:t>die bei Ablieferung geschuldete Fracht, bis zur Ablieferung anfallende Kosten sowie einen Vermerk über die Frachtzahlung,</w:t>
      </w:r>
    </w:p>
    <w:p>
      <w:pPr>
        <w:tabs>
          <w:tab w:pos="567" w:val="left"/>
        </w:tabs>
        <w:ind w:left="567" w:hanging="567"/>
      </w:pPr>
      <w:r>
        <w:t>10.</w:t>
      </w:r>
      <w:r>
        <w:tab/>
      </w:r>
      <w:r>
        <w:t>Zahl der Ausfertigungen.</w:t>
      </w:r>
    </w:p>
    <w:p>
      <w:r>
        <w:t>(2) Die Angaben nach Absatz 1 Nummer 7 und 8 sind auf Verlangen des Abladers so aufzunehmen, wie er sie dem Verfrachter vor der Übernahme des Gutes in Textform mitgeteilt hat.</w:t>
      </w:r>
    </w:p>
    <w:p>
      <w:pPr>
        <w:pStyle w:val="Heading6"/>
      </w:pPr>
      <w:bookmarkStart w:id="697" w:name="b696"/>
      <w:r>
        <w:t>§ 516 Form des Konnossements. Verordnungsermächtigung</w:t>
      </w:r>
      <w:r>
        <w:t xml:space="preserve"> </w:t>
      </w:r>
      <w:r>
        <w:rPr>
          <w:rStyle w:val="Suchmarke"/>
        </w:rPr>
        <w:t>#516#</w:t>
      </w:r>
      <w:bookmarkEnd w:id="697"/>
    </w:p>
    <w:p>
      <w:r>
        <w:t>(1) Das Konnossement ist vom Verfrachter zu unterzeichnen; eine Nachbildung der eigenhändigen Unterschrift durch Druck oder Stempel genügt.</w:t>
      </w:r>
    </w:p>
    <w:p>
      <w:r>
        <w:t>(2) Dem Konnossement gleichgestellt ist eine elektronische Aufzeichnung, die dieselben Funktionen erfüllt wie das Konnossement, sofern sichergestellt ist, dass die Authentizität und die Integrität der Aufzeichnung gewahrt bleiben (elektronisches Konnossement).</w:t>
      </w:r>
    </w:p>
    <w:p>
      <w:r>
        <w:t>(3) Das Bundesministerium der Justiz wird ermächtigt, im Einvernehmen mit dem Bundesministerium des Innern und für Heimat durch Rechtsverordnung, die nicht der Zustimmung des Bundesrates bedarf, die Einzelheiten der Ausstellung, Vorlage, Rückgabe und Übertragung eines elektronischen Konnossements sowie die Einzelheiten des Verfahrens einer nachträglichen Eintragung in ein elektronisches Konnossement zu regeln.</w:t>
      </w:r>
    </w:p>
    <w:p>
      <w:pPr>
        <w:pStyle w:val="Heading6"/>
      </w:pPr>
      <w:bookmarkStart w:id="698" w:name="b697"/>
      <w:r>
        <w:t>§ 517 Beweiskraft des Konnossements</w:t>
      </w:r>
      <w:r>
        <w:t xml:space="preserve"> </w:t>
      </w:r>
      <w:r>
        <w:rPr>
          <w:rStyle w:val="Suchmarke"/>
        </w:rPr>
        <w:t>#517#</w:t>
      </w:r>
      <w:bookmarkEnd w:id="698"/>
    </w:p>
    <w:p>
      <w:r>
        <w:t xml:space="preserve">(1) </w:t>
      </w:r>
      <w:r>
        <w:rPr>
          <w:rStyle w:val="Satznummer"/>
        </w:rPr>
        <w:t>1</w:t>
      </w:r>
      <w:r>
        <w:t xml:space="preserve">Das Konnossement begründet die Vermutung, dass der Verfrachter das Gut so übernommen hat, wie es nach </w:t>
      </w:r>
      <w:hyperlink w:anchor="b695" w:history="1">
        <w:r>
          <w:rPr>
            <w:color w:val="0A3A8C"/>
            <w:u w:val="single"/>
          </w:rPr>
          <w:t xml:space="preserve">§ 515</w:t>
        </w:r>
      </w:hyperlink>
      <w:r>
        <w:t xml:space="preserve"> Absatz 1 Nummer 7 und 8 beschrieben ist. </w:t>
      </w:r>
      <w:r>
        <w:rPr>
          <w:rStyle w:val="Satznummer"/>
        </w:rPr>
        <w:t>2</w:t>
      </w:r>
      <w:r>
        <w:t xml:space="preserve">Bezieht sich die Beschreibung auf den Inhalt eines geschlossenen Lademittels, so begründet das Konnossement jedoch nur dann die Vermutung nach Satz 1, wenn der Inhalt vom Verfrachter überprüft und das Ergebnis der Überprüfung im Konnossement eingetragen worden ist. </w:t>
      </w:r>
      <w:r>
        <w:rPr>
          <w:rStyle w:val="Satznummer"/>
        </w:rPr>
        <w:t>3</w:t>
      </w:r>
      <w:r>
        <w:t>Enthält das Konnossement keine Angabe über die äußerlich erkennbare Verfassung oder Beschaffenheit des Gutes, so begründet das Konnossement die Vermutung, dass der Verfrachter das Gut in äußerlich erkennbar guter Verfassung und Beschaffenheit übernommen hat.</w:t>
      </w:r>
    </w:p>
    <w:p>
      <w:r>
        <w:t xml:space="preserve">(2) </w:t>
      </w:r>
      <w:r>
        <w:rPr>
          <w:rStyle w:val="Satznummer"/>
        </w:rPr>
        <w:t>1</w:t>
      </w:r>
      <w:r>
        <w:t xml:space="preserve">Das Konnossement begründet die Vermutung nach Absatz 1 nicht, soweit der Verfrachter einen Vorbehalt in das Konnossement eingetragen hat. </w:t>
      </w:r>
      <w:r>
        <w:rPr>
          <w:rStyle w:val="Satznummer"/>
        </w:rPr>
        <w:t>2</w:t>
      </w:r>
      <w:r>
        <w:t>Aus dem Vorbehalt muss sich ergeben,</w:t>
      </w:r>
    </w:p>
    <w:p>
      <w:pPr>
        <w:tabs>
          <w:tab w:pos="567" w:val="left"/>
        </w:tabs>
        <w:ind w:left="567" w:hanging="567"/>
      </w:pPr>
      <w:r>
        <w:t>1.</w:t>
      </w:r>
      <w:r>
        <w:tab/>
      </w:r>
      <w:r>
        <w:t>in welcher Verfassung das Gut bei seiner Übernahme durch den Verfrachter war oder wie das Gut bei seiner Übernahme beschaffen war,</w:t>
      </w:r>
    </w:p>
    <w:p>
      <w:pPr>
        <w:tabs>
          <w:tab w:pos="567" w:val="left"/>
        </w:tabs>
        <w:ind w:left="567" w:hanging="567"/>
      </w:pPr>
      <w:r>
        <w:t>2.</w:t>
      </w:r>
      <w:r>
        <w:tab/>
      </w:r>
      <w:r>
        <w:t>welche Angabe im Konnossement unrichtig ist und wie die richtige Angabe lautet,</w:t>
      </w:r>
    </w:p>
    <w:p>
      <w:pPr>
        <w:tabs>
          <w:tab w:pos="567" w:val="left"/>
        </w:tabs>
        <w:ind w:left="567" w:hanging="567"/>
      </w:pPr>
      <w:r>
        <w:t>3.</w:t>
      </w:r>
      <w:r>
        <w:tab/>
      </w:r>
      <w:r>
        <w:t>welchen Grund der Verfrachter zu der Annahme hatte, dass die Angabe unrichtig ist, oder</w:t>
      </w:r>
    </w:p>
    <w:p>
      <w:pPr>
        <w:tabs>
          <w:tab w:pos="567" w:val="left"/>
        </w:tabs>
        <w:ind w:left="567" w:hanging="567"/>
      </w:pPr>
      <w:r>
        <w:t>4.</w:t>
      </w:r>
      <w:r>
        <w:tab/>
      </w:r>
      <w:r>
        <w:t>weshalb der Verfrachter keine ausreichende Gelegenheit hatte, die Angabe nachzuprüfen.</w:t>
      </w:r>
    </w:p>
    <w:p>
      <w:pPr>
        <w:pStyle w:val="Heading6"/>
      </w:pPr>
      <w:bookmarkStart w:id="699" w:name="b698"/>
      <w:r>
        <w:t>§ 518 Stellung des Reeders bei mangelhafter Verfrachterangabe</w:t>
      </w:r>
      <w:r>
        <w:t xml:space="preserve"> </w:t>
      </w:r>
      <w:r>
        <w:rPr>
          <w:rStyle w:val="Suchmarke"/>
        </w:rPr>
        <w:t>#518#</w:t>
      </w:r>
      <w:bookmarkEnd w:id="699"/>
    </w:p>
    <w:p>
      <w:r>
        <w:t>Ist in einem Konnossement, das vom Kapitän oder von einem anderen zur Zeichnung von Konnossementen für den Reeder Befugten ausgestellt wurde, der Verfrachter nicht angegeben oder ist in diesem Konnossement als Verfrachter eine Person angegeben, die nicht der Verfrachter ist, so ist aus dem Konnossement anstelle des Verfrachters der Reeder berechtigt und verpflichtet.</w:t>
      </w:r>
    </w:p>
    <w:p>
      <w:pPr>
        <w:pStyle w:val="Heading6"/>
      </w:pPr>
      <w:bookmarkStart w:id="700" w:name="b699"/>
      <w:r>
        <w:t>§ 519 Berechtigung aus dem Konnossement. Legitimation</w:t>
      </w:r>
      <w:r>
        <w:t xml:space="preserve"> </w:t>
      </w:r>
      <w:r>
        <w:rPr>
          <w:rStyle w:val="Suchmarke"/>
        </w:rPr>
        <w:t>#519#</w:t>
      </w:r>
      <w:bookmarkEnd w:id="700"/>
    </w:p>
    <w:p>
      <w:r>
        <w:rPr>
          <w:rStyle w:val="Satznummer"/>
        </w:rPr>
        <w:t>1</w:t>
      </w:r>
      <w:r>
        <w:t xml:space="preserve">Die im Konnossement verbrieften seefrachtvertraglichen Ansprüche können nur von dem aus dem Konnossement Berechtigten geltend gemacht werden. </w:t>
      </w:r>
      <w:r>
        <w:rPr>
          <w:rStyle w:val="Satznummer"/>
        </w:rPr>
        <w:t>2</w:t>
      </w:r>
      <w:r>
        <w:t xml:space="preserve">Zugunsten des legitimierten Besitzers des Konnossements wird vermutet, dass er der aus dem Konnossement Berechtigte ist. </w:t>
      </w:r>
      <w:r>
        <w:rPr>
          <w:rStyle w:val="Satznummer"/>
        </w:rPr>
        <w:t>3</w:t>
      </w:r>
      <w:r>
        <w:t>Legitimierter Besitzer des Konnossements ist, wer ein Konnossement besitzt, das</w:t>
      </w:r>
    </w:p>
    <w:p>
      <w:pPr>
        <w:tabs>
          <w:tab w:pos="567" w:val="left"/>
        </w:tabs>
        <w:ind w:left="567" w:hanging="567"/>
      </w:pPr>
      <w:r>
        <w:t>1.</w:t>
      </w:r>
      <w:r>
        <w:tab/>
      </w:r>
      <w:r>
        <w:t>auf den Inhaber lautet,</w:t>
      </w:r>
    </w:p>
    <w:p>
      <w:pPr>
        <w:tabs>
          <w:tab w:pos="567" w:val="left"/>
        </w:tabs>
        <w:ind w:left="567" w:hanging="567"/>
      </w:pPr>
      <w:r>
        <w:t>2.</w:t>
      </w:r>
      <w:r>
        <w:tab/>
      </w:r>
      <w:r>
        <w:t>an Order lautet und den Besitzer als Empfänger benennt oder durch eine ununterbrochene Reihe von Indossamenten ausweist oder</w:t>
      </w:r>
    </w:p>
    <w:p>
      <w:pPr>
        <w:tabs>
          <w:tab w:pos="567" w:val="left"/>
        </w:tabs>
        <w:ind w:left="567" w:hanging="567"/>
      </w:pPr>
      <w:r>
        <w:t>3.</w:t>
      </w:r>
      <w:r>
        <w:tab/>
      </w:r>
      <w:r>
        <w:t>auf den Namen des Besitzers lautet.</w:t>
      </w:r>
    </w:p>
    <w:p>
      <w:pPr>
        <w:pStyle w:val="Heading6"/>
      </w:pPr>
      <w:bookmarkStart w:id="701" w:name="b700"/>
      <w:r>
        <w:t>§ 520 Befolgung von Weisungen</w:t>
      </w:r>
      <w:r>
        <w:t xml:space="preserve"> </w:t>
      </w:r>
      <w:r>
        <w:rPr>
          <w:rStyle w:val="Suchmarke"/>
        </w:rPr>
        <w:t>#520#</w:t>
      </w:r>
      <w:bookmarkEnd w:id="701"/>
    </w:p>
    <w:p>
      <w:r>
        <w:t xml:space="preserve">(1) </w:t>
      </w:r>
      <w:r>
        <w:rPr>
          <w:rStyle w:val="Satznummer"/>
        </w:rPr>
        <w:t>1</w:t>
      </w:r>
      <w:r>
        <w:t xml:space="preserve">Ist ein Konnossement ausgestellt, so steht das Verfügungsrecht nach den </w:t>
      </w:r>
      <w:hyperlink w:anchor="b669" w:history="1">
        <w:r>
          <w:rPr>
            <w:color w:val="0A3A8C"/>
            <w:u w:val="single"/>
          </w:rPr>
          <w:t xml:space="preserve">§§ 491</w:t>
        </w:r>
      </w:hyperlink>
      <w:r>
        <w:t xml:space="preserve"> und </w:t>
      </w:r>
      <w:hyperlink w:anchor="b670" w:history="1">
        <w:r>
          <w:rPr>
            <w:color w:val="0A3A8C"/>
            <w:u w:val="single"/>
          </w:rPr>
          <w:t xml:space="preserve">492</w:t>
        </w:r>
      </w:hyperlink>
      <w:r>
        <w:t xml:space="preserve"> ausschließlich dem legitimierten Besitzer des Konnossements zu. </w:t>
      </w:r>
      <w:r>
        <w:rPr>
          <w:rStyle w:val="Satznummer"/>
        </w:rPr>
        <w:t>2</w:t>
      </w:r>
      <w:r>
        <w:t xml:space="preserve">Der Verfrachter darf Weisungen nur gegen Vorlage sämtlicher Ausfertigungen des Konnossements ausführen. </w:t>
      </w:r>
      <w:r>
        <w:rPr>
          <w:rStyle w:val="Satznummer"/>
        </w:rPr>
        <w:t>3</w:t>
      </w:r>
      <w:r>
        <w:t>Weisungen eines legitimierten Besitzers des Konnossements darf der Verfrachter jedoch nicht ausführen, wenn ihm bekannt oder infolge grober Fahrlässigkeit unbekannt ist, dass der legitimierte Besitzer des Konnossements nicht der aus dem Konnossement Berechtigte ist.</w:t>
      </w:r>
    </w:p>
    <w:p>
      <w:r>
        <w:t xml:space="preserve">(2) </w:t>
      </w:r>
      <w:r>
        <w:rPr>
          <w:rStyle w:val="Satznummer"/>
        </w:rPr>
        <w:t>1</w:t>
      </w:r>
      <w:r>
        <w:t xml:space="preserve">Befolgt der Verfrachter Weisungen, ohne sich sämtliche Ausfertigungen des Konnossements vorlegen zu lassen, haftet er dem aus dem Konnossement Berechtigten für den Schaden, der diesem daraus entsteht. </w:t>
      </w:r>
      <w:r>
        <w:rPr>
          <w:rStyle w:val="Satznummer"/>
        </w:rPr>
        <w:t>2</w:t>
      </w:r>
      <w:r>
        <w:t>Die Haftung ist auf den Betrag begrenzt, der bei Verlust des Gutes zu zahlen wäre.</w:t>
      </w:r>
    </w:p>
    <w:p>
      <w:pPr>
        <w:pStyle w:val="Heading6"/>
      </w:pPr>
      <w:bookmarkStart w:id="702" w:name="b701"/>
      <w:r>
        <w:t>§ 521 Ablieferung gegen Rückgabe des Konnossements</w:t>
      </w:r>
      <w:r>
        <w:t xml:space="preserve"> </w:t>
      </w:r>
      <w:r>
        <w:rPr>
          <w:rStyle w:val="Suchmarke"/>
        </w:rPr>
        <w:t>#521#</w:t>
      </w:r>
      <w:bookmarkEnd w:id="702"/>
    </w:p>
    <w:p>
      <w:r>
        <w:t xml:space="preserve">(1) </w:t>
      </w:r>
      <w:r>
        <w:rPr>
          <w:rStyle w:val="Satznummer"/>
        </w:rPr>
        <w:t>1</w:t>
      </w:r>
      <w:r>
        <w:t xml:space="preserve">Nach Ankunft des Gutes am Löschplatz ist der legitimierte Besitzer des Konnossements berechtigt, vom Verfrachter die Ablieferung des Gutes zu verlangen. </w:t>
      </w:r>
      <w:r>
        <w:rPr>
          <w:rStyle w:val="Satznummer"/>
        </w:rPr>
        <w:t>2</w:t>
      </w:r>
      <w:r>
        <w:t>Macht der legitimierte Besitzer des Konnossements von diesem Recht Gebrauch, ist er entsprechend § 494 Absatz 2 und 3 zur Zahlung der Fracht und einer sonstigen Vergütung verpflichtet.</w:t>
      </w:r>
    </w:p>
    <w:p>
      <w:r>
        <w:t xml:space="preserve">(2) </w:t>
      </w:r>
      <w:r>
        <w:rPr>
          <w:rStyle w:val="Satznummer"/>
        </w:rPr>
        <w:t>1</w:t>
      </w:r>
      <w:r>
        <w:t xml:space="preserve">Der Verfrachter ist zur Ablieferung des Gutes nur gegen Rückgabe des Konnossements, auf dem die Ablieferung bescheinigt ist, und gegen Leistung der noch ausstehenden, nach </w:t>
      </w:r>
      <w:hyperlink w:anchor="b672" w:history="1">
        <w:r>
          <w:rPr>
            <w:color w:val="0A3A8C"/>
            <w:u w:val="single"/>
          </w:rPr>
          <w:t xml:space="preserve">§ 494</w:t>
        </w:r>
      </w:hyperlink>
      <w:r>
        <w:t xml:space="preserve"> Absatz 2 und 3 geschuldeten Zahlungen verpflichtet. </w:t>
      </w:r>
      <w:r>
        <w:rPr>
          <w:rStyle w:val="Satznummer"/>
        </w:rPr>
        <w:t>2</w:t>
      </w:r>
      <w:r>
        <w:t>Er darf das Gut jedoch nicht dem legitimierten Besitzer des Konnossements abliefern, wenn ihm bekannt oder infolge grober Fahrlässigkeit unbekannt ist, dass der legitimierte Besitzer des Konnossements nicht der aus dem Konnossement Berechtigte ist.</w:t>
      </w:r>
    </w:p>
    <w:p>
      <w:r>
        <w:t xml:space="preserve">(3) </w:t>
      </w:r>
      <w:r>
        <w:rPr>
          <w:rStyle w:val="Satznummer"/>
        </w:rPr>
        <w:t>1</w:t>
      </w:r>
      <w:r>
        <w:t xml:space="preserve">Sind mehrere Ausfertigungen des Konnossements ausgestellt, so ist das Gut dem legitimierten Besitzer auch nur einer Ausfertigung des Konnossements abzuliefern. </w:t>
      </w:r>
      <w:r>
        <w:rPr>
          <w:rStyle w:val="Satznummer"/>
        </w:rPr>
        <w:t>2</w:t>
      </w:r>
      <w:r>
        <w:t xml:space="preserve">Melden sich mehrere legitimierte Besitzer, so hat der Verfrachter das Gut in einem öffentlichen Lagerhaus oder in sonst sicherer Weise zu hinterlegen und die Besitzer, die sich gemeldet haben, unter Angabe der Gründe seines Verfahrens hiervon zu benachrichtigen. </w:t>
      </w:r>
      <w:r>
        <w:rPr>
          <w:rStyle w:val="Satznummer"/>
        </w:rPr>
        <w:t>3</w:t>
      </w:r>
      <w:r>
        <w:t xml:space="preserve">Der Verfrachter kann in diesem Fall das Gut gemäß </w:t>
      </w:r>
      <w:hyperlink w:anchor="b518" w:history="1">
        <w:r>
          <w:rPr>
            <w:color w:val="0A3A8C"/>
            <w:u w:val="single"/>
          </w:rPr>
          <w:t xml:space="preserve">§ 373</w:t>
        </w:r>
      </w:hyperlink>
      <w:r>
        <w:t xml:space="preserve"> Absatz 2 bis 4 verkaufen lassen, wenn es sich um verderbliche Ware handelt oder der Zustand des Gutes eine solche Maßnahme rechtfertigt oder wenn die andernfalls zu erwartenden Kosten in keinem angemessenen Verhältnis zum Wert des Gutes stehen.</w:t>
      </w:r>
    </w:p>
    <w:p>
      <w:r>
        <w:t xml:space="preserve">(4) </w:t>
      </w:r>
      <w:r>
        <w:rPr>
          <w:rStyle w:val="Satznummer"/>
        </w:rPr>
        <w:t>1</w:t>
      </w:r>
      <w:r>
        <w:t xml:space="preserve">Liefert der Verfrachter das Gut einem anderen als dem legitimierten Besitzer des Konnossements oder, im Falle des Absatzes 2 Satz 2, einem anderen als dem aus dem Konnossement Berechtigten ab, haftet er für den Schaden, der dem aus dem Konnossement Berechtigten daraus entsteht. </w:t>
      </w:r>
      <w:r>
        <w:rPr>
          <w:rStyle w:val="Satznummer"/>
        </w:rPr>
        <w:t>2</w:t>
      </w:r>
      <w:r>
        <w:t>Die Haftung ist auf den Betrag begrenzt, der bei Verlust des Gutes zu zahlen wäre.</w:t>
      </w:r>
    </w:p>
    <w:p>
      <w:pPr>
        <w:pStyle w:val="Heading6"/>
      </w:pPr>
      <w:bookmarkStart w:id="703" w:name="b702"/>
      <w:r>
        <w:t>§ 522 Einwendungen</w:t>
      </w:r>
      <w:r>
        <w:t xml:space="preserve"> </w:t>
      </w:r>
      <w:r>
        <w:rPr>
          <w:rStyle w:val="Suchmarke"/>
        </w:rPr>
        <w:t>#522#</w:t>
      </w:r>
      <w:bookmarkEnd w:id="703"/>
    </w:p>
    <w:p>
      <w:r>
        <w:t xml:space="preserve">(1) </w:t>
      </w:r>
      <w:r>
        <w:rPr>
          <w:rStyle w:val="Satznummer"/>
        </w:rPr>
        <w:t>1</w:t>
      </w:r>
      <w:r>
        <w:t xml:space="preserve">Dem aus dem Konnossement Berechtigten kann der Verfrachter nur solche Einwendungen entgegensetzen, die die Gültigkeit der Erklärungen im Konnossement betreffen oder sich aus dem Inhalt des Konnossements ergeben oder dem Verfrachter unmittelbar gegenüber dem aus dem Konnossement Berechtigten zustehen. </w:t>
      </w:r>
      <w:r>
        <w:rPr>
          <w:rStyle w:val="Satznummer"/>
        </w:rPr>
        <w:t>2</w:t>
      </w:r>
      <w:r>
        <w:t>Eine Vereinbarung, auf die im Konnossement lediglich verwiesen wird, ist nicht Inhalt des Konnossements.</w:t>
      </w:r>
    </w:p>
    <w:p>
      <w:r>
        <w:t xml:space="preserve">(2) </w:t>
      </w:r>
      <w:r>
        <w:rPr>
          <w:rStyle w:val="Satznummer"/>
        </w:rPr>
        <w:t>1</w:t>
      </w:r>
      <w:r>
        <w:t xml:space="preserve">Gegenüber einem im Konnossement benannten Empfänger, an den das Konnossement begeben wurde, kann der Verfrachter die Vermutungen nach </w:t>
      </w:r>
      <w:hyperlink w:anchor="b697" w:history="1">
        <w:r>
          <w:rPr>
            <w:color w:val="0A3A8C"/>
            <w:u w:val="single"/>
          </w:rPr>
          <w:t xml:space="preserve">§ 517</w:t>
        </w:r>
      </w:hyperlink>
      <w:r>
        <w:t xml:space="preserve"> nicht widerlegen, es sei denn, dem Empfänger war im Zeitpunkt der Begebung des Konnossements bekannt oder infolge grober Fahrlässigkeit unbekannt, dass die Angaben im Konnossement unrichtig sind. </w:t>
      </w:r>
      <w:r>
        <w:rPr>
          <w:rStyle w:val="Satznummer"/>
        </w:rPr>
        <w:t>2</w:t>
      </w:r>
      <w:r>
        <w:t>Gleiches gilt gegenüber einem Dritten, dem das Konnossement übertragen wurde.</w:t>
      </w:r>
    </w:p>
    <w:p>
      <w:r>
        <w:t xml:space="preserve">(3) </w:t>
      </w:r>
      <w:r>
        <w:rPr>
          <w:rStyle w:val="Satznummer"/>
        </w:rPr>
        <w:t>1</w:t>
      </w:r>
      <w:r>
        <w:t xml:space="preserve">Wird ein ausführender Verfrachter nach § 509 von dem aus dem Konnossement Berechtigten in Anspruch genommen, kann auch der ausführende Verfrachter die Einwendungen nach Absatz 1 geltend machen. </w:t>
      </w:r>
      <w:r>
        <w:rPr>
          <w:rStyle w:val="Satznummer"/>
        </w:rPr>
        <w:t>2</w:t>
      </w:r>
      <w:r>
        <w:t xml:space="preserve">Abweichend von Absatz 2 kann der ausführende Verfrachter darüber hinaus die Vermutungen nach </w:t>
      </w:r>
      <w:hyperlink w:anchor="b697" w:history="1">
        <w:r>
          <w:rPr>
            <w:color w:val="0A3A8C"/>
            <w:u w:val="single"/>
          </w:rPr>
          <w:t xml:space="preserve">§ 517</w:t>
        </w:r>
      </w:hyperlink>
      <w:r>
        <w:t xml:space="preserve"> widerlegen, wenn das Konnossement weder von ihm noch von einem für ihn zur Zeichnung von Konnossementen Befugten ausgestellt wurde.</w:t>
      </w:r>
    </w:p>
    <w:p>
      <w:pPr>
        <w:pStyle w:val="Heading6"/>
      </w:pPr>
      <w:bookmarkStart w:id="704" w:name="b703"/>
      <w:r>
        <w:t>§ 523 Haftung für unrichtige Konnossementsangaben</w:t>
      </w:r>
      <w:r>
        <w:t xml:space="preserve"> </w:t>
      </w:r>
      <w:r>
        <w:rPr>
          <w:rStyle w:val="Suchmarke"/>
        </w:rPr>
        <w:t>#523#</w:t>
      </w:r>
      <w:bookmarkEnd w:id="704"/>
    </w:p>
    <w:p>
      <w:r>
        <w:t xml:space="preserve">(1) </w:t>
      </w:r>
      <w:r>
        <w:rPr>
          <w:rStyle w:val="Satznummer"/>
        </w:rPr>
        <w:t>1</w:t>
      </w:r>
      <w:r>
        <w:t xml:space="preserve">Der Verfrachter haftet für den Schaden, der dem aus dem Konnossement Berechtigten dadurch entsteht, dass die in das Konnossement nach den </w:t>
      </w:r>
      <w:hyperlink w:anchor="b695" w:history="1">
        <w:r>
          <w:rPr>
            <w:color w:val="0A3A8C"/>
            <w:u w:val="single"/>
          </w:rPr>
          <w:t xml:space="preserve">§§ 515</w:t>
        </w:r>
      </w:hyperlink>
      <w:r>
        <w:t xml:space="preserve"> und </w:t>
      </w:r>
      <w:hyperlink w:anchor="b697" w:history="1">
        <w:r>
          <w:rPr>
            <w:color w:val="0A3A8C"/>
            <w:u w:val="single"/>
          </w:rPr>
          <w:t xml:space="preserve">517</w:t>
        </w:r>
      </w:hyperlink>
      <w:r>
        <w:t xml:space="preserve"> Absatz 2 aufzunehmenden Angaben und Vorbehalte fehlen oder die in das Konnossement aufgenommenen Angaben oder Vorbehalte unrichtig sind. </w:t>
      </w:r>
      <w:r>
        <w:rPr>
          <w:rStyle w:val="Satznummer"/>
        </w:rPr>
        <w:t>2</w:t>
      </w:r>
      <w:r>
        <w:t xml:space="preserve">Dies gilt insbesondere dann, wenn das Gut bei Übernahme durch den Verfrachter nicht in äußerlich erkennbar guter Verfassung war und das Konnossement hierüber weder eine Angabe nach </w:t>
      </w:r>
      <w:hyperlink w:anchor="b695" w:history="1">
        <w:r>
          <w:rPr>
            <w:color w:val="0A3A8C"/>
            <w:u w:val="single"/>
          </w:rPr>
          <w:t xml:space="preserve">§ 515</w:t>
        </w:r>
      </w:hyperlink>
      <w:r>
        <w:t xml:space="preserve"> Absatz 1 Nummer 7 noch einen Vorbehalt nach </w:t>
      </w:r>
      <w:hyperlink w:anchor="b697" w:history="1">
        <w:r>
          <w:rPr>
            <w:color w:val="0A3A8C"/>
            <w:u w:val="single"/>
          </w:rPr>
          <w:t xml:space="preserve">§ 517</w:t>
        </w:r>
      </w:hyperlink>
      <w:r>
        <w:t xml:space="preserve"> Absatz 2 enthält. </w:t>
      </w:r>
      <w:r>
        <w:rPr>
          <w:rStyle w:val="Satznummer"/>
        </w:rPr>
        <w:t>3</w:t>
      </w:r>
      <w:r>
        <w:t>Die Haftung nach den Sätzen 1 und 2 entfällt, wenn der Verfrachter weder gewusst hat noch bei Anwendung der Sorgfalt eines ordentlichen Verfrachters hätte wissen müssen, dass die Angaben fehlen oder unrichtig oder unvollständig sind.</w:t>
      </w:r>
    </w:p>
    <w:p>
      <w:r>
        <w:t>(2) Wird ein Bordkonnossement ausgestellt, bevor der Verfrachter das Gut übernommen hat, oder wird in das Übernahmekonnossement ein Bordvermerk aufgenommen, bevor das Gut an Bord genommen wurde, so haftet der Verfrachter, auch wenn ihn kein Verschulden trifft, für den Schaden, der dem aus dem Konnossement Berechtigten daraus entsteht.</w:t>
      </w:r>
    </w:p>
    <w:p>
      <w:r>
        <w:t xml:space="preserve">(3) </w:t>
      </w:r>
      <w:r>
        <w:rPr>
          <w:rStyle w:val="Satznummer"/>
        </w:rPr>
        <w:t>1</w:t>
      </w:r>
      <w:r>
        <w:t xml:space="preserve">Ist in einem Konnossement, das vom Kapitän oder von einem anderen zur Zeichnung von Konnossementen für den Reeder Befugten ausgestellt wurde, der Name des Verfrachters unrichtig angegeben, so haftet auch der Reeder für den Schaden, der dem aus dem Konnossement Berechtigten aus der Unrichtigkeit der Angabe entsteht. </w:t>
      </w:r>
      <w:r>
        <w:rPr>
          <w:rStyle w:val="Satznummer"/>
        </w:rPr>
        <w:t>2</w:t>
      </w:r>
      <w:r>
        <w:t>Die Haftung nach Satz 1 entfällt, wenn der Aussteller des Konnossements weder gewusst hat noch bei Anwendung der Sorgfalt eines ordentlichen Verfrachters hätte wissen müssen, dass der Name des Verfrachters nicht oder unrichtig angegeben ist.</w:t>
      </w:r>
    </w:p>
    <w:p>
      <w:r>
        <w:t>(4) Die Haftung nach den Absätzen 1 bis 3 ist auf den Betrag begrenzt, der bei Verlust des Gutes zu zahlen wäre.</w:t>
      </w:r>
    </w:p>
    <w:p>
      <w:pPr>
        <w:pStyle w:val="Heading6"/>
      </w:pPr>
      <w:bookmarkStart w:id="705" w:name="b704"/>
      <w:r>
        <w:t>§ 524 Traditionswirkung des Konnossements</w:t>
      </w:r>
      <w:r>
        <w:t xml:space="preserve"> </w:t>
      </w:r>
      <w:r>
        <w:rPr>
          <w:rStyle w:val="Suchmarke"/>
        </w:rPr>
        <w:t>#524#</w:t>
      </w:r>
      <w:bookmarkEnd w:id="705"/>
    </w:p>
    <w:p>
      <w:r>
        <w:rPr>
          <w:rStyle w:val="Satznummer"/>
        </w:rPr>
        <w:t>1</w:t>
      </w:r>
      <w:r>
        <w:t xml:space="preserve">Die Begebung des Konnossements an den darin benannten Empfänger hat, sofern der Verfrachter das Gut im Besitz hat, für den Erwerb von Rechten an dem Gut dieselben Wirkungen wie die Übergabe des Gutes. </w:t>
      </w:r>
      <w:r>
        <w:rPr>
          <w:rStyle w:val="Satznummer"/>
        </w:rPr>
        <w:t>2</w:t>
      </w:r>
      <w:r>
        <w:t>Gleiches gilt für die Übertragung des Konnossements an Dritte.</w:t>
      </w:r>
    </w:p>
    <w:p>
      <w:pPr>
        <w:pStyle w:val="Heading6"/>
      </w:pPr>
      <w:bookmarkStart w:id="706" w:name="b705"/>
      <w:r>
        <w:t>§ 525 Abweichende Bestimmung im Konnossement</w:t>
      </w:r>
      <w:r>
        <w:t xml:space="preserve"> </w:t>
      </w:r>
      <w:r>
        <w:rPr>
          <w:rStyle w:val="Suchmarke"/>
        </w:rPr>
        <w:t>#525#</w:t>
      </w:r>
      <w:bookmarkEnd w:id="706"/>
    </w:p>
    <w:p>
      <w:r>
        <w:rPr>
          <w:rStyle w:val="Satznummer"/>
        </w:rPr>
        <w:t>1</w:t>
      </w:r>
      <w:r>
        <w:t xml:space="preserve">Eine Bestimmung im Konnossement, die von den Haftungsvorschriften in den </w:t>
      </w:r>
      <w:hyperlink w:anchor="b677" w:history="1">
        <w:r>
          <w:rPr>
            <w:color w:val="0A3A8C"/>
            <w:u w:val="single"/>
          </w:rPr>
          <w:t xml:space="preserve">§§ 498</w:t>
        </w:r>
      </w:hyperlink>
      <w:r>
        <w:t xml:space="preserve"> bis </w:t>
      </w:r>
      <w:hyperlink w:anchor="b690" w:history="1">
        <w:r>
          <w:rPr>
            <w:color w:val="0A3A8C"/>
            <w:u w:val="single"/>
          </w:rPr>
          <w:t xml:space="preserve">511</w:t>
        </w:r>
      </w:hyperlink>
      <w:r>
        <w:t xml:space="preserve"> oder in </w:t>
      </w:r>
      <w:hyperlink w:anchor="b700" w:history="1">
        <w:r>
          <w:rPr>
            <w:color w:val="0A3A8C"/>
            <w:u w:val="single"/>
          </w:rPr>
          <w:t xml:space="preserve">§ 520</w:t>
        </w:r>
      </w:hyperlink>
      <w:r>
        <w:t xml:space="preserve"> Absatz 2, </w:t>
      </w:r>
      <w:hyperlink w:anchor="b701" w:history="1">
        <w:r>
          <w:rPr>
            <w:color w:val="0A3A8C"/>
            <w:u w:val="single"/>
          </w:rPr>
          <w:t xml:space="preserve">§ 521</w:t>
        </w:r>
      </w:hyperlink>
      <w:r>
        <w:t xml:space="preserve"> Absatz 4 oder </w:t>
      </w:r>
      <w:hyperlink w:anchor="b703" w:history="1">
        <w:r>
          <w:rPr>
            <w:color w:val="0A3A8C"/>
            <w:u w:val="single"/>
          </w:rPr>
          <w:t xml:space="preserve">§ 523</w:t>
        </w:r>
      </w:hyperlink>
      <w:r>
        <w:t xml:space="preserve"> abweicht, ist nur wirksam, wenn die Voraussetzungen des </w:t>
      </w:r>
      <w:hyperlink w:anchor="b691" w:history="1">
        <w:r>
          <w:rPr>
            <w:color w:val="0A3A8C"/>
            <w:u w:val="single"/>
          </w:rPr>
          <w:t xml:space="preserve">§ 512</w:t>
        </w:r>
      </w:hyperlink>
      <w:r>
        <w:t xml:space="preserve"> erfüllt sind. </w:t>
      </w:r>
      <w:r>
        <w:rPr>
          <w:rStyle w:val="Satznummer"/>
        </w:rPr>
        <w:t>2</w:t>
      </w:r>
      <w:r>
        <w:t xml:space="preserve">Der Verfrachter kann sich jedoch auf eine Bestimmung im Konnossement, die von den in Satz 1 genannten Haftungsvorschriften zu Lasten des aus dem Konnossement Berechtigten abweicht, nicht gegenüber einem im Konnossement benannten Empfänger, an den das Konnossement begeben wurde, sowie gegenüber einem Dritten, dem das Konnossement übertragen wurde, berufen. </w:t>
      </w:r>
      <w:r>
        <w:rPr>
          <w:rStyle w:val="Satznummer"/>
        </w:rPr>
        <w:t>3</w:t>
      </w:r>
      <w:r>
        <w:t xml:space="preserve">Satz 2 gilt nicht für eine Bestimmung nach </w:t>
      </w:r>
      <w:hyperlink w:anchor="b691" w:history="1">
        <w:r>
          <w:rPr>
            <w:color w:val="0A3A8C"/>
            <w:u w:val="single"/>
          </w:rPr>
          <w:t xml:space="preserve">§ 512</w:t>
        </w:r>
      </w:hyperlink>
      <w:r>
        <w:t xml:space="preserve"> Absatz 2 Nummer 1.</w:t>
      </w:r>
    </w:p>
    <w:p>
      <w:pPr>
        <w:pStyle w:val="Heading6"/>
      </w:pPr>
      <w:bookmarkStart w:id="707" w:name="b706"/>
      <w:r>
        <w:t>§ 526 Seefrachtbrief. Verordnungsermächtigung</w:t>
      </w:r>
      <w:r>
        <w:t xml:space="preserve"> </w:t>
      </w:r>
      <w:r>
        <w:rPr>
          <w:rStyle w:val="Suchmarke"/>
        </w:rPr>
        <w:t>#526#</w:t>
      </w:r>
      <w:bookmarkEnd w:id="707"/>
    </w:p>
    <w:p>
      <w:r>
        <w:t xml:space="preserve">(1) </w:t>
      </w:r>
      <w:r>
        <w:rPr>
          <w:rStyle w:val="Satznummer"/>
        </w:rPr>
        <w:t>1</w:t>
      </w:r>
      <w:r>
        <w:t xml:space="preserve">Der Verfrachter kann, sofern er nicht ein Konnossement ausgestellt hat, einen Seefrachtbrief ausstellen. </w:t>
      </w:r>
      <w:r>
        <w:rPr>
          <w:rStyle w:val="Satznummer"/>
        </w:rPr>
        <w:t>2</w:t>
      </w:r>
      <w:r>
        <w:t xml:space="preserve">Auf den Inhalt des Seefrachtbriefs ist </w:t>
      </w:r>
      <w:hyperlink w:anchor="b695" w:history="1">
        <w:r>
          <w:rPr>
            <w:color w:val="0A3A8C"/>
            <w:u w:val="single"/>
          </w:rPr>
          <w:t xml:space="preserve">§ 515</w:t>
        </w:r>
      </w:hyperlink>
      <w:r>
        <w:t xml:space="preserve"> entsprechend anzuwenden mit der Maßgabe, dass an die Stelle des Abladers der Befrachter tritt.</w:t>
      </w:r>
    </w:p>
    <w:p>
      <w:r>
        <w:t xml:space="preserve">(2) </w:t>
      </w:r>
      <w:r>
        <w:rPr>
          <w:rStyle w:val="Satznummer"/>
        </w:rPr>
        <w:t>1</w:t>
      </w:r>
      <w:r>
        <w:t xml:space="preserve">Der Seefrachtbrief dient bis zum Beweis des Gegenteils als Nachweis für Abschluss und Inhalt des Stückgutfrachtvertrages sowie für die Übernahme des Gutes durch den Verfrachter. </w:t>
      </w:r>
      <w:r>
        <w:rPr>
          <w:rStyle w:val="Satznummer"/>
        </w:rPr>
        <w:t>2</w:t>
      </w:r>
      <w:hyperlink w:anchor="b697" w:history="1">
        <w:r>
          <w:rPr>
            <w:color w:val="0A3A8C"/>
            <w:u w:val="single"/>
          </w:rPr>
          <w:t xml:space="preserve">§ 517</w:t>
        </w:r>
      </w:hyperlink>
      <w:r>
        <w:t xml:space="preserve"> ist entsprechend anzuwenden.</w:t>
      </w:r>
    </w:p>
    <w:p>
      <w:r>
        <w:t>(3) Der Seefrachtbrief ist vom Verfrachter zu unterzeichnen; eine Nachbildung der eigenhändigen Unterschrift durch Druck oder Stempel genügt.</w:t>
      </w:r>
    </w:p>
    <w:p>
      <w:r>
        <w:t xml:space="preserve">(4) </w:t>
      </w:r>
      <w:r>
        <w:rPr>
          <w:rStyle w:val="Satznummer"/>
        </w:rPr>
        <w:t>1</w:t>
      </w:r>
      <w:r>
        <w:t xml:space="preserve">Dem Seefrachtbrief gleichgestellt ist eine elektronische Aufzeichnung, die dieselben Funktionen erfüllt wie der Seefrachtbrief, sofern sichergestellt ist, dass die Authentizität und die Integrität der Aufzeichnung gewahrt bleiben (elektronischer Seefrachtbrief). </w:t>
      </w:r>
      <w:r>
        <w:rPr>
          <w:rStyle w:val="Satznummer"/>
        </w:rPr>
        <w:t>2</w:t>
      </w:r>
      <w:r>
        <w:t>Das Bundesministerium der Justiz wird ermächtigt, im Einvernehmen mit dem Bundesministerium des Innern und für Heimat durch Rechtsverordnung, die nicht der Zustimmung des Bundesrates bedarf, die Einzelheiten der Ausstellung und der Vorlage eines elektronischen Seefrachtbriefs sowie die Einzelheiten des Verfahrens über nachträgliche Eintragungen in einen elektronischen Seefrachtbrief zu regeln.</w:t>
      </w:r>
    </w:p>
    <w:p>
      <w:pPr>
        <w:pStyle w:val="Heading4"/>
      </w:pPr>
      <w:bookmarkStart w:id="708" w:name="b707"/>
      <w:r>
        <w:t>Zweiter Titel Reisefrachtvertrag</w:t>
      </w:r>
      <w:bookmarkEnd w:id="708"/>
    </w:p>
    <w:p>
      <w:pPr>
        <w:pStyle w:val="Heading5"/>
      </w:pPr>
      <w:bookmarkStart w:id="709" w:name="b708"/>
      <w:r>
        <w:t>§ 527 Reisefrachtvertrag</w:t>
      </w:r>
      <w:r>
        <w:t xml:space="preserve"> </w:t>
      </w:r>
      <w:r>
        <w:rPr>
          <w:rStyle w:val="Suchmarke"/>
        </w:rPr>
        <w:t>#527#</w:t>
      </w:r>
      <w:bookmarkEnd w:id="709"/>
    </w:p>
    <w:p>
      <w:r>
        <w:t xml:space="preserve">(1) </w:t>
      </w:r>
      <w:r>
        <w:rPr>
          <w:rStyle w:val="Satznummer"/>
        </w:rPr>
        <w:t>1</w:t>
      </w:r>
      <w:r>
        <w:t xml:space="preserve">Durch den Reisefrachtvertrag wird der Verfrachter verpflichtet, das Gut mit einem bestimmten Schiff im Ganzen, mit einem verhältnismäßigen Teil eines bestimmten Schiffes oder in einem bestimmt bezeichneten Raum eines solchen Schiffes auf einer oder mehreren bestimmten Reisen über See zum Bestimmungsort zu befördern und dort dem Empfänger abzuliefern. </w:t>
      </w:r>
      <w:r>
        <w:rPr>
          <w:rStyle w:val="Satznummer"/>
        </w:rPr>
        <w:t>2</w:t>
      </w:r>
      <w:r>
        <w:t>Jede Partei kann die schriftliche Beurkundung des Reisefrachtvertrags verlangen.</w:t>
      </w:r>
    </w:p>
    <w:p>
      <w:r>
        <w:t xml:space="preserve">(2) Auf den Reisefrachtvertrag sind die </w:t>
      </w:r>
      <w:hyperlink w:anchor="b659" w:history="1">
        <w:r>
          <w:rPr>
            <w:color w:val="0A3A8C"/>
            <w:u w:val="single"/>
          </w:rPr>
          <w:t xml:space="preserve">§§ 481</w:t>
        </w:r>
      </w:hyperlink>
      <w:r>
        <w:t xml:space="preserve"> bis </w:t>
      </w:r>
      <w:hyperlink w:anchor="b690" w:history="1">
        <w:r>
          <w:rPr>
            <w:color w:val="0A3A8C"/>
            <w:u w:val="single"/>
          </w:rPr>
          <w:t xml:space="preserve">511</w:t>
        </w:r>
      </w:hyperlink>
      <w:r>
        <w:t xml:space="preserve"> und </w:t>
      </w:r>
      <w:hyperlink w:anchor="b693" w:history="1">
        <w:r>
          <w:rPr>
            <w:color w:val="0A3A8C"/>
            <w:u w:val="single"/>
          </w:rPr>
          <w:t xml:space="preserve">513</w:t>
        </w:r>
      </w:hyperlink>
      <w:r>
        <w:t xml:space="preserve"> bis </w:t>
      </w:r>
      <w:hyperlink w:anchor="b705" w:history="1">
        <w:r>
          <w:rPr>
            <w:color w:val="0A3A8C"/>
            <w:u w:val="single"/>
          </w:rPr>
          <w:t xml:space="preserve">525</w:t>
        </w:r>
      </w:hyperlink>
      <w:r>
        <w:t xml:space="preserve"> entsprechend anzuwenden, soweit die </w:t>
      </w:r>
      <w:hyperlink w:anchor="b709" w:history="1">
        <w:r>
          <w:rPr>
            <w:color w:val="0A3A8C"/>
            <w:u w:val="single"/>
          </w:rPr>
          <w:t xml:space="preserve">§§ 528</w:t>
        </w:r>
      </w:hyperlink>
      <w:r>
        <w:t xml:space="preserve"> bis </w:t>
      </w:r>
      <w:hyperlink w:anchor="b716" w:history="1">
        <w:r>
          <w:rPr>
            <w:color w:val="0A3A8C"/>
            <w:u w:val="single"/>
          </w:rPr>
          <w:t xml:space="preserve">535</w:t>
        </w:r>
      </w:hyperlink>
      <w:r>
        <w:t xml:space="preserve"> nichts anderes bestimmen.</w:t>
      </w:r>
    </w:p>
    <w:p>
      <w:pPr>
        <w:pStyle w:val="Heading5"/>
      </w:pPr>
      <w:bookmarkStart w:id="710" w:name="b709"/>
      <w:r>
        <w:t>§ 528 Ladehafen. Ladeplatz</w:t>
      </w:r>
      <w:r>
        <w:t xml:space="preserve"> </w:t>
      </w:r>
      <w:r>
        <w:rPr>
          <w:rStyle w:val="Suchmarke"/>
        </w:rPr>
        <w:t>#528#</w:t>
      </w:r>
      <w:bookmarkEnd w:id="710"/>
    </w:p>
    <w:p>
      <w:r>
        <w:t>(1) Der Verfrachter hat das Schiff zur Einnahme des Gutes an den im Reisefrachtvertrag benannten oder an den vom Befrachter nach Abschluss des Reisefrachtvertrags zu benennenden Ladeplatz hinzulegen.</w:t>
      </w:r>
    </w:p>
    <w:p>
      <w:r>
        <w:t>(2) Ist ein Ladehafen oder ein Ladeplatz im Reisefrachtvertrag nicht benannt und hat der Befrachter den Ladehafen oder Ladeplatz nach Abschluss des Reisefrachtvertrags zu benennen, so muss er mit der gebotenen Sorgfalt einen sicheren Ladehafen oder Ladeplatz auswählen.</w:t>
      </w:r>
    </w:p>
    <w:p>
      <w:pPr>
        <w:pStyle w:val="Heading5"/>
      </w:pPr>
      <w:bookmarkStart w:id="711" w:name="b710"/>
      <w:r>
        <w:t>§ 529 Anzeige der Ladebereitschaft</w:t>
      </w:r>
      <w:r>
        <w:t xml:space="preserve"> </w:t>
      </w:r>
      <w:r>
        <w:rPr>
          <w:rStyle w:val="Suchmarke"/>
        </w:rPr>
        <w:t>#529#</w:t>
      </w:r>
      <w:bookmarkEnd w:id="711"/>
    </w:p>
    <w:p>
      <w:r>
        <w:t xml:space="preserve">(1) </w:t>
      </w:r>
      <w:r>
        <w:rPr>
          <w:rStyle w:val="Satznummer"/>
        </w:rPr>
        <w:t>1</w:t>
      </w:r>
      <w:r>
        <w:t xml:space="preserve">Der Verfrachter hat, sobald das Schiff am Ladeplatz zur Einnahme des Gutes bereit ist, dem Befrachter die Ladebereitschaft anzuzeigen. </w:t>
      </w:r>
      <w:r>
        <w:rPr>
          <w:rStyle w:val="Satznummer"/>
        </w:rPr>
        <w:t>2</w:t>
      </w:r>
      <w:r>
        <w:t>Hat der Befrachter den Ladeplatz noch zu benennen, kann der Verfrachter die Ladebereitschaft bereits anzeigen, wenn das Schiff den Ladehafen erreicht hat.</w:t>
      </w:r>
    </w:p>
    <w:p>
      <w:r>
        <w:t xml:space="preserve">(2) </w:t>
      </w:r>
      <w:r>
        <w:rPr>
          <w:rStyle w:val="Satznummer"/>
        </w:rPr>
        <w:t>1</w:t>
      </w:r>
      <w:r>
        <w:t xml:space="preserve">Die Ladebereitschaft muss während der am Ladeplatz üblichen Geschäftsstunden angezeigt werden. </w:t>
      </w:r>
      <w:r>
        <w:rPr>
          <w:rStyle w:val="Satznummer"/>
        </w:rPr>
        <w:t>2</w:t>
      </w:r>
      <w:r>
        <w:t>Wird die Ladebereitschaft außerhalb der ortsüblichen Geschäftsstunden angezeigt, so gilt die Anzeige mit Beginn der auf sie folgenden ortsüblichen Geschäftsstunde als zugegangen.</w:t>
      </w:r>
    </w:p>
    <w:p>
      <w:pPr>
        <w:pStyle w:val="Heading5"/>
      </w:pPr>
      <w:bookmarkStart w:id="712" w:name="b711"/>
      <w:r>
        <w:t>§ 530 Ladezeit. Überliegezeit</w:t>
      </w:r>
      <w:r>
        <w:t xml:space="preserve"> </w:t>
      </w:r>
      <w:r>
        <w:rPr>
          <w:rStyle w:val="Suchmarke"/>
        </w:rPr>
        <w:t>#530#</w:t>
      </w:r>
      <w:bookmarkEnd w:id="712"/>
    </w:p>
    <w:p>
      <w:r>
        <w:t>(1) Mit dem auf die Anzeige folgenden Tag beginnt die Ladezeit.</w:t>
      </w:r>
    </w:p>
    <w:p>
      <w:r>
        <w:t>(2) Für die Ladezeit kann, sofern nichts Abweichendes vereinbart ist, keine besondere Vergütung verlangt werden.</w:t>
      </w:r>
    </w:p>
    <w:p>
      <w:r>
        <w:t xml:space="preserve">(3) </w:t>
      </w:r>
      <w:r>
        <w:rPr>
          <w:rStyle w:val="Satznummer"/>
        </w:rPr>
        <w:t>1</w:t>
      </w:r>
      <w:r>
        <w:t xml:space="preserve">Wartet der Verfrachter auf Grund vertraglicher Vereinbarung oder aus Gründen, die nicht seinem Risikobereich zuzurechnen sind, über die Ladezeit hinaus (Überliegezeit), so hat er Anspruch auf eine angemessene Vergütung (Liegegeld). </w:t>
      </w:r>
      <w:r>
        <w:rPr>
          <w:rStyle w:val="Satznummer"/>
        </w:rPr>
        <w:t>2</w:t>
      </w:r>
      <w:r>
        <w:t xml:space="preserve">Macht der Empfänger nach Ankunft des Schiffes am Löschplatz sein Recht entsprechend </w:t>
      </w:r>
      <w:hyperlink w:anchor="b672" w:history="1">
        <w:r>
          <w:rPr>
            <w:color w:val="0A3A8C"/>
            <w:u w:val="single"/>
          </w:rPr>
          <w:t xml:space="preserve">§ 494</w:t>
        </w:r>
      </w:hyperlink>
      <w:r>
        <w:t xml:space="preserve"> Absatz 1 Satz 1 geltend, so schuldet auch er das Liegegeld, wenn ihm der geschuldete Betrag bei Ablieferung des Gutes mitgeteilt worden ist.</w:t>
      </w:r>
    </w:p>
    <w:p>
      <w:r>
        <w:t xml:space="preserve">(4) </w:t>
      </w:r>
      <w:r>
        <w:rPr>
          <w:rStyle w:val="Satznummer"/>
        </w:rPr>
        <w:t>1</w:t>
      </w:r>
      <w:r>
        <w:t xml:space="preserve">Die Ladezeit und die Überliegezeit bemessen sich mangels abweichender Vereinbarung nach einer den Umständen des Falles angemessenen Frist. </w:t>
      </w:r>
      <w:r>
        <w:rPr>
          <w:rStyle w:val="Satznummer"/>
        </w:rPr>
        <w:t>2</w:t>
      </w:r>
      <w:r>
        <w:t xml:space="preserve">Bei der Berechnung der Lade- und Überliegezeit werden die Tage in ununterbrochen fortlaufender Reihenfolge unter Einschluss der Sonntage und der Feiertage gezählt. </w:t>
      </w:r>
      <w:r>
        <w:rPr>
          <w:rStyle w:val="Satznummer"/>
        </w:rPr>
        <w:t>3</w:t>
      </w:r>
      <w:r>
        <w:t>Nicht in Ansatz kommt die Zeit, in der das Verladen des Gutes aus Gründen, die dem Risikobereich des Verfrachters zuzurechnen sind, unmöglich ist.</w:t>
      </w:r>
    </w:p>
    <w:p>
      <w:pPr>
        <w:pStyle w:val="Heading5"/>
      </w:pPr>
      <w:bookmarkStart w:id="713" w:name="b712"/>
      <w:r>
        <w:t>§ 531 Verladen</w:t>
      </w:r>
      <w:r>
        <w:t xml:space="preserve"> </w:t>
      </w:r>
      <w:r>
        <w:rPr>
          <w:rStyle w:val="Suchmarke"/>
        </w:rPr>
        <w:t>#531#</w:t>
      </w:r>
      <w:bookmarkEnd w:id="713"/>
    </w:p>
    <w:p>
      <w:r>
        <w:t xml:space="preserve">(1) </w:t>
      </w:r>
      <w:r>
        <w:rPr>
          <w:rStyle w:val="Satznummer"/>
        </w:rPr>
        <w:t>1</w:t>
      </w:r>
      <w:r>
        <w:t xml:space="preserve">Soweit sich aus den Umständen oder der Verkehrssitte nicht etwas anderes ergibt, hat der Befrachter das Gut zu verladen. </w:t>
      </w:r>
      <w:r>
        <w:rPr>
          <w:rStyle w:val="Satznummer"/>
        </w:rPr>
        <w:t>2</w:t>
      </w:r>
      <w:r>
        <w:t>Die Verantwortung des Verfrachters für die Seetüchtigkeit des beladenen Schiffes bleibt unberührt.</w:t>
      </w:r>
    </w:p>
    <w:p>
      <w:r>
        <w:t>(2) Der Verfrachter ist nicht befugt, das Gut umzuladen.</w:t>
      </w:r>
    </w:p>
    <w:p>
      <w:pPr>
        <w:pStyle w:val="Heading5"/>
      </w:pPr>
      <w:bookmarkStart w:id="714" w:name="b713"/>
      <w:r>
        <w:t>§ 532 Kündigung durch den Befrachter</w:t>
      </w:r>
      <w:r>
        <w:t xml:space="preserve"> </w:t>
      </w:r>
      <w:r>
        <w:rPr>
          <w:rStyle w:val="Suchmarke"/>
        </w:rPr>
        <w:t>#532#</w:t>
      </w:r>
      <w:bookmarkEnd w:id="714"/>
    </w:p>
    <w:p>
      <w:r>
        <w:t>(1) Der Befrachter kann den Reisefrachtvertrag jederzeit kündigen.</w:t>
      </w:r>
    </w:p>
    <w:p>
      <w:r>
        <w:t xml:space="preserve">(2) Kündigt der Befrachter, so kann der Verfrachter, wenn er einen Anspruch nach </w:t>
      </w:r>
      <w:hyperlink w:anchor="b667" w:history="1">
        <w:r>
          <w:rPr>
            <w:color w:val="0A3A8C"/>
            <w:u w:val="single"/>
          </w:rPr>
          <w:t xml:space="preserve">§ 489</w:t>
        </w:r>
      </w:hyperlink>
      <w:r>
        <w:t xml:space="preserve"> Absatz 2 Satz 1 Nummer 1 geltend macht, auch ein etwaiges Liegegeld verlangen.</w:t>
      </w:r>
    </w:p>
    <w:p>
      <w:pPr>
        <w:pStyle w:val="Heading5"/>
      </w:pPr>
      <w:bookmarkStart w:id="715" w:name="b714"/>
      <w:r>
        <w:t>§ 533 Teilbeförderung</w:t>
      </w:r>
      <w:r>
        <w:t xml:space="preserve"> </w:t>
      </w:r>
      <w:r>
        <w:rPr>
          <w:rStyle w:val="Suchmarke"/>
        </w:rPr>
        <w:t>#533#</w:t>
      </w:r>
      <w:bookmarkEnd w:id="715"/>
    </w:p>
    <w:p>
      <w:r>
        <w:t xml:space="preserve">(1) </w:t>
      </w:r>
      <w:r>
        <w:rPr>
          <w:rStyle w:val="Satznummer"/>
        </w:rPr>
        <w:t>1</w:t>
      </w:r>
      <w:r>
        <w:t xml:space="preserve">Der Befrachter kann jederzeit verlangen, dass der Verfrachter nur einen Teil des Gutes befördert. </w:t>
      </w:r>
      <w:r>
        <w:rPr>
          <w:rStyle w:val="Satznummer"/>
        </w:rPr>
        <w:t>2</w:t>
      </w:r>
      <w:r>
        <w:t xml:space="preserve">Macht der Befrachter von diesem Recht Gebrauch, gebühren dem Verfrachter die volle Fracht, das etwaige Liegegeld sowie Ersatz der Aufwendungen, die ihm durch das Fehlen eines Teils des Gutes entstehen. </w:t>
      </w:r>
      <w:r>
        <w:rPr>
          <w:rStyle w:val="Satznummer"/>
        </w:rPr>
        <w:t>3</w:t>
      </w:r>
      <w:r>
        <w:t xml:space="preserve">Ist der Verfrachter nach dem Reisefrachtvertrag berechtigt, mit demselben Schiff anstelle der nicht verladenen Frachtstücke anderes Gut zu befördern, und macht er von diesem Recht Gebrauch, so ist von der vollen Fracht die Fracht für die Beförderung dieses anderen Gutes abzuziehen. </w:t>
      </w:r>
      <w:r>
        <w:rPr>
          <w:rStyle w:val="Satznummer"/>
        </w:rPr>
        <w:t>4</w:t>
      </w:r>
      <w:r>
        <w:t xml:space="preserve">Soweit dem Verfrachter durch das Fehlen eines Teils des Gutes die Sicherheit für die volle Fracht entgeht, kann er außerdem eine anderweitige Sicherheit verlangen. </w:t>
      </w:r>
      <w:r>
        <w:rPr>
          <w:rStyle w:val="Satznummer"/>
        </w:rPr>
        <w:t>5</w:t>
      </w:r>
      <w:r>
        <w:t>Unterbleibt die Beförderung der vollständigen Ladung aus Gründen, die dem Risikobereich des Verfrachters zuzurechnen sind, steht dem Verfrachter der Anspruch nach den Sätzen 2 bis 4 nur insoweit zu, als tatsächlich Gut befördert wird.</w:t>
      </w:r>
    </w:p>
    <w:p>
      <w:r>
        <w:t xml:space="preserve">(2) </w:t>
      </w:r>
      <w:r>
        <w:rPr>
          <w:rStyle w:val="Satznummer"/>
        </w:rPr>
        <w:t>1</w:t>
      </w:r>
      <w:r>
        <w:t xml:space="preserve">Verlädt der Befrachter das Gut nicht oder nicht vollständig innerhalb der Ladezeit und einer vereinbarten Überliegezeit oder wird das Gut, wenn dem Befrachter die Verladung nicht obliegt, nicht oder nicht vollständig innerhalb dieser Zeit abgeladen, so kann der Verfrachter dem Befrachter eine angemessene Frist setzen, innerhalb derer das Gut verladen oder abgeladen werden soll. </w:t>
      </w:r>
      <w:r>
        <w:rPr>
          <w:rStyle w:val="Satznummer"/>
        </w:rPr>
        <w:t>2</w:t>
      </w:r>
      <w:r>
        <w:t xml:space="preserve">Wird das Gut bis zum Ablauf der Frist nur teilweise verladen oder abgeladen, kann der Verfrachter die bereits verladenen oder abgeladenen Frachtstücke befördern und die Ansprüche nach Absatz 1 Satz 2 bis 4 geltend machen. </w:t>
      </w:r>
      <w:r>
        <w:rPr>
          <w:rStyle w:val="Satznummer"/>
        </w:rPr>
        <w:t>3</w:t>
      </w:r>
      <w:hyperlink w:anchor="b668" w:history="1">
        <w:r>
          <w:rPr>
            <w:color w:val="0A3A8C"/>
            <w:u w:val="single"/>
          </w:rPr>
          <w:t xml:space="preserve">§ 490</w:t>
        </w:r>
      </w:hyperlink>
      <w:r>
        <w:t xml:space="preserve"> Absatz 4 ist entsprechend anzuwenden.</w:t>
      </w:r>
    </w:p>
    <w:p>
      <w:pPr>
        <w:pStyle w:val="Heading5"/>
      </w:pPr>
      <w:bookmarkStart w:id="716" w:name="b715"/>
      <w:r>
        <w:t>§ 534 Kündigung durch den Verfrachter</w:t>
      </w:r>
      <w:r>
        <w:t xml:space="preserve"> </w:t>
      </w:r>
      <w:r>
        <w:rPr>
          <w:rStyle w:val="Suchmarke"/>
        </w:rPr>
        <w:t>#534#</w:t>
      </w:r>
      <w:bookmarkEnd w:id="716"/>
    </w:p>
    <w:p>
      <w:r>
        <w:t xml:space="preserve">(1) Verlädt der Befrachter kein Gut innerhalb der Ladezeit und einer vereinbarten Überliegezeit oder wird, wenn dem Befrachter die Verladung nicht obliegt, kein Gut innerhalb dieser Zeit abgeladen, so kann der Verfrachter den Vertrag nach Maßgabe des </w:t>
      </w:r>
      <w:hyperlink w:anchor="b668" w:history="1">
        <w:r>
          <w:rPr>
            <w:color w:val="0A3A8C"/>
            <w:u w:val="single"/>
          </w:rPr>
          <w:t xml:space="preserve">§ 490</w:t>
        </w:r>
      </w:hyperlink>
      <w:r>
        <w:t xml:space="preserve"> kündigen und die Ansprüche nach </w:t>
      </w:r>
      <w:hyperlink w:anchor="b667" w:history="1">
        <w:r>
          <w:rPr>
            <w:color w:val="0A3A8C"/>
            <w:u w:val="single"/>
          </w:rPr>
          <w:t xml:space="preserve">§ 489</w:t>
        </w:r>
      </w:hyperlink>
      <w:r>
        <w:t xml:space="preserve"> Absatz 2 in Verbindung mit </w:t>
      </w:r>
      <w:hyperlink w:anchor="b713" w:history="1">
        <w:r>
          <w:rPr>
            <w:color w:val="0A3A8C"/>
            <w:u w:val="single"/>
          </w:rPr>
          <w:t xml:space="preserve">§ 532</w:t>
        </w:r>
      </w:hyperlink>
      <w:r>
        <w:t xml:space="preserve"> Absatz 2 geltend machen.</w:t>
      </w:r>
    </w:p>
    <w:p>
      <w:r>
        <w:t xml:space="preserve">(2) Der Verfrachter kann den Vertrag bereits vor Ablauf der Ladezeit und einer vereinbarten Überliegezeit nach Maßgabe des </w:t>
      </w:r>
      <w:hyperlink w:anchor="b668" w:history="1">
        <w:r>
          <w:rPr>
            <w:color w:val="0A3A8C"/>
            <w:u w:val="single"/>
          </w:rPr>
          <w:t xml:space="preserve">§ 490</w:t>
        </w:r>
      </w:hyperlink>
      <w:r>
        <w:t xml:space="preserve"> kündigen, wenn offensichtlich ist, dass das Gut nicht verladen oder abgeladen wird.</w:t>
      </w:r>
    </w:p>
    <w:p>
      <w:pPr>
        <w:pStyle w:val="Heading5"/>
      </w:pPr>
      <w:bookmarkStart w:id="717" w:name="b716"/>
      <w:r>
        <w:t>§ 535 Löschen</w:t>
      </w:r>
      <w:r>
        <w:t xml:space="preserve"> </w:t>
      </w:r>
      <w:r>
        <w:rPr>
          <w:rStyle w:val="Suchmarke"/>
        </w:rPr>
        <w:t>#535#</w:t>
      </w:r>
      <w:bookmarkEnd w:id="717"/>
    </w:p>
    <w:p>
      <w:r>
        <w:t xml:space="preserve">(1) </w:t>
      </w:r>
      <w:r>
        <w:rPr>
          <w:rStyle w:val="Satznummer"/>
        </w:rPr>
        <w:t>1</w:t>
      </w:r>
      <w:r>
        <w:t xml:space="preserve">Die </w:t>
      </w:r>
      <w:hyperlink w:anchor="b709" w:history="1">
        <w:r>
          <w:rPr>
            <w:color w:val="0A3A8C"/>
            <w:u w:val="single"/>
          </w:rPr>
          <w:t xml:space="preserve">§§ 528</w:t>
        </w:r>
      </w:hyperlink>
      <w:r>
        <w:t xml:space="preserve"> bis </w:t>
      </w:r>
      <w:hyperlink w:anchor="b712" w:history="1">
        <w:r>
          <w:rPr>
            <w:color w:val="0A3A8C"/>
            <w:u w:val="single"/>
          </w:rPr>
          <w:t xml:space="preserve">531</w:t>
        </w:r>
      </w:hyperlink>
      <w:r>
        <w:t xml:space="preserve"> über Ladehafen und Ladeplatz, Anzeige der Ladebereitschaft, Ladezeit und Verladen sind entsprechend auf Löschhafen und Löschplatz, Anzeige der Löschbereitschaft, Löschzeit und Löschen anzuwenden. </w:t>
      </w:r>
      <w:r>
        <w:rPr>
          <w:rStyle w:val="Satznummer"/>
        </w:rPr>
        <w:t>2</w:t>
      </w:r>
      <w:r>
        <w:t xml:space="preserve">Abweichend von </w:t>
      </w:r>
      <w:hyperlink w:anchor="b711" w:history="1">
        <w:r>
          <w:rPr>
            <w:color w:val="0A3A8C"/>
            <w:u w:val="single"/>
          </w:rPr>
          <w:t xml:space="preserve">§ 530</w:t>
        </w:r>
      </w:hyperlink>
      <w:r>
        <w:t xml:space="preserve"> Absatz 3 Satz 2 schuldet der Empfänger jedoch auch dann Liegegeld wegen Überschreitung der Löschzeit, wenn ihm der geschuldete Betrag bei Ablieferung des Gutes nicht mitgeteilt worden ist.</w:t>
      </w:r>
    </w:p>
    <w:p>
      <w:r>
        <w:t>(2) Ist der Empfänger dem Verfrachter unbekannt, so ist die Anzeige der Löschbereitschaft durch öffentliche Bekanntmachung in ortsüblicher Weise zu bewirken.</w:t>
      </w:r>
    </w:p>
    <w:p>
      <w:pPr>
        <w:pStyle w:val="Heading3"/>
      </w:pPr>
      <w:bookmarkStart w:id="718" w:name="b717"/>
      <w:r>
        <w:t>Zweiter Unterabschnitt Personenbeförderungsverträge</w:t>
      </w:r>
      <w:bookmarkEnd w:id="718"/>
    </w:p>
    <w:p>
      <w:pPr>
        <w:pStyle w:val="Heading4"/>
      </w:pPr>
      <w:bookmarkStart w:id="719" w:name="b718"/>
      <w:r>
        <w:t>§ 536 Anwendungsbereich</w:t>
      </w:r>
      <w:r>
        <w:t xml:space="preserve"> </w:t>
      </w:r>
      <w:r>
        <w:rPr>
          <w:rStyle w:val="Suchmarke"/>
        </w:rPr>
        <w:t>#536#</w:t>
      </w:r>
      <w:bookmarkEnd w:id="719"/>
    </w:p>
    <w:p>
      <w:r>
        <w:t xml:space="preserve">(1) </w:t>
      </w:r>
      <w:r>
        <w:rPr>
          <w:rStyle w:val="Satznummer"/>
        </w:rPr>
        <w:t>1</w:t>
      </w:r>
      <w:r>
        <w:t xml:space="preserve">Für Schäden, die bei der Beförderung von Fahrgästen und ihrem Gepäck über See durch den Tod oder die Körperverletzung eines Fahrgasts oder durch den Verlust, die Beschädigung oder verspätete Aushändigung von Gepäck entstehen, haften der Beförderer und der ausführende Beförderer nach den Vorschriften dieses Unterabschnitts. </w:t>
      </w:r>
      <w:r>
        <w:rPr>
          <w:rStyle w:val="Satznummer"/>
        </w:rPr>
        <w:t>2</w:t>
      </w:r>
      <w:r>
        <w:t xml:space="preserve">Das Recht, eine Beschränkung der Haftung nach den </w:t>
      </w:r>
      <w:hyperlink w:anchor="b803" w:history="1">
        <w:r>
          <w:rPr>
            <w:color w:val="0A3A8C"/>
            <w:u w:val="single"/>
          </w:rPr>
          <w:t xml:space="preserve">§§ 611</w:t>
        </w:r>
      </w:hyperlink>
      <w:r>
        <w:t xml:space="preserve"> bis </w:t>
      </w:r>
      <w:hyperlink w:anchor="b809" w:history="1">
        <w:r>
          <w:rPr>
            <w:color w:val="0A3A8C"/>
            <w:u w:val="single"/>
          </w:rPr>
          <w:t xml:space="preserve">617</w:t>
        </w:r>
      </w:hyperlink>
      <w:r>
        <w:t xml:space="preserve"> oder den §§ 4 bis 5n des Binnenschifffahrtsgesetzes geltend zu machen, bleibt unberührt.</w:t>
      </w:r>
    </w:p>
    <w:p>
      <w:r>
        <w:t xml:space="preserve">(2) </w:t>
      </w:r>
      <w:r>
        <w:rPr>
          <w:rStyle w:val="Satznummer"/>
        </w:rPr>
        <w:t>1</w:t>
      </w:r>
      <w:r>
        <w:t>Die Vorschriften dieses Unterabschnitts gelten nicht, soweit die folgenden Regelungen maßgeblich sind:</w:t>
      </w:r>
    </w:p>
    <w:p>
      <w:pPr>
        <w:tabs>
          <w:tab w:pos="567" w:val="left"/>
        </w:tabs>
        <w:ind w:left="567" w:hanging="567"/>
      </w:pPr>
      <w:r>
        <w:t>1.</w:t>
      </w:r>
      <w:r>
        <w:tab/>
      </w:r>
      <w:r>
        <w:t>unmittelbar anwendbare Regelungen der Europäischen Union in ihrer jeweils geltenden Fassung, insbesondere die Verordnung (EG) Nr. 392/2009 des Europäischen Parlaments und des Rates vom 23. April 2009 über die Unfallhaftung von Beförderern von Reisenden auf See (ABl. L 131 vom 28.5.2009, S. 24), oder</w:t>
      </w:r>
    </w:p>
    <w:p>
      <w:pPr>
        <w:tabs>
          <w:tab w:pos="567" w:val="left"/>
        </w:tabs>
        <w:ind w:left="567" w:hanging="567"/>
      </w:pPr>
      <w:r>
        <w:t>2.</w:t>
      </w:r>
      <w:r>
        <w:tab/>
      </w:r>
      <w:r>
        <w:t>unmittelbar anwendbare Regelungen in völkerrechtlichen Übereinkünften.</w:t>
      </w:r>
    </w:p>
    <w:p>
      <w:r>
        <w:rPr>
          <w:rStyle w:val="Satznummer"/>
        </w:rPr>
        <w:t>2</w:t>
      </w:r>
      <w:r>
        <w:t>Die Haftungsvorschriften dieses Unterabschnitts gelten ferner nicht, wenn der Schaden auf einem von einer Kernanlage ausgehenden nuklearen Ereignis beruht und der Inhaber der Kernanlage nach den Vorschriften des Übereinkommens vom 29. Juli 1960 über die Haftung gegenüber Dritten auf dem Gebiet der Kernenergie in der Fassung der Bekanntmachung vom 5. Februar 1976 (BGBl. 1976 II S. 310, 311) und des Protokolls vom 16. November 1982 (BGBl. 1985 II S. 690) oder des Atomgesetzes haftet.</w:t>
      </w:r>
    </w:p>
    <w:p>
      <w:pPr>
        <w:pStyle w:val="Heading4"/>
      </w:pPr>
      <w:bookmarkStart w:id="720" w:name="b719"/>
      <w:r>
        <w:t>§ 537 Begriffsbestimmungen</w:t>
      </w:r>
      <w:r>
        <w:t xml:space="preserve"> </w:t>
      </w:r>
      <w:r>
        <w:rPr>
          <w:rStyle w:val="Suchmarke"/>
        </w:rPr>
        <w:t>#537#</w:t>
      </w:r>
      <w:bookmarkEnd w:id="720"/>
    </w:p>
    <w:p>
      <w:r>
        <w:t>Im Sinne dieses Unterabschnitts ist</w:t>
      </w:r>
    </w:p>
    <w:p>
      <w:pPr>
        <w:tabs>
          <w:tab w:pos="567" w:val="left"/>
        </w:tabs>
        <w:ind w:left="567" w:hanging="567"/>
      </w:pPr>
      <w:r>
        <w:t>1.</w:t>
      </w:r>
      <w:r>
        <w:tab/>
      </w:r>
      <w:r>
        <w:t>ein Beförderer eine Person, die einen Vertrag über die Beförderung eines Fahrgasts über See (Personenbeförderungsvertrag) schließt;</w:t>
      </w:r>
    </w:p>
    <w:p>
      <w:pPr>
        <w:tabs>
          <w:tab w:pos="567" w:val="left"/>
        </w:tabs>
        <w:ind w:left="567" w:hanging="567"/>
      </w:pPr>
      <w:r>
        <w:t>2.</w:t>
      </w:r>
      <w:r>
        <w:tab/>
      </w:r>
      <w:r>
        <w:t>ein Fahrgast eine Person, die</w:t>
      </w:r>
    </w:p>
    <w:p>
      <w:pPr>
        <w:tabs>
          <w:tab w:pos="1134" w:val="left"/>
        </w:tabs>
        <w:ind w:left="1134" w:hanging="567"/>
      </w:pPr>
      <w:r>
        <w:t>a)</w:t>
      </w:r>
      <w:r>
        <w:tab/>
      </w:r>
      <w:r>
        <w:t>auf Grund eines Personenbeförderungsvertrags befördert wird oder</w:t>
      </w:r>
    </w:p>
    <w:p>
      <w:pPr>
        <w:tabs>
          <w:tab w:pos="1134" w:val="left"/>
        </w:tabs>
        <w:ind w:left="1134" w:hanging="567"/>
      </w:pPr>
      <w:r>
        <w:t>b)</w:t>
      </w:r>
      <w:r>
        <w:tab/>
      </w:r>
      <w:r>
        <w:t>mit Zustimmung des Beförderers ein Fahrzeug oder lebende Tiere, die auf Grund eines Seefrachtvertrags befördert werden, begleitet;</w:t>
      </w:r>
    </w:p>
    <w:p>
      <w:pPr>
        <w:tabs>
          <w:tab w:pos="567" w:val="left"/>
        </w:tabs>
        <w:ind w:left="567" w:hanging="567"/>
      </w:pPr>
      <w:r>
        <w:t>3.</w:t>
      </w:r>
      <w:r>
        <w:tab/>
      </w:r>
      <w:r>
        <w:t>Gepäck jeder Gegenstand, der auf Grund eines Personenbeförderungsvertrags befördert wird, ausgenommen lebende Tiere;</w:t>
      </w:r>
    </w:p>
    <w:p>
      <w:pPr>
        <w:tabs>
          <w:tab w:pos="567" w:val="left"/>
        </w:tabs>
        <w:ind w:left="567" w:hanging="567"/>
      </w:pPr>
      <w:r>
        <w:t>4.</w:t>
      </w:r>
      <w:r>
        <w:tab/>
      </w:r>
      <w:r>
        <w:t>Kabinengepäck das Gepäck, das ein Fahrgast in seiner Kabine oder sonst in seinem Besitz hat, einschließlich des Gepäcks, das ein Fahrgast in oder auf seinem Fahrzeug hat;</w:t>
      </w:r>
    </w:p>
    <w:p>
      <w:pPr>
        <w:tabs>
          <w:tab w:pos="567" w:val="left"/>
        </w:tabs>
        <w:ind w:left="567" w:hanging="567"/>
      </w:pPr>
      <w:r>
        <w:t>5.</w:t>
      </w:r>
      <w:r>
        <w:tab/>
      </w:r>
      <w:r>
        <w:t>ein Schifffahrtsereignis ein Schiffbruch, ein Kentern, ein Zusammenstoß oder eine Strandung des Schiffes, eine Explosion oder ein Feuer im Schiff oder ein Mangel des Schiffes;</w:t>
      </w:r>
    </w:p>
    <w:p>
      <w:pPr>
        <w:tabs>
          <w:tab w:pos="567" w:val="left"/>
        </w:tabs>
        <w:ind w:left="567" w:hanging="567"/>
      </w:pPr>
      <w:r>
        <w:t>6.</w:t>
      </w:r>
      <w:r>
        <w:tab/>
      </w:r>
      <w:r>
        <w:t>ein Mangel des Schiffes eine Funktionsstörung, ein Versagen oder eine Nichteinhaltung von anwendbaren Sicherheitsvorschriften in Bezug auf einen Teil des Schiffes oder seiner Ausrüstung, wenn dieser Teil oder diese Ausrüstung verwendet wird</w:t>
      </w:r>
    </w:p>
    <w:p>
      <w:pPr>
        <w:tabs>
          <w:tab w:pos="1134" w:val="left"/>
        </w:tabs>
        <w:ind w:left="1134" w:hanging="567"/>
      </w:pPr>
      <w:r>
        <w:t>a)</w:t>
      </w:r>
      <w:r>
        <w:tab/>
      </w:r>
      <w:r>
        <w:t>für das Verlassen des Schiffes, die Evakuierung oder die Ein- und Ausschiffung der Fahrgäste,</w:t>
      </w:r>
    </w:p>
    <w:p>
      <w:pPr>
        <w:tabs>
          <w:tab w:pos="1134" w:val="left"/>
        </w:tabs>
        <w:ind w:left="1134" w:hanging="567"/>
      </w:pPr>
      <w:r>
        <w:t>b)</w:t>
      </w:r>
      <w:r>
        <w:tab/>
      </w:r>
      <w:r>
        <w:t>für den Schiffsantrieb, die Ruderanlage, die sichere Schiffsführung, das Festmachen, das Ankern, das Anlaufen oder Verlassen des Liege- oder Ankerplatzes oder die Lecksicherung nach Wassereinbruch oder</w:t>
      </w:r>
    </w:p>
    <w:p>
      <w:pPr>
        <w:tabs>
          <w:tab w:pos="1134" w:val="left"/>
        </w:tabs>
        <w:ind w:left="1134" w:hanging="567"/>
      </w:pPr>
      <w:r>
        <w:t>c)</w:t>
      </w:r>
      <w:r>
        <w:tab/>
      </w:r>
      <w:r>
        <w:t>für das Aussetzen von Rettungsmitteln.</w:t>
      </w:r>
    </w:p>
    <w:p>
      <w:pPr>
        <w:pStyle w:val="Heading4"/>
      </w:pPr>
      <w:bookmarkStart w:id="721" w:name="b720"/>
      <w:r>
        <w:t>§ 538 Haftung des Beförderers für Personenschäden</w:t>
      </w:r>
      <w:r>
        <w:t xml:space="preserve"> </w:t>
      </w:r>
      <w:r>
        <w:rPr>
          <w:rStyle w:val="Suchmarke"/>
        </w:rPr>
        <w:t>#538#</w:t>
      </w:r>
      <w:bookmarkEnd w:id="721"/>
    </w:p>
    <w:p>
      <w:r>
        <w:t xml:space="preserve">(1) </w:t>
      </w:r>
      <w:r>
        <w:rPr>
          <w:rStyle w:val="Satznummer"/>
        </w:rPr>
        <w:t>1</w:t>
      </w:r>
      <w:r>
        <w:t xml:space="preserve">Der Beförderer haftet für den Schaden, der durch den Tod oder die Körperverletzung eines Fahrgasts entsteht, wenn das den Schaden verursachende Ereignis während der Beförderung eingetreten ist und auf einem Verschulden des Beförderers beruht. </w:t>
      </w:r>
      <w:r>
        <w:rPr>
          <w:rStyle w:val="Satznummer"/>
        </w:rPr>
        <w:t>2</w:t>
      </w:r>
      <w:r>
        <w:t>Ist das den Schaden verursachende Ereignis ein Schifffahrtsereignis, wird das Verschulden vermutet.</w:t>
      </w:r>
    </w:p>
    <w:p>
      <w:r>
        <w:t xml:space="preserve">(2) </w:t>
      </w:r>
      <w:r>
        <w:rPr>
          <w:rStyle w:val="Satznummer"/>
        </w:rPr>
        <w:t>1</w:t>
      </w:r>
      <w:r>
        <w:t xml:space="preserve">Abweichend von Absatz 1 haftet der Beförderer ohne Verschulden für den Schaden, der durch den Tod oder die Körperverletzung eines Fahrgasts auf Grund eines Schifffahrtsereignisses während der Beförderung entsteht, soweit der Schaden den Betrag von 250 000 Rechnungseinheiten nicht übersteigt. </w:t>
      </w:r>
      <w:r>
        <w:rPr>
          <w:rStyle w:val="Satznummer"/>
        </w:rPr>
        <w:t>2</w:t>
      </w:r>
      <w:r>
        <w:t>Der Beförderer ist jedoch von dieser Haftung befreit, wenn das Ereignis</w:t>
      </w:r>
    </w:p>
    <w:p>
      <w:pPr>
        <w:tabs>
          <w:tab w:pos="567" w:val="left"/>
        </w:tabs>
        <w:ind w:left="567" w:hanging="567"/>
      </w:pPr>
      <w:r>
        <w:t>1.</w:t>
      </w:r>
      <w:r>
        <w:tab/>
      </w:r>
      <w:r>
        <w:t>infolge von Feindseligkeiten, einer Kriegshandlung, eines Bürgerkriegs, eines Aufstands oder eines außergewöhnlichen, unvermeidlichen und unabwendbaren Naturereignisses eingetreten ist oder</w:t>
      </w:r>
    </w:p>
    <w:p>
      <w:pPr>
        <w:tabs>
          <w:tab w:pos="567" w:val="left"/>
        </w:tabs>
        <w:ind w:left="567" w:hanging="567"/>
      </w:pPr>
      <w:r>
        <w:t>2.</w:t>
      </w:r>
      <w:r>
        <w:tab/>
      </w:r>
      <w:r>
        <w:t>ausschließlich durch eine Handlung oder Unterlassung verursacht wurde, die von einem Dritten in der Absicht, das Ereignis zu verursachen, begangen wurde.</w:t>
      </w:r>
    </w:p>
    <w:p>
      <w:r>
        <w:t xml:space="preserve">(3) </w:t>
      </w:r>
      <w:r>
        <w:rPr>
          <w:rStyle w:val="Satznummer"/>
        </w:rPr>
        <w:t>1</w:t>
      </w:r>
      <w:r>
        <w:t>Die Beförderung im Sinne der Absätze 1 und 2 umfasst</w:t>
      </w:r>
    </w:p>
    <w:p>
      <w:pPr>
        <w:tabs>
          <w:tab w:pos="567" w:val="left"/>
        </w:tabs>
        <w:ind w:left="567" w:hanging="567"/>
      </w:pPr>
      <w:r>
        <w:t>1.</w:t>
      </w:r>
      <w:r>
        <w:tab/>
      </w:r>
      <w:r>
        <w:t>den Zeitraum, in dem sich der Fahrgast an Bord des Schiffes befindet, einschließlich des Zeitraums, in dem er ein- und ausgeschifft wird, sowie</w:t>
      </w:r>
    </w:p>
    <w:p>
      <w:pPr>
        <w:tabs>
          <w:tab w:pos="567" w:val="left"/>
        </w:tabs>
        <w:ind w:left="567" w:hanging="567"/>
      </w:pPr>
      <w:r>
        <w:t>2.</w:t>
      </w:r>
      <w:r>
        <w:tab/>
      </w:r>
      <w:r>
        <w:t>den Zeitraum, in dem der Fahrgast auf dem Wasserweg vom Land auf das Schiff oder umgekehrt befördert wird, wenn die Kosten dieser Beförderung im Beförderungsentgelt inbegriffen sind oder wenn das für diese zusätzliche Beförderung benutzte Wasserfahrzeug dem Fahrgast vom Beförderer zur Verfügung gestellt worden ist.</w:t>
      </w:r>
    </w:p>
    <w:p>
      <w:r>
        <w:rPr>
          <w:rStyle w:val="Satznummer"/>
        </w:rPr>
        <w:t>2</w:t>
      </w:r>
      <w:r>
        <w:t>Nicht erfasst ist der Zeitraum, in dem sich der Fahrgast in einer Hafenstation, auf einem Kai oder in oder auf einer anderen Hafenanlage befindet.</w:t>
      </w:r>
    </w:p>
    <w:p>
      <w:pPr>
        <w:pStyle w:val="Heading4"/>
      </w:pPr>
      <w:bookmarkStart w:id="722" w:name="b721"/>
      <w:r>
        <w:t>§ 539 Haftung des Beförderers für Gepäck- und Verspätungsschäden</w:t>
      </w:r>
      <w:r>
        <w:t xml:space="preserve"> </w:t>
      </w:r>
      <w:r>
        <w:rPr>
          <w:rStyle w:val="Suchmarke"/>
        </w:rPr>
        <w:t>#539#</w:t>
      </w:r>
      <w:bookmarkEnd w:id="722"/>
    </w:p>
    <w:p>
      <w:r>
        <w:t xml:space="preserve">(1) </w:t>
      </w:r>
      <w:r>
        <w:rPr>
          <w:rStyle w:val="Satznummer"/>
        </w:rPr>
        <w:t>1</w:t>
      </w:r>
      <w:r>
        <w:t xml:space="preserve">Der Beförderer haftet für den Schaden, der durch Verlust oder Beschädigung von Kabinengepäck oder von anderem Gepäck entsteht, wenn das den Schaden verursachende Ereignis während der Beförderung eingetreten ist und auf einem Verschulden des Beförderers beruht. </w:t>
      </w:r>
      <w:r>
        <w:rPr>
          <w:rStyle w:val="Satznummer"/>
        </w:rPr>
        <w:t>2</w:t>
      </w:r>
      <w:r>
        <w:t>Bei Verlust oder Beschädigung von Kabinengepäck auf Grund eines Schifffahrtsereignisses und bei Verlust oder Beschädigung anderen Gepäcks wird das Verschulden vermutet.</w:t>
      </w:r>
    </w:p>
    <w:p>
      <w:r>
        <w:t xml:space="preserve">(2) </w:t>
      </w:r>
      <w:r>
        <w:rPr>
          <w:rStyle w:val="Satznummer"/>
        </w:rPr>
        <w:t>1</w:t>
      </w:r>
      <w:r>
        <w:t xml:space="preserve">Der Beförderer haftet entsprechend Absatz 1 auch für den Schaden, der daraus entsteht, dass das Gepäck dem Fahrgast nicht innerhalb einer angemessenen Frist nach Ankunft des Schiffes, auf dem das Gepäck befördert worden ist oder hätte befördert werden sollen, wieder ausgehändigt worden ist. </w:t>
      </w:r>
      <w:r>
        <w:rPr>
          <w:rStyle w:val="Satznummer"/>
        </w:rPr>
        <w:t>2</w:t>
      </w:r>
      <w:r>
        <w:t>Die Haftung ist jedoch ausgeschlossen, wenn die verspätete Aushändigung auf Arbeitsstreitigkeiten zurückzuführen ist.</w:t>
      </w:r>
    </w:p>
    <w:p>
      <w:r>
        <w:t>(3) Abweichend von den Absätzen 1 und 2 haftet der Beförderer nicht für den Schaden, der durch Verlust, Beschädigung oder verspätete Aushändigung von Geld, begebbaren Wertpapieren, Gold, Silber, Juwelen, Schmuck, Kunstgegenständen oder sonstigen Wertsachen entsteht, es sei denn, dass solche Wertsachen bei dem Beförderer zur sicheren Aufbewahrung hinterlegt worden sind.</w:t>
      </w:r>
    </w:p>
    <w:p>
      <w:r>
        <w:t>(4) Die Beförderung im Sinne des Absatzes 1 umfasst folgende Zeiträume:</w:t>
      </w:r>
    </w:p>
    <w:p>
      <w:pPr>
        <w:tabs>
          <w:tab w:pos="567" w:val="left"/>
        </w:tabs>
        <w:ind w:left="567" w:hanging="567"/>
      </w:pPr>
      <w:r>
        <w:t>1.</w:t>
      </w:r>
      <w:r>
        <w:tab/>
      </w:r>
      <w:r>
        <w:t>hinsichtlich des Kabinengepäcks mit Ausnahme des Gepäcks, das der Fahrgast in oder auf seinem Fahrzeug hat,</w:t>
      </w:r>
    </w:p>
    <w:p>
      <w:pPr>
        <w:tabs>
          <w:tab w:pos="1134" w:val="left"/>
        </w:tabs>
        <w:ind w:left="1134" w:hanging="567"/>
      </w:pPr>
      <w:r>
        <w:t>a)</w:t>
      </w:r>
      <w:r>
        <w:tab/>
      </w:r>
      <w:r>
        <w:t>den Zeitraum, in dem sich das Kabinengepäck an Bord des Schiffes befindet, einschließlich des Zeitraums, in dem das Kabinengepäck ein- und ausgeschifft wird,</w:t>
      </w:r>
    </w:p>
    <w:p>
      <w:pPr>
        <w:tabs>
          <w:tab w:pos="1134" w:val="left"/>
        </w:tabs>
        <w:ind w:left="1134" w:hanging="567"/>
      </w:pPr>
      <w:r>
        <w:t>b)</w:t>
      </w:r>
      <w:r>
        <w:tab/>
      </w:r>
      <w:r>
        <w:t>den Zeitraum, in dem das Kabinengepäck auf dem Wasserweg vom Land auf das Schiff oder umgekehrt befördert wird, wenn die Kosten dieser Beförderung im Beförderungspreis inbegriffen sind oder wenn das für diese zusätzliche Beförderung benutzte Wasserfahrzeug dem Fahrgast vom Beförderer zur Verfügung gestellt worden ist, sowie</w:t>
      </w:r>
    </w:p>
    <w:p>
      <w:pPr>
        <w:tabs>
          <w:tab w:pos="1134" w:val="left"/>
        </w:tabs>
        <w:ind w:left="1134" w:hanging="567"/>
      </w:pPr>
      <w:r>
        <w:t>c)</w:t>
      </w:r>
      <w:r>
        <w:tab/>
      </w:r>
      <w:r>
        <w:t>den Zeitraum, in dem sich der Fahrgast in einer Hafenstation, auf einem Kai oder in oder auf einer anderen Hafenanlage befindet, wenn das Kabinengepäck von dem Beförderer oder seinen Bediensteten oder Beauftragten übernommen und dem Fahrgast nicht wieder ausgehändigt worden ist;</w:t>
      </w:r>
    </w:p>
    <w:p>
      <w:pPr>
        <w:tabs>
          <w:tab w:pos="567" w:val="left"/>
        </w:tabs>
        <w:ind w:left="567" w:hanging="567"/>
      </w:pPr>
      <w:r>
        <w:t>2.</w:t>
      </w:r>
      <w:r>
        <w:tab/>
      </w:r>
      <w:r>
        <w:t>hinsichtlich anderen Gepäcks als des in Nummer 1 genannten Kabinengepäcks den Zeitraum von der Übernahme durch den Beförderer an Land oder an Bord bis zur Wiederaushändigung.</w:t>
      </w:r>
    </w:p>
    <w:p>
      <w:pPr>
        <w:pStyle w:val="Heading4"/>
      </w:pPr>
      <w:bookmarkStart w:id="723" w:name="b722"/>
      <w:r>
        <w:t>§ 540 Haftung für andere</w:t>
      </w:r>
      <w:r>
        <w:t xml:space="preserve"> </w:t>
      </w:r>
      <w:r>
        <w:rPr>
          <w:rStyle w:val="Suchmarke"/>
        </w:rPr>
        <w:t>#540#</w:t>
      </w:r>
      <w:bookmarkEnd w:id="723"/>
    </w:p>
    <w:p>
      <w:r>
        <w:rPr>
          <w:rStyle w:val="Satznummer"/>
        </w:rPr>
        <w:t>1</w:t>
      </w:r>
      <w:r>
        <w:t xml:space="preserve">Der Beförderer hat ein Verschulden seiner Leute und der Schiffsbesatzung in gleichem Umfang zu vertreten wie eigenes Verschulden, wenn die Leute und die Schiffsbesatzung in Ausübung ihrer Verrichtungen handeln. </w:t>
      </w:r>
      <w:r>
        <w:rPr>
          <w:rStyle w:val="Satznummer"/>
        </w:rPr>
        <w:t>2</w:t>
      </w:r>
      <w:r>
        <w:t>Gleiches gilt für ein Verschulden anderer Personen, deren er sich bei der Ausführung der Beförderung bedient.</w:t>
      </w:r>
    </w:p>
    <w:p>
      <w:pPr>
        <w:pStyle w:val="Heading4"/>
      </w:pPr>
      <w:bookmarkStart w:id="724" w:name="b723"/>
      <w:r>
        <w:t>§ 541 Haftungshöchstbetrag bei Personenschäden</w:t>
      </w:r>
      <w:r>
        <w:t xml:space="preserve"> </w:t>
      </w:r>
      <w:r>
        <w:rPr>
          <w:rStyle w:val="Suchmarke"/>
        </w:rPr>
        <w:t>#541#</w:t>
      </w:r>
      <w:bookmarkEnd w:id="724"/>
    </w:p>
    <w:p>
      <w:r>
        <w:t xml:space="preserve">(1) </w:t>
      </w:r>
      <w:r>
        <w:rPr>
          <w:rStyle w:val="Satznummer"/>
        </w:rPr>
        <w:t>1</w:t>
      </w:r>
      <w:r>
        <w:t xml:space="preserve">Die Haftung des Beförderers wegen Tod oder Körperverletzung eines Fahrgasts ist in jedem Fall auf einen Betrag von 400 000 Rechnungseinheiten je Fahrgast und Schadensereignis beschränkt. </w:t>
      </w:r>
      <w:r>
        <w:rPr>
          <w:rStyle w:val="Satznummer"/>
        </w:rPr>
        <w:t>2</w:t>
      </w:r>
      <w:r>
        <w:t>Dies gilt auch für den Kapitalwert einer als Entschädigung zu leistenden Rente.</w:t>
      </w:r>
    </w:p>
    <w:p>
      <w:r>
        <w:t>(2) Abweichend von Absatz 1 ist die Haftung des Beförderers auf einen Betrag von 250 000 Rechnungseinheiten je Fahrgast und Schadensereignis beschränkt, wenn der Tod oder die Körperverletzung auf einem der folgenden Umstände beruht:</w:t>
      </w:r>
    </w:p>
    <w:p>
      <w:pPr>
        <w:tabs>
          <w:tab w:pos="567" w:val="left"/>
        </w:tabs>
        <w:ind w:left="567" w:hanging="567"/>
      </w:pPr>
      <w:r>
        <w:t>1.</w:t>
      </w:r>
      <w:r>
        <w:tab/>
      </w:r>
      <w:r>
        <w:t>Krieg, Bürgerkrieg, Revolution, Aufruhr, Aufständen oder dadurch veranlassten inneren Unruhen oder feindlichen Handlungen durch oder gegen eine Krieg führende Macht,</w:t>
      </w:r>
    </w:p>
    <w:p>
      <w:pPr>
        <w:tabs>
          <w:tab w:pos="567" w:val="left"/>
        </w:tabs>
        <w:ind w:left="567" w:hanging="567"/>
      </w:pPr>
      <w:r>
        <w:t>2.</w:t>
      </w:r>
      <w:r>
        <w:tab/>
      </w:r>
      <w:r>
        <w:t>Beschlagnahme, Pfändung, Arrest, Verfügungsbeschränkung oder Festhalten sowie deren Folgen oder dahingehenden Versuchen,</w:t>
      </w:r>
    </w:p>
    <w:p>
      <w:pPr>
        <w:tabs>
          <w:tab w:pos="567" w:val="left"/>
        </w:tabs>
        <w:ind w:left="567" w:hanging="567"/>
      </w:pPr>
      <w:r>
        <w:t>3.</w:t>
      </w:r>
      <w:r>
        <w:tab/>
      </w:r>
      <w:r>
        <w:t>zurückgelassenen Minen, Torpedos, Bomben oder sonstigen zurückgelassenen Kriegswaffen,</w:t>
      </w:r>
    </w:p>
    <w:p>
      <w:pPr>
        <w:tabs>
          <w:tab w:pos="567" w:val="left"/>
        </w:tabs>
        <w:ind w:left="567" w:hanging="567"/>
      </w:pPr>
      <w:r>
        <w:t>4.</w:t>
      </w:r>
      <w:r>
        <w:tab/>
      </w:r>
      <w:r>
        <w:t>Anschlägen von Terroristen oder Personen, die die Anschläge böswillig oder aus politischen Beweggründen begehen, und Maßnahmen, die zur Verhinderung oder Bekämpfung solcher Anschläge ergriffen werden,</w:t>
      </w:r>
    </w:p>
    <w:p>
      <w:pPr>
        <w:tabs>
          <w:tab w:pos="567" w:val="left"/>
        </w:tabs>
        <w:ind w:left="567" w:hanging="567"/>
      </w:pPr>
      <w:r>
        <w:t>5.</w:t>
      </w:r>
      <w:r>
        <w:tab/>
      </w:r>
      <w:r>
        <w:t>Einziehung und Enteignung.</w:t>
      </w:r>
    </w:p>
    <w:p>
      <w:r>
        <w:t xml:space="preserve">(3) Bei Tod oder Körperverletzung mehrerer Fahrgäste tritt bei Anwendung des Absatzes 2 an die Stelle des darin genannten Betrages von </w:t>
      </w:r>
      <w:r>
        <w:t>250 000</w:t>
      </w:r>
      <w:r>
        <w:t xml:space="preserve"> Rechnungseinheiten je Fahrgast und Schadensereignis der Betrag von 340 Millionen Rechnungseinheiten je Schiff und Schadensereignis, wenn dieser Betrag niedriger ist und unter den Geschädigten im Verhältnis der Höhe ihrer Ansprüche und in Form einer einmaligen Zahlung oder in Form von Teilzahlungen aufgeteilt werden kann.</w:t>
      </w:r>
    </w:p>
    <w:p>
      <w:pPr>
        <w:pStyle w:val="Heading4"/>
      </w:pPr>
      <w:bookmarkStart w:id="725" w:name="b724"/>
      <w:r>
        <w:t>§ 542 Haftungshöchstbetrag bei Gepäck- und Verspätungsschäden</w:t>
      </w:r>
      <w:r>
        <w:t xml:space="preserve"> </w:t>
      </w:r>
      <w:r>
        <w:rPr>
          <w:rStyle w:val="Suchmarke"/>
        </w:rPr>
        <w:t>#542#</w:t>
      </w:r>
      <w:bookmarkEnd w:id="725"/>
    </w:p>
    <w:p>
      <w:r>
        <w:t>(1) Die Haftung des Beförderers wegen Verlust, Beschädigung oder verspäteter Aushändigung von Kabinengepäck ist, soweit Absatz 2 nichts Abweichendes bestimmt, auf einen Betrag von 2 250 Rechnungseinheiten je Fahrgast und Beförderung beschränkt.</w:t>
      </w:r>
    </w:p>
    <w:p>
      <w:r>
        <w:t>(2) Die Haftung des Beförderers wegen Verlust, Beschädigung oder verspäteter Aushändigung von Fahrzeugen, einschließlich des in oder auf dem Fahrzeug beförderten Gepäcks, ist auf einen Betrag von 12 700 Rechnungseinheiten je Fahrzeug und je Beförderung beschränkt.</w:t>
      </w:r>
    </w:p>
    <w:p>
      <w:r>
        <w:t>(3) Die Haftung des Beförderers wegen Verlust, Beschädigung oder verspäteter Aushändigung allen anderen als des in den Absätzen 1 und 2 erwähnten Gepäcks ist auf einen Betrag von 3 375 Rechnungseinheiten je Fahrgast und je Beförderung beschränkt.</w:t>
      </w:r>
    </w:p>
    <w:p>
      <w:r>
        <w:t xml:space="preserve">(4) </w:t>
      </w:r>
      <w:r>
        <w:rPr>
          <w:rStyle w:val="Satznummer"/>
        </w:rPr>
        <w:t>1</w:t>
      </w:r>
      <w:r>
        <w:t xml:space="preserve">Soweit nicht Wertsachen betroffen sind, die beim Beförderer zur sicheren Aufbewahrung hinterlegt sind, können der Beförderer und der Fahrgast vereinbaren, dass der Beförderer einen Teil des Schadens nicht zu erstatten hat. </w:t>
      </w:r>
      <w:r>
        <w:rPr>
          <w:rStyle w:val="Satznummer"/>
        </w:rPr>
        <w:t>2</w:t>
      </w:r>
      <w:r>
        <w:t>Dieser Teil darf jedoch bei Beschädigung eines Fahrzeugs den Betrag von 330 Rechnungseinheiten und bei Verlust, Beschädigung oder verspäteter Aushändigung anderen Gepäcks den Betrag von 149 Rechnungseinheiten nicht übersteigen.</w:t>
      </w:r>
    </w:p>
    <w:p>
      <w:r>
        <w:t>(5) Abweichend von den Absätzen 1 bis 4 hat der Beförderer bei Verlust oder Beschädigung von Mobilitätshilfen oder anderer Spezialausrüstung, die von einem Fahrgast mit eingeschränkter Mobilität verwendet wird, den Wiederbeschaffungswert der betreffenden Ausrüstungen oder gegebenenfalls die Reparaturkosten zu ersetzen.</w:t>
      </w:r>
    </w:p>
    <w:p>
      <w:pPr>
        <w:pStyle w:val="Heading4"/>
      </w:pPr>
      <w:bookmarkStart w:id="726" w:name="b725"/>
      <w:r>
        <w:t>§ 543 Zinsen und Verfahrenskosten</w:t>
      </w:r>
      <w:r>
        <w:t xml:space="preserve"> </w:t>
      </w:r>
      <w:r>
        <w:rPr>
          <w:rStyle w:val="Suchmarke"/>
        </w:rPr>
        <w:t>#543#</w:t>
      </w:r>
      <w:bookmarkEnd w:id="726"/>
    </w:p>
    <w:p>
      <w:r>
        <w:t xml:space="preserve">Zinsen und Verfahrenskosten sind über die in den </w:t>
      </w:r>
      <w:hyperlink w:anchor="b720" w:history="1">
        <w:r>
          <w:rPr>
            <w:color w:val="0A3A8C"/>
            <w:u w:val="single"/>
          </w:rPr>
          <w:t xml:space="preserve">§§ 538</w:t>
        </w:r>
      </w:hyperlink>
      <w:r>
        <w:t xml:space="preserve">, </w:t>
      </w:r>
      <w:hyperlink w:anchor="b723" w:history="1">
        <w:r>
          <w:rPr>
            <w:color w:val="0A3A8C"/>
            <w:u w:val="single"/>
          </w:rPr>
          <w:t xml:space="preserve">541</w:t>
        </w:r>
      </w:hyperlink>
      <w:r>
        <w:t xml:space="preserve"> und </w:t>
      </w:r>
      <w:hyperlink w:anchor="b724" w:history="1">
        <w:r>
          <w:rPr>
            <w:color w:val="0A3A8C"/>
            <w:u w:val="single"/>
          </w:rPr>
          <w:t xml:space="preserve">542</w:t>
        </w:r>
      </w:hyperlink>
      <w:r>
        <w:t xml:space="preserve"> genannten Haftungshöchstbeträge hinaus zu erstatten.</w:t>
      </w:r>
    </w:p>
    <w:p>
      <w:pPr>
        <w:pStyle w:val="Heading4"/>
      </w:pPr>
      <w:bookmarkStart w:id="727" w:name="b726"/>
      <w:r>
        <w:t>§ 544 Rechnungseinheit</w:t>
      </w:r>
      <w:r>
        <w:t xml:space="preserve"> </w:t>
      </w:r>
      <w:r>
        <w:rPr>
          <w:rStyle w:val="Suchmarke"/>
        </w:rPr>
        <w:t>#544#</w:t>
      </w:r>
      <w:bookmarkEnd w:id="727"/>
    </w:p>
    <w:p>
      <w:r>
        <w:rPr>
          <w:rStyle w:val="Satznummer"/>
        </w:rPr>
        <w:t>1</w:t>
      </w:r>
      <w:r>
        <w:t xml:space="preserve">Die in den </w:t>
      </w:r>
      <w:hyperlink w:anchor="b720" w:history="1">
        <w:r>
          <w:rPr>
            <w:color w:val="0A3A8C"/>
            <w:u w:val="single"/>
          </w:rPr>
          <w:t xml:space="preserve">§§ 538</w:t>
        </w:r>
      </w:hyperlink>
      <w:r>
        <w:t xml:space="preserve">, </w:t>
      </w:r>
      <w:hyperlink w:anchor="b723" w:history="1">
        <w:r>
          <w:rPr>
            <w:color w:val="0A3A8C"/>
            <w:u w:val="single"/>
          </w:rPr>
          <w:t xml:space="preserve">541</w:t>
        </w:r>
      </w:hyperlink>
      <w:r>
        <w:t xml:space="preserve"> und </w:t>
      </w:r>
      <w:hyperlink w:anchor="b724" w:history="1">
        <w:r>
          <w:rPr>
            <w:color w:val="0A3A8C"/>
            <w:u w:val="single"/>
          </w:rPr>
          <w:t xml:space="preserve">542</w:t>
        </w:r>
      </w:hyperlink>
      <w:r>
        <w:t xml:space="preserve"> genannte Rechnungseinheit ist das Sonderziehungsrecht des Internationalen Währungsfonds. </w:t>
      </w:r>
      <w:r>
        <w:rPr>
          <w:rStyle w:val="Satznummer"/>
        </w:rPr>
        <w:t>2</w:t>
      </w:r>
      <w:r>
        <w:t xml:space="preserve">Der Betrag wird in Euro entsprechend dem Wert des Euro gegenüber dem Sonderziehungsrecht am Tag des Urteils oder an dem von den Parteien vereinbarten Tag umgerechnet. </w:t>
      </w:r>
      <w:r>
        <w:rPr>
          <w:rStyle w:val="Satznummer"/>
        </w:rPr>
        <w:t>3</w:t>
      </w:r>
      <w:r>
        <w:t>Der Wert des Euro gegenüber dem Sonderziehungsrecht wird nach der Berechnungsmethode ermittelt, die der Internationale Währungsfonds an dem betreffenden Tag für seine Operationen und Transaktionen anwendet.</w:t>
      </w:r>
    </w:p>
    <w:p>
      <w:pPr>
        <w:pStyle w:val="Heading4"/>
      </w:pPr>
      <w:bookmarkStart w:id="728" w:name="b727"/>
      <w:r>
        <w:t>§ 545 Wegfall der Haftungsbeschränkung</w:t>
      </w:r>
      <w:r>
        <w:t xml:space="preserve"> </w:t>
      </w:r>
      <w:r>
        <w:rPr>
          <w:rStyle w:val="Suchmarke"/>
        </w:rPr>
        <w:t>#545#</w:t>
      </w:r>
      <w:bookmarkEnd w:id="728"/>
    </w:p>
    <w:p>
      <w:r>
        <w:t xml:space="preserve">Die in den </w:t>
      </w:r>
      <w:hyperlink w:anchor="b723" w:history="1">
        <w:r>
          <w:rPr>
            <w:color w:val="0A3A8C"/>
            <w:u w:val="single"/>
          </w:rPr>
          <w:t xml:space="preserve">§§ 541</w:t>
        </w:r>
      </w:hyperlink>
      <w:r>
        <w:t xml:space="preserve"> und </w:t>
      </w:r>
      <w:hyperlink w:anchor="b724" w:history="1">
        <w:r>
          <w:rPr>
            <w:color w:val="0A3A8C"/>
            <w:u w:val="single"/>
          </w:rPr>
          <w:t xml:space="preserve">542</w:t>
        </w:r>
      </w:hyperlink>
      <w:r>
        <w:t xml:space="preserve"> sowie im Personenbeförderungsvertrag vorgesehenen Haftungshöchstbeträge gelten nicht, wenn der Schaden auf eine Handlung oder Unterlassung zurückzuführen ist, die vom Beförderer selbst entweder in der Absicht, einen solchen Schaden herbeizuführen, oder leichtfertig und in dem Bewusstsein begangen wurde, dass ein solcher Schaden mit Wahrscheinlichkeit eintreten werde.</w:t>
      </w:r>
    </w:p>
    <w:p>
      <w:pPr>
        <w:pStyle w:val="Heading4"/>
      </w:pPr>
      <w:bookmarkStart w:id="729" w:name="b728"/>
      <w:r>
        <w:t>§ 546 Ausführender Beförderer</w:t>
      </w:r>
      <w:r>
        <w:t xml:space="preserve"> </w:t>
      </w:r>
      <w:r>
        <w:rPr>
          <w:rStyle w:val="Suchmarke"/>
        </w:rPr>
        <w:t>#546#</w:t>
      </w:r>
      <w:bookmarkEnd w:id="729"/>
    </w:p>
    <w:p>
      <w:r>
        <w:t xml:space="preserve">(1) </w:t>
      </w:r>
      <w:r>
        <w:rPr>
          <w:rStyle w:val="Satznummer"/>
        </w:rPr>
        <w:t>1</w:t>
      </w:r>
      <w:r>
        <w:t xml:space="preserve">Wird die Beförderung ganz oder teilweise durch einen Dritten ausgeführt, der nicht der Beförderer ist, so haftet der Dritte (ausführender Beförderer) für den Schaden, der durch den Tod oder die Körperverletzung eines Fahrgasts oder durch Verlust, Beschädigung oder verspätete Aushändigung von Gepäck eines Fahrgasts während der vom ausführenden Beförderer durchgeführten Beförderung entsteht, so, als wäre er der Beförderer. </w:t>
      </w:r>
      <w:r>
        <w:rPr>
          <w:rStyle w:val="Satznummer"/>
        </w:rPr>
        <w:t>2</w:t>
      </w:r>
      <w:r>
        <w:t>Vertragliche Vereinbarungen, durch die der Beförderer seine Haftung erweitert, wirken gegen den ausführenden Beförderer nur, soweit er ihnen in Textform zugestimmt hat.</w:t>
      </w:r>
    </w:p>
    <w:p>
      <w:r>
        <w:t>(2) Der ausführende Beförderer kann alle Einwendungen und Einreden geltend machen, die dem Beförderer aus dem Personenbeförderungsvertrag zustehen.</w:t>
      </w:r>
    </w:p>
    <w:p>
      <w:r>
        <w:t>(3) Der Beförderer und der ausführende Beförderer haften als Gesamtschuldner.</w:t>
      </w:r>
    </w:p>
    <w:p>
      <w:pPr>
        <w:pStyle w:val="Heading4"/>
      </w:pPr>
      <w:bookmarkStart w:id="730" w:name="b729"/>
      <w:r>
        <w:t>§ 547 Haftung der Leute und der Schiffsbesatzung</w:t>
      </w:r>
      <w:r>
        <w:t xml:space="preserve"> </w:t>
      </w:r>
      <w:r>
        <w:rPr>
          <w:rStyle w:val="Suchmarke"/>
        </w:rPr>
        <w:t>#547#</w:t>
      </w:r>
      <w:bookmarkEnd w:id="730"/>
    </w:p>
    <w:p>
      <w:r>
        <w:t xml:space="preserve">(1) </w:t>
      </w:r>
      <w:r>
        <w:rPr>
          <w:rStyle w:val="Satznummer"/>
        </w:rPr>
        <w:t>1</w:t>
      </w:r>
      <w:r>
        <w:t xml:space="preserve">Wird einer der Leute des Beförderers oder des ausführenden Beförderers wegen Tod oder Körperverletzung eines Fahrgasts oder wegen Verlust, Beschädigung oder verspäteter Aushändigung von Gepäck eines Fahrgasts in Anspruch genommen, so kann auch er sich auf die für den Beförderer oder den ausführenden Beförderer geltenden Einreden und Haftungsbeschränkungen berufen, wenn er in Ausübung seiner Verrichtungen gehandelt hat. </w:t>
      </w:r>
      <w:r>
        <w:rPr>
          <w:rStyle w:val="Satznummer"/>
        </w:rPr>
        <w:t>2</w:t>
      </w:r>
      <w:r>
        <w:t>Gleiches gilt, wenn ein Mitglied der Schiffsbesatzung in Anspruch genommen wird.</w:t>
      </w:r>
    </w:p>
    <w:p>
      <w:r>
        <w:t>(2) Eine Berufung auf die Haftungsbeschränkungen nach Absatz 1 ist ausgeschlossen, wenn der Schuldner selbst vorsätzlich oder leichtfertig und in dem Bewusstsein gehandelt hat, dass ein solcher Schaden mit Wahrscheinlichkeit eintreten werde.</w:t>
      </w:r>
    </w:p>
    <w:p>
      <w:r>
        <w:t>(3) Sind für den Schaden sowohl der Beförderer oder der ausführende Beförderer als auch eine der in Absatz 1 genannten Personen verantwortlich, haften sie als Gesamtschuldner.</w:t>
      </w:r>
    </w:p>
    <w:p>
      <w:pPr>
        <w:pStyle w:val="Heading4"/>
      </w:pPr>
      <w:bookmarkStart w:id="731" w:name="b730"/>
      <w:r>
        <w:t>§ 548 Konkurrierende Ansprüche</w:t>
      </w:r>
      <w:r>
        <w:t xml:space="preserve"> </w:t>
      </w:r>
      <w:r>
        <w:rPr>
          <w:rStyle w:val="Suchmarke"/>
        </w:rPr>
        <w:t>#548#</w:t>
      </w:r>
      <w:bookmarkEnd w:id="731"/>
    </w:p>
    <w:p>
      <w:r>
        <w:t>Ansprüche wegen Tod oder Körperverletzung eines Fahrgasts oder wegen Verlust, Beschädigung oder verspäteter Aushändigung von Gepäck können gegen den Beförderer oder den ausführenden Beförderer nur auf der Grundlage der Vorschriften dieses Unterabschnitts geltend gemacht werden.</w:t>
      </w:r>
    </w:p>
    <w:p>
      <w:pPr>
        <w:pStyle w:val="Heading4"/>
      </w:pPr>
      <w:bookmarkStart w:id="732" w:name="b731"/>
      <w:r>
        <w:t>§ 549 Schadensanzeige</w:t>
      </w:r>
      <w:r>
        <w:t xml:space="preserve"> </w:t>
      </w:r>
      <w:r>
        <w:rPr>
          <w:rStyle w:val="Suchmarke"/>
        </w:rPr>
        <w:t>#549#</w:t>
      </w:r>
      <w:bookmarkEnd w:id="732"/>
    </w:p>
    <w:p>
      <w:r>
        <w:t xml:space="preserve">(1) </w:t>
      </w:r>
      <w:r>
        <w:rPr>
          <w:rStyle w:val="Satznummer"/>
        </w:rPr>
        <w:t>1</w:t>
      </w:r>
      <w:r>
        <w:t xml:space="preserve">Zeigt der Fahrgast dem Beförderer eine Beschädigung oder einen Verlust seines Gepäcks nicht rechtzeitig an, so wird vermutet, dass er das Gepäck unbeschädigt erhalten hat. </w:t>
      </w:r>
      <w:r>
        <w:rPr>
          <w:rStyle w:val="Satznummer"/>
        </w:rPr>
        <w:t>2</w:t>
      </w:r>
      <w:r>
        <w:t>Einer Anzeige bedarf es jedoch nicht, wenn der Zustand des Gepäcks im Zeitpunkt seines Empfangs von den Parteien gemeinsam festgestellt oder geprüft worden ist.</w:t>
      </w:r>
    </w:p>
    <w:p>
      <w:r>
        <w:t>(2) Die Anzeige ist rechtzeitig, wenn sie spätestens in folgendem Zeitpunkt erstattet wird:</w:t>
      </w:r>
    </w:p>
    <w:p>
      <w:pPr>
        <w:tabs>
          <w:tab w:pos="567" w:val="left"/>
        </w:tabs>
        <w:ind w:left="567" w:hanging="567"/>
      </w:pPr>
      <w:r>
        <w:t>1.</w:t>
      </w:r>
      <w:r>
        <w:tab/>
      </w:r>
      <w:r>
        <w:t>bei äußerlich erkennbarer Beschädigung von Kabinengepäck im Zeitpunkt der Ausschiffung des Fahrgasts,</w:t>
      </w:r>
    </w:p>
    <w:p>
      <w:pPr>
        <w:tabs>
          <w:tab w:pos="567" w:val="left"/>
        </w:tabs>
        <w:ind w:left="567" w:hanging="567"/>
      </w:pPr>
      <w:r>
        <w:t>2.</w:t>
      </w:r>
      <w:r>
        <w:tab/>
      </w:r>
      <w:r>
        <w:t>bei äußerlich erkennbarer Beschädigung von anderem Gepäck als Kabinengepäck im Zeitpunkt seiner Aushändigung und</w:t>
      </w:r>
    </w:p>
    <w:p>
      <w:pPr>
        <w:tabs>
          <w:tab w:pos="567" w:val="left"/>
        </w:tabs>
        <w:ind w:left="567" w:hanging="567"/>
      </w:pPr>
      <w:r>
        <w:t>3.</w:t>
      </w:r>
      <w:r>
        <w:tab/>
      </w:r>
      <w:r>
        <w:t>bei äußerlich nicht erkennbarer Beschädigung von Gepäck oder bei dessen Verlust 15 Tage nach der Ausschiffung oder Aushändigung oder nach dem Zeitpunkt, in dem die Aushändigung hätte erfolgen sollen.</w:t>
      </w:r>
    </w:p>
    <w:p>
      <w:r>
        <w:t xml:space="preserve">(3) </w:t>
      </w:r>
      <w:r>
        <w:rPr>
          <w:rStyle w:val="Satznummer"/>
        </w:rPr>
        <w:t>1</w:t>
      </w:r>
      <w:r>
        <w:t xml:space="preserve">Die Schadensanzeige bedarf der Textform. </w:t>
      </w:r>
      <w:r>
        <w:rPr>
          <w:rStyle w:val="Satznummer"/>
        </w:rPr>
        <w:t>2</w:t>
      </w:r>
      <w:r>
        <w:t>Zur Wahrung der Frist genügt die rechtzeitige Absendung.</w:t>
      </w:r>
    </w:p>
    <w:p>
      <w:pPr>
        <w:pStyle w:val="Heading4"/>
      </w:pPr>
      <w:bookmarkStart w:id="733" w:name="b732"/>
      <w:r>
        <w:t>§ 550 Erlöschen von Schadensersatzansprüchen</w:t>
      </w:r>
      <w:r>
        <w:t xml:space="preserve"> </w:t>
      </w:r>
      <w:r>
        <w:rPr>
          <w:rStyle w:val="Suchmarke"/>
        </w:rPr>
        <w:t>#550#</w:t>
      </w:r>
      <w:bookmarkEnd w:id="733"/>
    </w:p>
    <w:p>
      <w:r>
        <w:t>Ein Schadensersatzanspruch wegen Tod oder Körperverletzung eines Fahrgasts oder wegen Verlust, Beschädigung oder verspäteter Aushändigung von Gepäck erlischt, wenn er nicht innerhalb einer der folgenden Fristen gerichtlich geltend gemacht wird:</w:t>
      </w:r>
    </w:p>
    <w:p>
      <w:pPr>
        <w:tabs>
          <w:tab w:pos="567" w:val="left"/>
        </w:tabs>
        <w:ind w:left="567" w:hanging="567"/>
      </w:pPr>
      <w:r>
        <w:t>1.</w:t>
      </w:r>
      <w:r>
        <w:tab/>
      </w:r>
      <w:r>
        <w:t>drei Jahre, gerechnet von dem Tag, an dem der Gläubiger von dem Tod oder der Körperverletzung oder von dem Verlust, der Beschädigung oder der verspäteten Aushändigung Kenntnis erlangt hat oder normalerweise hätte erlangen müssen, oder</w:t>
      </w:r>
    </w:p>
    <w:p>
      <w:pPr>
        <w:tabs>
          <w:tab w:pos="567" w:val="left"/>
        </w:tabs>
        <w:ind w:left="567" w:hanging="567"/>
      </w:pPr>
      <w:r>
        <w:t>2.</w:t>
      </w:r>
      <w:r>
        <w:tab/>
      </w:r>
      <w:r>
        <w:t>fünf Jahre, gerechnet von dem Tag, an dem die Ausschiffung des Fahrgasts erfolgt ist oder hätte erfolgen sollen, je nachdem, welches der spätere Zeitpunkt ist.</w:t>
      </w:r>
    </w:p>
    <w:p>
      <w:pPr>
        <w:pStyle w:val="Heading4"/>
      </w:pPr>
      <w:bookmarkStart w:id="734" w:name="b733"/>
      <w:r>
        <w:t>§ 551 Abweichende Vereinbarungen</w:t>
      </w:r>
      <w:r>
        <w:t xml:space="preserve"> </w:t>
      </w:r>
      <w:r>
        <w:rPr>
          <w:rStyle w:val="Suchmarke"/>
        </w:rPr>
        <w:t>#551#</w:t>
      </w:r>
      <w:bookmarkEnd w:id="734"/>
    </w:p>
    <w:p>
      <w:r>
        <w:t xml:space="preserve">Soweit in </w:t>
      </w:r>
      <w:hyperlink w:anchor="b724" w:history="1">
        <w:r>
          <w:rPr>
            <w:color w:val="0A3A8C"/>
            <w:u w:val="single"/>
          </w:rPr>
          <w:t xml:space="preserve">§ 542</w:t>
        </w:r>
      </w:hyperlink>
      <w:r>
        <w:t xml:space="preserve"> Absatz 4 nichts Abweichendes bestimmt ist, ist jede Vereinbarung unwirksam, die vor Eintritt des Ereignisses getroffen wird, das den Tod oder die Körperverletzung des Fahrgasts oder den Verlust, die Beschädigung oder die verspätete Aushändigung seines Gepäcks verursacht hat, und durch die die Haftung wegen Tod oder Körperverletzung des Fahrgasts oder wegen Verlust, Beschädigung oder verspäteter Aushändigung seines Gepäcks ausgeschlossen oder eingeschränkt wird.</w:t>
      </w:r>
    </w:p>
    <w:p>
      <w:pPr>
        <w:pStyle w:val="Heading4"/>
      </w:pPr>
      <w:bookmarkStart w:id="735" w:name="b734"/>
      <w:r>
        <w:t>§ 552 Pfandrecht des Beförderers</w:t>
      </w:r>
      <w:r>
        <w:t xml:space="preserve"> </w:t>
      </w:r>
      <w:r>
        <w:rPr>
          <w:rStyle w:val="Suchmarke"/>
        </w:rPr>
        <w:t>#552#</w:t>
      </w:r>
      <w:bookmarkEnd w:id="735"/>
    </w:p>
    <w:p>
      <w:r>
        <w:t>(1) Der Beförderer hat für seine Forderung auf das Beförderungsentgelt ein Pfandrecht an dem Gepäck des Fahrgasts.</w:t>
      </w:r>
    </w:p>
    <w:p>
      <w:r>
        <w:t>(2) Das Pfandrecht besteht nur, solange das Gepäck zurückbehalten oder hinterlegt ist.</w:t>
      </w:r>
    </w:p>
    <w:p>
      <w:pPr>
        <w:pStyle w:val="Heading2"/>
      </w:pPr>
      <w:bookmarkStart w:id="736" w:name="b735"/>
      <w:r>
        <w:t>Dritter Abschnitt Schiffsüberlassungsverträge</w:t>
      </w:r>
      <w:bookmarkEnd w:id="736"/>
    </w:p>
    <w:p>
      <w:pPr>
        <w:pStyle w:val="Heading3"/>
      </w:pPr>
      <w:bookmarkStart w:id="737" w:name="b736"/>
      <w:r>
        <w:t>Erster Unterabschnitt Schiffsmiete</w:t>
      </w:r>
      <w:bookmarkEnd w:id="737"/>
    </w:p>
    <w:p>
      <w:pPr>
        <w:pStyle w:val="Heading4"/>
      </w:pPr>
      <w:bookmarkStart w:id="738" w:name="b737"/>
      <w:r>
        <w:t>§ 553 Schiffsmietvertrag</w:t>
      </w:r>
      <w:r>
        <w:t xml:space="preserve"> </w:t>
      </w:r>
      <w:r>
        <w:rPr>
          <w:rStyle w:val="Suchmarke"/>
        </w:rPr>
        <w:t>#553#</w:t>
      </w:r>
      <w:bookmarkEnd w:id="738"/>
    </w:p>
    <w:p>
      <w:r>
        <w:t>(1) Durch den Schiffsmietvertrag (Bareboat Charter) wird der Vermieter verpflichtet, dem Mieter ein bestimmtes Seeschiff ohne Besatzung zu überlassen und ihm den Gebrauch dieses Schiffes während der Mietzeit zu gewähren.</w:t>
      </w:r>
    </w:p>
    <w:p>
      <w:r>
        <w:t xml:space="preserve">(2) </w:t>
      </w:r>
      <w:r>
        <w:rPr>
          <w:rStyle w:val="Satznummer"/>
        </w:rPr>
        <w:t>1</w:t>
      </w:r>
      <w:r>
        <w:t xml:space="preserve">Der Mieter wird verpflichtet, die vereinbarte Miete zu zahlen. </w:t>
      </w:r>
      <w:r>
        <w:rPr>
          <w:rStyle w:val="Satznummer"/>
        </w:rPr>
        <w:t>2</w:t>
      </w:r>
      <w:r>
        <w:t>Die Miete ist mangels anderer Vereinbarung halbmonatlich im Voraus zu entrichten.</w:t>
      </w:r>
    </w:p>
    <w:p>
      <w:r>
        <w:t xml:space="preserve">(3) </w:t>
      </w:r>
      <w:r>
        <w:rPr>
          <w:rStyle w:val="Satznummer"/>
        </w:rPr>
        <w:t>1</w:t>
      </w:r>
      <w:r>
        <w:t xml:space="preserve">Die Vorschriften dieses Unterabschnitts gelten, wenn der Mieter den Vertrag abschließt, um das Schiff zum Erwerb durch Seefahrt zu betreiben. </w:t>
      </w:r>
      <w:r>
        <w:rPr>
          <w:rStyle w:val="Satznummer"/>
        </w:rPr>
        <w:t>2</w:t>
      </w:r>
      <w:r>
        <w:t xml:space="preserve">Betreibt der Mieter kein Handelsgewerbe im Sinne von </w:t>
      </w:r>
      <w:hyperlink w:anchor="b2" w:history="1">
        <w:r>
          <w:rPr>
            <w:color w:val="0A3A8C"/>
            <w:u w:val="single"/>
          </w:rPr>
          <w:t xml:space="preserve">§ 1</w:t>
        </w:r>
      </w:hyperlink>
      <w:r>
        <w:t xml:space="preserve"> Absatz 2 und ist seine Firma auch nicht nach § 2 in das Handelsregister eingetragen, so sind in Ansehung des Schiffsmietvertrags auch insoweit die Vorschriften des Ersten Abschnitts des Vierten Buches ergänzend anzuwenden; dies gilt jedoch nicht für die </w:t>
      </w:r>
      <w:hyperlink w:anchor="b490" w:history="1">
        <w:r>
          <w:rPr>
            <w:color w:val="0A3A8C"/>
            <w:u w:val="single"/>
          </w:rPr>
          <w:t xml:space="preserve">§§ 348</w:t>
        </w:r>
      </w:hyperlink>
      <w:r>
        <w:t xml:space="preserve"> bis </w:t>
      </w:r>
      <w:hyperlink w:anchor="b492" w:history="1">
        <w:r>
          <w:rPr>
            <w:color w:val="0A3A8C"/>
            <w:u w:val="single"/>
          </w:rPr>
          <w:t xml:space="preserve">350</w:t>
        </w:r>
      </w:hyperlink>
      <w:r>
        <w:t>.</w:t>
      </w:r>
    </w:p>
    <w:p>
      <w:pPr>
        <w:pStyle w:val="Heading4"/>
      </w:pPr>
      <w:bookmarkStart w:id="739" w:name="b738"/>
      <w:r>
        <w:t>§ 554 Übergabe und Rückgabe des Schiffes. Instandhaltung</w:t>
      </w:r>
      <w:r>
        <w:t xml:space="preserve"> </w:t>
      </w:r>
      <w:r>
        <w:rPr>
          <w:rStyle w:val="Suchmarke"/>
        </w:rPr>
        <w:t>#554#</w:t>
      </w:r>
      <w:bookmarkEnd w:id="739"/>
    </w:p>
    <w:p>
      <w:r>
        <w:t>(1) Der Vermieter hat dem Mieter das Schiff zur vereinbarten Zeit am vereinbarten Ort in einem zum vertragsgemäßen Gebrauch geeigneten Zustand zu übergeben.</w:t>
      </w:r>
    </w:p>
    <w:p>
      <w:r>
        <w:t xml:space="preserve">(2) </w:t>
      </w:r>
      <w:r>
        <w:rPr>
          <w:rStyle w:val="Satznummer"/>
        </w:rPr>
        <w:t>1</w:t>
      </w:r>
      <w:r>
        <w:t xml:space="preserve">Der Mieter hat das Schiff während der Mietzeit in einem zum vertragsgemäßen Gebrauch geeigneten Zustand zu erhalten. </w:t>
      </w:r>
      <w:r>
        <w:rPr>
          <w:rStyle w:val="Satznummer"/>
        </w:rPr>
        <w:t>2</w:t>
      </w:r>
      <w:r>
        <w:t>Nach Beendigung des Mietverhältnisses ist er verpflichtet, das Schiff in demselben Zustand unter Berücksichtigung der Abnutzung infolge vertragsgemäßen Gebrauchs zurückzugeben.</w:t>
      </w:r>
    </w:p>
    <w:p>
      <w:pPr>
        <w:pStyle w:val="Heading4"/>
      </w:pPr>
      <w:bookmarkStart w:id="740" w:name="b739"/>
      <w:r>
        <w:t>§ 555 Sicherung der Rechte des Vermieters</w:t>
      </w:r>
      <w:r>
        <w:t xml:space="preserve"> </w:t>
      </w:r>
      <w:r>
        <w:rPr>
          <w:rStyle w:val="Suchmarke"/>
        </w:rPr>
        <w:t>#555#</w:t>
      </w:r>
      <w:bookmarkEnd w:id="740"/>
    </w:p>
    <w:p>
      <w:r>
        <w:t>Der Mieter hat die Rechte des Vermieters gegenüber Dritten für den Vermieter zu sichern.</w:t>
      </w:r>
    </w:p>
    <w:p>
      <w:pPr>
        <w:pStyle w:val="Heading4"/>
      </w:pPr>
      <w:bookmarkStart w:id="741" w:name="b740"/>
      <w:r>
        <w:t>§ 556 Kündigung</w:t>
      </w:r>
      <w:r>
        <w:t xml:space="preserve"> </w:t>
      </w:r>
      <w:r>
        <w:rPr>
          <w:rStyle w:val="Suchmarke"/>
        </w:rPr>
        <w:t>#556#</w:t>
      </w:r>
      <w:bookmarkEnd w:id="741"/>
    </w:p>
    <w:p>
      <w:r>
        <w:rPr>
          <w:rStyle w:val="Satznummer"/>
        </w:rPr>
        <w:t>1</w:t>
      </w:r>
      <w:r>
        <w:t xml:space="preserve">Ein auf unbestimmte Zeit eingegangenes Mietverhältnis kann spätestens am ersten Werktag einer Woche zum Ablauf des folgenden Sonnabends gekündigt werden. </w:t>
      </w:r>
      <w:r>
        <w:rPr>
          <w:rStyle w:val="Satznummer"/>
        </w:rPr>
        <w:t>2</w:t>
      </w:r>
      <w:r>
        <w:t>Ist die Miete nach Monaten oder längeren Zeitabschnitten bemessen, ist die ordentliche Kündigung zum Ablauf eines Kalendervierteljahrs zulässig.</w:t>
      </w:r>
    </w:p>
    <w:p>
      <w:pPr>
        <w:pStyle w:val="Heading3"/>
      </w:pPr>
      <w:bookmarkStart w:id="742" w:name="b741"/>
      <w:r>
        <w:t>Zweiter Unterabschnitt Zeitcharter</w:t>
      </w:r>
      <w:bookmarkEnd w:id="742"/>
    </w:p>
    <w:p>
      <w:pPr>
        <w:pStyle w:val="Heading4"/>
      </w:pPr>
      <w:bookmarkStart w:id="743" w:name="b742"/>
      <w:r>
        <w:t>§ 557 Zeitchartervertrag</w:t>
      </w:r>
      <w:r>
        <w:t xml:space="preserve"> </w:t>
      </w:r>
      <w:r>
        <w:rPr>
          <w:rStyle w:val="Suchmarke"/>
        </w:rPr>
        <w:t>#557#</w:t>
      </w:r>
      <w:bookmarkEnd w:id="743"/>
    </w:p>
    <w:p>
      <w:r>
        <w:t>(1) Durch den Zeitchartervertrag wird der Zeitvercharterer verpflichtet, dem Zeitcharterer zu dessen Verwendung ein bestimmtes Seeschiff mit Besatzung auf Zeit zu überlassen und mit diesem Schiff Güter oder Personen zu befördern oder andere vereinbarte Leistungen zu erbringen.</w:t>
      </w:r>
    </w:p>
    <w:p>
      <w:r>
        <w:t>(2) Der Zeitcharterer wird verpflichtet, die vereinbarte Zeitfracht zu zahlen.</w:t>
      </w:r>
    </w:p>
    <w:p>
      <w:r>
        <w:t xml:space="preserve">(3) </w:t>
      </w:r>
      <w:r>
        <w:rPr>
          <w:rStyle w:val="Satznummer"/>
        </w:rPr>
        <w:t>1</w:t>
      </w:r>
      <w:r>
        <w:t xml:space="preserve">Die Vorschriften dieses Unterabschnitts gelten, wenn der Zeitcharterer den Vertrag abschließt, um das Schiff zum Erwerb durch Seefahrt zu betreiben. </w:t>
      </w:r>
      <w:r>
        <w:rPr>
          <w:rStyle w:val="Satznummer"/>
        </w:rPr>
        <w:t>2</w:t>
      </w:r>
      <w:r>
        <w:t xml:space="preserve">Betreibt der Zeitcharterer kein Handelsgewerbe im Sinne von </w:t>
      </w:r>
      <w:hyperlink w:anchor="b2" w:history="1">
        <w:r>
          <w:rPr>
            <w:color w:val="0A3A8C"/>
            <w:u w:val="single"/>
          </w:rPr>
          <w:t xml:space="preserve">§ 1</w:t>
        </w:r>
      </w:hyperlink>
      <w:r>
        <w:t xml:space="preserve"> Absatz 2 und ist seine Firma auch nicht nach § 2 in das Handelsregister eingetragen, so sind in Ansehung des Zeitchartervertrags auch insoweit die Vorschriften des Ersten Abschnitts des Vierten Buches ergänzend anzuwenden; dies gilt jedoch nicht für die </w:t>
      </w:r>
      <w:hyperlink w:anchor="b490" w:history="1">
        <w:r>
          <w:rPr>
            <w:color w:val="0A3A8C"/>
            <w:u w:val="single"/>
          </w:rPr>
          <w:t xml:space="preserve">§§ 348</w:t>
        </w:r>
      </w:hyperlink>
      <w:r>
        <w:t xml:space="preserve"> bis </w:t>
      </w:r>
      <w:hyperlink w:anchor="b492" w:history="1">
        <w:r>
          <w:rPr>
            <w:color w:val="0A3A8C"/>
            <w:u w:val="single"/>
          </w:rPr>
          <w:t xml:space="preserve">350</w:t>
        </w:r>
      </w:hyperlink>
      <w:r>
        <w:t>.</w:t>
      </w:r>
    </w:p>
    <w:p>
      <w:pPr>
        <w:pStyle w:val="Heading4"/>
      </w:pPr>
      <w:bookmarkStart w:id="744" w:name="b743"/>
      <w:r>
        <w:t>§ 558 Beurkundung</w:t>
      </w:r>
      <w:r>
        <w:t xml:space="preserve"> </w:t>
      </w:r>
      <w:r>
        <w:rPr>
          <w:rStyle w:val="Suchmarke"/>
        </w:rPr>
        <w:t>#558#</w:t>
      </w:r>
      <w:bookmarkEnd w:id="744"/>
    </w:p>
    <w:p>
      <w:r>
        <w:t>Jede Partei des Zeitchartervertrags kann die schriftliche Beurkundung dieses Vertrags verlangen.</w:t>
      </w:r>
    </w:p>
    <w:p>
      <w:pPr>
        <w:pStyle w:val="Heading4"/>
      </w:pPr>
      <w:bookmarkStart w:id="745" w:name="b744"/>
      <w:r>
        <w:t>§ 559 Bereitstellung des Schiffes</w:t>
      </w:r>
      <w:r>
        <w:t xml:space="preserve"> </w:t>
      </w:r>
      <w:r>
        <w:rPr>
          <w:rStyle w:val="Suchmarke"/>
        </w:rPr>
        <w:t>#559#</w:t>
      </w:r>
      <w:bookmarkEnd w:id="745"/>
    </w:p>
    <w:p>
      <w:r>
        <w:t>(1) Das Schiff ist dem Zeitcharterer zur vereinbarten Zeit am vereinbarten Ort in einem zum vertragsgemäßen Gebrauch geeigneten Zustand bereitzustellen.</w:t>
      </w:r>
    </w:p>
    <w:p>
      <w:r>
        <w:t>(2) Ist vereinbart, dass das Schiff zu einem bestimmten Termin oder innerhalb einer bestimmten Frist bereitgestellt werden soll, so kann der Zeitcharterer ohne Fristsetzung vom Vertrag zurücktreten, wenn die Vereinbarung nicht erfüllt wird oder offensichtlich ist, dass sie nicht erfüllt werden wird.</w:t>
      </w:r>
    </w:p>
    <w:p>
      <w:pPr>
        <w:pStyle w:val="Heading4"/>
      </w:pPr>
      <w:bookmarkStart w:id="746" w:name="b745"/>
      <w:r>
        <w:t>§ 560 Erhaltung des vertragsgemäßen Zustands des Schiffes</w:t>
      </w:r>
      <w:r>
        <w:t xml:space="preserve"> </w:t>
      </w:r>
      <w:r>
        <w:rPr>
          <w:rStyle w:val="Suchmarke"/>
        </w:rPr>
        <w:t>#560#</w:t>
      </w:r>
      <w:bookmarkEnd w:id="746"/>
    </w:p>
    <w:p>
      <w:r>
        <w:rPr>
          <w:rStyle w:val="Satznummer"/>
        </w:rPr>
        <w:t>1</w:t>
      </w:r>
      <w:r>
        <w:t xml:space="preserve">Der Zeitvercharterer hat das Schiff während der Dauer des Zeitchartervertrags in einem zum vertragsgemäßen Gebrauch geeigneten Zustand zu erhalten. </w:t>
      </w:r>
      <w:r>
        <w:rPr>
          <w:rStyle w:val="Satznummer"/>
        </w:rPr>
        <w:t>2</w:t>
      </w:r>
      <w:r>
        <w:t>Er hat insbesondere dafür zu sorgen, dass das Schiff seetüchtig und, wenn das Schiff zur Beförderung von Gütern verwendet wird, ladungstüchtig ist.</w:t>
      </w:r>
    </w:p>
    <w:p>
      <w:pPr>
        <w:pStyle w:val="Heading4"/>
      </w:pPr>
      <w:bookmarkStart w:id="747" w:name="b746"/>
      <w:r>
        <w:t>§ 561 Verwendung des Schiffes</w:t>
      </w:r>
      <w:r>
        <w:t xml:space="preserve"> </w:t>
      </w:r>
      <w:r>
        <w:rPr>
          <w:rStyle w:val="Suchmarke"/>
        </w:rPr>
        <w:t>#561#</w:t>
      </w:r>
      <w:bookmarkEnd w:id="747"/>
    </w:p>
    <w:p>
      <w:r>
        <w:t xml:space="preserve">(1) </w:t>
      </w:r>
      <w:r>
        <w:rPr>
          <w:rStyle w:val="Satznummer"/>
        </w:rPr>
        <w:t>1</w:t>
      </w:r>
      <w:r>
        <w:t xml:space="preserve">Der Zeitcharterer bestimmt über die Verwendung des Schiffes. </w:t>
      </w:r>
      <w:r>
        <w:rPr>
          <w:rStyle w:val="Satznummer"/>
        </w:rPr>
        <w:t>2</w:t>
      </w:r>
      <w:r>
        <w:t>Er ist verpflichtet, mit der gebotenen Sorgfalt einen sicheren Hafen oder Liegeplatz auszuwählen, wenn er den Zeitvercharterer anweist, einen bestimmten Hafen oder Liegeplatz anzulaufen.</w:t>
      </w:r>
    </w:p>
    <w:p>
      <w:r>
        <w:t>(2) Der Zeitvercharterer ist für die Führung und die sonstige Bedienung des Schiffes verantwortlich.</w:t>
      </w:r>
    </w:p>
    <w:p>
      <w:r>
        <w:t>(3) Der Zeitcharterer ist berechtigt, das Schiff an einen Dritten zu verchartern.</w:t>
      </w:r>
    </w:p>
    <w:p>
      <w:pPr>
        <w:pStyle w:val="Heading4"/>
      </w:pPr>
      <w:bookmarkStart w:id="748" w:name="b747"/>
      <w:r>
        <w:t>§ 562 Unterrichtungspflichten</w:t>
      </w:r>
      <w:r>
        <w:t xml:space="preserve"> </w:t>
      </w:r>
      <w:r>
        <w:rPr>
          <w:rStyle w:val="Suchmarke"/>
        </w:rPr>
        <w:t>#562#</w:t>
      </w:r>
      <w:bookmarkEnd w:id="748"/>
    </w:p>
    <w:p>
      <w:r>
        <w:t>Zeitvercharterer und Zeitcharterer sind verpflichtet, sich gegenseitig über alle das Schiff und die Reisen betreffenden Umstände von Bedeutung zu unterrichten.</w:t>
      </w:r>
    </w:p>
    <w:p>
      <w:pPr>
        <w:pStyle w:val="Heading4"/>
      </w:pPr>
      <w:bookmarkStart w:id="749" w:name="b748"/>
      <w:r>
        <w:t>§ 563 Verladen und Löschen</w:t>
      </w:r>
      <w:r>
        <w:t xml:space="preserve"> </w:t>
      </w:r>
      <w:r>
        <w:rPr>
          <w:rStyle w:val="Suchmarke"/>
        </w:rPr>
        <w:t>#563#</w:t>
      </w:r>
      <w:bookmarkEnd w:id="749"/>
    </w:p>
    <w:p>
      <w:r>
        <w:t>(1) Der Zeitcharterer hat, wenn das Schiff zur Beförderung von Gütern verwendet wird, diese zu verladen und zu löschen.</w:t>
      </w:r>
    </w:p>
    <w:p>
      <w:r>
        <w:t>(2) Der Zeitvercharterer hat dafür zu sorgen, dass die Verladung die Seetüchtigkeit des Schiffes nicht beeinträchtigt.</w:t>
      </w:r>
    </w:p>
    <w:p>
      <w:pPr>
        <w:pStyle w:val="Heading4"/>
      </w:pPr>
      <w:bookmarkStart w:id="750" w:name="b749"/>
      <w:r>
        <w:t>§ 564 Kosten für den Betrieb des Schiffes</w:t>
      </w:r>
      <w:r>
        <w:t xml:space="preserve"> </w:t>
      </w:r>
      <w:r>
        <w:rPr>
          <w:rStyle w:val="Suchmarke"/>
        </w:rPr>
        <w:t>#564#</w:t>
      </w:r>
      <w:bookmarkEnd w:id="750"/>
    </w:p>
    <w:p>
      <w:r>
        <w:t>(1) Der Zeitvercharterer hat die fixen Kosten des Schiffsbetriebs zu tragen, insbesondere die Kosten der Besatzung, Ausrüstung, Unterhaltung und Versicherung des Schiffes.</w:t>
      </w:r>
    </w:p>
    <w:p>
      <w:r>
        <w:t xml:space="preserve">(2) </w:t>
      </w:r>
      <w:r>
        <w:rPr>
          <w:rStyle w:val="Satznummer"/>
        </w:rPr>
        <w:t>1</w:t>
      </w:r>
      <w:r>
        <w:t xml:space="preserve">Der Zeitcharterer hat die variablen Kosten des Schiffsbetriebs zu tragen, insbesondere Hafengebühren, Lotsengelder, Schlepperhilfen und Prämien für eine weiter gehende Versicherung des Schiffes. </w:t>
      </w:r>
      <w:r>
        <w:rPr>
          <w:rStyle w:val="Satznummer"/>
        </w:rPr>
        <w:t>2</w:t>
      </w:r>
      <w:r>
        <w:t>Der Zeitcharterer hat ferner den für den Betrieb des Schiffes erforderlichen Treibstoff in handelsüblicher Qualität zu beschaffen.</w:t>
      </w:r>
    </w:p>
    <w:p>
      <w:pPr>
        <w:pStyle w:val="Heading4"/>
      </w:pPr>
      <w:bookmarkStart w:id="751" w:name="b750"/>
      <w:r>
        <w:t>§ 565 Zeitfracht</w:t>
      </w:r>
      <w:r>
        <w:t xml:space="preserve"> </w:t>
      </w:r>
      <w:r>
        <w:rPr>
          <w:rStyle w:val="Suchmarke"/>
        </w:rPr>
        <w:t>#565#</w:t>
      </w:r>
      <w:bookmarkEnd w:id="751"/>
    </w:p>
    <w:p>
      <w:r>
        <w:t>(1) Die Zeitfracht ist mangels anderer Vereinbarung halbmonatlich im Voraus zu zahlen.</w:t>
      </w:r>
    </w:p>
    <w:p>
      <w:r>
        <w:t xml:space="preserve">(2) </w:t>
      </w:r>
      <w:r>
        <w:rPr>
          <w:rStyle w:val="Satznummer"/>
        </w:rPr>
        <w:t>1</w:t>
      </w:r>
      <w:r>
        <w:t xml:space="preserve">Die Pflicht zur Zahlung der Zeitfracht entfällt für die Zeit, in der das Schiff infolge von Mängeln oder sonstigen Umständen, die dem Risikobereich des Zeitvercharterers zuzurechnen sind, dem Zeitcharterer nicht zur vertragsgemäßen Verwendung zur Verfügung steht. </w:t>
      </w:r>
      <w:r>
        <w:rPr>
          <w:rStyle w:val="Satznummer"/>
        </w:rPr>
        <w:t>2</w:t>
      </w:r>
      <w:r>
        <w:t>Ist die vertragsgemäße Verwendung des Schiffes gemindert, ist eine angemessen herabgesetzte Zeitfracht zu zahlen.</w:t>
      </w:r>
    </w:p>
    <w:p>
      <w:pPr>
        <w:pStyle w:val="Heading4"/>
      </w:pPr>
      <w:bookmarkStart w:id="752" w:name="b751"/>
      <w:r>
        <w:t>§ 566 Pfandrecht des Zeitvercharterers</w:t>
      </w:r>
      <w:r>
        <w:t xml:space="preserve"> </w:t>
      </w:r>
      <w:r>
        <w:rPr>
          <w:rStyle w:val="Suchmarke"/>
        </w:rPr>
        <w:t>#566#</w:t>
      </w:r>
      <w:bookmarkEnd w:id="752"/>
    </w:p>
    <w:p>
      <w:r>
        <w:t xml:space="preserve">(1) </w:t>
      </w:r>
      <w:r>
        <w:rPr>
          <w:rStyle w:val="Satznummer"/>
        </w:rPr>
        <w:t>1</w:t>
      </w:r>
      <w:r>
        <w:t xml:space="preserve">Der Zeitvercharterer hat für seine Forderungen aus dem Zeitchartervertrag ein Pfandrecht an den an Bord des Schiffes befindlichen Sachen einschließlich des Treibstoffs, soweit diese Sachen im Eigentum des Zeitcharterers stehen. </w:t>
      </w:r>
      <w:r>
        <w:rPr>
          <w:rStyle w:val="Satznummer"/>
        </w:rPr>
        <w:t>2</w:t>
      </w:r>
      <w:r>
        <w:t>Die für den gutgläubigen Erwerb des Eigentums geltenden §§ 932, 934 und 935 des Bürgerlichen Gesetzbuchs sind nicht anzuwenden.</w:t>
      </w:r>
    </w:p>
    <w:p>
      <w:r>
        <w:t xml:space="preserve">(2) </w:t>
      </w:r>
      <w:r>
        <w:rPr>
          <w:rStyle w:val="Satznummer"/>
        </w:rPr>
        <w:t>1</w:t>
      </w:r>
      <w:r>
        <w:t xml:space="preserve">Der Zeitvercharterer hat ferner für seine Forderungen aus dem Zeitchartervertrag ein Pfandrecht an den Forderungen des Zeitcharterers aus von diesem abgeschlossenen Fracht- und Unterzeitcharterverträgen, die mit dem Schiff erfüllt werden. </w:t>
      </w:r>
      <w:r>
        <w:rPr>
          <w:rStyle w:val="Satznummer"/>
        </w:rPr>
        <w:t>2</w:t>
      </w:r>
      <w:r>
        <w:t xml:space="preserve">Der Schuldner der Forderung kann, sobald er Kenntnis von dem Pfandrecht hat, nur an den Zeitvercharterer leisten. </w:t>
      </w:r>
      <w:r>
        <w:rPr>
          <w:rStyle w:val="Satznummer"/>
        </w:rPr>
        <w:t>3</w:t>
      </w:r>
      <w:r>
        <w:t>Er ist jedoch zur Hinterlegung berechtigt, solange ihm der Zeitcharterer das Pfandrecht nicht anzeigt.</w:t>
      </w:r>
    </w:p>
    <w:p>
      <w:r>
        <w:t>(3) Abweichend von den Absätzen 1 und 2 hat der Zeitvercharterer kein Pfandrecht für künftige Entschädigungsforderungen sowie für nicht fällige Ansprüche auf Zeitfracht.</w:t>
      </w:r>
    </w:p>
    <w:p>
      <w:pPr>
        <w:pStyle w:val="Heading4"/>
      </w:pPr>
      <w:bookmarkStart w:id="753" w:name="b752"/>
      <w:r>
        <w:t>§ 567 Pflichtverletzung</w:t>
      </w:r>
      <w:r>
        <w:t xml:space="preserve"> </w:t>
      </w:r>
      <w:r>
        <w:rPr>
          <w:rStyle w:val="Suchmarke"/>
        </w:rPr>
        <w:t>#567#</w:t>
      </w:r>
      <w:bookmarkEnd w:id="753"/>
    </w:p>
    <w:p>
      <w:r>
        <w:t>Verletzt eine Partei des Zeitchartervertrags eine Pflicht aus diesem Vertrag, so bestimmen sich die Rechtsfolgen nach den allgemeinen für Schuldverhältnisse geltenden Vorschriften des Bürgerlichen Gesetzbuchs, soweit nicht in diesem Unterabschnitt etwas anderes bestimmt ist.</w:t>
      </w:r>
    </w:p>
    <w:p>
      <w:pPr>
        <w:pStyle w:val="Heading4"/>
      </w:pPr>
      <w:bookmarkStart w:id="754" w:name="b753"/>
      <w:r>
        <w:t>§ 568 Zurückbehaltungsrecht</w:t>
      </w:r>
      <w:r>
        <w:t xml:space="preserve"> </w:t>
      </w:r>
      <w:r>
        <w:rPr>
          <w:rStyle w:val="Suchmarke"/>
        </w:rPr>
        <w:t>#568#</w:t>
      </w:r>
      <w:bookmarkEnd w:id="754"/>
    </w:p>
    <w:p>
      <w:r>
        <w:t>Der Zeitvercharterer kann die von ihm geschuldeten Leistungen, einschließlich der Einnahme von Gut und der Ausstellung von Konnossementen, verweigern, solange der Zeitcharterer einen fälligen Anspruch auf Zeitfracht nicht erfüllt.</w:t>
      </w:r>
    </w:p>
    <w:p>
      <w:pPr>
        <w:pStyle w:val="Heading4"/>
      </w:pPr>
      <w:bookmarkStart w:id="755" w:name="b754"/>
      <w:r>
        <w:t>§ 569 Rückgabe des Schiffes</w:t>
      </w:r>
      <w:r>
        <w:t xml:space="preserve"> </w:t>
      </w:r>
      <w:r>
        <w:rPr>
          <w:rStyle w:val="Suchmarke"/>
        </w:rPr>
        <w:t>#569#</w:t>
      </w:r>
      <w:bookmarkEnd w:id="755"/>
    </w:p>
    <w:p>
      <w:r>
        <w:t>(1) Nach Beendigung des Vertragsverhältnisses hat der Zeitcharterer das Schiff am vereinbarten Ort zurückzugeben.</w:t>
      </w:r>
    </w:p>
    <w:p>
      <w:r>
        <w:t xml:space="preserve">(2) </w:t>
      </w:r>
      <w:r>
        <w:rPr>
          <w:rStyle w:val="Satznummer"/>
        </w:rPr>
        <w:t>1</w:t>
      </w:r>
      <w:r>
        <w:t xml:space="preserve">Wird das Vertragsverhältnis durch eine außerordentliche Kündigung beendet, so hat der Zeitcharterer abweichend von Absatz 1 das Schiff dort zurückzugeben, wo es sich in dem Zeitpunkt befindet, in dem die Kündigung wirksam wird. </w:t>
      </w:r>
      <w:r>
        <w:rPr>
          <w:rStyle w:val="Satznummer"/>
        </w:rPr>
        <w:t>2</w:t>
      </w:r>
      <w:r>
        <w:t>Die Partei, die den Grund für die außerordentliche Kündigung zu vertreten hat, hat jedoch der anderen Partei den durch die vorzeitige Beendigung des Vertragsverhältnisses entstandenen Schaden zu ersetzen.</w:t>
      </w:r>
    </w:p>
    <w:p>
      <w:pPr>
        <w:pStyle w:val="Heading2"/>
      </w:pPr>
      <w:bookmarkStart w:id="756" w:name="b755"/>
      <w:r>
        <w:t>Vierter Abschnitt Schiffsnotlagen</w:t>
      </w:r>
      <w:bookmarkEnd w:id="756"/>
    </w:p>
    <w:p>
      <w:pPr>
        <w:pStyle w:val="Heading3"/>
      </w:pPr>
      <w:bookmarkStart w:id="757" w:name="b756"/>
      <w:r>
        <w:t>Erster Unterabschnitt Schiffszusammenstoß</w:t>
      </w:r>
      <w:bookmarkEnd w:id="757"/>
    </w:p>
    <w:p>
      <w:pPr>
        <w:pStyle w:val="Heading4"/>
      </w:pPr>
      <w:bookmarkStart w:id="758" w:name="b757"/>
      <w:r>
        <w:t>§ 570 Schadensersatzpflicht</w:t>
      </w:r>
      <w:r>
        <w:t xml:space="preserve"> </w:t>
      </w:r>
      <w:r>
        <w:rPr>
          <w:rStyle w:val="Suchmarke"/>
        </w:rPr>
        <w:t>#570#</w:t>
      </w:r>
      <w:bookmarkEnd w:id="758"/>
    </w:p>
    <w:p>
      <w:r>
        <w:rPr>
          <w:rStyle w:val="Satznummer"/>
        </w:rPr>
        <w:t>1</w:t>
      </w:r>
      <w:r>
        <w:t xml:space="preserve">Im Falle eines Zusammenstoßes von Seeschiffen haftet der Reeder des Schiffes, das den Zusammenstoß verursacht hat, für den Schaden, der durch den Zusammenstoß an dem anderen Schiff und den an Bord der Schiffe befindlichen Personen und Sachen verursacht wurde. </w:t>
      </w:r>
      <w:r>
        <w:rPr>
          <w:rStyle w:val="Satznummer"/>
        </w:rPr>
        <w:t>2</w:t>
      </w:r>
      <w:r>
        <w:t xml:space="preserve">Die Ersatzpflicht tritt jedoch nur ein, wenn den Reeder jenes Schiffes oder eine in </w:t>
      </w:r>
      <w:hyperlink w:anchor="b654" w:history="1">
        <w:r>
          <w:rPr>
            <w:color w:val="0A3A8C"/>
            <w:u w:val="single"/>
          </w:rPr>
          <w:t xml:space="preserve">§ 480</w:t>
        </w:r>
      </w:hyperlink>
      <w:r>
        <w:t xml:space="preserve"> genannte Person ein Verschulden trifft.</w:t>
      </w:r>
    </w:p>
    <w:p>
      <w:pPr>
        <w:pStyle w:val="Heading4"/>
      </w:pPr>
      <w:bookmarkStart w:id="759" w:name="b758"/>
      <w:r>
        <w:t>§ 571 Mitverschulden</w:t>
      </w:r>
      <w:r>
        <w:t xml:space="preserve"> </w:t>
      </w:r>
      <w:r>
        <w:rPr>
          <w:rStyle w:val="Suchmarke"/>
        </w:rPr>
        <w:t>#571#</w:t>
      </w:r>
      <w:bookmarkEnd w:id="759"/>
    </w:p>
    <w:p>
      <w:r>
        <w:t xml:space="preserve">(1) </w:t>
      </w:r>
      <w:r>
        <w:rPr>
          <w:rStyle w:val="Satznummer"/>
        </w:rPr>
        <w:t>1</w:t>
      </w:r>
      <w:r>
        <w:t xml:space="preserve">Sind die Reeder mehrerer am Zusammenstoß beteiligter Schiffe zum Schadensersatz verpflichtet, so bestimmt sich der Umfang des von einem Reeder zu leistenden Ersatzes nach dem Verhältnis der Schwere seines Verschuldens zu dem der anderen Reeder. </w:t>
      </w:r>
      <w:r>
        <w:rPr>
          <w:rStyle w:val="Satznummer"/>
        </w:rPr>
        <w:t>2</w:t>
      </w:r>
      <w:r>
        <w:t>Kann ein solches Verhältnis nicht festgesetzt werden, so haften die Reeder zu gleichen Teilen.</w:t>
      </w:r>
    </w:p>
    <w:p>
      <w:r>
        <w:t xml:space="preserve">(2) </w:t>
      </w:r>
      <w:r>
        <w:rPr>
          <w:rStyle w:val="Satznummer"/>
        </w:rPr>
        <w:t>1</w:t>
      </w:r>
      <w:r>
        <w:t xml:space="preserve">Abweichend von Absatz 1 haften die Reeder mehrerer am Zusammenstoß beteiligter Schiffe für den Schaden, der durch den Tod oder die Körperverletzung einer an Bord befindlichen Person entsteht, als Gesamtschuldner. </w:t>
      </w:r>
      <w:r>
        <w:rPr>
          <w:rStyle w:val="Satznummer"/>
        </w:rPr>
        <w:t>2</w:t>
      </w:r>
      <w:r>
        <w:t>Im Verhältnis zueinander sind die Reeder nach Maßgabe des Absatzes 1 verpflichtet.</w:t>
      </w:r>
    </w:p>
    <w:p>
      <w:pPr>
        <w:pStyle w:val="Heading4"/>
      </w:pPr>
      <w:bookmarkStart w:id="760" w:name="b759"/>
      <w:r>
        <w:t>§ 572 Fernschädigung</w:t>
      </w:r>
      <w:r>
        <w:t xml:space="preserve"> </w:t>
      </w:r>
      <w:r>
        <w:rPr>
          <w:rStyle w:val="Suchmarke"/>
        </w:rPr>
        <w:t>#572#</w:t>
      </w:r>
      <w:bookmarkEnd w:id="760"/>
    </w:p>
    <w:p>
      <w:r>
        <w:t xml:space="preserve">Fügt ein Schiff durch Ausführung oder Unterlassung eines Manövers oder durch Nichtbeachtung einer Schifffahrtsregel einem anderen Schiff oder den an Bord der Schiffe befindlichen Personen oder Sachen einen Schaden zu, ohne dass ein Zusammenstoß stattfindet, so sind die </w:t>
      </w:r>
      <w:hyperlink w:anchor="b757" w:history="1">
        <w:r>
          <w:rPr>
            <w:color w:val="0A3A8C"/>
            <w:u w:val="single"/>
          </w:rPr>
          <w:t xml:space="preserve">§§ 570</w:t>
        </w:r>
      </w:hyperlink>
      <w:r>
        <w:t xml:space="preserve"> und </w:t>
      </w:r>
      <w:hyperlink w:anchor="b758" w:history="1">
        <w:r>
          <w:rPr>
            <w:color w:val="0A3A8C"/>
            <w:u w:val="single"/>
          </w:rPr>
          <w:t xml:space="preserve">571</w:t>
        </w:r>
      </w:hyperlink>
      <w:r>
        <w:t xml:space="preserve"> entsprechend anzuwenden.</w:t>
      </w:r>
    </w:p>
    <w:p>
      <w:pPr>
        <w:pStyle w:val="Heading4"/>
      </w:pPr>
      <w:bookmarkStart w:id="761" w:name="b760"/>
      <w:r>
        <w:t>§ 573 Beteiligung eines Binnenschiffs</w:t>
      </w:r>
      <w:r>
        <w:t xml:space="preserve"> </w:t>
      </w:r>
      <w:r>
        <w:rPr>
          <w:rStyle w:val="Suchmarke"/>
        </w:rPr>
        <w:t>#573#</w:t>
      </w:r>
      <w:bookmarkEnd w:id="761"/>
    </w:p>
    <w:p>
      <w:r>
        <w:t>Die Vorschriften dieses Unterabschnitts sind entsprechend anzuwenden, wenn an dem Unfall ein Binnenschiff beteiligt ist.</w:t>
      </w:r>
    </w:p>
    <w:p>
      <w:pPr>
        <w:pStyle w:val="Heading3"/>
      </w:pPr>
      <w:bookmarkStart w:id="762" w:name="b761"/>
      <w:r>
        <w:t>Zweiter Unterabschnitt Bergung</w:t>
      </w:r>
      <w:bookmarkEnd w:id="762"/>
    </w:p>
    <w:p>
      <w:pPr>
        <w:pStyle w:val="Heading4"/>
      </w:pPr>
      <w:bookmarkStart w:id="763" w:name="b762"/>
      <w:r>
        <w:t>§ 574 Pflichten des Bergers und sonstiger Personen</w:t>
      </w:r>
      <w:r>
        <w:t xml:space="preserve"> </w:t>
      </w:r>
      <w:r>
        <w:rPr>
          <w:rStyle w:val="Suchmarke"/>
        </w:rPr>
        <w:t>#574#</w:t>
      </w:r>
      <w:bookmarkEnd w:id="763"/>
    </w:p>
    <w:p>
      <w:r>
        <w:t>(1) Berger ist, wer folgenden Schiffen oder Vermögensgegenständen Hilfe leistet:</w:t>
      </w:r>
    </w:p>
    <w:p>
      <w:pPr>
        <w:tabs>
          <w:tab w:pos="567" w:val="left"/>
        </w:tabs>
        <w:ind w:left="567" w:hanging="567"/>
      </w:pPr>
      <w:r>
        <w:t>1.</w:t>
      </w:r>
      <w:r>
        <w:tab/>
      </w:r>
      <w:r>
        <w:t>einem in Seegewässern in Gefahr befindlichen See- oder Binnenschiff oder sonstigen Vermögensgegenstand,</w:t>
      </w:r>
    </w:p>
    <w:p>
      <w:pPr>
        <w:tabs>
          <w:tab w:pos="567" w:val="left"/>
        </w:tabs>
        <w:ind w:left="567" w:hanging="567"/>
      </w:pPr>
      <w:r>
        <w:t>2.</w:t>
      </w:r>
      <w:r>
        <w:tab/>
      </w:r>
      <w:r>
        <w:t>einem in Binnengewässern in Gefahr befindlichen Seeschiff oder</w:t>
      </w:r>
    </w:p>
    <w:p>
      <w:pPr>
        <w:tabs>
          <w:tab w:pos="567" w:val="left"/>
        </w:tabs>
        <w:ind w:left="567" w:hanging="567"/>
      </w:pPr>
      <w:r>
        <w:t>3.</w:t>
      </w:r>
      <w:r>
        <w:tab/>
      </w:r>
      <w:r>
        <w:t>einem in Binnengewässern in Gefahr befindlichen Binnenschiff oder sonstigen Vermögensgegenstand, wenn ihm von einem Seeschiff aus Hilfe geleistet wird.</w:t>
      </w:r>
    </w:p>
    <w:p>
      <w:r>
        <w:t xml:space="preserve">(2) </w:t>
      </w:r>
      <w:r>
        <w:rPr>
          <w:rStyle w:val="Satznummer"/>
        </w:rPr>
        <w:t>1</w:t>
      </w:r>
      <w:r>
        <w:t xml:space="preserve">Als Schiff im Sinne von Absatz 1 ist auch ein schwimmendes Gerät oder schwimmfähiges Bauwerk anzusehen. </w:t>
      </w:r>
      <w:r>
        <w:rPr>
          <w:rStyle w:val="Satznummer"/>
        </w:rPr>
        <w:t>2</w:t>
      </w:r>
      <w:r>
        <w:t xml:space="preserve">Vermögensgegenstand im Sinne von Absatz 1 ist auch ein gefährdeter Anspruch auf Fracht. </w:t>
      </w:r>
      <w:r>
        <w:rPr>
          <w:rStyle w:val="Satznummer"/>
        </w:rPr>
        <w:t>3</w:t>
      </w:r>
      <w:r>
        <w:t>Nicht als Schiff oder Vermögensgegenstand im Sinne von Absatz 1 gelten dagegen</w:t>
      </w:r>
    </w:p>
    <w:p>
      <w:pPr>
        <w:tabs>
          <w:tab w:pos="567" w:val="left"/>
        </w:tabs>
        <w:ind w:left="567" w:hanging="567"/>
      </w:pPr>
      <w:r>
        <w:t>1.</w:t>
      </w:r>
      <w:r>
        <w:tab/>
      </w:r>
      <w:r>
        <w:t>eine auf Dauer und absichtlich an der Küste oder am Ufer befestigte Sache sowie</w:t>
      </w:r>
    </w:p>
    <w:p>
      <w:pPr>
        <w:tabs>
          <w:tab w:pos="567" w:val="left"/>
        </w:tabs>
        <w:ind w:left="567" w:hanging="567"/>
      </w:pPr>
      <w:r>
        <w:t>2.</w:t>
      </w:r>
      <w:r>
        <w:tab/>
      </w:r>
      <w:r>
        <w:t>eine feste oder schwimmende Plattform oder eine der Küste vorgelagerte bewegliche Bohreinrichtung, die sich zur Erforschung, Ausbeutung oder Gewinnung mineralischer Ressourcen des Meeresbodens vor Ort im Einsatz befindet.</w:t>
      </w:r>
    </w:p>
    <w:p>
      <w:r>
        <w:t>(3) Der Berger ist gegenüber den Eigentümern des Schiffes sowie der sonstigen Vermögensgegenstände, denen er Hilfe leistet, verpflichtet, die Leistung mit der gebotenen Sorgfalt durchzuführen, andere Berger um Unterstützung zu bitten, wenn die Umstände dies bei vernünftiger Betrachtungsweise erfordern, und das Eingreifen anderer Berger hinzunehmen, wenn von dem Schiffer oder Kapitän oder dem Eigentümer des in Gefahr befindlichen Schiffes oder dem Eigentümer des sonstigen in Gefahr befindlichen Vermögensgegenstands vernünftigerweise darum ersucht wird.</w:t>
      </w:r>
    </w:p>
    <w:p>
      <w:r>
        <w:t xml:space="preserve">(4) </w:t>
      </w:r>
      <w:r>
        <w:rPr>
          <w:rStyle w:val="Satznummer"/>
        </w:rPr>
        <w:t>1</w:t>
      </w:r>
      <w:r>
        <w:t xml:space="preserve">Der Eigentümer und der Schiffer oder Kapitän eines in Gefahr befindlichen Schiffes sowie der Eigentümer eines sonstigen in Gefahr befindlichen Vermögensgegenstands sind gegenüber dem Berger verpflichtet, mit diesem während der Bergungsmaßnahmen in jeder Hinsicht zusammenzuarbeiten. </w:t>
      </w:r>
      <w:r>
        <w:rPr>
          <w:rStyle w:val="Satznummer"/>
        </w:rPr>
        <w:t>2</w:t>
      </w:r>
      <w:r>
        <w:t>Wurde das Schiff oder ein sonstiger Vermögensgegenstand in Sicherheit gebracht, so sind die in Satz 1 genannten Personen auf vernünftiges Ersuchen des Bergers auch verpflichtet, das Schiff oder den sonstigen Vermögensgegenstand zurückzunehmen.</w:t>
      </w:r>
    </w:p>
    <w:p>
      <w:pPr>
        <w:pStyle w:val="Heading4"/>
      </w:pPr>
      <w:bookmarkStart w:id="764" w:name="b763"/>
      <w:r>
        <w:t>§ 575 Verhütung oder Begrenzung von Umweltschäden</w:t>
      </w:r>
      <w:r>
        <w:t xml:space="preserve"> </w:t>
      </w:r>
      <w:r>
        <w:rPr>
          <w:rStyle w:val="Suchmarke"/>
        </w:rPr>
        <w:t>#575#</w:t>
      </w:r>
      <w:bookmarkEnd w:id="764"/>
    </w:p>
    <w:p>
      <w:r>
        <w:t xml:space="preserve">(1) </w:t>
      </w:r>
      <w:r>
        <w:rPr>
          <w:rStyle w:val="Satznummer"/>
        </w:rPr>
        <w:t>1</w:t>
      </w:r>
      <w:r>
        <w:t xml:space="preserve">Der Berger ist gegenüber dem Eigentümer des in Gefahr befindlichen Schiffes sowie gegenüber dem Eigentümer eines sonstigen in Gefahr befindlichen Vermögensgegenstands verpflichtet, während der Bergungsmaßnahmen die gebotene Sorgfalt anzuwenden, um Umweltschäden zu verhüten oder zu begrenzen. </w:t>
      </w:r>
      <w:r>
        <w:rPr>
          <w:rStyle w:val="Satznummer"/>
        </w:rPr>
        <w:t>2</w:t>
      </w:r>
      <w:r>
        <w:t xml:space="preserve">Die gleiche Pflicht trifft den Eigentümer und den Schiffer oder Kapitän des in Gefahr befindlichen Schiffes sowie den Eigentümer eines sonstigen in Gefahr befindlichen Vermögensgegenstands gegenüber dem Berger. </w:t>
      </w:r>
      <w:r>
        <w:rPr>
          <w:rStyle w:val="Satznummer"/>
        </w:rPr>
        <w:t>3</w:t>
      </w:r>
      <w:r>
        <w:t>Eine abweichende Vereinbarung ist nichtig.</w:t>
      </w:r>
    </w:p>
    <w:p>
      <w:r>
        <w:t>(2) Ein Umweltschaden ist eine erhebliche physische Schädigung der menschlichen Gesundheit oder der Tier- und Pflanzenwelt des Meeres oder der Meeresressourcen in Küsten- und Binnengewässern oder angrenzenden Gebieten, die durch Verschmutzung, Verseuchung, Feuer, Explosion oder ähnliche schwerwiegende Ereignisse verursacht wird.</w:t>
      </w:r>
    </w:p>
    <w:p>
      <w:pPr>
        <w:pStyle w:val="Heading4"/>
      </w:pPr>
      <w:bookmarkStart w:id="765" w:name="b764"/>
      <w:r>
        <w:t>§ 576 Bergelohnanspruch</w:t>
      </w:r>
      <w:r>
        <w:t xml:space="preserve"> </w:t>
      </w:r>
      <w:r>
        <w:rPr>
          <w:rStyle w:val="Suchmarke"/>
        </w:rPr>
        <w:t>#576#</w:t>
      </w:r>
      <w:bookmarkEnd w:id="765"/>
    </w:p>
    <w:p>
      <w:r>
        <w:t xml:space="preserve">(1) </w:t>
      </w:r>
      <w:r>
        <w:rPr>
          <w:rStyle w:val="Satznummer"/>
        </w:rPr>
        <w:t>1</w:t>
      </w:r>
      <w:r>
        <w:t xml:space="preserve">Sind die Bergungsmaßnahmen erfolgreich, hat der Berger einen Anspruch auf Zahlung eines Bergelohns. </w:t>
      </w:r>
      <w:r>
        <w:rPr>
          <w:rStyle w:val="Satznummer"/>
        </w:rPr>
        <w:t>2</w:t>
      </w:r>
      <w:r>
        <w:t>Der Anspruch besteht auch dann, wenn sowohl das geborgene Schiff als auch das Schiff, von dem aus die Bergungsmaßnahmen durchgeführt wurden, demselben Eigentümer gehören.</w:t>
      </w:r>
    </w:p>
    <w:p>
      <w:r>
        <w:t xml:space="preserve">(2) </w:t>
      </w:r>
      <w:r>
        <w:rPr>
          <w:rStyle w:val="Satznummer"/>
        </w:rPr>
        <w:t>1</w:t>
      </w:r>
      <w:r>
        <w:t xml:space="preserve">Der Bergelohn umfasst zugleich den Ersatz der Aufwendungen, die zum Zweck des Bergens gemacht wurden. </w:t>
      </w:r>
      <w:r>
        <w:rPr>
          <w:rStyle w:val="Satznummer"/>
        </w:rPr>
        <w:t>2</w:t>
      </w:r>
      <w:r>
        <w:t>Nicht im Bergelohn enthalten sind Kosten und Gebühren der Behörden, zu entrichtende Zölle und sonstige Abgaben, Kosten der Aufbewahrung, Erhaltung, Abschätzung und Veräußerung der geborgenen Gegenstände (Bergungskosten).</w:t>
      </w:r>
    </w:p>
    <w:p>
      <w:r>
        <w:t>(3) Zur Zahlung des Bergelohns und der Bergungskosten sind der Schiffseigentümer sowie die Eigentümer der sonstigen geborgenen Vermögensgegenstände im Verhältnis des Wertes des Schiffes und der Vermögensgegenstände zueinander anteilig verpflichtet.</w:t>
      </w:r>
    </w:p>
    <w:p>
      <w:pPr>
        <w:pStyle w:val="Heading4"/>
      </w:pPr>
      <w:bookmarkStart w:id="766" w:name="b765"/>
      <w:r>
        <w:t>§ 577 Höhe des Bergelohns</w:t>
      </w:r>
      <w:r>
        <w:t xml:space="preserve"> </w:t>
      </w:r>
      <w:r>
        <w:rPr>
          <w:rStyle w:val="Suchmarke"/>
        </w:rPr>
        <w:t>#577#</w:t>
      </w:r>
      <w:bookmarkEnd w:id="766"/>
    </w:p>
    <w:p>
      <w:r>
        <w:t xml:space="preserve">(1) </w:t>
      </w:r>
      <w:r>
        <w:rPr>
          <w:rStyle w:val="Satznummer"/>
        </w:rPr>
        <w:t>1</w:t>
      </w:r>
      <w:r>
        <w:t xml:space="preserve">Bergelohn ist, wenn die Parteien seine Höhe nicht vereinbart haben, so festzusetzen, dass er einen Anreiz für Bergungsmaßnahmen schafft. </w:t>
      </w:r>
      <w:r>
        <w:rPr>
          <w:rStyle w:val="Satznummer"/>
        </w:rPr>
        <w:t>2</w:t>
      </w:r>
      <w:r>
        <w:t>Bei der Festsetzung sind zugleich die folgenden Kriterien ohne Rücksicht auf die nachstehend aufgeführte Reihenfolge zu berücksichtigen:</w:t>
      </w:r>
    </w:p>
    <w:p>
      <w:pPr>
        <w:tabs>
          <w:tab w:pos="567" w:val="left"/>
        </w:tabs>
        <w:ind w:left="567" w:hanging="567"/>
      </w:pPr>
      <w:r>
        <w:t>1.</w:t>
      </w:r>
      <w:r>
        <w:tab/>
      </w:r>
      <w:r>
        <w:t>der Wert des geborgenen Schiffes und der sonstigen geborgenen Vermögensgegenstände;</w:t>
      </w:r>
    </w:p>
    <w:p>
      <w:pPr>
        <w:tabs>
          <w:tab w:pos="567" w:val="left"/>
        </w:tabs>
        <w:ind w:left="567" w:hanging="567"/>
      </w:pPr>
      <w:r>
        <w:t>2.</w:t>
      </w:r>
      <w:r>
        <w:tab/>
      </w:r>
      <w:r>
        <w:t>die Sachkunde und die Anstrengungen des Bergers in Bezug auf die Verhütung oder Begrenzung von Umweltschäden (</w:t>
      </w:r>
      <w:hyperlink w:anchor="b763" w:history="1">
        <w:r>
          <w:rPr>
            <w:color w:val="0A3A8C"/>
            <w:u w:val="single"/>
          </w:rPr>
          <w:t xml:space="preserve">§ 575</w:t>
        </w:r>
      </w:hyperlink>
      <w:r>
        <w:t xml:space="preserve"> Absatz 2);</w:t>
      </w:r>
    </w:p>
    <w:p>
      <w:pPr>
        <w:tabs>
          <w:tab w:pos="567" w:val="left"/>
        </w:tabs>
        <w:ind w:left="567" w:hanging="567"/>
      </w:pPr>
      <w:r>
        <w:t>3.</w:t>
      </w:r>
      <w:r>
        <w:tab/>
      </w:r>
      <w:r>
        <w:t>das Ausmaß des vom Berger erzielten Erfolgs;</w:t>
      </w:r>
    </w:p>
    <w:p>
      <w:pPr>
        <w:tabs>
          <w:tab w:pos="567" w:val="left"/>
        </w:tabs>
        <w:ind w:left="567" w:hanging="567"/>
      </w:pPr>
      <w:r>
        <w:t>4.</w:t>
      </w:r>
      <w:r>
        <w:tab/>
      </w:r>
      <w:r>
        <w:t>Art und Erheblichkeit der Gefahr;</w:t>
      </w:r>
    </w:p>
    <w:p>
      <w:pPr>
        <w:tabs>
          <w:tab w:pos="567" w:val="left"/>
        </w:tabs>
        <w:ind w:left="567" w:hanging="567"/>
      </w:pPr>
      <w:r>
        <w:t>5.</w:t>
      </w:r>
      <w:r>
        <w:tab/>
      </w:r>
      <w:r>
        <w:t>die Sachkunde und die Anstrengungen des Bergers in Bezug auf die Bergung des Schiffes und der sonstigen Vermögensgegenstände sowie auf die Rettung von Menschenleben;</w:t>
      </w:r>
    </w:p>
    <w:p>
      <w:pPr>
        <w:tabs>
          <w:tab w:pos="567" w:val="left"/>
        </w:tabs>
        <w:ind w:left="567" w:hanging="567"/>
      </w:pPr>
      <w:r>
        <w:t>6.</w:t>
      </w:r>
      <w:r>
        <w:tab/>
      </w:r>
      <w:r>
        <w:t>die vom Berger aufgewendete Zeit sowie die ihm entstandenen Unkosten und Verluste;</w:t>
      </w:r>
    </w:p>
    <w:p>
      <w:pPr>
        <w:tabs>
          <w:tab w:pos="567" w:val="left"/>
        </w:tabs>
        <w:ind w:left="567" w:hanging="567"/>
      </w:pPr>
      <w:r>
        <w:t>7.</w:t>
      </w:r>
      <w:r>
        <w:tab/>
      </w:r>
      <w:r>
        <w:t>die Haftungs- oder sonstige Gefahr, der der Berger oder seine Ausrüstung ausgesetzt war;</w:t>
      </w:r>
    </w:p>
    <w:p>
      <w:pPr>
        <w:tabs>
          <w:tab w:pos="567" w:val="left"/>
        </w:tabs>
        <w:ind w:left="567" w:hanging="567"/>
      </w:pPr>
      <w:r>
        <w:t>8.</w:t>
      </w:r>
      <w:r>
        <w:tab/>
      </w:r>
      <w:r>
        <w:t>die Unverzüglichkeit, mit der die Leistungen erbracht wurden;</w:t>
      </w:r>
    </w:p>
    <w:p>
      <w:pPr>
        <w:tabs>
          <w:tab w:pos="567" w:val="left"/>
        </w:tabs>
        <w:ind w:left="567" w:hanging="567"/>
      </w:pPr>
      <w:r>
        <w:t>9.</w:t>
      </w:r>
      <w:r>
        <w:tab/>
      </w:r>
      <w:r>
        <w:t>die Verfügbarkeit und der Einsatz von Schiffen oder anderen Ausrüstungsgegenständen, die für Bergungsmaßnahmen bestimmt waren;</w:t>
      </w:r>
    </w:p>
    <w:p>
      <w:pPr>
        <w:tabs>
          <w:tab w:pos="567" w:val="left"/>
        </w:tabs>
        <w:ind w:left="567" w:hanging="567"/>
      </w:pPr>
      <w:r>
        <w:t>10.</w:t>
      </w:r>
      <w:r>
        <w:tab/>
      </w:r>
      <w:r>
        <w:t>die Einsatzbereitschaft und Tauglichkeit der Ausrüstung des Bergers sowie deren Wert.</w:t>
      </w:r>
    </w:p>
    <w:p>
      <w:r>
        <w:t>(2) Der Bergelohn ohne Zinsen, Bergungskosten und erstattungsfähige Verfahrenskosten darf den Wert des geborgenen Schiffes und der sonstigen geborgenen Vermögensgegenstände nicht übersteigen.</w:t>
      </w:r>
    </w:p>
    <w:p>
      <w:pPr>
        <w:pStyle w:val="Heading4"/>
      </w:pPr>
      <w:bookmarkStart w:id="767" w:name="b766"/>
      <w:r>
        <w:t>§ 578 Sondervergütung</w:t>
      </w:r>
      <w:r>
        <w:t xml:space="preserve"> </w:t>
      </w:r>
      <w:r>
        <w:rPr>
          <w:rStyle w:val="Suchmarke"/>
        </w:rPr>
        <w:t>#578#</w:t>
      </w:r>
      <w:bookmarkEnd w:id="767"/>
    </w:p>
    <w:p>
      <w:r>
        <w:t xml:space="preserve">(1) </w:t>
      </w:r>
      <w:r>
        <w:rPr>
          <w:rStyle w:val="Satznummer"/>
        </w:rPr>
        <w:t>1</w:t>
      </w:r>
      <w:r>
        <w:t xml:space="preserve">Hat der Berger Bergungsmaßnahmen für ein Schiff durchgeführt, das als solches oder durch seine Ladung eine Gefahr für die Umwelt darstellte, so kann er von dem Eigentümer des Schiffes die Zahlung einer Sondervergütung verlangen, soweit diese den Bergelohn übersteigt, der dem Berger zusteht. </w:t>
      </w:r>
      <w:r>
        <w:rPr>
          <w:rStyle w:val="Satznummer"/>
        </w:rPr>
        <w:t>2</w:t>
      </w:r>
      <w:r>
        <w:t>Der Anspruch auf Sondervergütung besteht auch dann, wenn das geborgene Schiff und das Schiff, von dem aus die Bergungsmaßnahmen durchgeführt wurden, demselben Eigentümer gehören.</w:t>
      </w:r>
    </w:p>
    <w:p>
      <w:r>
        <w:t xml:space="preserve">(2) </w:t>
      </w:r>
      <w:r>
        <w:rPr>
          <w:rStyle w:val="Satznummer"/>
        </w:rPr>
        <w:t>1</w:t>
      </w:r>
      <w:r>
        <w:t xml:space="preserve">Die Sondervergütung entspricht den dem Berger entstandenen Unkosten. </w:t>
      </w:r>
      <w:r>
        <w:rPr>
          <w:rStyle w:val="Satznummer"/>
        </w:rPr>
        <w:t>2</w:t>
      </w:r>
      <w:r>
        <w:t xml:space="preserve">Unkosten im Sinne von Satz 1 sind die im Rahmen der Bergungsmaßnahmen vernünftigerweise aufgewendeten Auslagen sowie ein angemessener Betrag für Ausrüstung und Personal, die tatsächlich und vernünftigerweise für die Bergungsmaßnahme eingesetzt worden sind. </w:t>
      </w:r>
      <w:r>
        <w:rPr>
          <w:rStyle w:val="Satznummer"/>
        </w:rPr>
        <w:t>3</w:t>
      </w:r>
      <w:r>
        <w:t xml:space="preserve">Bei der Bestimmung der Angemessenheit des für Ausrüstung und Personal anzusetzenden Betrages sind die in </w:t>
      </w:r>
      <w:hyperlink w:anchor="b765" w:history="1">
        <w:r>
          <w:rPr>
            <w:color w:val="0A3A8C"/>
            <w:u w:val="single"/>
          </w:rPr>
          <w:t xml:space="preserve">§ 577</w:t>
        </w:r>
      </w:hyperlink>
      <w:r>
        <w:t xml:space="preserve"> Absatz 1 Satz 2 Nummer 8 bis 10 genannten Kriterien zu berücksichtigen.</w:t>
      </w:r>
    </w:p>
    <w:p>
      <w:r>
        <w:t xml:space="preserve">(3) </w:t>
      </w:r>
      <w:r>
        <w:rPr>
          <w:rStyle w:val="Satznummer"/>
        </w:rPr>
        <w:t>1</w:t>
      </w:r>
      <w:r>
        <w:t>Hat der Berger durch seine Bergungsmaßnahmen einen Umweltschaden (</w:t>
      </w:r>
      <w:hyperlink w:anchor="b763" w:history="1">
        <w:r>
          <w:rPr>
            <w:color w:val="0A3A8C"/>
            <w:u w:val="single"/>
          </w:rPr>
          <w:t xml:space="preserve">§ 575</w:t>
        </w:r>
      </w:hyperlink>
      <w:r>
        <w:t xml:space="preserve"> Absatz 2) verhütet oder begrenzt, so kann die nach Absatz 2 festzusetzende Sondervergütung um bis zu 30 Prozent erhöht werden. </w:t>
      </w:r>
      <w:r>
        <w:rPr>
          <w:rStyle w:val="Satznummer"/>
        </w:rPr>
        <w:t>2</w:t>
      </w:r>
      <w:r>
        <w:t xml:space="preserve">Abweichend von Satz 1 kann die Sondervergütung unter Berücksichtigung der in </w:t>
      </w:r>
      <w:hyperlink w:anchor="b765" w:history="1">
        <w:r>
          <w:rPr>
            <w:color w:val="0A3A8C"/>
            <w:u w:val="single"/>
          </w:rPr>
          <w:t xml:space="preserve">§ 577</w:t>
        </w:r>
      </w:hyperlink>
      <w:r>
        <w:t xml:space="preserve"> Absatz 1 Satz 2 genannten Kriterien um bis zu 100 Prozent erhöht werden, wenn dies billig und gerecht erscheint.</w:t>
      </w:r>
    </w:p>
    <w:p>
      <w:pPr>
        <w:pStyle w:val="Heading4"/>
      </w:pPr>
      <w:bookmarkStart w:id="768" w:name="b767"/>
      <w:r>
        <w:t>§ 579 Ausschluss des Vergütungsanspruchs</w:t>
      </w:r>
      <w:r>
        <w:t xml:space="preserve"> </w:t>
      </w:r>
      <w:r>
        <w:rPr>
          <w:rStyle w:val="Suchmarke"/>
        </w:rPr>
        <w:t>#579#</w:t>
      </w:r>
      <w:bookmarkEnd w:id="768"/>
    </w:p>
    <w:p>
      <w:r>
        <w:t>(1) Der Berger kann für durchgeführte Bergungsmaßnahmen keine Vergütung nach den Vorschriften dieses Unterabschnitts verlangen, soweit die Maßnahmen nicht über das hinausgehen, was bei vernünftiger Betrachtung als ordnungsgemäße Erfüllung eines vor Eintritt der Gefahr eingegangenen Vertrags angesehen werden kann.</w:t>
      </w:r>
    </w:p>
    <w:p>
      <w:r>
        <w:t>(2) Der Berger kann ferner dann keine Vergütung nach den Vorschriften dieses Unterabschnitts verlangen, wenn er entgegen dem ausdrücklichen und vernünftigen Verbot des Eigentümers, Schiffers oder Kapitäns des Schiffes oder des Eigentümers eines sonstigen in Gefahr befindlichen Vermögensgegenstands, der sich nicht an Bord des Schiffes befindet oder befunden hat, Bergungsmaßnahmen durchführt.</w:t>
      </w:r>
    </w:p>
    <w:p>
      <w:pPr>
        <w:pStyle w:val="Heading4"/>
      </w:pPr>
      <w:bookmarkStart w:id="769" w:name="b768"/>
      <w:r>
        <w:t>§ 580 Fehlverhalten des Bergers</w:t>
      </w:r>
      <w:r>
        <w:t xml:space="preserve"> </w:t>
      </w:r>
      <w:r>
        <w:rPr>
          <w:rStyle w:val="Suchmarke"/>
        </w:rPr>
        <w:t>#580#</w:t>
      </w:r>
      <w:bookmarkEnd w:id="769"/>
    </w:p>
    <w:p>
      <w:r>
        <w:t>(1) Der Bergelohn kann herabgesetzt oder gänzlich versagt werden, wenn Bergungsmaßnahmen durch Verschulden des Bergers notwendig oder schwieriger geworden sind oder wenn sich der Berger des Betrugs oder eines anderen unredlichen Verhaltens schuldig gemacht hat.</w:t>
      </w:r>
    </w:p>
    <w:p>
      <w:r>
        <w:t>(2) Die Sondervergütung kann ganz oder teilweise versagt werden, wenn einer der in Absatz 1 genannten Gründe vorliegt oder wenn der Berger nachlässig gehandelt und es dadurch versäumt hat, Umweltschäden (</w:t>
      </w:r>
      <w:hyperlink w:anchor="b763" w:history="1">
        <w:r>
          <w:rPr>
            <w:color w:val="0A3A8C"/>
            <w:u w:val="single"/>
          </w:rPr>
          <w:t xml:space="preserve">§ 575</w:t>
        </w:r>
      </w:hyperlink>
      <w:r>
        <w:t xml:space="preserve"> Absatz 2) zu verhüten oder zu begrenzen.</w:t>
      </w:r>
    </w:p>
    <w:p>
      <w:pPr>
        <w:pStyle w:val="Heading4"/>
      </w:pPr>
      <w:bookmarkStart w:id="770" w:name="b769"/>
      <w:r>
        <w:t>§ 581 Ausgleichsanspruch</w:t>
      </w:r>
      <w:r>
        <w:t xml:space="preserve"> </w:t>
      </w:r>
      <w:r>
        <w:rPr>
          <w:rStyle w:val="Suchmarke"/>
        </w:rPr>
        <w:t>#581#</w:t>
      </w:r>
      <w:bookmarkEnd w:id="770"/>
    </w:p>
    <w:p>
      <w:r>
        <w:t>(1) Wird ein Schiff oder dessen Ladung ganz oder teilweise von einem anderen Schiff geborgen, so wird der Bergelohn oder die Sondervergütung zwischen dem Schiffseigner oder Reeder, dem Schiffer oder Kapitän und der übrigen Besatzung des anderen Schiffes in der Weise verteilt, dass zunächst dem Schiffseigner oder Reeder die Schäden am Schiff und die Unkosten ersetzt werden und dass von dem Rest der Schiffseigner oder Reeder zwei Drittel, der Schiffer oder Kapitän und die übrige Besatzung je ein Sechstel erhalten.</w:t>
      </w:r>
    </w:p>
    <w:p>
      <w:r>
        <w:t xml:space="preserve">(2) </w:t>
      </w:r>
      <w:r>
        <w:rPr>
          <w:rStyle w:val="Satznummer"/>
        </w:rPr>
        <w:t>1</w:t>
      </w:r>
      <w:r>
        <w:t xml:space="preserve">Der auf die Schiffsbesatzung mit Ausnahme des Schiffers oder Kapitäns entfallende Betrag wird unter besonderer Berücksichtigung der sachlichen und persönlichen Leistungen eines jeden Mitglieds der Schiffsbesatzung verteilt. </w:t>
      </w:r>
      <w:r>
        <w:rPr>
          <w:rStyle w:val="Satznummer"/>
        </w:rPr>
        <w:t>2</w:t>
      </w:r>
      <w:r>
        <w:t xml:space="preserve">Die Verteilung erfolgt durch den Schiffer oder Kapitän mittels eines Verteilungsplans. </w:t>
      </w:r>
      <w:r>
        <w:rPr>
          <w:rStyle w:val="Satznummer"/>
        </w:rPr>
        <w:t>3</w:t>
      </w:r>
      <w:r>
        <w:t xml:space="preserve">Darin wird der Bruchteil festgesetzt, der jedem Beteiligten zukommt. </w:t>
      </w:r>
      <w:r>
        <w:rPr>
          <w:rStyle w:val="Satznummer"/>
        </w:rPr>
        <w:t>4</w:t>
      </w:r>
      <w:r>
        <w:t>Der Verteilungsplan ist vor Beendigung der Reise der Besatzung bekannt zu geben.</w:t>
      </w:r>
    </w:p>
    <w:p>
      <w:r>
        <w:t>(3) Von den Absätzen 1 und 2 abweichende Vereinbarungen zu Lasten des Schiffers oder Kapitäns oder der übrigen Schiffsbesatzung sind nichtig.</w:t>
      </w:r>
    </w:p>
    <w:p>
      <w:r>
        <w:t>(4) Die Absätze 1 bis 3 sind nicht anzuwenden, wenn die Bergungsmaßnahmen von einem Bergungs- oder Schleppschiff aus durchgeführt werden.</w:t>
      </w:r>
    </w:p>
    <w:p>
      <w:pPr>
        <w:pStyle w:val="Heading4"/>
      </w:pPr>
      <w:bookmarkStart w:id="771" w:name="b770"/>
      <w:r>
        <w:t>§ 582 Mehrheit von Bergern</w:t>
      </w:r>
      <w:r>
        <w:t xml:space="preserve"> </w:t>
      </w:r>
      <w:r>
        <w:rPr>
          <w:rStyle w:val="Suchmarke"/>
        </w:rPr>
        <w:t>#582#</w:t>
      </w:r>
      <w:bookmarkEnd w:id="771"/>
    </w:p>
    <w:p>
      <w:r>
        <w:t xml:space="preserve">(1) </w:t>
      </w:r>
      <w:r>
        <w:rPr>
          <w:rStyle w:val="Satznummer"/>
        </w:rPr>
        <w:t>1</w:t>
      </w:r>
      <w:r>
        <w:t xml:space="preserve">Wirken mehrere Berger an der Bergung mit, so kann jeder Berger nur einen Anteil am Bergelohn verlangen. </w:t>
      </w:r>
      <w:r>
        <w:rPr>
          <w:rStyle w:val="Satznummer"/>
        </w:rPr>
        <w:t>2</w:t>
      </w:r>
      <w:r>
        <w:t xml:space="preserve">Auf die Bestimmung des Verhältnisses der Anteile der Berger am Bergelohn zueinander ist </w:t>
      </w:r>
      <w:hyperlink w:anchor="b765" w:history="1">
        <w:r>
          <w:rPr>
            <w:color w:val="0A3A8C"/>
            <w:u w:val="single"/>
          </w:rPr>
          <w:t xml:space="preserve">§ 577</w:t>
        </w:r>
      </w:hyperlink>
      <w:r>
        <w:t xml:space="preserve"> Absatz 1 entsprechend anzuwenden; </w:t>
      </w:r>
      <w:hyperlink w:anchor="b769" w:history="1">
        <w:r>
          <w:rPr>
            <w:color w:val="0A3A8C"/>
            <w:u w:val="single"/>
          </w:rPr>
          <w:t xml:space="preserve">§ 581</w:t>
        </w:r>
      </w:hyperlink>
      <w:r>
        <w:t xml:space="preserve"> bleibt unberührt.</w:t>
      </w:r>
    </w:p>
    <w:p>
      <w:r>
        <w:t>(2) Abweichend von Absatz 1 kann jedoch ein Berger Bergelohn in voller Höhe verlangen, wenn er das Eingreifen der anderen Berger auf Ersuchen des Eigentümers des in Gefahr befindlichen Schiffes oder eines sonstigen in Gefahr befindlichen Vermögensgegenstands hingenommen hat und sich das Ersuchen als nicht vernünftig erweist.</w:t>
      </w:r>
    </w:p>
    <w:p>
      <w:pPr>
        <w:pStyle w:val="Heading4"/>
      </w:pPr>
      <w:bookmarkStart w:id="772" w:name="b771"/>
      <w:r>
        <w:t>§ 583 Rettung von Menschen</w:t>
      </w:r>
      <w:r>
        <w:t xml:space="preserve"> </w:t>
      </w:r>
      <w:r>
        <w:rPr>
          <w:rStyle w:val="Suchmarke"/>
        </w:rPr>
        <w:t>#583#</w:t>
      </w:r>
      <w:bookmarkEnd w:id="772"/>
    </w:p>
    <w:p>
      <w:r>
        <w:t>(1) Menschen, denen das Leben gerettet worden ist, haben weder einen Bergelohn noch eine Sondervergütung zu entrichten.</w:t>
      </w:r>
    </w:p>
    <w:p>
      <w:r>
        <w:t xml:space="preserve">(2) </w:t>
      </w:r>
      <w:r>
        <w:rPr>
          <w:rStyle w:val="Satznummer"/>
        </w:rPr>
        <w:t>1</w:t>
      </w:r>
      <w:r>
        <w:t>Abweichend von Absatz 1 kann derjenige, der bei Bergungsmaßnahmen Handlungen zur Rettung von Menschenleben unternimmt, von dem Berger, dem für die Bergung des Schiffes oder eines sonstigen Vermögensgegenstands oder für die Verhütung oder Begrenzung von Umweltschäden (</w:t>
      </w:r>
      <w:hyperlink w:anchor="b763" w:history="1">
        <w:r>
          <w:rPr>
            <w:color w:val="0A3A8C"/>
            <w:u w:val="single"/>
          </w:rPr>
          <w:t xml:space="preserve">§ 575</w:t>
        </w:r>
      </w:hyperlink>
      <w:r>
        <w:t xml:space="preserve"> Absatz 2) nach den Vorschriften dieses Unterabschnitts eine Vergütung zusteht, einen angemessenen Anteil an der Vergütung verlangen. </w:t>
      </w:r>
      <w:r>
        <w:rPr>
          <w:rStyle w:val="Satznummer"/>
        </w:rPr>
        <w:t>2</w:t>
      </w:r>
      <w:r>
        <w:t xml:space="preserve">Steht dem Berger aus den in </w:t>
      </w:r>
      <w:hyperlink w:anchor="b768" w:history="1">
        <w:r>
          <w:rPr>
            <w:color w:val="0A3A8C"/>
            <w:u w:val="single"/>
          </w:rPr>
          <w:t xml:space="preserve">§ 580</w:t>
        </w:r>
      </w:hyperlink>
      <w:r>
        <w:t xml:space="preserve"> genannten Gründen keine oder nur eine verminderte Vergütung zu, kann der Anspruch auf einen angemessenen Anteil an der Vergütung in Höhe des Betrags, um den sich der Anteil mindert, unmittelbar gegen die Eigentümer des geborgenen Schiffes und der sonstigen geborgenen Vermögensgegenstände geltend gemacht werden; </w:t>
      </w:r>
      <w:hyperlink w:anchor="b764" w:history="1">
        <w:r>
          <w:rPr>
            <w:color w:val="0A3A8C"/>
            <w:u w:val="single"/>
          </w:rPr>
          <w:t xml:space="preserve">§ 576</w:t>
        </w:r>
      </w:hyperlink>
      <w:r>
        <w:t xml:space="preserve"> Absatz 3 ist entsprechend anzuwenden.</w:t>
      </w:r>
    </w:p>
    <w:p>
      <w:pPr>
        <w:pStyle w:val="Heading4"/>
      </w:pPr>
      <w:bookmarkStart w:id="773" w:name="b772"/>
      <w:r>
        <w:t>§ 584 Abschluss und Inhaltskontrolle eines Bergungsvertrags</w:t>
      </w:r>
      <w:r>
        <w:t xml:space="preserve"> </w:t>
      </w:r>
      <w:r>
        <w:rPr>
          <w:rStyle w:val="Suchmarke"/>
        </w:rPr>
        <w:t>#584#</w:t>
      </w:r>
      <w:bookmarkEnd w:id="773"/>
    </w:p>
    <w:p>
      <w:r>
        <w:t xml:space="preserve">(1) </w:t>
      </w:r>
      <w:r>
        <w:rPr>
          <w:rStyle w:val="Satznummer"/>
        </w:rPr>
        <w:t>1</w:t>
      </w:r>
      <w:r>
        <w:t xml:space="preserve">Sowohl der Eigentümer als auch der Schiffer oder Kapitän des in Gefahr befindlichen Schiffes sind berechtigt, im Namen der Eigentümer der an Bord des Schiffes befindlichen Vermögensgegenstände Verträge über Bergungsmaßnahmen abzuschließen. </w:t>
      </w:r>
      <w:r>
        <w:rPr>
          <w:rStyle w:val="Satznummer"/>
        </w:rPr>
        <w:t>2</w:t>
      </w:r>
      <w:r>
        <w:t>Der Schiffer oder Kapitän dieses Schiffes ist darüber hinaus berechtigt, auch im Namen des Schiffseigentümers Verträge über Bergungsmaßnahmen abzuschließen.</w:t>
      </w:r>
    </w:p>
    <w:p>
      <w:r>
        <w:t>(2) Der Bergungsvertrag oder einzelne seiner Bestimmungen können auf Antrag durch Urteil für nichtig erklärt oder abgeändert werden, wenn</w:t>
      </w:r>
    </w:p>
    <w:p>
      <w:pPr>
        <w:tabs>
          <w:tab w:pos="567" w:val="left"/>
        </w:tabs>
        <w:ind w:left="567" w:hanging="567"/>
      </w:pPr>
      <w:r>
        <w:t>1.</w:t>
      </w:r>
      <w:r>
        <w:tab/>
      </w:r>
      <w:r>
        <w:t>der Vertrag infolge unzulässiger Beeinflussung oder unter dem Einfluss der Gefahr eingegangen worden ist und seine Bestimmungen unbillig sind oder</w:t>
      </w:r>
    </w:p>
    <w:p>
      <w:pPr>
        <w:tabs>
          <w:tab w:pos="567" w:val="left"/>
        </w:tabs>
        <w:ind w:left="567" w:hanging="567"/>
      </w:pPr>
      <w:r>
        <w:t>2.</w:t>
      </w:r>
      <w:r>
        <w:tab/>
      </w:r>
      <w:r>
        <w:t>die vertraglich vereinbarte Vergütung im Verhältnis zu den tatsächlich erbrachten Leistungen übermäßig hoch oder übermäßig gering ist.</w:t>
      </w:r>
    </w:p>
    <w:p>
      <w:pPr>
        <w:pStyle w:val="Heading4"/>
      </w:pPr>
      <w:bookmarkStart w:id="774" w:name="b773"/>
      <w:r>
        <w:t>§ 585 Pfandrecht. Zurückbehaltungsrecht</w:t>
      </w:r>
      <w:r>
        <w:t xml:space="preserve"> </w:t>
      </w:r>
      <w:r>
        <w:rPr>
          <w:rStyle w:val="Suchmarke"/>
        </w:rPr>
        <w:t>#585#</w:t>
      </w:r>
      <w:bookmarkEnd w:id="774"/>
    </w:p>
    <w:p>
      <w:r>
        <w:t xml:space="preserve">(1) Der Gläubiger einer Forderung auf Bergelohn, auf Sondervergütung oder auf Bergungskosten hat nach </w:t>
      </w:r>
      <w:hyperlink w:anchor="b786" w:history="1">
        <w:r>
          <w:rPr>
            <w:color w:val="0A3A8C"/>
            <w:u w:val="single"/>
          </w:rPr>
          <w:t xml:space="preserve">§ 596</w:t>
        </w:r>
      </w:hyperlink>
      <w:r>
        <w:t xml:space="preserve"> Absatz 1 Nummer 4 für seine Forderung die Rechte eines Schiffsgläubigers an dem geborgenen Schiff.</w:t>
      </w:r>
    </w:p>
    <w:p>
      <w:r>
        <w:t>(2) An den übrigen geborgenen Sachen steht dem Gläubiger für seine Forderung auf Bergelohn oder Bergungskosten ein Pfandrecht zu und, soweit der Gläubiger Alleinbesitzer der Sache ist, auch ein Zurückbehaltungsrecht.</w:t>
      </w:r>
    </w:p>
    <w:p>
      <w:r>
        <w:t>(3) Der Gläubiger darf das nach Absatz 1 oder 2 gewährte Pfandrecht und Zurückbehaltungsrecht nicht geltend machen oder ausüben,</w:t>
      </w:r>
    </w:p>
    <w:p>
      <w:pPr>
        <w:tabs>
          <w:tab w:pos="567" w:val="left"/>
        </w:tabs>
        <w:ind w:left="567" w:hanging="567"/>
      </w:pPr>
      <w:r>
        <w:t>1.</w:t>
      </w:r>
      <w:r>
        <w:tab/>
      </w:r>
      <w:r>
        <w:t>wenn ihm für seine Forderung einschließlich Zinsen und Kosten ausreichende Sicherheit in gehöriger Weise angeboten oder geleistet worden ist,</w:t>
      </w:r>
    </w:p>
    <w:p>
      <w:pPr>
        <w:tabs>
          <w:tab w:pos="567" w:val="left"/>
        </w:tabs>
        <w:ind w:left="567" w:hanging="567"/>
      </w:pPr>
      <w:r>
        <w:t>2.</w:t>
      </w:r>
      <w:r>
        <w:tab/>
      </w:r>
      <w:r>
        <w:t>soweit das geborgene Schiff oder die sonstige geborgene Sache einem Staat gehört oder, im Falle eines Schiffes, von einem Staat betrieben wird, und das Schiff oder die sonstige Sache nichtgewerblichen Zwecken dient und im Zeitpunkt der Bergungsmaßnahmen nach den allgemein anerkannten Grundsätzen des Völkerrechts Staatenimmunität genießt,</w:t>
      </w:r>
    </w:p>
    <w:p>
      <w:pPr>
        <w:tabs>
          <w:tab w:pos="567" w:val="left"/>
        </w:tabs>
        <w:ind w:left="567" w:hanging="567"/>
      </w:pPr>
      <w:r>
        <w:t>3.</w:t>
      </w:r>
      <w:r>
        <w:tab/>
      </w:r>
      <w:r>
        <w:t>soweit es sich um geborgene Ladung handelt, die von einem Staat für humanitäre Zwecke gespendet wurde, vorausgesetzt, der Staat hat sich bereit erklärt, die im Hinblick auf diese Ladung erbrachten Bergungsleistungen zu bezahlen.</w:t>
      </w:r>
    </w:p>
    <w:p>
      <w:pPr>
        <w:pStyle w:val="Heading4"/>
      </w:pPr>
      <w:bookmarkStart w:id="775" w:name="b774"/>
      <w:r>
        <w:t>§ 586 Rangfolge der Pfandrechte</w:t>
      </w:r>
      <w:r>
        <w:t xml:space="preserve"> </w:t>
      </w:r>
      <w:r>
        <w:rPr>
          <w:rStyle w:val="Suchmarke"/>
        </w:rPr>
        <w:t>#586#</w:t>
      </w:r>
      <w:bookmarkEnd w:id="775"/>
    </w:p>
    <w:p>
      <w:r>
        <w:t xml:space="preserve">(1) Pfandrechte an den geborgenen Sachen nach </w:t>
      </w:r>
      <w:hyperlink w:anchor="b773" w:history="1">
        <w:r>
          <w:rPr>
            <w:color w:val="0A3A8C"/>
            <w:u w:val="single"/>
          </w:rPr>
          <w:t xml:space="preserve">§ 585</w:t>
        </w:r>
      </w:hyperlink>
      <w:r>
        <w:t xml:space="preserve"> Absatz 2 haben den Vorrang vor allen anderen an den Sachen begründeten Pfandrechten, auch wenn diese früher entstanden sind.</w:t>
      </w:r>
    </w:p>
    <w:p>
      <w:r>
        <w:t xml:space="preserve">(2) </w:t>
      </w:r>
      <w:r>
        <w:rPr>
          <w:rStyle w:val="Satznummer"/>
        </w:rPr>
        <w:t>1</w:t>
      </w:r>
      <w:r>
        <w:t xml:space="preserve">Bestehen an einer Sache mehrere Pfandrechte nach </w:t>
      </w:r>
      <w:hyperlink w:anchor="b773" w:history="1">
        <w:r>
          <w:rPr>
            <w:color w:val="0A3A8C"/>
            <w:u w:val="single"/>
          </w:rPr>
          <w:t xml:space="preserve">§ 585</w:t>
        </w:r>
      </w:hyperlink>
      <w:r>
        <w:t xml:space="preserve"> Absatz 2, so geht das Pfandrecht für die später entstandene Forderung dem für die früher entstandene Forderung vor; Pfandrechte für gleichzeitig entstandene Forderungen sind gleichberechtigt; </w:t>
      </w:r>
      <w:hyperlink w:anchor="b793" w:history="1">
        <w:r>
          <w:rPr>
            <w:color w:val="0A3A8C"/>
            <w:u w:val="single"/>
          </w:rPr>
          <w:t xml:space="preserve">§ 603</w:t>
        </w:r>
      </w:hyperlink>
      <w:r>
        <w:t xml:space="preserve"> Absatz 3 gilt entsprechend. </w:t>
      </w:r>
      <w:r>
        <w:rPr>
          <w:rStyle w:val="Satznummer"/>
        </w:rPr>
        <w:t>2</w:t>
      </w:r>
      <w:r>
        <w:t xml:space="preserve">Das Gleiche gilt im Verhältnis eines Pfandrechts nach </w:t>
      </w:r>
      <w:hyperlink w:anchor="b773" w:history="1">
        <w:r>
          <w:rPr>
            <w:color w:val="0A3A8C"/>
            <w:u w:val="single"/>
          </w:rPr>
          <w:t xml:space="preserve">§ 585</w:t>
        </w:r>
      </w:hyperlink>
      <w:r>
        <w:t xml:space="preserve"> Absatz 2 zu einem wegen desselben Ereignisses begründeten Pfandrechts für eine Forderung auf einen Beitrag zur Großen Haverei nach </w:t>
      </w:r>
      <w:hyperlink w:anchor="b783" w:history="1">
        <w:r>
          <w:rPr>
            <w:color w:val="0A3A8C"/>
            <w:u w:val="single"/>
          </w:rPr>
          <w:t xml:space="preserve">§ 594</w:t>
        </w:r>
      </w:hyperlink>
      <w:r>
        <w:t xml:space="preserve"> Absatz 1.</w:t>
      </w:r>
    </w:p>
    <w:p>
      <w:r>
        <w:t xml:space="preserve">(3) Pfandrechte an den geborgenen Sachen nach </w:t>
      </w:r>
      <w:hyperlink w:anchor="b773" w:history="1">
        <w:r>
          <w:rPr>
            <w:color w:val="0A3A8C"/>
            <w:u w:val="single"/>
          </w:rPr>
          <w:t xml:space="preserve">§ 585</w:t>
        </w:r>
      </w:hyperlink>
      <w:r>
        <w:t xml:space="preserve"> Absatz 2 erlöschen ein Jahr nach Entstehung der Forderung; </w:t>
      </w:r>
      <w:hyperlink w:anchor="b790" w:history="1">
        <w:r>
          <w:rPr>
            <w:color w:val="0A3A8C"/>
            <w:u w:val="single"/>
          </w:rPr>
          <w:t xml:space="preserve">§ 600</w:t>
        </w:r>
      </w:hyperlink>
      <w:r>
        <w:t xml:space="preserve"> Absatz 2 gilt entsprechend.</w:t>
      </w:r>
    </w:p>
    <w:p>
      <w:r>
        <w:t xml:space="preserve">(4) </w:t>
      </w:r>
      <w:r>
        <w:rPr>
          <w:rStyle w:val="Satznummer"/>
        </w:rPr>
        <w:t>1</w:t>
      </w:r>
      <w:r>
        <w:t xml:space="preserve">Die Befriedigung des Gläubigers aus den geborgenen Sachen wegen des Pfandrechts nach </w:t>
      </w:r>
      <w:hyperlink w:anchor="b773" w:history="1">
        <w:r>
          <w:rPr>
            <w:color w:val="0A3A8C"/>
            <w:u w:val="single"/>
          </w:rPr>
          <w:t xml:space="preserve">§ 585</w:t>
        </w:r>
      </w:hyperlink>
      <w:r>
        <w:t xml:space="preserve"> Absatz 2 erfolgt nach den für die Zwangsvollstreckung geltenden Vorschriften. </w:t>
      </w:r>
      <w:r>
        <w:rPr>
          <w:rStyle w:val="Satznummer"/>
        </w:rPr>
        <w:t>2</w:t>
      </w:r>
      <w:r>
        <w:t>Die Klage ist bei Sachen, die noch nicht ausgeliefert sind, gegen den Schiffer oder Kapitän zu richten; das gegen den Schiffer oder Kapitän ergangene Urteil ist auch gegenüber dem Eigentümer wirksam.</w:t>
      </w:r>
    </w:p>
    <w:p>
      <w:pPr>
        <w:pStyle w:val="Heading4"/>
      </w:pPr>
      <w:bookmarkStart w:id="776" w:name="b775"/>
      <w:r>
        <w:t>§ 587 Sicherheitsleistung</w:t>
      </w:r>
      <w:r>
        <w:t xml:space="preserve"> </w:t>
      </w:r>
      <w:r>
        <w:rPr>
          <w:rStyle w:val="Suchmarke"/>
        </w:rPr>
        <w:t>#587#</w:t>
      </w:r>
      <w:bookmarkEnd w:id="776"/>
    </w:p>
    <w:p>
      <w:r>
        <w:t xml:space="preserve">(1) </w:t>
      </w:r>
      <w:r>
        <w:rPr>
          <w:rStyle w:val="Satznummer"/>
        </w:rPr>
        <w:t>1</w:t>
      </w:r>
      <w:r>
        <w:t xml:space="preserve">Der Berger kann für seine Forderung auf Bergelohn oder Sondervergütung einschließlich Zinsen und Kosten von dem Schuldner die Leistung einer ausreichenden Sicherheit verlangen. </w:t>
      </w:r>
      <w:r>
        <w:rPr>
          <w:rStyle w:val="Satznummer"/>
        </w:rPr>
        <w:t>2</w:t>
      </w:r>
      <w:r>
        <w:t>Satz 1 gilt jedoch nicht, wenn die Bergungsmaßnahmen für ein Schiff durchgeführt wurden, das einem Staat gehört oder von ihm betrieben wird, nichtgewerblichen Zwecken dient und im Zeitpunkt der Bergungsmaßnahmen nach den allgemein anerkannten Grundsätzen des Völkerrechts Staatenimmunität genießt.</w:t>
      </w:r>
    </w:p>
    <w:p>
      <w:r>
        <w:t>(2) Der Eigentümer des geborgenen Schiffes hat unbeschadet des Absatzes 1 nach besten Kräften sicherzustellen, dass die Eigentümer der Ladung eine ausreichende Sicherheit für die gegen sie gerichteten Forderungen einschließlich Zinsen und Kosten leisten, bevor die Ladung freigegeben wird.</w:t>
      </w:r>
    </w:p>
    <w:p>
      <w:r>
        <w:t>(3) Das geborgene Schiff und die sonstigen geborgenen Sachen dürfen vor Befriedigung oder Sicherstellung der Forderungen des Bergers nicht ohne dessen Zustimmung von dem Hafen oder Ort entfernt werden, den sie nach Beendigung der Bergungsmaßnahmen zuerst erreicht haben.</w:t>
      </w:r>
    </w:p>
    <w:p>
      <w:r>
        <w:t xml:space="preserve">(4) </w:t>
      </w:r>
      <w:r>
        <w:rPr>
          <w:rStyle w:val="Satznummer"/>
        </w:rPr>
        <w:t>1</w:t>
      </w:r>
      <w:r>
        <w:t xml:space="preserve">Liefert der Schiffer oder Kapitän entgegen Absatz 3 geborgene Ladung aus, so haftet er für den Schaden, der durch sein Verschulden dem Berger entsteht. </w:t>
      </w:r>
      <w:r>
        <w:rPr>
          <w:rStyle w:val="Satznummer"/>
        </w:rPr>
        <w:t>2</w:t>
      </w:r>
      <w:r>
        <w:t>Dies gilt auch dann, wenn der Schiffer auf Anweisung des Schiffseigners oder der Kapitän auf Anweisung des Reeders gehandelt hat.</w:t>
      </w:r>
    </w:p>
    <w:p>
      <w:pPr>
        <w:pStyle w:val="Heading3"/>
      </w:pPr>
      <w:bookmarkStart w:id="777" w:name="b776"/>
      <w:r>
        <w:t>Dritter Unterabschnitt Große Haverei</w:t>
      </w:r>
      <w:bookmarkEnd w:id="777"/>
    </w:p>
    <w:p>
      <w:pPr>
        <w:pStyle w:val="Heading4"/>
      </w:pPr>
      <w:bookmarkStart w:id="778" w:name="b777"/>
      <w:r>
        <w:t>§ 588 Errettung aus gemeinsamer Gefahr</w:t>
      </w:r>
      <w:r>
        <w:t xml:space="preserve"> </w:t>
      </w:r>
      <w:r>
        <w:rPr>
          <w:rStyle w:val="Suchmarke"/>
        </w:rPr>
        <w:t>#588#</w:t>
      </w:r>
      <w:bookmarkEnd w:id="778"/>
    </w:p>
    <w:p>
      <w:r>
        <w:t>(1) Werden das Schiff, der Treibstoff, die Ladung oder mehrere dieser Sachen zur Errettung aus einer gemeinsamen Gefahr auf Anordnung des Kapitäns vorsätzlich beschädigt oder aufgeopfert oder werden zu diesem Zweck auf Anordnung des Kapitäns Aufwendungen gemacht (Große Haverei), so werden die hierdurch entstandenen Schäden und Aufwendungen von den Beteiligten gemeinschaftlich getragen.</w:t>
      </w:r>
    </w:p>
    <w:p>
      <w:r>
        <w:t>(2) Beteiligter ist derjenige, der im Zeitpunkt des Havereifalls Eigentümer des Schiffes oder Eigentümer des Treibstoffs ist oder der die Gefahr trägt, dass ein zur Ladung gehörendes Frachtstück oder eine Frachtforderung untergeht.</w:t>
      </w:r>
    </w:p>
    <w:p>
      <w:pPr>
        <w:pStyle w:val="Heading4"/>
      </w:pPr>
      <w:bookmarkStart w:id="779" w:name="b778"/>
      <w:r>
        <w:t>§ 589 Verschulden eines Beteiligten oder eines Dritten</w:t>
      </w:r>
      <w:r>
        <w:t xml:space="preserve"> </w:t>
      </w:r>
      <w:r>
        <w:rPr>
          <w:rStyle w:val="Suchmarke"/>
        </w:rPr>
        <w:t>#589#</w:t>
      </w:r>
      <w:bookmarkEnd w:id="779"/>
    </w:p>
    <w:p>
      <w:r>
        <w:t xml:space="preserve">(1) </w:t>
      </w:r>
      <w:r>
        <w:rPr>
          <w:rStyle w:val="Satznummer"/>
        </w:rPr>
        <w:t>1</w:t>
      </w:r>
      <w:r>
        <w:t xml:space="preserve">Die Anwendung der Vorschriften über die Große Haverei wird nicht dadurch ausgeschlossen, dass die Gefahr durch Verschulden eines Beteiligten oder eines Dritten herbeigeführt ist. </w:t>
      </w:r>
      <w:r>
        <w:rPr>
          <w:rStyle w:val="Satznummer"/>
        </w:rPr>
        <w:t>2</w:t>
      </w:r>
      <w:r>
        <w:t>Der Beteiligte, dem ein solches Verschulden zur Last fällt, kann jedoch wegen eines ihm entstandenen Schadens keine Vergütung verlangen.</w:t>
      </w:r>
    </w:p>
    <w:p>
      <w:r>
        <w:t>(2) Ist die Gefahr durch ein Verschulden eines Beteiligten herbeigeführt worden, so ist dieser den Beitragspflichtigen zum Ersatz des Schadens verpflichtet, den sie dadurch erleiden, dass sie die Schäden und Aufwendungen, die zur Errettung aus der Gefahr entstanden sind, gemeinschaftlich tragen müssen.</w:t>
      </w:r>
    </w:p>
    <w:p>
      <w:pPr>
        <w:pStyle w:val="Heading4"/>
      </w:pPr>
      <w:bookmarkStart w:id="780" w:name="b779"/>
      <w:r>
        <w:t>§ 590 Bemessung der Vergütung</w:t>
      </w:r>
      <w:r>
        <w:t xml:space="preserve"> </w:t>
      </w:r>
      <w:r>
        <w:rPr>
          <w:rStyle w:val="Suchmarke"/>
        </w:rPr>
        <w:t>#590#</w:t>
      </w:r>
      <w:bookmarkEnd w:id="780"/>
    </w:p>
    <w:p>
      <w:r>
        <w:t>(1) Die Vergütung für die Aufopferung des Schiffes, dessen Zubehörs, des Treibstoffs und der zur Ladung gehörenden Frachtstücke bemisst sich nach dem Verkehrswert, den die Sachen am Ort und zur Zeit der Beendigung der Reise gehabt hätten.</w:t>
      </w:r>
    </w:p>
    <w:p>
      <w:r>
        <w:t xml:space="preserve">(2) </w:t>
      </w:r>
      <w:r>
        <w:rPr>
          <w:rStyle w:val="Satznummer"/>
        </w:rPr>
        <w:t>1</w:t>
      </w:r>
      <w:r>
        <w:t xml:space="preserve">Die Vergütung für die Beschädigung der in Absatz 1 genannten Sachen bemisst sich nach dem Unterschied zwischen dem Verkehrswert der beschädigten Sachen am Ort und zur Zeit der Beendigung der Reise und dem Verkehrswert, den die Sachen in unbeschädigtem Zustand an diesem Ort und zu dieser Zeit gehabt hätten. </w:t>
      </w:r>
      <w:r>
        <w:rPr>
          <w:rStyle w:val="Satznummer"/>
        </w:rPr>
        <w:t>2</w:t>
      </w:r>
      <w:r>
        <w:t>Sind Sachen nach dem Havereifall repariert worden, so wird vermutet, dass die für eine Reparatur der Sachen aufgewendeten Kosten dem Wertverlust entsprechen.</w:t>
      </w:r>
    </w:p>
    <w:p>
      <w:r>
        <w:t>(3) Die Vergütung für den Untergang einer Frachtforderung bemisst sich nach dem Betrag, der dem Verfrachter infolge der Großen Haverei nicht geschuldet ist.</w:t>
      </w:r>
    </w:p>
    <w:p>
      <w:r>
        <w:t>(4) War die aufgeopferte oder beschädigte Sache unmittelbar vor Beginn der Reise Gegenstand eines Kaufvertrags, so wird vermutet, dass der in der Rechnung des Verkäufers ausgewiesene Kaufpreis der Verkehrswert dieser Sache ist.</w:t>
      </w:r>
    </w:p>
    <w:p>
      <w:pPr>
        <w:pStyle w:val="Heading4"/>
      </w:pPr>
      <w:bookmarkStart w:id="781" w:name="b780"/>
      <w:r>
        <w:t>§ 591 Beitrag</w:t>
      </w:r>
      <w:r>
        <w:t xml:space="preserve"> </w:t>
      </w:r>
      <w:r>
        <w:rPr>
          <w:rStyle w:val="Suchmarke"/>
        </w:rPr>
        <w:t>#591#</w:t>
      </w:r>
      <w:bookmarkEnd w:id="781"/>
    </w:p>
    <w:p>
      <w:r>
        <w:t>(1) Die Beteiligten, mit Ausnahme der Schiffsbesatzung und der Fahrgäste, haben zur Zahlung der Vergütung einen Beitrag zu leisten.</w:t>
      </w:r>
    </w:p>
    <w:p>
      <w:r>
        <w:t xml:space="preserve">(2) </w:t>
      </w:r>
      <w:r>
        <w:rPr>
          <w:rStyle w:val="Satznummer"/>
        </w:rPr>
        <w:t>1</w:t>
      </w:r>
      <w:r>
        <w:t xml:space="preserve">Die Beiträge zur Großen Haverei bemessen sich nach dem Wert der Gegenstände, die sich in gemeinsamer Gefahr befanden. </w:t>
      </w:r>
      <w:r>
        <w:rPr>
          <w:rStyle w:val="Satznummer"/>
        </w:rPr>
        <w:t>2</w:t>
      </w:r>
      <w:r>
        <w:t xml:space="preserve">Maßgebend für den Wert des Schiffes, des Treibstoffs und der zur Ladung gehörenden Frachtstücke ist der Verkehrswert am Ende der Reise zuzüglich einer etwaigen Vergütung für eine Beschädigung oder Aufopferung der betreffenden Sache in Großer Haverei. </w:t>
      </w:r>
      <w:r>
        <w:rPr>
          <w:rStyle w:val="Satznummer"/>
        </w:rPr>
        <w:t>3</w:t>
      </w:r>
      <w:r>
        <w:t>Maßgebend für den Wert einer Frachtforderung ist der Bruttobetrag der am Ende der Reise geschuldeten Fracht zuzüglich einer etwaigen Vergütung für einen Untergang der Frachtforderung wegen Havereimaßnahmen.</w:t>
      </w:r>
    </w:p>
    <w:p>
      <w:pPr>
        <w:pStyle w:val="Heading4"/>
      </w:pPr>
      <w:bookmarkStart w:id="782" w:name="b781"/>
      <w:r>
        <w:t>§ 592 Verteilung</w:t>
      </w:r>
      <w:r>
        <w:t xml:space="preserve"> </w:t>
      </w:r>
      <w:r>
        <w:rPr>
          <w:rStyle w:val="Suchmarke"/>
        </w:rPr>
        <w:t>#592#</w:t>
      </w:r>
      <w:bookmarkEnd w:id="782"/>
    </w:p>
    <w:p>
      <w:r>
        <w:t xml:space="preserve">(1) </w:t>
      </w:r>
      <w:r>
        <w:rPr>
          <w:rStyle w:val="Satznummer"/>
        </w:rPr>
        <w:t>1</w:t>
      </w:r>
      <w:r>
        <w:t xml:space="preserve">Die Höhe der Vergütung, die ein Beteiligter wegen der Aufopferung oder Beschädigung eines ihm nach </w:t>
      </w:r>
      <w:hyperlink w:anchor="b777" w:history="1">
        <w:r>
          <w:rPr>
            <w:color w:val="0A3A8C"/>
            <w:u w:val="single"/>
          </w:rPr>
          <w:t xml:space="preserve">§ 588</w:t>
        </w:r>
      </w:hyperlink>
      <w:r>
        <w:t xml:space="preserve"> Absatz 2 zuzurechnenden Gegenstands beanspruchen kann, sowie die Höhe des Beitrags, den ein Beteiligter zu zahlen hat, bestimmen sich nach dem Verhältnis der gesamten, allen Beteiligten zustehenden Vergütung zu der Summe der von allen Beteiligten zu leistenden Beiträge. </w:t>
      </w:r>
      <w:r>
        <w:rPr>
          <w:rStyle w:val="Satznummer"/>
        </w:rPr>
        <w:t>2</w:t>
      </w:r>
      <w:r>
        <w:t xml:space="preserve">Liegt ein nach </w:t>
      </w:r>
      <w:hyperlink w:anchor="b779" w:history="1">
        <w:r>
          <w:rPr>
            <w:color w:val="0A3A8C"/>
            <w:u w:val="single"/>
          </w:rPr>
          <w:t xml:space="preserve">§ 590</w:t>
        </w:r>
      </w:hyperlink>
      <w:r>
        <w:t xml:space="preserve"> ermittelter anteiliger Wertverlust über dem nach Satz 1 errechneten Anteil, so hat der von dem Wertverlust betroffene Beteiligte in Höhe der Differenz Anspruch auf eine Vergütung. </w:t>
      </w:r>
      <w:r>
        <w:rPr>
          <w:rStyle w:val="Satznummer"/>
        </w:rPr>
        <w:t>3</w:t>
      </w:r>
      <w:r>
        <w:t xml:space="preserve">Liegt ein nach </w:t>
      </w:r>
      <w:hyperlink w:anchor="b779" w:history="1">
        <w:r>
          <w:rPr>
            <w:color w:val="0A3A8C"/>
            <w:u w:val="single"/>
          </w:rPr>
          <w:t xml:space="preserve">§ 590</w:t>
        </w:r>
      </w:hyperlink>
      <w:r>
        <w:t xml:space="preserve"> ermittelter anteiliger Wertverlust unter dem nach Satz 1 errechneten Anteil, muss der von dem Wertverlust betroffene Beteiligte in Höhe der Differenz einen Beitrag zahlen.</w:t>
      </w:r>
    </w:p>
    <w:p>
      <w:r>
        <w:t xml:space="preserve">(2) Jeder Beitragspflichtige haftet jedoch nur bis zur Höhe des Wertes des geretteten Gegenstands, der ihm nach </w:t>
      </w:r>
      <w:hyperlink w:anchor="b777" w:history="1">
        <w:r>
          <w:rPr>
            <w:color w:val="0A3A8C"/>
            <w:u w:val="single"/>
          </w:rPr>
          <w:t xml:space="preserve">§ 588</w:t>
        </w:r>
      </w:hyperlink>
      <w:r>
        <w:t xml:space="preserve"> Absatz 2 zuzurechnen ist.</w:t>
      </w:r>
    </w:p>
    <w:p>
      <w:pPr>
        <w:pStyle w:val="Heading4"/>
      </w:pPr>
      <w:bookmarkStart w:id="783" w:name="b782"/>
      <w:r>
        <w:t>§ 593 Schiffsgläubigerrecht</w:t>
      </w:r>
      <w:r>
        <w:t xml:space="preserve"> </w:t>
      </w:r>
      <w:r>
        <w:rPr>
          <w:rStyle w:val="Suchmarke"/>
        </w:rPr>
        <w:t>#593#</w:t>
      </w:r>
      <w:bookmarkEnd w:id="783"/>
    </w:p>
    <w:p>
      <w:r>
        <w:t xml:space="preserve">Die Vergütungsberechtigten haben nach </w:t>
      </w:r>
      <w:hyperlink w:anchor="b786" w:history="1">
        <w:r>
          <w:rPr>
            <w:color w:val="0A3A8C"/>
            <w:u w:val="single"/>
          </w:rPr>
          <w:t xml:space="preserve">§ 596</w:t>
        </w:r>
      </w:hyperlink>
      <w:r>
        <w:t xml:space="preserve"> Absatz 1 Nummer 4 für ihre Beitragsforderungen gegen den Eigentümer des Schiffes sowie den Gläubiger der Fracht die Rechte eines Schiffsgläubigers an dem Schiff.</w:t>
      </w:r>
    </w:p>
    <w:p>
      <w:pPr>
        <w:pStyle w:val="Heading4"/>
      </w:pPr>
      <w:bookmarkStart w:id="784" w:name="b783"/>
      <w:r>
        <w:t>§ 594 Pfandrecht der Vergütungsberechtigten. Nichtauslieferung</w:t>
      </w:r>
      <w:r>
        <w:t xml:space="preserve"> </w:t>
      </w:r>
      <w:r>
        <w:rPr>
          <w:rStyle w:val="Suchmarke"/>
        </w:rPr>
        <w:t>#594#</w:t>
      </w:r>
      <w:bookmarkEnd w:id="784"/>
    </w:p>
    <w:p>
      <w:r>
        <w:t>(1) Die Vergütungsberechtigten haben für ihre Beitragsforderungen ein Pfandrecht an dem Treibstoff und der Ladung der Beitragspflichtigen.</w:t>
      </w:r>
    </w:p>
    <w:p>
      <w:r>
        <w:t xml:space="preserve">(2) </w:t>
      </w:r>
      <w:r>
        <w:rPr>
          <w:rStyle w:val="Satznummer"/>
        </w:rPr>
        <w:t>1</w:t>
      </w:r>
      <w:r>
        <w:t xml:space="preserve">Das Pfandrecht hat Vorrang vor allen anderen an diesen Sachen begründeten Pfandrechten, auch wenn diese früher entstanden sind. </w:t>
      </w:r>
      <w:r>
        <w:rPr>
          <w:rStyle w:val="Satznummer"/>
        </w:rPr>
        <w:t>2</w:t>
      </w:r>
      <w:r>
        <w:t xml:space="preserve">Bestehen an einer Sache mehrere Pfandrechte nach Absatz 1 oder besteht an einer Sache auch ein Pfandrecht nach </w:t>
      </w:r>
      <w:hyperlink w:anchor="b773" w:history="1">
        <w:r>
          <w:rPr>
            <w:color w:val="0A3A8C"/>
            <w:u w:val="single"/>
          </w:rPr>
          <w:t xml:space="preserve">§ 585</w:t>
        </w:r>
      </w:hyperlink>
      <w:r>
        <w:t xml:space="preserve"> Absatz 2, so geht das Pfandrecht für die später entstandene Forderung dem für die früher entstandene Forderung vor. </w:t>
      </w:r>
      <w:r>
        <w:rPr>
          <w:rStyle w:val="Satznummer"/>
        </w:rPr>
        <w:t>3</w:t>
      </w:r>
      <w:r>
        <w:t xml:space="preserve">Pfandrechte für gleichzeitig entstandene Forderungen sind gleichberechtigt. </w:t>
      </w:r>
      <w:r>
        <w:rPr>
          <w:rStyle w:val="Satznummer"/>
        </w:rPr>
        <w:t>4</w:t>
      </w:r>
      <w:hyperlink w:anchor="b793" w:history="1">
        <w:r>
          <w:rPr>
            <w:color w:val="0A3A8C"/>
            <w:u w:val="single"/>
          </w:rPr>
          <w:t xml:space="preserve">§ 603</w:t>
        </w:r>
      </w:hyperlink>
      <w:r>
        <w:t xml:space="preserve"> Absatz 3 ist entsprechend anzuwenden.</w:t>
      </w:r>
    </w:p>
    <w:p>
      <w:r>
        <w:t xml:space="preserve">(3) </w:t>
      </w:r>
      <w:r>
        <w:rPr>
          <w:rStyle w:val="Satznummer"/>
        </w:rPr>
        <w:t>1</w:t>
      </w:r>
      <w:r>
        <w:t xml:space="preserve">Pfandrechte nach Absatz 1 erlöschen ein Jahr nach Entstehung der Forderung. </w:t>
      </w:r>
      <w:r>
        <w:rPr>
          <w:rStyle w:val="Satznummer"/>
        </w:rPr>
        <w:t>2</w:t>
      </w:r>
      <w:hyperlink w:anchor="b790" w:history="1">
        <w:r>
          <w:rPr>
            <w:color w:val="0A3A8C"/>
            <w:u w:val="single"/>
          </w:rPr>
          <w:t xml:space="preserve">§ 600</w:t>
        </w:r>
      </w:hyperlink>
      <w:r>
        <w:t xml:space="preserve"> Absatz 2 ist entsprechend anzuwenden.</w:t>
      </w:r>
    </w:p>
    <w:p>
      <w:r>
        <w:t xml:space="preserve">(4) </w:t>
      </w:r>
      <w:r>
        <w:rPr>
          <w:rStyle w:val="Satznummer"/>
        </w:rPr>
        <w:t>1</w:t>
      </w:r>
      <w:r>
        <w:t xml:space="preserve">Das Pfandrecht wird für die Vergütungsberechtigten durch den Reeder ausgeübt. </w:t>
      </w:r>
      <w:r>
        <w:rPr>
          <w:rStyle w:val="Satznummer"/>
        </w:rPr>
        <w:t>2</w:t>
      </w:r>
      <w:r>
        <w:t xml:space="preserve">Auf die Geltendmachung des Pfandrechts an der Ladung sind die </w:t>
      </w:r>
      <w:hyperlink w:anchor="b512" w:history="1">
        <w:r>
          <w:rPr>
            <w:color w:val="0A3A8C"/>
            <w:u w:val="single"/>
          </w:rPr>
          <w:t xml:space="preserve">§§ 368</w:t>
        </w:r>
      </w:hyperlink>
      <w:r>
        <w:t xml:space="preserve"> und </w:t>
      </w:r>
      <w:hyperlink w:anchor="b673" w:history="1">
        <w:r>
          <w:rPr>
            <w:color w:val="0A3A8C"/>
            <w:u w:val="single"/>
          </w:rPr>
          <w:t xml:space="preserve">495</w:t>
        </w:r>
      </w:hyperlink>
      <w:r>
        <w:t xml:space="preserve"> Absatz 4 entsprechend anzuwenden.</w:t>
      </w:r>
    </w:p>
    <w:p>
      <w:r>
        <w:t xml:space="preserve">(5) </w:t>
      </w:r>
      <w:r>
        <w:rPr>
          <w:rStyle w:val="Satznummer"/>
        </w:rPr>
        <w:t>1</w:t>
      </w:r>
      <w:r>
        <w:t xml:space="preserve">Der Kapitän darf die Sachen, an denen Pfandrechte nach Absatz 1 bestehen, vor der Berichtigung oder Sicherstellung der Beiträge nicht ausliefern. </w:t>
      </w:r>
      <w:r>
        <w:rPr>
          <w:rStyle w:val="Satznummer"/>
        </w:rPr>
        <w:t>2</w:t>
      </w:r>
      <w:r>
        <w:t xml:space="preserve">Liefert der Kapitän die Sachen entgegen Satz 1 aus, so haftet er für den Schaden, der den Vergütungsberechtigten durch sein Verschulden entsteht. </w:t>
      </w:r>
      <w:r>
        <w:rPr>
          <w:rStyle w:val="Satznummer"/>
        </w:rPr>
        <w:t>3</w:t>
      </w:r>
      <w:r>
        <w:t>Dies gilt auch dann, wenn der Kapitän auf Anweisung des Reeders gehandelt hat.</w:t>
      </w:r>
    </w:p>
    <w:p>
      <w:pPr>
        <w:pStyle w:val="Heading4"/>
      </w:pPr>
      <w:bookmarkStart w:id="785" w:name="b784"/>
      <w:r>
        <w:t>§ 595 Aufmachung der Dispache</w:t>
      </w:r>
      <w:r>
        <w:t xml:space="preserve"> </w:t>
      </w:r>
      <w:r>
        <w:rPr>
          <w:rStyle w:val="Suchmarke"/>
        </w:rPr>
        <w:t>#595#</w:t>
      </w:r>
      <w:bookmarkEnd w:id="785"/>
    </w:p>
    <w:p>
      <w:r>
        <w:t xml:space="preserve">(1) </w:t>
      </w:r>
      <w:r>
        <w:rPr>
          <w:rStyle w:val="Satznummer"/>
        </w:rPr>
        <w:t>1</w:t>
      </w:r>
      <w:r>
        <w:t xml:space="preserve">Jeder Beteiligte ist berechtigt, die Aufmachung der Dispache am Bestimmungsort oder, wenn dieser nicht erreicht wird, in dem Hafen, in dem die Reise endet, zu veranlassen. </w:t>
      </w:r>
      <w:r>
        <w:rPr>
          <w:rStyle w:val="Satznummer"/>
        </w:rPr>
        <w:t>2</w:t>
      </w:r>
      <w:r>
        <w:t>Wurde Treibstoff oder Ladung vorsätzlich beschädigt oder aufgeopfert, ist der Reeder verpflichtet, die Aufmachung der Dispache an dem in Satz 1 genannten Ort unverzüglich zu veranlassen; unterlässt er dies, so ist er den Beteiligten für den daraus entstehenden Schaden verantwortlich.</w:t>
      </w:r>
    </w:p>
    <w:p>
      <w:r>
        <w:t>(2) Die Dispache wird durch einen öffentlich bestellten Sachverständigen oder eine vom Gericht besonders ernannte sachverständige Person (Dispacheur) aufgemacht.</w:t>
      </w:r>
    </w:p>
    <w:p>
      <w:r>
        <w:t>(3) Jeder Beteiligte hat die in seinen Händen befindlichen Urkunden, die zur Aufmachung der Dispache erforderlich sind, dem Dispacheur zur Verfügung zu stellen.</w:t>
      </w:r>
    </w:p>
    <w:p>
      <w:pPr>
        <w:pStyle w:val="Heading2"/>
      </w:pPr>
      <w:bookmarkStart w:id="786" w:name="b785"/>
      <w:r>
        <w:t>Fünfter Abschnitt Schiffsgläubiger</w:t>
      </w:r>
      <w:bookmarkEnd w:id="786"/>
    </w:p>
    <w:p>
      <w:pPr>
        <w:pStyle w:val="Heading3"/>
      </w:pPr>
      <w:bookmarkStart w:id="787" w:name="b786"/>
      <w:r>
        <w:t>§ 596 Gesicherte Forderungen</w:t>
      </w:r>
      <w:r>
        <w:t xml:space="preserve"> </w:t>
      </w:r>
      <w:r>
        <w:rPr>
          <w:rStyle w:val="Suchmarke"/>
        </w:rPr>
        <w:t>#596#</w:t>
      </w:r>
      <w:bookmarkEnd w:id="787"/>
    </w:p>
    <w:p>
      <w:r>
        <w:t>(1) Die Gläubiger folgender Forderungen haben die Rechte eines Schiffsgläubigers:</w:t>
      </w:r>
    </w:p>
    <w:p>
      <w:pPr>
        <w:tabs>
          <w:tab w:pos="567" w:val="left"/>
        </w:tabs>
        <w:ind w:left="567" w:hanging="567"/>
      </w:pPr>
      <w:r>
        <w:t>1.</w:t>
      </w:r>
      <w:r>
        <w:tab/>
      </w:r>
      <w:r>
        <w:t>Heuerforderungen des Kapitäns und der übrigen Personen der Schiffsbesatzung;</w:t>
      </w:r>
    </w:p>
    <w:p>
      <w:pPr>
        <w:tabs>
          <w:tab w:pos="567" w:val="left"/>
        </w:tabs>
        <w:ind w:left="567" w:hanging="567"/>
      </w:pPr>
      <w:r>
        <w:t>2.</w:t>
      </w:r>
      <w:r>
        <w:tab/>
      </w:r>
      <w:r>
        <w:t>öffentliche Schiffs-, Schifffahrts- und Hafenabgaben sowie Lotsgelder;</w:t>
      </w:r>
    </w:p>
    <w:p>
      <w:pPr>
        <w:tabs>
          <w:tab w:pos="567" w:val="left"/>
        </w:tabs>
        <w:ind w:left="567" w:hanging="567"/>
      </w:pPr>
      <w:r>
        <w:t>3.</w:t>
      </w:r>
      <w:r>
        <w:tab/>
      </w:r>
      <w:r>
        <w:t>Schadensersatzforderungen wegen der Tötung oder Verletzung von Menschen sowie wegen des Verlusts oder der Beschädigung von Sachen, sofern diese Forderungen aus der Verwendung des Schiffes entstanden sind; ausgenommen sind jedoch Forderungen wegen des Verlusts oder der Beschädigung von Sachen, wenn die Forderungen aus einem Vertrag hergeleitet werden oder auch aus einem Vertrag hergeleitet werden können;</w:t>
      </w:r>
    </w:p>
    <w:p>
      <w:pPr>
        <w:tabs>
          <w:tab w:pos="567" w:val="left"/>
        </w:tabs>
        <w:ind w:left="567" w:hanging="567"/>
      </w:pPr>
      <w:r>
        <w:t>4.</w:t>
      </w:r>
      <w:r>
        <w:tab/>
      </w:r>
      <w:r>
        <w:t>Forderungen auf Bergelohn, auf Sondervergütung und auf Bergungskosten; Forderungen gegen den Eigentümer des Schiffes und gegen den Gläubiger der Fracht auf einen Beitrag zur Großen Haverei; Forderungen wegen der Beseitigung des Wracks;</w:t>
      </w:r>
    </w:p>
    <w:p>
      <w:pPr>
        <w:tabs>
          <w:tab w:pos="567" w:val="left"/>
        </w:tabs>
        <w:ind w:left="567" w:hanging="567"/>
      </w:pPr>
      <w:r>
        <w:t>5.</w:t>
      </w:r>
      <w:r>
        <w:tab/>
      </w:r>
      <w:r>
        <w:t>Forderungen der Träger der Sozialversicherung einschließlich der Arbeitslosenversicherung gegen den Reeder.</w:t>
      </w:r>
    </w:p>
    <w:p>
      <w:r>
        <w:t>(2) Absatz 1 Nummer 3 ist nicht auf Ansprüche anzuwenden, die auf die radioaktiven Eigenschaften oder eine Verbindung der radioaktiven Eigenschaften mit giftigen, explosiven oder sonstigen gefährlichen Eigenschaften von Kernbrennstoffen oder radioaktiven Erzeugnissen oder Abfällen zurückzuführen sind.</w:t>
      </w:r>
    </w:p>
    <w:p>
      <w:pPr>
        <w:pStyle w:val="Heading3"/>
      </w:pPr>
      <w:bookmarkStart w:id="788" w:name="b787"/>
      <w:r>
        <w:t>§ 597 Pfandrecht der Schiffsgläubiger</w:t>
      </w:r>
      <w:r>
        <w:t xml:space="preserve"> </w:t>
      </w:r>
      <w:r>
        <w:rPr>
          <w:rStyle w:val="Suchmarke"/>
        </w:rPr>
        <w:t>#597#</w:t>
      </w:r>
      <w:bookmarkEnd w:id="788"/>
    </w:p>
    <w:p>
      <w:r>
        <w:t xml:space="preserve">(1) </w:t>
      </w:r>
      <w:r>
        <w:rPr>
          <w:rStyle w:val="Satznummer"/>
        </w:rPr>
        <w:t>1</w:t>
      </w:r>
      <w:r>
        <w:t xml:space="preserve">Die Schiffsgläubiger haben für ihre Forderungen ein gesetzliches Pfandrecht an dem Schiff. </w:t>
      </w:r>
      <w:r>
        <w:rPr>
          <w:rStyle w:val="Satznummer"/>
        </w:rPr>
        <w:t>2</w:t>
      </w:r>
      <w:r>
        <w:t>Das Pfandrecht kann gegen jeden Besitzer des Schiffes verfolgt werden.</w:t>
      </w:r>
    </w:p>
    <w:p>
      <w:r>
        <w:t>(2) Das Schiff haftet auch für die gesetzlichen Zinsen der Forderungen sowie für die Kosten der die Befriedigung aus dem Schiff bezweckenden Rechtsverfolgung.</w:t>
      </w:r>
    </w:p>
    <w:p>
      <w:pPr>
        <w:pStyle w:val="Heading3"/>
      </w:pPr>
      <w:bookmarkStart w:id="789" w:name="b788"/>
      <w:r>
        <w:t>§ 598 Gegenstand des Pfandrechts der Schiffsgläubiger</w:t>
      </w:r>
      <w:r>
        <w:t xml:space="preserve"> </w:t>
      </w:r>
      <w:r>
        <w:rPr>
          <w:rStyle w:val="Suchmarke"/>
        </w:rPr>
        <w:t>#598#</w:t>
      </w:r>
      <w:bookmarkEnd w:id="789"/>
    </w:p>
    <w:p>
      <w:r>
        <w:t>(1) Das Pfandrecht der Schiffsgläubiger erstreckt sich auf das Zubehör des Schiffes mit Ausnahme der Zubehörstücke, die nicht in das Eigentum des Schiffseigentümers gelangt sind.</w:t>
      </w:r>
    </w:p>
    <w:p>
      <w:r>
        <w:t xml:space="preserve">(2) </w:t>
      </w:r>
      <w:r>
        <w:rPr>
          <w:rStyle w:val="Satznummer"/>
        </w:rPr>
        <w:t>1</w:t>
      </w:r>
      <w:r>
        <w:t xml:space="preserve">Das Pfandrecht erstreckt sich auch auf einen Ersatzanspruch, der dem Reeder wegen des Verlusts oder der Beschädigung des Schiffes gegen einen Dritten zusteht. </w:t>
      </w:r>
      <w:r>
        <w:rPr>
          <w:rStyle w:val="Satznummer"/>
        </w:rPr>
        <w:t>2</w:t>
      </w:r>
      <w:r>
        <w:t>Das Gleiche gilt hinsichtlich der Vergütung für Schäden am Schiff in Fällen der Großen Haverei.</w:t>
      </w:r>
    </w:p>
    <w:p>
      <w:r>
        <w:t>(3) Das Pfandrecht erstreckt sich nicht auf eine Forderung aus einer Versicherung, die der Reeder für das Schiff genommen hat.</w:t>
      </w:r>
    </w:p>
    <w:p>
      <w:pPr>
        <w:pStyle w:val="Heading3"/>
      </w:pPr>
      <w:bookmarkStart w:id="790" w:name="b789"/>
      <w:r>
        <w:t>§ 599 Erlöschen der Forderung</w:t>
      </w:r>
      <w:r>
        <w:t xml:space="preserve"> </w:t>
      </w:r>
      <w:r>
        <w:rPr>
          <w:rStyle w:val="Suchmarke"/>
        </w:rPr>
        <w:t>#599#</w:t>
      </w:r>
      <w:bookmarkEnd w:id="790"/>
    </w:p>
    <w:p>
      <w:r>
        <w:t>Erlischt die durch das Pfandrecht eines Schiffsgläubigers gesicherte Forderung, so erlischt auch das Pfandrecht.</w:t>
      </w:r>
    </w:p>
    <w:p>
      <w:pPr>
        <w:pStyle w:val="Heading3"/>
      </w:pPr>
      <w:bookmarkStart w:id="791" w:name="b790"/>
      <w:r>
        <w:t>§ 600 Zeitablauf</w:t>
      </w:r>
      <w:r>
        <w:t xml:space="preserve"> </w:t>
      </w:r>
      <w:r>
        <w:rPr>
          <w:rStyle w:val="Suchmarke"/>
        </w:rPr>
        <w:t>#600#</w:t>
      </w:r>
      <w:bookmarkEnd w:id="791"/>
    </w:p>
    <w:p>
      <w:r>
        <w:t>(1) Das Pfandrecht eines Schiffsgläubigers erlischt ein Jahr nach Entstehung der Forderung.</w:t>
      </w:r>
    </w:p>
    <w:p>
      <w:r>
        <w:t xml:space="preserve">(2) </w:t>
      </w:r>
      <w:r>
        <w:rPr>
          <w:rStyle w:val="Satznummer"/>
        </w:rPr>
        <w:t>1</w:t>
      </w:r>
      <w:r>
        <w:t xml:space="preserve">Das Pfandrecht erlischt nicht, wenn der Gläubiger innerhalb der Frist des Absatzes 1 die Beschlagnahme des Schiffes wegen des Pfandrechts erwirkt, sofern das Schiff später im Wege der Zwangsvollstreckung veräußert wird, ohne dass das Schiff in der Zwischenzeit von einer Beschlagnahme zugunsten dieses Gläubigers frei geworden ist. </w:t>
      </w:r>
      <w:r>
        <w:rPr>
          <w:rStyle w:val="Satznummer"/>
        </w:rPr>
        <w:t>2</w:t>
      </w:r>
      <w:r>
        <w:t>Das Gleiche gilt für das Pfandrecht eines Gläubigers, der wegen seines Pfandrechts dem Zwangsvollstreckungsverfahren innerhalb dieser Frist beitritt.</w:t>
      </w:r>
    </w:p>
    <w:p>
      <w:r>
        <w:t xml:space="preserve">(3) </w:t>
      </w:r>
      <w:r>
        <w:rPr>
          <w:rStyle w:val="Satznummer"/>
        </w:rPr>
        <w:t>1</w:t>
      </w:r>
      <w:r>
        <w:t xml:space="preserve">Ein Zeitraum, währenddessen ein Gläubiger rechtlich daran gehindert ist, sich aus dem Schiff zu befriedigen, wird in die Frist nicht eingerechnet. </w:t>
      </w:r>
      <w:r>
        <w:rPr>
          <w:rStyle w:val="Satznummer"/>
        </w:rPr>
        <w:t>2</w:t>
      </w:r>
      <w:r>
        <w:t>Eine Hemmung, eine Ablaufhemmung oder ein Neubeginn der Frist aus anderen Gründen ist ausgeschlossen.</w:t>
      </w:r>
    </w:p>
    <w:p>
      <w:pPr>
        <w:pStyle w:val="Heading3"/>
      </w:pPr>
      <w:bookmarkStart w:id="792" w:name="b791"/>
      <w:r>
        <w:t>§ 601 Befriedigung des Schiffsgläubigers</w:t>
      </w:r>
      <w:r>
        <w:t xml:space="preserve"> </w:t>
      </w:r>
      <w:r>
        <w:rPr>
          <w:rStyle w:val="Suchmarke"/>
        </w:rPr>
        <w:t>#601#</w:t>
      </w:r>
      <w:bookmarkEnd w:id="792"/>
    </w:p>
    <w:p>
      <w:r>
        <w:t>(1) Die Befriedigung des Schiffsgläubigers aus dem Schiff erfolgt nach den Vorschriften über die Zwangsvollstreckung.</w:t>
      </w:r>
    </w:p>
    <w:p>
      <w:r>
        <w:t xml:space="preserve">(2) </w:t>
      </w:r>
      <w:r>
        <w:rPr>
          <w:rStyle w:val="Satznummer"/>
        </w:rPr>
        <w:t>1</w:t>
      </w:r>
      <w:r>
        <w:t xml:space="preserve">Die Klage auf Duldung der Zwangsvollstreckung kann außer gegen den Eigentümer des Schiffes auch gegen den Ausrüster gerichtet werden. </w:t>
      </w:r>
      <w:r>
        <w:rPr>
          <w:rStyle w:val="Satznummer"/>
        </w:rPr>
        <w:t>2</w:t>
      </w:r>
      <w:r>
        <w:t>Das gegen den Ausrüster gerichtete Urteil ist auch gegenüber dem Eigentümer wirksam.</w:t>
      </w:r>
    </w:p>
    <w:p>
      <w:r>
        <w:t xml:space="preserve">(3) </w:t>
      </w:r>
      <w:r>
        <w:rPr>
          <w:rStyle w:val="Satznummer"/>
        </w:rPr>
        <w:t>1</w:t>
      </w:r>
      <w:r>
        <w:t xml:space="preserve">Zugunsten des Schiffsgläubigers gilt als Eigentümer, wer im Schiffsregister als Eigentümer eingetragen ist. </w:t>
      </w:r>
      <w:r>
        <w:rPr>
          <w:rStyle w:val="Satznummer"/>
        </w:rPr>
        <w:t>2</w:t>
      </w:r>
      <w:r>
        <w:t>Das Recht des nicht eingetragenen Eigentümers, die ihm gegen das Pfandrecht zustehenden Einwendungen geltend zu machen, bleibt unberührt.</w:t>
      </w:r>
    </w:p>
    <w:p>
      <w:pPr>
        <w:pStyle w:val="Heading3"/>
      </w:pPr>
      <w:bookmarkStart w:id="793" w:name="b792"/>
      <w:r>
        <w:t>§ 602 Vorrang der Pfandrechte der Schiffsgläubiger</w:t>
      </w:r>
      <w:r>
        <w:t xml:space="preserve"> </w:t>
      </w:r>
      <w:r>
        <w:rPr>
          <w:rStyle w:val="Suchmarke"/>
        </w:rPr>
        <w:t>#602#</w:t>
      </w:r>
      <w:bookmarkEnd w:id="793"/>
    </w:p>
    <w:p>
      <w:r>
        <w:rPr>
          <w:rStyle w:val="Satznummer"/>
        </w:rPr>
        <w:t>1</w:t>
      </w:r>
      <w:r>
        <w:t xml:space="preserve">Die Pfandrechte der Schiffsgläubiger haben Vorrang vor allen anderen Pfandrechten am Schiff. </w:t>
      </w:r>
      <w:r>
        <w:rPr>
          <w:rStyle w:val="Satznummer"/>
        </w:rPr>
        <w:t>2</w:t>
      </w:r>
      <w:r>
        <w:t>Sie haben Vorrang auch insoweit, als zoll- und steuerpflichtige Sachen nach gesetzlichen Vorschriften als Sicherheit für öffentliche Abgaben dienen.</w:t>
      </w:r>
    </w:p>
    <w:p>
      <w:pPr>
        <w:pStyle w:val="Heading3"/>
      </w:pPr>
      <w:bookmarkStart w:id="794" w:name="b793"/>
      <w:r>
        <w:t>§ 603 Allgemeine Rangordnung der Pfandrechte der Schiffsgläubiger</w:t>
      </w:r>
      <w:r>
        <w:t xml:space="preserve"> </w:t>
      </w:r>
      <w:r>
        <w:rPr>
          <w:rStyle w:val="Suchmarke"/>
        </w:rPr>
        <w:t>#603#</w:t>
      </w:r>
      <w:bookmarkEnd w:id="794"/>
    </w:p>
    <w:p>
      <w:r>
        <w:t xml:space="preserve">(1) Die Rangordnung der Pfandrechte der Schiffsgläubiger bestimmt sich nach der Reihenfolge der Nummern, unter denen die Forderungen in </w:t>
      </w:r>
      <w:hyperlink w:anchor="b786" w:history="1">
        <w:r>
          <w:rPr>
            <w:color w:val="0A3A8C"/>
            <w:u w:val="single"/>
          </w:rPr>
          <w:t xml:space="preserve">§ 596</w:t>
        </w:r>
      </w:hyperlink>
      <w:r>
        <w:t xml:space="preserve"> aufgeführt sind.</w:t>
      </w:r>
    </w:p>
    <w:p>
      <w:r>
        <w:t xml:space="preserve">(2) Die Pfandrechte für die in </w:t>
      </w:r>
      <w:hyperlink w:anchor="b786" w:history="1">
        <w:r>
          <w:rPr>
            <w:color w:val="0A3A8C"/>
            <w:u w:val="single"/>
          </w:rPr>
          <w:t xml:space="preserve">§ 596</w:t>
        </w:r>
      </w:hyperlink>
      <w:r>
        <w:t xml:space="preserve"> Absatz 1 Nummer 4 aufgeführten Forderungen haben jedoch den Vorrang vor den Pfandrechten aller anderen Schiffsgläubiger, deren Forderungen früher entstanden sind.</w:t>
      </w:r>
    </w:p>
    <w:p>
      <w:r>
        <w:t>(3) Beitragsforderungen zur Großen Haverei gelten als im Zeitpunkt des Havereifalls, Forderungen auf Bergelohn, auf Sondervergütung und auf Bergungskosten als im Zeitpunkt der Beendigung der Bergungsmaßnahmen und Forderungen wegen der Beseitigung des Wracks als im Zeitpunkt der Beendigung der Wrackbeseitigung entstanden.</w:t>
      </w:r>
    </w:p>
    <w:p>
      <w:pPr>
        <w:pStyle w:val="Heading3"/>
      </w:pPr>
      <w:bookmarkStart w:id="795" w:name="b794"/>
      <w:r>
        <w:t>§ 604 Rangordnung der Pfandrechte unter derselben Nummer</w:t>
      </w:r>
      <w:r>
        <w:t xml:space="preserve"> </w:t>
      </w:r>
      <w:r>
        <w:rPr>
          <w:rStyle w:val="Suchmarke"/>
        </w:rPr>
        <w:t>#604#</w:t>
      </w:r>
      <w:bookmarkEnd w:id="795"/>
    </w:p>
    <w:p>
      <w:r>
        <w:t xml:space="preserve">(1) Von den Pfandrechten für die in </w:t>
      </w:r>
      <w:hyperlink w:anchor="b786" w:history="1">
        <w:r>
          <w:rPr>
            <w:color w:val="0A3A8C"/>
            <w:u w:val="single"/>
          </w:rPr>
          <w:t xml:space="preserve">§ 596</w:t>
        </w:r>
      </w:hyperlink>
      <w:r>
        <w:t xml:space="preserve"> Absatz 1 Nummer 1 bis 3 und 5 aufgeführten Forderungen haben die Pfandrechte für die unter derselben Nummer genannten Forderungen ohne Rücksicht auf den Zeitpunkt ihrer Entstehung den gleichen Rang.</w:t>
      </w:r>
    </w:p>
    <w:p>
      <w:r>
        <w:t xml:space="preserve">(2) Pfandrechte für die in </w:t>
      </w:r>
      <w:hyperlink w:anchor="b786" w:history="1">
        <w:r>
          <w:rPr>
            <w:color w:val="0A3A8C"/>
            <w:u w:val="single"/>
          </w:rPr>
          <w:t xml:space="preserve">§ 596</w:t>
        </w:r>
      </w:hyperlink>
      <w:r>
        <w:t xml:space="preserve"> Absatz 1 Nummer 3 aufgeführten Forderungen wegen Personenschäden gehen Pfandrechten für die unter derselben Nummer aufgeführten Forderungen wegen Sachschäden vor.</w:t>
      </w:r>
    </w:p>
    <w:p>
      <w:r>
        <w:t xml:space="preserve">(3) </w:t>
      </w:r>
      <w:r>
        <w:rPr>
          <w:rStyle w:val="Satznummer"/>
        </w:rPr>
        <w:t>1</w:t>
      </w:r>
      <w:r>
        <w:t xml:space="preserve">Von den Pfandrechten für die in </w:t>
      </w:r>
      <w:hyperlink w:anchor="b786" w:history="1">
        <w:r>
          <w:rPr>
            <w:color w:val="0A3A8C"/>
            <w:u w:val="single"/>
          </w:rPr>
          <w:t xml:space="preserve">§ 596</w:t>
        </w:r>
      </w:hyperlink>
      <w:r>
        <w:t xml:space="preserve"> Absatz 1 Nummer 4 aufgeführten Forderungen geht das für die später entstandene Forderung dem für die früher entstandene Forderung vor. </w:t>
      </w:r>
      <w:r>
        <w:rPr>
          <w:rStyle w:val="Satznummer"/>
        </w:rPr>
        <w:t>2</w:t>
      </w:r>
      <w:r>
        <w:t>Pfandrechte wegen gleichzeitig entstandener Forderungen sind gleichberechtigt.</w:t>
      </w:r>
    </w:p>
    <w:p>
      <w:pPr>
        <w:pStyle w:val="Heading2"/>
      </w:pPr>
      <w:bookmarkStart w:id="796" w:name="b795"/>
      <w:r>
        <w:t>Sechster Abschnitt Verjährung</w:t>
      </w:r>
      <w:bookmarkEnd w:id="796"/>
    </w:p>
    <w:p>
      <w:pPr>
        <w:pStyle w:val="Heading3"/>
      </w:pPr>
      <w:bookmarkStart w:id="797" w:name="b796"/>
      <w:r>
        <w:t>§ 605 Einjährige Verjährungsfrist</w:t>
      </w:r>
      <w:r>
        <w:t xml:space="preserve"> </w:t>
      </w:r>
      <w:r>
        <w:rPr>
          <w:rStyle w:val="Suchmarke"/>
        </w:rPr>
        <w:t>#605#</w:t>
      </w:r>
      <w:bookmarkEnd w:id="797"/>
    </w:p>
    <w:p>
      <w:r>
        <w:t>Folgende Ansprüche verjähren in einem Jahr:</w:t>
      </w:r>
    </w:p>
    <w:p>
      <w:pPr>
        <w:tabs>
          <w:tab w:pos="567" w:val="left"/>
        </w:tabs>
        <w:ind w:left="567" w:hanging="567"/>
      </w:pPr>
      <w:r>
        <w:t>1.</w:t>
      </w:r>
      <w:r>
        <w:tab/>
      </w:r>
      <w:r>
        <w:t>Ansprüche aus einem Seefrachtvertrag und aus einem Konnossement;</w:t>
      </w:r>
    </w:p>
    <w:p>
      <w:pPr>
        <w:tabs>
          <w:tab w:pos="567" w:val="left"/>
        </w:tabs>
        <w:ind w:left="567" w:hanging="567"/>
      </w:pPr>
      <w:r>
        <w:t>2.</w:t>
      </w:r>
      <w:r>
        <w:tab/>
      </w:r>
      <w:r>
        <w:t>Ansprüche aus Schiffsüberlassungsverträgen;</w:t>
      </w:r>
    </w:p>
    <w:p>
      <w:pPr>
        <w:tabs>
          <w:tab w:pos="567" w:val="left"/>
        </w:tabs>
        <w:ind w:left="567" w:hanging="567"/>
      </w:pPr>
      <w:r>
        <w:t>3.</w:t>
      </w:r>
      <w:r>
        <w:tab/>
      </w:r>
      <w:r>
        <w:t>Ansprüche auf Beiträge zur Großen Haverei;</w:t>
      </w:r>
    </w:p>
    <w:p>
      <w:pPr>
        <w:tabs>
          <w:tab w:pos="567" w:val="left"/>
        </w:tabs>
        <w:ind w:left="567" w:hanging="567"/>
      </w:pPr>
      <w:r>
        <w:t>4.</w:t>
      </w:r>
      <w:r>
        <w:tab/>
      </w:r>
      <w:r>
        <w:t xml:space="preserve">Ansprüche, die den Reedern untereinander nach </w:t>
      </w:r>
      <w:hyperlink w:anchor="b758" w:history="1">
        <w:r>
          <w:rPr>
            <w:color w:val="0A3A8C"/>
            <w:u w:val="single"/>
          </w:rPr>
          <w:t xml:space="preserve">§ 571</w:t>
        </w:r>
      </w:hyperlink>
      <w:r>
        <w:t xml:space="preserve"> Absatz 2 zustehen.</w:t>
      </w:r>
    </w:p>
    <w:p>
      <w:pPr>
        <w:pStyle w:val="Heading3"/>
      </w:pPr>
      <w:bookmarkStart w:id="798" w:name="b797"/>
      <w:r>
        <w:t>§ 606 Zweijährige Verjährungsfrist</w:t>
      </w:r>
      <w:r>
        <w:t xml:space="preserve"> </w:t>
      </w:r>
      <w:r>
        <w:rPr>
          <w:rStyle w:val="Suchmarke"/>
        </w:rPr>
        <w:t>#606#</w:t>
      </w:r>
      <w:bookmarkEnd w:id="798"/>
    </w:p>
    <w:p>
      <w:r>
        <w:t>Folgende Ansprüche verjähren in zwei Jahren:</w:t>
      </w:r>
    </w:p>
    <w:p>
      <w:pPr>
        <w:tabs>
          <w:tab w:pos="567" w:val="left"/>
        </w:tabs>
        <w:ind w:left="567" w:hanging="567"/>
      </w:pPr>
      <w:r>
        <w:t>1.</w:t>
      </w:r>
      <w:r>
        <w:tab/>
      </w:r>
      <w:r>
        <w:t>Schadensersatzansprüche wegen Tod oder Körperverletzung eines Fahrgasts oder wegen Verlust, Beschädigung oder verspäteter Aushändigung von Gepäck, soweit die Ansprüche den Vorschriften dieses Buches unterworfen sind;</w:t>
      </w:r>
    </w:p>
    <w:p>
      <w:pPr>
        <w:tabs>
          <w:tab w:pos="567" w:val="left"/>
        </w:tabs>
        <w:ind w:left="567" w:hanging="567"/>
      </w:pPr>
      <w:r>
        <w:t>2.</w:t>
      </w:r>
      <w:r>
        <w:tab/>
      </w:r>
      <w:r>
        <w:t xml:space="preserve">Schadensersatzansprüche aus dem Zusammenstoß von Schiffen oder aus einem unter </w:t>
      </w:r>
      <w:hyperlink w:anchor="b759" w:history="1">
        <w:r>
          <w:rPr>
            <w:color w:val="0A3A8C"/>
            <w:u w:val="single"/>
          </w:rPr>
          <w:t xml:space="preserve">§ 572</w:t>
        </w:r>
      </w:hyperlink>
      <w:r>
        <w:t xml:space="preserve"> fallenden Ereignis;</w:t>
      </w:r>
    </w:p>
    <w:p>
      <w:pPr>
        <w:tabs>
          <w:tab w:pos="567" w:val="left"/>
        </w:tabs>
        <w:ind w:left="567" w:hanging="567"/>
      </w:pPr>
      <w:r>
        <w:t>3.</w:t>
      </w:r>
      <w:r>
        <w:tab/>
      </w:r>
      <w:r>
        <w:t>Ansprüche auf Bergelohn, auf Sondervergütung und auf Bergungskosten;</w:t>
      </w:r>
    </w:p>
    <w:p>
      <w:pPr>
        <w:tabs>
          <w:tab w:pos="567" w:val="left"/>
        </w:tabs>
        <w:ind w:left="567" w:hanging="567"/>
      </w:pPr>
      <w:r>
        <w:t>4.</w:t>
      </w:r>
      <w:r>
        <w:tab/>
      </w:r>
      <w:r>
        <w:t>Ansprüche wegen der Beseitigung eines Wracks.</w:t>
      </w:r>
    </w:p>
    <w:p>
      <w:pPr>
        <w:pStyle w:val="Heading3"/>
      </w:pPr>
      <w:bookmarkStart w:id="799" w:name="b798"/>
      <w:r>
        <w:t>§ 607 Beginn der Verjährungsfristen</w:t>
      </w:r>
      <w:r>
        <w:t xml:space="preserve"> </w:t>
      </w:r>
      <w:r>
        <w:rPr>
          <w:rStyle w:val="Suchmarke"/>
        </w:rPr>
        <w:t>#607#</w:t>
      </w:r>
      <w:bookmarkEnd w:id="799"/>
    </w:p>
    <w:p>
      <w:r>
        <w:t xml:space="preserve">(1) </w:t>
      </w:r>
      <w:r>
        <w:rPr>
          <w:rStyle w:val="Satznummer"/>
        </w:rPr>
        <w:t>1</w:t>
      </w:r>
      <w:r>
        <w:t xml:space="preserve">Die Verjährungsfrist für die in </w:t>
      </w:r>
      <w:hyperlink w:anchor="b796" w:history="1">
        <w:r>
          <w:rPr>
            <w:color w:val="0A3A8C"/>
            <w:u w:val="single"/>
          </w:rPr>
          <w:t xml:space="preserve">§ 605</w:t>
        </w:r>
      </w:hyperlink>
      <w:r>
        <w:t xml:space="preserve"> Nummer 1 genannten Ansprüche beginnt mit dem Tag, an dem das Gut abgeliefert wurde, oder, wenn das Gut nicht abgeliefert wurde, mit dem Tag, an dem das Gut hätte abgeliefert werden müssen. </w:t>
      </w:r>
      <w:r>
        <w:rPr>
          <w:rStyle w:val="Satznummer"/>
        </w:rPr>
        <w:t>2</w:t>
      </w:r>
      <w:r>
        <w:t>Handelt es sich um Ansprüche aus einem Reisefrachtvertrag, ist auf das Gut abzustellen, das am Ende der letzten Reise abgeliefert wurde oder hätte abgeliefert werden müssen.</w:t>
      </w:r>
    </w:p>
    <w:p>
      <w:r>
        <w:t xml:space="preserve">(2) </w:t>
      </w:r>
      <w:r>
        <w:rPr>
          <w:rStyle w:val="Satznummer"/>
        </w:rPr>
        <w:t>1</w:t>
      </w:r>
      <w:r>
        <w:t xml:space="preserve">Abweichend von Absatz 1 beginnt die Verjährungsfrist für Rückgriffsansprüche des Schuldners eines in </w:t>
      </w:r>
      <w:hyperlink w:anchor="b796" w:history="1">
        <w:r>
          <w:rPr>
            <w:color w:val="0A3A8C"/>
            <w:u w:val="single"/>
          </w:rPr>
          <w:t xml:space="preserve">§ 605</w:t>
        </w:r>
      </w:hyperlink>
      <w:r>
        <w:t xml:space="preserve"> Nummer 1 genannten Anspruchs mit dem Tag des Eintritts der Rechtskraft des Urteils gegen den Rückgriffsgläubiger oder, wenn kein rechtskräftiges Urteil vorliegt, mit dem Tag, an dem der Rückgriffsgläubiger den Anspruch befriedigt hat. </w:t>
      </w:r>
      <w:r>
        <w:rPr>
          <w:rStyle w:val="Satznummer"/>
        </w:rPr>
        <w:t>2</w:t>
      </w:r>
      <w:r>
        <w:t>Satz 1 gilt nicht, wenn der Rückgriffsschuldner innerhalb von drei Monaten, nachdem der Rückgriffsgläubiger Kenntnis von dem Schaden und der Person des Rückgriffsschuldners erlangt hat, nicht über diesen Schaden unterrichtet wurde.</w:t>
      </w:r>
    </w:p>
    <w:p>
      <w:r>
        <w:t xml:space="preserve">(3) </w:t>
      </w:r>
      <w:r>
        <w:rPr>
          <w:rStyle w:val="Satznummer"/>
        </w:rPr>
        <w:t>1</w:t>
      </w:r>
      <w:r>
        <w:t xml:space="preserve">Die Verjährungsfrist für die in </w:t>
      </w:r>
      <w:hyperlink w:anchor="b796" w:history="1">
        <w:r>
          <w:rPr>
            <w:color w:val="0A3A8C"/>
            <w:u w:val="single"/>
          </w:rPr>
          <w:t xml:space="preserve">§ 605</w:t>
        </w:r>
      </w:hyperlink>
      <w:r>
        <w:t xml:space="preserve"> Nummer 2 genannten Ansprüche aus Schiffsüberlassungsverträgen beginnt mit dem Schluss des Jahres, in dem der Anspruch entstanden ist. </w:t>
      </w:r>
      <w:r>
        <w:rPr>
          <w:rStyle w:val="Satznummer"/>
        </w:rPr>
        <w:t>2</w:t>
      </w:r>
      <w:r>
        <w:t>Auf die Verjährung von Rückgriffsansprüchen des Schuldners eines Anspruchs aus einem Zeitchartervertrag ist Absatz 2 entsprechend anzuwenden.</w:t>
      </w:r>
    </w:p>
    <w:p>
      <w:r>
        <w:t xml:space="preserve">(4) Die Verjährungsfrist für die in </w:t>
      </w:r>
      <w:hyperlink w:anchor="b796" w:history="1">
        <w:r>
          <w:rPr>
            <w:color w:val="0A3A8C"/>
            <w:u w:val="single"/>
          </w:rPr>
          <w:t xml:space="preserve">§ 605</w:t>
        </w:r>
      </w:hyperlink>
      <w:r>
        <w:t xml:space="preserve"> Nummer 3 und 4 genannten Ansprüche beginnt mit dem Schluss des Jahres, in dem der Anspruch entstanden ist.</w:t>
      </w:r>
    </w:p>
    <w:p>
      <w:r>
        <w:t xml:space="preserve">(5) Die Verjährungsfrist für die in </w:t>
      </w:r>
      <w:hyperlink w:anchor="b797" w:history="1">
        <w:r>
          <w:rPr>
            <w:color w:val="0A3A8C"/>
            <w:u w:val="single"/>
          </w:rPr>
          <w:t xml:space="preserve">§ 606</w:t>
        </w:r>
      </w:hyperlink>
      <w:r>
        <w:t xml:space="preserve"> Nummer 1 genannten Schadensersatzansprüche beginnt wie folgt:</w:t>
      </w:r>
    </w:p>
    <w:p>
      <w:pPr>
        <w:tabs>
          <w:tab w:pos="567" w:val="left"/>
        </w:tabs>
        <w:ind w:left="567" w:hanging="567"/>
      </w:pPr>
      <w:r>
        <w:t>1.</w:t>
      </w:r>
      <w:r>
        <w:tab/>
      </w:r>
      <w:r>
        <w:t>für Ansprüche wegen Körperverletzung eines Fahrgasts mit dem Tag der Ausschiffung des Fahrgasts;</w:t>
      </w:r>
    </w:p>
    <w:p>
      <w:pPr>
        <w:tabs>
          <w:tab w:pos="567" w:val="left"/>
        </w:tabs>
        <w:ind w:left="567" w:hanging="567"/>
      </w:pPr>
      <w:r>
        <w:t>2.</w:t>
      </w:r>
      <w:r>
        <w:tab/>
      </w:r>
      <w:r>
        <w:t>für Ansprüche wegen des Todes eines Fahrgasts mit dem Tag, an dem der Fahrgast hätte ausgeschifft werden sollen, oder, wenn der Tod nach der Ausschiffung eingetreten ist, mit dem Tag des Todes, spätestens jedoch ein Jahr nach der Ausschiffung des Fahrgasts;</w:t>
      </w:r>
    </w:p>
    <w:p>
      <w:pPr>
        <w:tabs>
          <w:tab w:pos="567" w:val="left"/>
        </w:tabs>
        <w:ind w:left="567" w:hanging="567"/>
      </w:pPr>
      <w:r>
        <w:t>3.</w:t>
      </w:r>
      <w:r>
        <w:tab/>
      </w:r>
      <w:r>
        <w:t>für Ansprüche wegen Verlust, Beschädigung oder verspäteter Auslieferung von Gepäck mit dem Tag der Ausschiffung oder mit dem Tag, an dem die Ausschiffung hätte erfolgen sollen, je nachdem, welches der spätere Zeitpunkt ist.</w:t>
      </w:r>
    </w:p>
    <w:p>
      <w:r>
        <w:t xml:space="preserve">(6) Die Verjährungsfrist für die in </w:t>
      </w:r>
      <w:hyperlink w:anchor="b797" w:history="1">
        <w:r>
          <w:rPr>
            <w:color w:val="0A3A8C"/>
            <w:u w:val="single"/>
          </w:rPr>
          <w:t xml:space="preserve">§ 606</w:t>
        </w:r>
      </w:hyperlink>
      <w:r>
        <w:t xml:space="preserve"> Nummer 2 genannten Schadensersatzansprüche aus einem Zusammenstoß von Schiffen oder aus einem unter </w:t>
      </w:r>
      <w:hyperlink w:anchor="b759" w:history="1">
        <w:r>
          <w:rPr>
            <w:color w:val="0A3A8C"/>
            <w:u w:val="single"/>
          </w:rPr>
          <w:t xml:space="preserve">§ 572</w:t>
        </w:r>
      </w:hyperlink>
      <w:r>
        <w:t xml:space="preserve"> fallenden Ereignis beginnt mit dem den Schaden auslösenden Ereignis.</w:t>
      </w:r>
    </w:p>
    <w:p>
      <w:r>
        <w:t xml:space="preserve">(7) </w:t>
      </w:r>
      <w:r>
        <w:rPr>
          <w:rStyle w:val="Satznummer"/>
        </w:rPr>
        <w:t>1</w:t>
      </w:r>
      <w:r>
        <w:t xml:space="preserve">Die Verjährungsfrist für die in </w:t>
      </w:r>
      <w:hyperlink w:anchor="b797" w:history="1">
        <w:r>
          <w:rPr>
            <w:color w:val="0A3A8C"/>
            <w:u w:val="single"/>
          </w:rPr>
          <w:t xml:space="preserve">§ 606</w:t>
        </w:r>
      </w:hyperlink>
      <w:r>
        <w:t xml:space="preserve"> Nummer 3 und 4 genannten Ansprüche beginnt mit Beendigung der Bergungs- oder Wrackbeseitigungsmaßnahmen. </w:t>
      </w:r>
      <w:r>
        <w:rPr>
          <w:rStyle w:val="Satznummer"/>
        </w:rPr>
        <w:t>2</w:t>
      </w:r>
      <w:r>
        <w:t>Auf die Verjährung von Rückgriffsansprüchen des Schuldners dieser Ansprüche ist Absatz 2 entsprechend anzuwenden.</w:t>
      </w:r>
    </w:p>
    <w:p>
      <w:pPr>
        <w:pStyle w:val="Heading3"/>
      </w:pPr>
      <w:bookmarkStart w:id="800" w:name="b799"/>
      <w:r>
        <w:t>§ 608 Hemmung der Verjährung</w:t>
      </w:r>
      <w:r>
        <w:t xml:space="preserve"> </w:t>
      </w:r>
      <w:r>
        <w:rPr>
          <w:rStyle w:val="Suchmarke"/>
        </w:rPr>
        <w:t>#608#</w:t>
      </w:r>
      <w:bookmarkEnd w:id="800"/>
    </w:p>
    <w:p>
      <w:r>
        <w:rPr>
          <w:rStyle w:val="Satznummer"/>
        </w:rPr>
        <w:t>1</w:t>
      </w:r>
      <w:r>
        <w:t xml:space="preserve">Die Verjährung der in den </w:t>
      </w:r>
      <w:hyperlink w:anchor="b796" w:history="1">
        <w:r>
          <w:rPr>
            <w:color w:val="0A3A8C"/>
            <w:u w:val="single"/>
          </w:rPr>
          <w:t xml:space="preserve">§§ 605</w:t>
        </w:r>
      </w:hyperlink>
      <w:r>
        <w:t xml:space="preserve"> und </w:t>
      </w:r>
      <w:hyperlink w:anchor="b797" w:history="1">
        <w:r>
          <w:rPr>
            <w:color w:val="0A3A8C"/>
            <w:u w:val="single"/>
          </w:rPr>
          <w:t xml:space="preserve">606</w:t>
        </w:r>
      </w:hyperlink>
      <w:r>
        <w:t xml:space="preserve"> genannten Ansprüche wird auch durch eine Erklärung des Gläubigers, mit der dieser Ersatzansprüche erhebt, bis zu dem Zeitpunkt gehemmt, in dem der Schuldner die Erfüllung des Anspruchs ablehnt. </w:t>
      </w:r>
      <w:r>
        <w:rPr>
          <w:rStyle w:val="Satznummer"/>
        </w:rPr>
        <w:t>2</w:t>
      </w:r>
      <w:r>
        <w:t xml:space="preserve">Die Erhebung der Ansprüche sowie die Ablehnung bedürfen der Textform. </w:t>
      </w:r>
      <w:r>
        <w:rPr>
          <w:rStyle w:val="Satznummer"/>
        </w:rPr>
        <w:t>3</w:t>
      </w:r>
      <w:r>
        <w:t>Eine weitere Erklärung, die denselben Ersatzanspruch zum Gegenstand hat, hemmt die Verjährung nicht erneut.</w:t>
      </w:r>
    </w:p>
    <w:p>
      <w:pPr>
        <w:pStyle w:val="Heading3"/>
      </w:pPr>
      <w:bookmarkStart w:id="801" w:name="b800"/>
      <w:r>
        <w:t>§ 609 Vereinbarungen über die Verjährung</w:t>
      </w:r>
      <w:r>
        <w:t xml:space="preserve"> </w:t>
      </w:r>
      <w:r>
        <w:rPr>
          <w:rStyle w:val="Suchmarke"/>
        </w:rPr>
        <w:t>#609#</w:t>
      </w:r>
      <w:bookmarkEnd w:id="801"/>
    </w:p>
    <w:p>
      <w:r>
        <w:t xml:space="preserve">(1) </w:t>
      </w:r>
      <w:r>
        <w:rPr>
          <w:rStyle w:val="Satznummer"/>
        </w:rPr>
        <w:t>1</w:t>
      </w:r>
      <w:r>
        <w:t xml:space="preserve">Die Verjährung von Schadensersatzansprüchen aus einem Stückgutfrachtvertrag oder aus einem Konnossement wegen Verlust oder Beschädigung von Gut kann nur durch Vereinbarung, die im Einzelnen ausgehandelt ist, auch wenn sie für eine Mehrzahl von gleichartigen Verträgen zwischen denselben Vertragsparteien getroffen ist, erleichtert oder erschwert werden. </w:t>
      </w:r>
      <w:r>
        <w:rPr>
          <w:rStyle w:val="Satznummer"/>
        </w:rPr>
        <w:t>2</w:t>
      </w:r>
      <w:r>
        <w:t>Eine Bestimmung im Konnossement, die die Verjährung der Schadensersatzansprüche erleichtert, ist jedoch Dritten gegenüber unwirksam.</w:t>
      </w:r>
    </w:p>
    <w:p>
      <w:r>
        <w:t xml:space="preserve">(2) </w:t>
      </w:r>
      <w:r>
        <w:rPr>
          <w:rStyle w:val="Satznummer"/>
        </w:rPr>
        <w:t>1</w:t>
      </w:r>
      <w:r>
        <w:t xml:space="preserve">Die Verjährung der in </w:t>
      </w:r>
      <w:hyperlink w:anchor="b797" w:history="1">
        <w:r>
          <w:rPr>
            <w:color w:val="0A3A8C"/>
            <w:u w:val="single"/>
          </w:rPr>
          <w:t xml:space="preserve">§ 606</w:t>
        </w:r>
      </w:hyperlink>
      <w:r>
        <w:t xml:space="preserve"> Nummer 1 genannten Ansprüche wegen Personen-, Gepäck- oder Verspätungsschäden kann nur durch Erklärung des Beförderers oder durch Vereinbarung der Parteien nach der Entstehung des Anspruchsgrunds verlängert werden. </w:t>
      </w:r>
      <w:r>
        <w:rPr>
          <w:rStyle w:val="Satznummer"/>
        </w:rPr>
        <w:t>2</w:t>
      </w:r>
      <w:r>
        <w:t xml:space="preserve">Erklärung und Vereinbarung bedürfen der Textform. </w:t>
      </w:r>
      <w:r>
        <w:rPr>
          <w:rStyle w:val="Satznummer"/>
        </w:rPr>
        <w:t>3</w:t>
      </w:r>
      <w:r>
        <w:t>Eine Erleichterung der Verjährung, insbesondere eine Verkürzung der Verjährungsfrist, ist unzulässig.</w:t>
      </w:r>
    </w:p>
    <w:p>
      <w:pPr>
        <w:pStyle w:val="Heading3"/>
      </w:pPr>
      <w:bookmarkStart w:id="802" w:name="b801"/>
      <w:r>
        <w:t>§ 610 Konkurrierende Ansprüche</w:t>
      </w:r>
      <w:r>
        <w:t xml:space="preserve"> </w:t>
      </w:r>
      <w:r>
        <w:rPr>
          <w:rStyle w:val="Suchmarke"/>
        </w:rPr>
        <w:t>#610#</w:t>
      </w:r>
      <w:bookmarkEnd w:id="802"/>
    </w:p>
    <w:p>
      <w:r>
        <w:t>Treffen vertragliche Schadensersatzansprüche, die den Vorschriften dieses Abschnitts unterworfen sind, mit konkurrierenden außervertraglichen Schadensersatzansprüchen zusammen, so gelten auch für die außervertraglichen Ansprüche die Vorschriften dieses Abschnitts.</w:t>
      </w:r>
    </w:p>
    <w:p>
      <w:pPr>
        <w:pStyle w:val="Heading2"/>
      </w:pPr>
      <w:bookmarkStart w:id="803" w:name="b802"/>
      <w:r>
        <w:t>Siebter Abschnitt Allgemeine Haftungsbeschränkung</w:t>
      </w:r>
      <w:bookmarkEnd w:id="803"/>
    </w:p>
    <w:p>
      <w:pPr>
        <w:pStyle w:val="Heading3"/>
      </w:pPr>
      <w:bookmarkStart w:id="804" w:name="b803"/>
      <w:r>
        <w:t>§ 611 Übereinkommen über die Haftungsbeschränkung</w:t>
      </w:r>
      <w:r>
        <w:t xml:space="preserve"> </w:t>
      </w:r>
      <w:r>
        <w:rPr>
          <w:rStyle w:val="Suchmarke"/>
        </w:rPr>
        <w:t>#611#</w:t>
      </w:r>
      <w:bookmarkEnd w:id="804"/>
    </w:p>
    <w:p>
      <w:r>
        <w:t xml:space="preserve">(1) </w:t>
      </w:r>
      <w:r>
        <w:rPr>
          <w:rStyle w:val="Satznummer"/>
        </w:rPr>
        <w:t>1</w:t>
      </w:r>
      <w:r>
        <w:t xml:space="preserve">Die Haftung für Seeforderungen kann nach den Bestimmungen des Übereinkommens vom 19. November 1976 über die Beschränkung der Haftung für Seeforderungen (BGBl. 1986 II S. 786), geändert durch das Protokoll vom 2. Mai 1996 (BGBl. 2000 II S. 790), in seiner jeweiligen für die Bundesrepublik Deutschland geltenden Fassung (Haftungsbeschränkungsübereinkommen) beschränkt werden. </w:t>
      </w:r>
      <w:r>
        <w:rPr>
          <w:rStyle w:val="Satznummer"/>
        </w:rPr>
        <w:t>2</w:t>
      </w:r>
      <w:r>
        <w:t>Dies gilt auch für die Haftung für Bunkerölverschmutzungsschäden nach dem Internationalen Übereinkommen von 2001 über die zivilrechtliche Haftung für Bunkerölverschmutzungsschäden (BGBl. 2006 II S. 578) (Bunkeröl-Übereinkommen).</w:t>
      </w:r>
    </w:p>
    <w:p>
      <w:r>
        <w:t>(2) Die Haftung nach dem Internationalen Übereinkommen von 1992 über die zivilrechtliche Haftung für Ölverschmutzungsschäden (BGBl. 1994 II S. 1150, 1152) (Haftungsübereinkommen von 1992) kann nach den Bestimmungen dieses Übereinkommens beschränkt werden.</w:t>
      </w:r>
    </w:p>
    <w:p>
      <w:r>
        <w:t xml:space="preserve">(3) </w:t>
      </w:r>
      <w:r>
        <w:rPr>
          <w:rStyle w:val="Satznummer"/>
        </w:rPr>
        <w:t>1</w:t>
      </w:r>
      <w:r>
        <w:t xml:space="preserve">Werden Ansprüche wegen Verschmutzungsschäden im Sinne des Artikels I Nummer 6 des Haftungsübereinkommens von 1992 geltend gemacht und ist das Haftungsübereinkommen von 1992 nicht anzuwenden, so können die in Artikel 1 des Haftungsbeschränkungsübereinkommens bezeichneten Personen ihre Haftung für diese Ansprüche in entsprechender Anwendung der Bestimmungen des Haftungsbeschränkungsübereinkommens beschränken. </w:t>
      </w:r>
      <w:r>
        <w:rPr>
          <w:rStyle w:val="Satznummer"/>
        </w:rPr>
        <w:t>2</w:t>
      </w:r>
      <w:r>
        <w:t>Sind aus demselben Ereignis sowohl Ansprüche der in Satz 1 bezeichneten Art als auch Ansprüche entstanden, für welche die Haftung nach Absatz 1 beschränkt werden kann, so gelten die im Haftungsbeschränkungsübereinkommen bestimmten Haftungshöchstbeträge jeweils gesondert für die Gesamtheit der in Satz 1 bezeichneten Ansprüche und für die Gesamtheit derjenigen Ansprüche, für welche die Haftung nach Absatz 1 beschränkt werden kann.</w:t>
      </w:r>
    </w:p>
    <w:p>
      <w:r>
        <w:t>(4) Die Haftung kann nicht beschränkt werden für</w:t>
      </w:r>
    </w:p>
    <w:p>
      <w:pPr>
        <w:tabs>
          <w:tab w:pos="567" w:val="left"/>
        </w:tabs>
        <w:ind w:left="567" w:hanging="567"/>
      </w:pPr>
      <w:r>
        <w:t>1.</w:t>
      </w:r>
      <w:r>
        <w:tab/>
      </w:r>
      <w:r>
        <w:t>die in Artikel 3 Buchstabe e des Haftungsbeschränkungsübereinkommens bezeichneten Ansprüche, sofern der Dienstvertrag inländischem Recht unterliegt;</w:t>
      </w:r>
    </w:p>
    <w:p>
      <w:pPr>
        <w:tabs>
          <w:tab w:pos="567" w:val="left"/>
        </w:tabs>
        <w:ind w:left="567" w:hanging="567"/>
      </w:pPr>
      <w:r>
        <w:t>2.</w:t>
      </w:r>
      <w:r>
        <w:tab/>
      </w:r>
      <w:r>
        <w:t>Ansprüche auf Ersatz der Kosten der Rechtsverfolgung.</w:t>
      </w:r>
    </w:p>
    <w:p>
      <w:r>
        <w:t xml:space="preserve">(5) Ergänzend zu den Bestimmungen des Haftungsbeschränkungsübereinkommens und des Haftungsübereinkommens von 1992 gelten die </w:t>
      </w:r>
      <w:hyperlink w:anchor="b804" w:history="1">
        <w:r>
          <w:rPr>
            <w:color w:val="0A3A8C"/>
            <w:u w:val="single"/>
          </w:rPr>
          <w:t xml:space="preserve">§§ 612</w:t>
        </w:r>
      </w:hyperlink>
      <w:r>
        <w:t xml:space="preserve"> bis </w:t>
      </w:r>
      <w:hyperlink w:anchor="b809" w:history="1">
        <w:r>
          <w:rPr>
            <w:color w:val="0A3A8C"/>
            <w:u w:val="single"/>
          </w:rPr>
          <w:t xml:space="preserve">617</w:t>
        </w:r>
      </w:hyperlink>
      <w:r>
        <w:t>.</w:t>
      </w:r>
    </w:p>
    <w:p>
      <w:pPr>
        <w:pStyle w:val="Heading3"/>
      </w:pPr>
      <w:bookmarkStart w:id="805" w:name="b804"/>
      <w:r>
        <w:t>§ 612 Haftungsbeschränkung für Ansprüche aus Wrackbeseitigung</w:t>
      </w:r>
      <w:r>
        <w:t xml:space="preserve"> </w:t>
      </w:r>
      <w:r>
        <w:rPr>
          <w:rStyle w:val="Suchmarke"/>
        </w:rPr>
        <w:t>#612#</w:t>
      </w:r>
      <w:bookmarkEnd w:id="805"/>
    </w:p>
    <w:p>
      <w:r>
        <w:t xml:space="preserve">(1) </w:t>
      </w:r>
      <w:r>
        <w:rPr>
          <w:rStyle w:val="Satznummer"/>
        </w:rPr>
        <w:t>1</w:t>
      </w:r>
      <w:r>
        <w:t>Das Haftungsbeschränkungsübereinkommen (</w:t>
      </w:r>
      <w:hyperlink w:anchor="b803" w:history="1">
        <w:r>
          <w:rPr>
            <w:color w:val="0A3A8C"/>
            <w:u w:val="single"/>
          </w:rPr>
          <w:t xml:space="preserve">§ 611</w:t>
        </w:r>
      </w:hyperlink>
      <w:r>
        <w:t xml:space="preserve"> Absatz 1 Satz 1) ist auf folgende Ansprüche mit der Maßgabe anzuwenden, dass für sie unabhängig davon, auf welcher Rechtsgrundlage sie beruhen, ein gesonderter Haftungshöchstbetrag gilt:</w:t>
      </w:r>
    </w:p>
    <w:p>
      <w:pPr>
        <w:tabs>
          <w:tab w:pos="567" w:val="left"/>
        </w:tabs>
        <w:ind w:left="567" w:hanging="567"/>
      </w:pPr>
      <w:r>
        <w:t>1.</w:t>
      </w:r>
      <w:r>
        <w:tab/>
      </w:r>
      <w:r>
        <w:t>Ansprüche auf Erstattung der Kosten für die Hebung, Beseitigung, Vernichtung oder Unschädlichmachung eines gesunkenen, havarierten, gestrandeten oder verlassenen Schiffes, samt allem, was sich an Bord eines solchen Schiffes befindet oder befunden hat, und</w:t>
      </w:r>
    </w:p>
    <w:p>
      <w:pPr>
        <w:tabs>
          <w:tab w:pos="567" w:val="left"/>
        </w:tabs>
        <w:ind w:left="567" w:hanging="567"/>
      </w:pPr>
      <w:r>
        <w:t>2.</w:t>
      </w:r>
      <w:r>
        <w:tab/>
      </w:r>
      <w:r>
        <w:t>Ansprüche auf Erstattung der Kosten für die Beseitigung, Vernichtung oder Unschädlichmachung der Ladung des Schiffes.</w:t>
      </w:r>
    </w:p>
    <w:p>
      <w:r>
        <w:rPr>
          <w:rStyle w:val="Satznummer"/>
        </w:rPr>
        <w:t>2</w:t>
      </w:r>
      <w:r>
        <w:t>Die in Satz 1 angeführten Ansprüche unterliegen jedoch nicht der Haftungsbeschränkung, soweit sie ein mit dem Haftpflichtigen vertraglich vereinbartes Entgelt betreffen.</w:t>
      </w:r>
    </w:p>
    <w:p>
      <w:r>
        <w:t xml:space="preserve">(2) </w:t>
      </w:r>
      <w:r>
        <w:rPr>
          <w:rStyle w:val="Satznummer"/>
        </w:rPr>
        <w:t>1</w:t>
      </w:r>
      <w:r>
        <w:t xml:space="preserve">Der Haftungshöchstbetrag nach Absatz 1 errechnet sich nach Artikel 6 Absatz 1 Buchstabe b des Haftungsbeschränkungsübereinkommens. </w:t>
      </w:r>
      <w:r>
        <w:rPr>
          <w:rStyle w:val="Satznummer"/>
        </w:rPr>
        <w:t>2</w:t>
      </w:r>
      <w:r>
        <w:t xml:space="preserve">Der Haftungshöchstbetrag gilt für die Gesamtheit der in Absatz 1 bezeichneten Ansprüche, die aus demselben Ereignis gegen Personen entstanden sind, die dem gleichen Personenkreis im Sinne des Artikels 9 Absatz 1 Buchstabe a, b oder c des Haftungsbeschränkungsübereinkommens angehören. </w:t>
      </w:r>
      <w:r>
        <w:rPr>
          <w:rStyle w:val="Satznummer"/>
        </w:rPr>
        <w:t>3</w:t>
      </w:r>
      <w:r>
        <w:t>Er steht ausschließlich zur Befriedigung der in Absatz 1 bezeichneten Ansprüche zur Verfügung; Artikel 6 Absatz 2 und 3 des Haftungsbeschränkungsübereinkommens ist nicht anzuwenden.</w:t>
      </w:r>
    </w:p>
    <w:p>
      <w:pPr>
        <w:pStyle w:val="Heading3"/>
      </w:pPr>
      <w:bookmarkStart w:id="806" w:name="b805"/>
      <w:r>
        <w:t>§ 613 Haftungsbeschränkung für kleine Schiffe</w:t>
      </w:r>
      <w:r>
        <w:t xml:space="preserve"> </w:t>
      </w:r>
      <w:r>
        <w:rPr>
          <w:rStyle w:val="Suchmarke"/>
        </w:rPr>
        <w:t>#613#</w:t>
      </w:r>
      <w:bookmarkEnd w:id="806"/>
    </w:p>
    <w:p>
      <w:r>
        <w:t>Für ein Schiff mit einem Raumgehalt bis zu 250 Tonnen wird der nach Artikel 6 Absatz 1 Buchstabe b des Haftungsbeschränkungsübereinkommens (</w:t>
      </w:r>
      <w:hyperlink w:anchor="b803" w:history="1">
        <w:r>
          <w:rPr>
            <w:color w:val="0A3A8C"/>
            <w:u w:val="single"/>
          </w:rPr>
          <w:t xml:space="preserve">§ 611</w:t>
        </w:r>
      </w:hyperlink>
      <w:r>
        <w:t xml:space="preserve"> Absatz 1 Satz 1) zu errechnende Haftungshöchstbetrag auf die Hälfte des für ein Schiff mit einem Raumgehalt von 2 000 Tonnen geltenden Haftungshöchstbetrags festgesetzt.</w:t>
      </w:r>
    </w:p>
    <w:p>
      <w:pPr>
        <w:pStyle w:val="Heading3"/>
      </w:pPr>
      <w:bookmarkStart w:id="807" w:name="b806"/>
      <w:r>
        <w:t>§ 614 Haftungsbeschränkung für Schäden an Häfen und Wasserstraßen</w:t>
      </w:r>
      <w:r>
        <w:t xml:space="preserve"> </w:t>
      </w:r>
      <w:r>
        <w:rPr>
          <w:rStyle w:val="Suchmarke"/>
        </w:rPr>
        <w:t>#614#</w:t>
      </w:r>
      <w:bookmarkEnd w:id="807"/>
    </w:p>
    <w:p>
      <w:r>
        <w:t>Unbeschadet des Rechts nach Artikel 6 Absatz 2 des Haftungsbeschränkungsübereinkommens (</w:t>
      </w:r>
      <w:hyperlink w:anchor="b803" w:history="1">
        <w:r>
          <w:rPr>
            <w:color w:val="0A3A8C"/>
            <w:u w:val="single"/>
          </w:rPr>
          <w:t xml:space="preserve">§ 611</w:t>
        </w:r>
      </w:hyperlink>
      <w:r>
        <w:t xml:space="preserve"> Absatz 1 Satz 1) in Bezug auf Ansprüche wegen Tod oder Körperverletzung haben Ansprüche wegen Beschädigung von Hafenanlagen, Hafenbecken, Wasserstraßen und Navigationshilfen Vorrang vor sonstigen Ansprüchen nach Artikel 6 Absatz 1 Buchstabe b des Haftungsbeschränkungsübereinkommens.</w:t>
      </w:r>
    </w:p>
    <w:p>
      <w:pPr>
        <w:pStyle w:val="Heading3"/>
      </w:pPr>
      <w:bookmarkStart w:id="808" w:name="b807"/>
      <w:r>
        <w:t>§ 615 Beschränkung der Haftung des Lotsen</w:t>
      </w:r>
      <w:r>
        <w:t xml:space="preserve"> </w:t>
      </w:r>
      <w:r>
        <w:rPr>
          <w:rStyle w:val="Suchmarke"/>
        </w:rPr>
        <w:t>#615#</w:t>
      </w:r>
      <w:bookmarkEnd w:id="808"/>
    </w:p>
    <w:p>
      <w:r>
        <w:t>(1) Die in Artikel 6 Absatz 1 Buchstabe a und b des Haftungsbeschränkungsübereinkommens (</w:t>
      </w:r>
      <w:hyperlink w:anchor="b803" w:history="1">
        <w:r>
          <w:rPr>
            <w:color w:val="0A3A8C"/>
            <w:u w:val="single"/>
          </w:rPr>
          <w:t xml:space="preserve">§ 611</w:t>
        </w:r>
      </w:hyperlink>
      <w:r>
        <w:t xml:space="preserve"> Absatz 1 Satz 1) bestimmten Haftungshöchstbeträge gelten für Ansprüche gegen einen an Bord tätigen Lotsen mit der Maßgabe, dass der Lotse, falls der Raumgehalt des gelotsten Schiffes 2 000 Tonnen übersteigt, seine Haftung auf die Beträge beschränken kann, die sich unter Zugrundelegung eines Raumgehalts von 2 000 Tonnen errechnen.</w:t>
      </w:r>
    </w:p>
    <w:p>
      <w:r>
        <w:t>(2) Der in Artikel 7 Absatz 1 des Haftungsbeschränkungsübereinkommens bestimmte Haftungshöchstbetrag gilt für Ansprüche gegen einen an Bord tätigen Lotsen mit der Maßgabe, dass der Lotse, falls das Schiff nach dem Schiffszeugnis mehr als zwölf Fahrgäste befördern darf, seine Haftung auf den Betrag beschränken kann, der sich unter Zugrundelegung einer Anzahl von zwölf Fahrgästen errechnet.</w:t>
      </w:r>
    </w:p>
    <w:p>
      <w:r>
        <w:t xml:space="preserve">(3) </w:t>
      </w:r>
      <w:r>
        <w:rPr>
          <w:rStyle w:val="Satznummer"/>
        </w:rPr>
        <w:t>1</w:t>
      </w:r>
      <w:r>
        <w:t xml:space="preserve">Die Errichtung und Verteilung eines Fonds in Höhe der nach Absatz 1 oder 2 zu errechnenden Beträge sowie die Wirkungen der Errichtung eines solchen Fonds bestimmen sich nach den Vorschriften über die Errichtung, die Verteilung und die Wirkungen der Errichtung eines Fonds im Sinne des Artikels 11 des Haftungsbeschränkungsübereinkommens. </w:t>
      </w:r>
      <w:r>
        <w:rPr>
          <w:rStyle w:val="Satznummer"/>
        </w:rPr>
        <w:t>2</w:t>
      </w:r>
      <w:r>
        <w:t>Jedoch ist Artikel 11 Absatz 3 des Haftungsbeschränkungsübereinkommens nicht anzuwenden, wenn im Falle des Absatzes 1 der Raumgehalt des gelotsten Schiffes 2 000 Tonnen übersteigt oder im Falle des Absatzes 2 das Schiff nach dem Schiffszeugnis mehr als zwölf Fahrgäste befördern darf.</w:t>
      </w:r>
    </w:p>
    <w:p>
      <w:r>
        <w:t xml:space="preserve">(4) Ein Lotse, der nicht an Bord des gelotsten Schiffes tätig ist, kann seine Haftung für die in Artikel 2 des Haftungsbeschränkungsübereinkommens angeführten Ansprüche in entsprechender Anwendung des </w:t>
      </w:r>
      <w:hyperlink w:anchor="b803" w:history="1">
        <w:r>
          <w:rPr>
            <w:color w:val="0A3A8C"/>
            <w:u w:val="single"/>
          </w:rPr>
          <w:t xml:space="preserve">§ 611</w:t>
        </w:r>
      </w:hyperlink>
      <w:r>
        <w:t xml:space="preserve"> Absatz 1, 3 und 4 sowie der </w:t>
      </w:r>
      <w:hyperlink w:anchor="b804" w:history="1">
        <w:r>
          <w:rPr>
            <w:color w:val="0A3A8C"/>
            <w:u w:val="single"/>
          </w:rPr>
          <w:t xml:space="preserve">§§ 612</w:t>
        </w:r>
      </w:hyperlink>
      <w:r>
        <w:t xml:space="preserve"> bis </w:t>
      </w:r>
      <w:hyperlink w:anchor="b806" w:history="1">
        <w:r>
          <w:rPr>
            <w:color w:val="0A3A8C"/>
            <w:u w:val="single"/>
          </w:rPr>
          <w:t xml:space="preserve">614</w:t>
        </w:r>
      </w:hyperlink>
      <w:r>
        <w:t xml:space="preserve"> und </w:t>
      </w:r>
      <w:hyperlink w:anchor="b809" w:history="1">
        <w:r>
          <w:rPr>
            <w:color w:val="0A3A8C"/>
            <w:u w:val="single"/>
          </w:rPr>
          <w:t xml:space="preserve">617</w:t>
        </w:r>
      </w:hyperlink>
      <w:r>
        <w:t xml:space="preserve"> mit der Maßgabe beschränken, dass für diese Ansprüche ein gesonderter Haftungshöchstbetrag gilt, der sich nach Absatz 1 oder 2 errechnet und der ausschließlich zur Befriedigung der Ansprüche gegen den Lotsen zur Verfügung steht.</w:t>
      </w:r>
    </w:p>
    <w:p>
      <w:pPr>
        <w:pStyle w:val="Heading3"/>
      </w:pPr>
      <w:bookmarkStart w:id="809" w:name="b808"/>
      <w:r>
        <w:t>§ 616 Wegfall der Haftungsbeschränkung</w:t>
      </w:r>
      <w:r>
        <w:t xml:space="preserve"> </w:t>
      </w:r>
      <w:r>
        <w:rPr>
          <w:rStyle w:val="Suchmarke"/>
        </w:rPr>
        <w:t>#616#</w:t>
      </w:r>
      <w:bookmarkEnd w:id="809"/>
    </w:p>
    <w:p>
      <w:r>
        <w:t xml:space="preserve">(1) </w:t>
      </w:r>
      <w:r>
        <w:rPr>
          <w:rStyle w:val="Satznummer"/>
        </w:rPr>
        <w:t>1</w:t>
      </w:r>
      <w:r>
        <w:t>Ist der Schuldner eine juristische Person oder eine Personenhandelsgesellschaft, so kann er seine Haftung nicht beschränken, wenn</w:t>
      </w:r>
    </w:p>
    <w:p>
      <w:pPr>
        <w:tabs>
          <w:tab w:pos="567" w:val="left"/>
        </w:tabs>
        <w:ind w:left="567" w:hanging="567"/>
      </w:pPr>
      <w:r>
        <w:t>1.</w:t>
      </w:r>
      <w:r>
        <w:tab/>
      </w:r>
      <w:r>
        <w:t>der Schaden auf eine Handlung oder Unterlassung eines Mitglieds des zur Vertretung berechtigten Organs oder eines zur Vertretung berechtigten Gesellschafters zurückzuführen ist und</w:t>
      </w:r>
    </w:p>
    <w:p>
      <w:pPr>
        <w:tabs>
          <w:tab w:pos="567" w:val="left"/>
        </w:tabs>
        <w:ind w:left="567" w:hanging="567"/>
      </w:pPr>
      <w:r>
        <w:t>2.</w:t>
      </w:r>
      <w:r>
        <w:tab/>
      </w:r>
      <w:r>
        <w:t>durch eine solche Handlung oder Unterlassung die Beschränkung der Haftung nach Artikel 4 des Haftungsbeschränkungsübereinkommens (</w:t>
      </w:r>
      <w:hyperlink w:anchor="b803" w:history="1">
        <w:r>
          <w:rPr>
            <w:color w:val="0A3A8C"/>
            <w:u w:val="single"/>
          </w:rPr>
          <w:t xml:space="preserve">§ 611</w:t>
        </w:r>
      </w:hyperlink>
      <w:r>
        <w:t xml:space="preserve"> Absatz 1 Satz 1) oder nach Artikel V Absatz 2 des Haftungsübereinkommens von 1992 (</w:t>
      </w:r>
      <w:hyperlink w:anchor="b803" w:history="1">
        <w:r>
          <w:rPr>
            <w:color w:val="0A3A8C"/>
            <w:u w:val="single"/>
          </w:rPr>
          <w:t xml:space="preserve">§ 611</w:t>
        </w:r>
      </w:hyperlink>
      <w:r>
        <w:t xml:space="preserve"> Absatz 2) ausgeschlossen ist.</w:t>
      </w:r>
    </w:p>
    <w:p>
      <w:r>
        <w:rPr>
          <w:rStyle w:val="Satznummer"/>
        </w:rPr>
        <w:t>2</w:t>
      </w:r>
      <w:r>
        <w:t>Gleiches gilt, wenn der Schuldner ein Mitreeder ist und der Schaden auf eine Handlung oder Unterlassung des Korrespondentreeders zurückzuführen ist.</w:t>
      </w:r>
    </w:p>
    <w:p>
      <w:r>
        <w:t>(2) Ist der Schuldner eine Personenhandelsgesellschaft, so kann jeder Gesellschafter seine persönliche Haftung für Ansprüche beschränken, für welche auch die Gesellschaft ihre Haftung beschränken kann.</w:t>
      </w:r>
    </w:p>
    <w:p>
      <w:pPr>
        <w:pStyle w:val="Heading3"/>
      </w:pPr>
      <w:bookmarkStart w:id="810" w:name="b809"/>
      <w:r>
        <w:t>§ 617 Verfahren der Haftungsbeschränkung</w:t>
      </w:r>
      <w:r>
        <w:t xml:space="preserve"> </w:t>
      </w:r>
      <w:r>
        <w:rPr>
          <w:rStyle w:val="Suchmarke"/>
        </w:rPr>
        <w:t>#617#</w:t>
      </w:r>
      <w:bookmarkEnd w:id="810"/>
    </w:p>
    <w:p>
      <w:r>
        <w:t>(1) Die Errichtung und Verteilung eines Fonds im Sinne des Artikels 11 des Haftungsbeschränkungsübereinkommens (</w:t>
      </w:r>
      <w:hyperlink w:anchor="b803" w:history="1">
        <w:r>
          <w:rPr>
            <w:color w:val="0A3A8C"/>
            <w:u w:val="single"/>
          </w:rPr>
          <w:t xml:space="preserve">§ 611</w:t>
        </w:r>
      </w:hyperlink>
      <w:r>
        <w:t xml:space="preserve"> Absatz 1 Satz 1) oder im Sinne des Artikels V Absatz 3 des Haftungsübereinkommens von 1992 (</w:t>
      </w:r>
      <w:hyperlink w:anchor="b803" w:history="1">
        <w:r>
          <w:rPr>
            <w:color w:val="0A3A8C"/>
            <w:u w:val="single"/>
          </w:rPr>
          <w:t xml:space="preserve">§ 611</w:t>
        </w:r>
      </w:hyperlink>
      <w:r>
        <w:t xml:space="preserve"> Absatz 2) bestimmt sich nach den Vorschriften der Schifffahrtsrechtlichen Verteilungsordnung.</w:t>
      </w:r>
    </w:p>
    <w:p>
      <w:r>
        <w:t xml:space="preserve">(2) </w:t>
      </w:r>
      <w:r>
        <w:rPr>
          <w:rStyle w:val="Satznummer"/>
        </w:rPr>
        <w:t>1</w:t>
      </w:r>
      <w:r>
        <w:t xml:space="preserve">Die Beschränkung der Haftung nach dem Haftungsbeschränkungsübereinkommen kann auch dann geltend gemacht werden, wenn ein Fonds im Sinne des Artikels 11 des Haftungsbeschränkungsübereinkommens nicht errichtet worden ist. </w:t>
      </w:r>
      <w:r>
        <w:rPr>
          <w:rStyle w:val="Satznummer"/>
        </w:rPr>
        <w:t>2</w:t>
      </w:r>
      <w:r>
        <w:t>§ 305a der Zivilprozessordnung bleibt unberührt.</w:t>
      </w:r>
    </w:p>
    <w:p>
      <w:pPr>
        <w:pStyle w:val="Heading2"/>
      </w:pPr>
      <w:bookmarkStart w:id="811" w:name="b810"/>
      <w:r>
        <w:t>Achter Abschnitt Verfahrensvorschriften</w:t>
      </w:r>
      <w:bookmarkEnd w:id="811"/>
    </w:p>
    <w:p>
      <w:pPr>
        <w:pStyle w:val="Heading3"/>
      </w:pPr>
      <w:bookmarkStart w:id="812" w:name="b811"/>
      <w:r>
        <w:t>§ 618 Einstweilige Verfügung eines Bergers</w:t>
      </w:r>
      <w:r>
        <w:t xml:space="preserve"> </w:t>
      </w:r>
      <w:r>
        <w:rPr>
          <w:rStyle w:val="Suchmarke"/>
        </w:rPr>
        <w:t>#618#</w:t>
      </w:r>
      <w:bookmarkEnd w:id="812"/>
    </w:p>
    <w:p>
      <w:r>
        <w:rPr>
          <w:rStyle w:val="Satznummer"/>
        </w:rPr>
        <w:t>1</w:t>
      </w:r>
      <w:r>
        <w:t>Auf Antrag eines Bergers (</w:t>
      </w:r>
      <w:hyperlink w:anchor="b762" w:history="1">
        <w:r>
          <w:rPr>
            <w:color w:val="0A3A8C"/>
            <w:u w:val="single"/>
          </w:rPr>
          <w:t xml:space="preserve">§ 574</w:t>
        </w:r>
      </w:hyperlink>
      <w:r>
        <w:t xml:space="preserve"> Absatz 1) kann das für die Hauptsache zuständige Gericht unter Berücksichtigung der Umstände des Falles nach billigem Ermessen durch einstweilige Verfügung regeln, dass der Schuldner des Anspruchs auf Bergelohn oder Sondervergütung dem Berger einen als billig und gerecht zu erachtenden Betrag als Abschlagszahlung zu leisten hat und zu welchen Bedingungen die Leistung zu erbringen ist. </w:t>
      </w:r>
      <w:r>
        <w:rPr>
          <w:rStyle w:val="Satznummer"/>
        </w:rPr>
        <w:t>2</w:t>
      </w:r>
      <w:r>
        <w:t>Die einstweilige Verfügung kann erlassen werden, auch wenn die in den §§ 935 und 940 der Zivilprozessordnung bezeichneten Voraussetzungen nicht zutreffen.</w:t>
      </w:r>
    </w:p>
    <w:p>
      <w:pPr>
        <w:pStyle w:val="Heading3"/>
      </w:pPr>
      <w:bookmarkStart w:id="813" w:name="b812"/>
      <w:r>
        <w:t>§ 619 Zustellungen an den Kapitän oder Schiffer</w:t>
      </w:r>
      <w:r>
        <w:t xml:space="preserve"> </w:t>
      </w:r>
      <w:r>
        <w:rPr>
          <w:rStyle w:val="Suchmarke"/>
        </w:rPr>
        <w:t>#619#</w:t>
      </w:r>
      <w:bookmarkEnd w:id="813"/>
    </w:p>
    <w:p>
      <w:r>
        <w:t>Eine Klage eines Schiffsgläubigers auf Duldung der Zwangsvollstreckung in ein Schiff sowie ein Urteil oder ein Beschluss in einem Verfahren über einen Arrest in ein Schiff können dem Kapitän dieses Schiffes oder, soweit ein Binnenschiff betroffen ist, dem Schiffer zugestellt werden.</w:t>
      </w:r>
    </w:p>
    <w:p>
      <w:pPr>
        <w:spacing w:before="480"/>
      </w:pPr>
      <w:r>
        <w:t xml:space="preserve">Ende des Gesetzes: Handelsgesetzbuch (HGB)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h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Handelsgesetzbuch (HGB)</dc:title>
  <dc:subject>Nicht amtliche Fassung</dc:subject>
  <dc:creator>Barrierefreie Gesetze</dc:creator>
  <cp:keywords/>
  <dc:description/>
  <cp:lastModifiedBy>Barrierefreie Gesetze</cp:lastModifiedBy>
  <cp:revision>1</cp:revision>
  <dcterms:created xsi:type="dcterms:W3CDTF">2026-10-19T11:34:52Z</dcterms:created>
  <dcterms:modified xsi:type="dcterms:W3CDTF">2026-10-19T11:34:52Z</dcterms:modified>
  <cp:category/>
  <dc:language>de-DE</dc:language>
</cp:coreProperties>
</file>