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Einkommensteuergesetz (EStG)</w:t>
      </w:r>
    </w:p>
    <w:p>
      <w:pPr>
        <w:pStyle w:val="Stand"/>
      </w:pPr>
      <w:r>
        <w:rPr>
          <w:b/>
        </w:rPr>
        <w:t>Nicht amtliche Fassung.</w:t>
      </w:r>
    </w:p>
    <w:p>
      <w:pPr>
        <w:pStyle w:val="Stand"/>
      </w:pPr>
      <w:r>
        <w:rPr>
          <w:b/>
        </w:rPr>
        <w:t xml:space="preserve">Erstfassung/Ausfertigung: </w:t>
      </w:r>
      <w:r>
        <w:t>16.10.1934</w:t>
      </w:r>
    </w:p>
    <w:p>
      <w:pPr>
        <w:pStyle w:val="Stand"/>
      </w:pPr>
      <w:r>
        <w:rPr>
          <w:b/>
        </w:rPr>
        <w:t xml:space="preserve">Letzte Änderung: </w:t>
      </w:r>
      <w:r>
        <w:t>Art. 7 G v. 29.06.2026 I Nr. 197</w:t>
      </w:r>
    </w:p>
    <w:p>
      <w:pPr>
        <w:pStyle w:val="Stand"/>
      </w:pPr>
      <w:r>
        <w:rPr>
          <w:b/>
        </w:rPr>
        <w:t xml:space="preserve">Neufassung: </w:t>
      </w:r>
      <w:r>
        <w:t>Bek. v. 08.10.2009 I 3366, 3862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I. Steuerpflicht</w:t>
        </w:r>
      </w:hyperlink>
    </w:p>
    <w:p>
      <w:pPr>
        <w:pStyle w:val="Übersicht"/>
        <w:ind w:left="340"/>
      </w:pPr>
      <w:hyperlink w:anchor="b1" w:history="1">
        <w:r>
          <w:rPr>
            <w:color w:val="0A3A8C"/>
            <w:u w:val="single"/>
          </w:rPr>
          <w:t xml:space="preserve">§ 1 Steuerpflicht</w:t>
        </w:r>
      </w:hyperlink>
    </w:p>
    <w:p>
      <w:pPr>
        <w:pStyle w:val="Übersicht"/>
        <w:ind w:left="340"/>
      </w:pPr>
      <w:hyperlink w:anchor="b2" w:history="1">
        <w:r>
          <w:rPr>
            <w:color w:val="0A3A8C"/>
            <w:u w:val="single"/>
          </w:rPr>
          <w:t xml:space="preserve">§ 1a</w:t>
        </w:r>
      </w:hyperlink>
    </w:p>
    <w:p>
      <w:pPr>
        <w:pStyle w:val="Übersicht"/>
        <w:ind w:left="0"/>
      </w:pPr>
      <w:hyperlink w:anchor="b3" w:history="1">
        <w:r>
          <w:rPr>
            <w:b/>
            <w:color w:val="0A3A8C"/>
            <w:u w:val="single"/>
          </w:rPr>
          <w:t xml:space="preserve">II. Einkommen</w:t>
        </w:r>
      </w:hyperlink>
    </w:p>
    <w:p>
      <w:pPr>
        <w:pStyle w:val="Übersicht"/>
        <w:ind w:left="340"/>
      </w:pPr>
      <w:hyperlink w:anchor="b4" w:history="1">
        <w:r>
          <w:rPr>
            <w:b/>
            <w:color w:val="0A3A8C"/>
            <w:u w:val="single"/>
          </w:rPr>
          <w:t xml:space="preserve">1. Sachliche Voraussetzungen für die Besteuerung</w:t>
        </w:r>
      </w:hyperlink>
    </w:p>
    <w:p>
      <w:pPr>
        <w:pStyle w:val="Übersicht"/>
        <w:ind w:left="680"/>
      </w:pPr>
      <w:hyperlink w:anchor="b5" w:history="1">
        <w:r>
          <w:rPr>
            <w:color w:val="0A3A8C"/>
            <w:u w:val="single"/>
          </w:rPr>
          <w:t xml:space="preserve">§ 2 Umfang der Besteuerung, Begriffsbestimmungen</w:t>
        </w:r>
      </w:hyperlink>
    </w:p>
    <w:p>
      <w:pPr>
        <w:pStyle w:val="Übersicht"/>
        <w:ind w:left="680"/>
      </w:pPr>
      <w:hyperlink w:anchor="b6" w:history="1">
        <w:r>
          <w:rPr>
            <w:color w:val="0A3A8C"/>
            <w:u w:val="single"/>
          </w:rPr>
          <w:t xml:space="preserve">§ 2a Negative Einkünfte mit Bezug zu Drittstaaten</w:t>
        </w:r>
      </w:hyperlink>
    </w:p>
    <w:p>
      <w:pPr>
        <w:pStyle w:val="Übersicht"/>
        <w:ind w:left="340"/>
      </w:pPr>
      <w:hyperlink w:anchor="b7" w:history="1">
        <w:r>
          <w:rPr>
            <w:b/>
            <w:color w:val="0A3A8C"/>
            <w:u w:val="single"/>
          </w:rPr>
          <w:t xml:space="preserve">2. Steuerfreie Einnahmen</w:t>
        </w:r>
      </w:hyperlink>
    </w:p>
    <w:p>
      <w:pPr>
        <w:pStyle w:val="Übersicht"/>
        <w:ind w:left="680"/>
      </w:pPr>
      <w:hyperlink w:anchor="b8" w:history="1">
        <w:r>
          <w:rPr>
            <w:color w:val="0A3A8C"/>
            <w:u w:val="single"/>
          </w:rPr>
          <w:t xml:space="preserve">§ 3</w:t>
        </w:r>
      </w:hyperlink>
    </w:p>
    <w:p>
      <w:pPr>
        <w:pStyle w:val="Übersicht"/>
        <w:ind w:left="680"/>
      </w:pPr>
      <w:hyperlink w:anchor="b9" w:history="1">
        <w:r>
          <w:rPr>
            <w:color w:val="0A3A8C"/>
            <w:u w:val="single"/>
          </w:rPr>
          <w:t xml:space="preserve">§ 3a Sanierungserträge</w:t>
        </w:r>
      </w:hyperlink>
    </w:p>
    <w:p>
      <w:pPr>
        <w:pStyle w:val="Übersicht"/>
        <w:ind w:left="680"/>
      </w:pPr>
      <w:hyperlink w:anchor="b10" w:history="1">
        <w:r>
          <w:rPr>
            <w:color w:val="0A3A8C"/>
            <w:u w:val="single"/>
          </w:rPr>
          <w:t xml:space="preserve">§ 3b Steuerfreiheit von Zuschlägen für Sonntags-, Feiertags- oder Nachtarbeit</w:t>
        </w:r>
      </w:hyperlink>
    </w:p>
    <w:p>
      <w:pPr>
        <w:pStyle w:val="Übersicht"/>
        <w:ind w:left="680"/>
      </w:pPr>
      <w:hyperlink w:anchor="b11" w:history="1">
        <w:r>
          <w:rPr>
            <w:color w:val="0A3A8C"/>
            <w:u w:val="single"/>
          </w:rPr>
          <w:t xml:space="preserve">§ 3c Anteilige Abzüge</w:t>
        </w:r>
      </w:hyperlink>
    </w:p>
    <w:p>
      <w:pPr>
        <w:pStyle w:val="Übersicht"/>
        <w:ind w:left="340"/>
      </w:pPr>
      <w:hyperlink w:anchor="b12" w:history="1">
        <w:r>
          <w:rPr>
            <w:b/>
            <w:color w:val="0A3A8C"/>
            <w:u w:val="single"/>
          </w:rPr>
          <w:t xml:space="preserve">3. Gewinn</w:t>
        </w:r>
      </w:hyperlink>
    </w:p>
    <w:p>
      <w:pPr>
        <w:pStyle w:val="Übersicht"/>
        <w:ind w:left="680"/>
      </w:pPr>
      <w:hyperlink w:anchor="b13" w:history="1">
        <w:r>
          <w:rPr>
            <w:color w:val="0A3A8C"/>
            <w:u w:val="single"/>
          </w:rPr>
          <w:t xml:space="preserve">§ 4 Gewinnbegriff im Allgemeinen</w:t>
        </w:r>
      </w:hyperlink>
    </w:p>
    <w:p>
      <w:pPr>
        <w:pStyle w:val="Übersicht"/>
        <w:ind w:left="680"/>
      </w:pPr>
      <w:hyperlink w:anchor="b14" w:history="1">
        <w:r>
          <w:rPr>
            <w:color w:val="0A3A8C"/>
            <w:u w:val="single"/>
          </w:rPr>
          <w:t xml:space="preserve">§ 4a Gewinnermittlungszeitraum, Wirtschaftsjahr</w:t>
        </w:r>
      </w:hyperlink>
    </w:p>
    <w:p>
      <w:pPr>
        <w:pStyle w:val="Übersicht"/>
        <w:ind w:left="680"/>
      </w:pPr>
      <w:hyperlink w:anchor="b15" w:history="1">
        <w:r>
          <w:rPr>
            <w:color w:val="0A3A8C"/>
            <w:u w:val="single"/>
          </w:rPr>
          <w:t xml:space="preserve">§ 4b Direktversicherung</w:t>
        </w:r>
      </w:hyperlink>
    </w:p>
    <w:p>
      <w:pPr>
        <w:pStyle w:val="Übersicht"/>
        <w:ind w:left="680"/>
      </w:pPr>
      <w:hyperlink w:anchor="b16" w:history="1">
        <w:r>
          <w:rPr>
            <w:color w:val="0A3A8C"/>
            <w:u w:val="single"/>
          </w:rPr>
          <w:t xml:space="preserve">§ 4c Zuwendungen an Pensionskassen</w:t>
        </w:r>
      </w:hyperlink>
    </w:p>
    <w:p>
      <w:pPr>
        <w:pStyle w:val="Übersicht"/>
        <w:ind w:left="680"/>
      </w:pPr>
      <w:hyperlink w:anchor="b17" w:history="1">
        <w:r>
          <w:rPr>
            <w:color w:val="0A3A8C"/>
            <w:u w:val="single"/>
          </w:rPr>
          <w:t xml:space="preserve">§ 4d Zuwendungen an Unterstützungskassen</w:t>
        </w:r>
      </w:hyperlink>
    </w:p>
    <w:p>
      <w:pPr>
        <w:pStyle w:val="Übersicht"/>
        <w:ind w:left="680"/>
      </w:pPr>
      <w:hyperlink w:anchor="b18" w:history="1">
        <w:r>
          <w:rPr>
            <w:color w:val="0A3A8C"/>
            <w:u w:val="single"/>
          </w:rPr>
          <w:t xml:space="preserve">§ 4e Beiträge an Pensionsfonds</w:t>
        </w:r>
      </w:hyperlink>
    </w:p>
    <w:p>
      <w:pPr>
        <w:pStyle w:val="Übersicht"/>
        <w:ind w:left="680"/>
      </w:pPr>
      <w:hyperlink w:anchor="b19" w:history="1">
        <w:r>
          <w:rPr>
            <w:color w:val="0A3A8C"/>
            <w:u w:val="single"/>
          </w:rPr>
          <w:t xml:space="preserve">§ 4f Verpflichtungsübernahmen, Schuldbeitritte und Erfüllungsübernahmen</w:t>
        </w:r>
      </w:hyperlink>
    </w:p>
    <w:p>
      <w:pPr>
        <w:pStyle w:val="Übersicht"/>
        <w:ind w:left="680"/>
      </w:pPr>
      <w:hyperlink w:anchor="b20" w:history="1">
        <w:r>
          <w:rPr>
            <w:color w:val="0A3A8C"/>
            <w:u w:val="single"/>
          </w:rPr>
          <w:t xml:space="preserve">§ 4g Bildung eines Ausgleichspostens bei Entnahme nach § 4 Absatz 1 Satz 3</w:t>
        </w:r>
      </w:hyperlink>
    </w:p>
    <w:p>
      <w:pPr>
        <w:pStyle w:val="Übersicht"/>
        <w:ind w:left="680"/>
      </w:pPr>
      <w:hyperlink w:anchor="b21" w:history="1">
        <w:r>
          <w:rPr>
            <w:color w:val="0A3A8C"/>
            <w:u w:val="single"/>
          </w:rPr>
          <w:t xml:space="preserve">§ 4h Betriebsausgabenabzug für Zinsaufwendungen (Zinsschranke)</w:t>
        </w:r>
      </w:hyperlink>
    </w:p>
    <w:p>
      <w:pPr>
        <w:pStyle w:val="Übersicht"/>
        <w:ind w:left="680"/>
      </w:pPr>
      <w:hyperlink w:anchor="b22" w:history="1">
        <w:r>
          <w:rPr>
            <w:color w:val="0A3A8C"/>
            <w:u w:val="single"/>
          </w:rPr>
          <w:t xml:space="preserve">§ 4i Sonderbetriebsausgabenabzug bei Vorgängen mit Auslandsbezug</w:t>
        </w:r>
      </w:hyperlink>
    </w:p>
    <w:p>
      <w:pPr>
        <w:pStyle w:val="Übersicht"/>
        <w:ind w:left="680"/>
      </w:pPr>
      <w:hyperlink w:anchor="b23" w:history="1">
        <w:r>
          <w:rPr>
            <w:color w:val="0A3A8C"/>
            <w:u w:val="single"/>
          </w:rPr>
          <w:t xml:space="preserve">§ 4j (weggefallen)</w:t>
        </w:r>
      </w:hyperlink>
    </w:p>
    <w:p>
      <w:pPr>
        <w:pStyle w:val="Übersicht"/>
        <w:ind w:left="680"/>
      </w:pPr>
      <w:hyperlink w:anchor="b24" w:history="1">
        <w:r>
          <w:rPr>
            <w:color w:val="0A3A8C"/>
            <w:u w:val="single"/>
          </w:rPr>
          <w:t xml:space="preserve">§ 4k Betriebsausgabenabzug bei Besteuerungsinkongruenzen</w:t>
        </w:r>
      </w:hyperlink>
    </w:p>
    <w:p>
      <w:pPr>
        <w:pStyle w:val="Übersicht"/>
        <w:ind w:left="680"/>
      </w:pPr>
      <w:hyperlink w:anchor="b25" w:history="1">
        <w:r>
          <w:rPr>
            <w:color w:val="0A3A8C"/>
            <w:u w:val="single"/>
          </w:rPr>
          <w:t xml:space="preserve">§ 5 Gewinn bei Kaufleuten und bei bestimmten anderen Gewerbetreibenden</w:t>
        </w:r>
      </w:hyperlink>
    </w:p>
    <w:p>
      <w:pPr>
        <w:pStyle w:val="Übersicht"/>
        <w:ind w:left="680"/>
      </w:pPr>
      <w:hyperlink w:anchor="b26" w:history="1">
        <w:r>
          <w:rPr>
            <w:color w:val="0A3A8C"/>
            <w:u w:val="single"/>
          </w:rPr>
          <w:t xml:space="preserve">§ 5a Gewinnermittlung bei Handelsschiffen im internationalen Verkehr</w:t>
        </w:r>
      </w:hyperlink>
    </w:p>
    <w:p>
      <w:pPr>
        <w:pStyle w:val="Übersicht"/>
        <w:ind w:left="680"/>
      </w:pPr>
      <w:hyperlink w:anchor="b27" w:history="1">
        <w:r>
          <w:rPr>
            <w:color w:val="0A3A8C"/>
            <w:u w:val="single"/>
          </w:rPr>
          <w:t xml:space="preserve">§ 5b Elektronische Übermittlung von Bilanzen sowie Gewinn- und Verlustrechnungen</w:t>
        </w:r>
      </w:hyperlink>
    </w:p>
    <w:p>
      <w:pPr>
        <w:pStyle w:val="Übersicht"/>
        <w:ind w:left="680"/>
      </w:pPr>
      <w:hyperlink w:anchor="b28" w:history="1">
        <w:r>
          <w:rPr>
            <w:color w:val="0A3A8C"/>
            <w:u w:val="single"/>
          </w:rPr>
          <w:t xml:space="preserve">§ 6 Bewertung</w:t>
        </w:r>
      </w:hyperlink>
    </w:p>
    <w:p>
      <w:pPr>
        <w:pStyle w:val="Übersicht"/>
        <w:ind w:left="680"/>
      </w:pPr>
      <w:hyperlink w:anchor="b29" w:history="1">
        <w:r>
          <w:rPr>
            <w:color w:val="0A3A8C"/>
            <w:u w:val="single"/>
          </w:rPr>
          <w:t xml:space="preserve">§ 6a Pensionsrückstellung</w:t>
        </w:r>
      </w:hyperlink>
    </w:p>
    <w:p>
      <w:pPr>
        <w:pStyle w:val="Übersicht"/>
        <w:ind w:left="680"/>
      </w:pPr>
      <w:hyperlink w:anchor="b30" w:history="1">
        <w:r>
          <w:rPr>
            <w:color w:val="0A3A8C"/>
            <w:u w:val="single"/>
          </w:rPr>
          <w:t xml:space="preserve">§ 6b Übertragung stiller Reserven bei der Veräußerung bestimmter Anlagegüter</w:t>
        </w:r>
      </w:hyperlink>
    </w:p>
    <w:p>
      <w:pPr>
        <w:pStyle w:val="Übersicht"/>
        <w:ind w:left="680"/>
      </w:pPr>
      <w:hyperlink w:anchor="b31" w:history="1">
        <w:r>
          <w:rPr>
            <w:color w:val="0A3A8C"/>
            <w:u w:val="single"/>
          </w:rPr>
          <w:t xml:space="preserve">§ 6c Übertragung stiller Reserven bei der Veräußerung bestimmter Anlagegüter bei der Ermittlung des Gewinns nach § 4 Absatz 3 oder nach Durchschnittssätzen</w:t>
        </w:r>
      </w:hyperlink>
    </w:p>
    <w:p>
      <w:pPr>
        <w:pStyle w:val="Übersicht"/>
        <w:ind w:left="680"/>
      </w:pPr>
      <w:hyperlink w:anchor="b32" w:history="1">
        <w:r>
          <w:rPr>
            <w:color w:val="0A3A8C"/>
            <w:u w:val="single"/>
          </w:rPr>
          <w:t xml:space="preserve">§ 6d Euroumrechnungsrücklage</w:t>
        </w:r>
      </w:hyperlink>
    </w:p>
    <w:p>
      <w:pPr>
        <w:pStyle w:val="Übersicht"/>
        <w:ind w:left="680"/>
      </w:pPr>
      <w:hyperlink w:anchor="b33" w:history="1">
        <w:r>
          <w:rPr>
            <w:color w:val="0A3A8C"/>
            <w:u w:val="single"/>
          </w:rPr>
          <w:t xml:space="preserve">§ 6e Fondsetablierungskosten als Anschaffungskosten</w:t>
        </w:r>
      </w:hyperlink>
    </w:p>
    <w:p>
      <w:pPr>
        <w:pStyle w:val="Übersicht"/>
        <w:ind w:left="680"/>
      </w:pPr>
      <w:hyperlink w:anchor="b34" w:history="1">
        <w:r>
          <w:rPr>
            <w:color w:val="0A3A8C"/>
            <w:u w:val="single"/>
          </w:rPr>
          <w:t xml:space="preserve">§ 7 Absetzung für Abnutzung oder Substanzverringerung</w:t>
        </w:r>
      </w:hyperlink>
    </w:p>
    <w:p>
      <w:pPr>
        <w:pStyle w:val="Übersicht"/>
        <w:ind w:left="680"/>
      </w:pPr>
      <w:hyperlink w:anchor="b35" w:history="1">
        <w:r>
          <w:rPr>
            <w:color w:val="0A3A8C"/>
            <w:u w:val="single"/>
          </w:rPr>
          <w:t xml:space="preserve">§ 7a Gemeinsame Vorschriften für erhöhte Absetzungen und Sonderabschreibungen</w:t>
        </w:r>
      </w:hyperlink>
    </w:p>
    <w:p>
      <w:pPr>
        <w:pStyle w:val="Übersicht"/>
        <w:ind w:left="680"/>
      </w:pPr>
      <w:hyperlink w:anchor="b36" w:history="1">
        <w:r>
          <w:rPr>
            <w:color w:val="0A3A8C"/>
            <w:u w:val="single"/>
          </w:rPr>
          <w:t xml:space="preserve">§ 7b Sonderabschreibung für Mietwohnungsneubau</w:t>
        </w:r>
      </w:hyperlink>
    </w:p>
    <w:p>
      <w:pPr>
        <w:pStyle w:val="Übersicht"/>
        <w:ind w:left="680"/>
      </w:pPr>
      <w:hyperlink w:anchor="b37" w:history="1">
        <w:r>
          <w:rPr>
            <w:color w:val="0A3A8C"/>
            <w:u w:val="single"/>
          </w:rPr>
          <w:t xml:space="preserve">§§ 7c bis 7d (weggefallen)</w:t>
        </w:r>
      </w:hyperlink>
    </w:p>
    <w:p>
      <w:pPr>
        <w:pStyle w:val="Übersicht"/>
        <w:ind w:left="680"/>
      </w:pPr>
      <w:hyperlink w:anchor="b38" w:history="1">
        <w:r>
          <w:rPr>
            <w:color w:val="0A3A8C"/>
            <w:u w:val="single"/>
          </w:rPr>
          <w:t xml:space="preserve">§ 7e (weggefallen)</w:t>
        </w:r>
      </w:hyperlink>
    </w:p>
    <w:p>
      <w:pPr>
        <w:pStyle w:val="Übersicht"/>
        <w:ind w:left="680"/>
      </w:pPr>
      <w:hyperlink w:anchor="b39" w:history="1">
        <w:r>
          <w:rPr>
            <w:color w:val="0A3A8C"/>
            <w:u w:val="single"/>
          </w:rPr>
          <w:t xml:space="preserve">§ 7f (weggefallen)</w:t>
        </w:r>
      </w:hyperlink>
    </w:p>
    <w:p>
      <w:pPr>
        <w:pStyle w:val="Übersicht"/>
        <w:ind w:left="680"/>
      </w:pPr>
      <w:hyperlink w:anchor="b40" w:history="1">
        <w:r>
          <w:rPr>
            <w:color w:val="0A3A8C"/>
            <w:u w:val="single"/>
          </w:rPr>
          <w:t xml:space="preserve">§ 7g Investitionsabzugsbeträge und Sonderabschreibungen zur Förderung kleiner und mittlerer Betriebe</w:t>
        </w:r>
      </w:hyperlink>
    </w:p>
    <w:p>
      <w:pPr>
        <w:pStyle w:val="Übersicht"/>
        <w:ind w:left="680"/>
      </w:pPr>
      <w:hyperlink w:anchor="b41" w:history="1">
        <w:r>
          <w:rPr>
            <w:color w:val="0A3A8C"/>
            <w:u w:val="single"/>
          </w:rPr>
          <w:t xml:space="preserve">§ 7h Erhöhte Absetzungen bei Gebäuden in Sanierungsgebieten und städtebaulichen Entwicklungsbereichen</w:t>
        </w:r>
      </w:hyperlink>
    </w:p>
    <w:p>
      <w:pPr>
        <w:pStyle w:val="Übersicht"/>
        <w:ind w:left="680"/>
      </w:pPr>
      <w:hyperlink w:anchor="b42" w:history="1">
        <w:r>
          <w:rPr>
            <w:color w:val="0A3A8C"/>
            <w:u w:val="single"/>
          </w:rPr>
          <w:t xml:space="preserve">§ 7i Erhöhte Absetzungen bei Baudenkmalen</w:t>
        </w:r>
      </w:hyperlink>
    </w:p>
    <w:p>
      <w:pPr>
        <w:pStyle w:val="Übersicht"/>
        <w:ind w:left="680"/>
      </w:pPr>
      <w:hyperlink w:anchor="b43" w:history="1">
        <w:r>
          <w:rPr>
            <w:color w:val="0A3A8C"/>
            <w:u w:val="single"/>
          </w:rPr>
          <w:t xml:space="preserve">§ 7k (weggefallen)</w:t>
        </w:r>
      </w:hyperlink>
    </w:p>
    <w:p>
      <w:pPr>
        <w:pStyle w:val="Übersicht"/>
        <w:ind w:left="340"/>
      </w:pPr>
      <w:hyperlink w:anchor="b44" w:history="1">
        <w:r>
          <w:rPr>
            <w:b/>
            <w:color w:val="0A3A8C"/>
            <w:u w:val="single"/>
          </w:rPr>
          <w:t xml:space="preserve">4. Überschuss der Einnahmen über die Werbungskosten</w:t>
        </w:r>
      </w:hyperlink>
    </w:p>
    <w:p>
      <w:pPr>
        <w:pStyle w:val="Übersicht"/>
        <w:ind w:left="680"/>
      </w:pPr>
      <w:hyperlink w:anchor="b45" w:history="1">
        <w:r>
          <w:rPr>
            <w:color w:val="0A3A8C"/>
            <w:u w:val="single"/>
          </w:rPr>
          <w:t xml:space="preserve">§ 8 Einnahmen</w:t>
        </w:r>
      </w:hyperlink>
    </w:p>
    <w:p>
      <w:pPr>
        <w:pStyle w:val="Übersicht"/>
        <w:ind w:left="680"/>
      </w:pPr>
      <w:hyperlink w:anchor="b46" w:history="1">
        <w:r>
          <w:rPr>
            <w:color w:val="0A3A8C"/>
            <w:u w:val="single"/>
          </w:rPr>
          <w:t xml:space="preserve">§ 9 Werbungskosten</w:t>
        </w:r>
      </w:hyperlink>
    </w:p>
    <w:p>
      <w:pPr>
        <w:pStyle w:val="Übersicht"/>
        <w:ind w:left="680"/>
      </w:pPr>
      <w:hyperlink w:anchor="b47" w:history="1">
        <w:r>
          <w:rPr>
            <w:color w:val="0A3A8C"/>
            <w:u w:val="single"/>
          </w:rPr>
          <w:t xml:space="preserve">§ 9a Pauschbeträge für Werbungskosten</w:t>
        </w:r>
      </w:hyperlink>
    </w:p>
    <w:p>
      <w:pPr>
        <w:pStyle w:val="Übersicht"/>
        <w:ind w:left="340"/>
      </w:pPr>
      <w:hyperlink w:anchor="b48" w:history="1">
        <w:r>
          <w:rPr>
            <w:b/>
            <w:color w:val="0A3A8C"/>
            <w:u w:val="single"/>
          </w:rPr>
          <w:t xml:space="preserve">4a. Umsatzsteuerrechtlicher Vorsteuerabzug</w:t>
        </w:r>
      </w:hyperlink>
    </w:p>
    <w:p>
      <w:pPr>
        <w:pStyle w:val="Übersicht"/>
        <w:ind w:left="680"/>
      </w:pPr>
      <w:hyperlink w:anchor="b49" w:history="1">
        <w:r>
          <w:rPr>
            <w:color w:val="0A3A8C"/>
            <w:u w:val="single"/>
          </w:rPr>
          <w:t xml:space="preserve">§ 9b</w:t>
        </w:r>
      </w:hyperlink>
    </w:p>
    <w:p>
      <w:pPr>
        <w:pStyle w:val="Übersicht"/>
        <w:ind w:left="340"/>
      </w:pPr>
      <w:hyperlink w:anchor="b50" w:history="1">
        <w:r>
          <w:rPr>
            <w:b/>
            <w:color w:val="0A3A8C"/>
            <w:u w:val="single"/>
          </w:rPr>
          <w:t xml:space="preserve">5. Sonderausgaben</w:t>
        </w:r>
      </w:hyperlink>
    </w:p>
    <w:p>
      <w:pPr>
        <w:pStyle w:val="Übersicht"/>
        <w:ind w:left="680"/>
      </w:pPr>
      <w:hyperlink w:anchor="b51" w:history="1">
        <w:r>
          <w:rPr>
            <w:color w:val="0A3A8C"/>
            <w:u w:val="single"/>
          </w:rPr>
          <w:t xml:space="preserve">§ 10</w:t>
        </w:r>
      </w:hyperlink>
    </w:p>
    <w:p>
      <w:pPr>
        <w:pStyle w:val="Übersicht"/>
        <w:ind w:left="680"/>
      </w:pPr>
      <w:hyperlink w:anchor="b52" w:history="1">
        <w:r>
          <w:rPr>
            <w:color w:val="0A3A8C"/>
            <w:u w:val="single"/>
          </w:rPr>
          <w:t xml:space="preserve">§ 10a Zusätzliche Altersvorsorge</w:t>
        </w:r>
      </w:hyperlink>
    </w:p>
    <w:p>
      <w:pPr>
        <w:pStyle w:val="Übersicht"/>
        <w:ind w:left="680"/>
      </w:pPr>
      <w:hyperlink w:anchor="b53" w:history="1">
        <w:r>
          <w:rPr>
            <w:color w:val="0A3A8C"/>
            <w:u w:val="single"/>
          </w:rPr>
          <w:t xml:space="preserve">§ 10b Steuerbegünstigte Zwecke</w:t>
        </w:r>
      </w:hyperlink>
    </w:p>
    <w:p>
      <w:pPr>
        <w:pStyle w:val="Übersicht"/>
        <w:ind w:left="680"/>
      </w:pPr>
      <w:hyperlink w:anchor="b54" w:history="1">
        <w:r>
          <w:rPr>
            <w:color w:val="0A3A8C"/>
            <w:u w:val="single"/>
          </w:rPr>
          <w:t xml:space="preserve">§ 10c Sonderausgaben-Pauschbetrag</w:t>
        </w:r>
      </w:hyperlink>
    </w:p>
    <w:p>
      <w:pPr>
        <w:pStyle w:val="Übersicht"/>
        <w:ind w:left="680"/>
      </w:pPr>
      <w:hyperlink w:anchor="b55" w:history="1">
        <w:r>
          <w:rPr>
            <w:color w:val="0A3A8C"/>
            <w:u w:val="single"/>
          </w:rPr>
          <w:t xml:space="preserve">§ 10d Verlustabzug</w:t>
        </w:r>
      </w:hyperlink>
    </w:p>
    <w:p>
      <w:pPr>
        <w:pStyle w:val="Übersicht"/>
        <w:ind w:left="680"/>
      </w:pPr>
      <w:hyperlink w:anchor="b56" w:history="1">
        <w:r>
          <w:rPr>
            <w:color w:val="0A3A8C"/>
            <w:u w:val="single"/>
          </w:rPr>
          <w:t xml:space="preserve">§ 10e Steuerbegünstigung der zu eigenen Wohnzwecken genutzten Wohnung im eigenen Haus</w:t>
        </w:r>
      </w:hyperlink>
    </w:p>
    <w:p>
      <w:pPr>
        <w:pStyle w:val="Übersicht"/>
        <w:ind w:left="680"/>
      </w:pPr>
      <w:hyperlink w:anchor="b57" w:history="1">
        <w:r>
          <w:rPr>
            <w:color w:val="0A3A8C"/>
            <w:u w:val="single"/>
          </w:rPr>
          <w:t xml:space="preserve">§ 10f Steuerbegünstigung für zu eigenen Wohnzwecken genutzte Baudenkmale und Gebäude in Sanierungsgebieten und städtebaulichen Entwicklungsbereichen</w:t>
        </w:r>
      </w:hyperlink>
    </w:p>
    <w:p>
      <w:pPr>
        <w:pStyle w:val="Übersicht"/>
        <w:ind w:left="680"/>
      </w:pPr>
      <w:hyperlink w:anchor="b58" w:history="1">
        <w:r>
          <w:rPr>
            <w:color w:val="0A3A8C"/>
            <w:u w:val="single"/>
          </w:rPr>
          <w:t xml:space="preserve">§ 10g Steuerbegünstigung für schutzwürdige Kulturgüter, die weder zur Einkunftserzielung noch zu eigenen Wohnzwecken genutzt werden</w:t>
        </w:r>
      </w:hyperlink>
    </w:p>
    <w:p>
      <w:pPr>
        <w:pStyle w:val="Übersicht"/>
        <w:ind w:left="680"/>
      </w:pPr>
      <w:hyperlink w:anchor="b59" w:history="1">
        <w:r>
          <w:rPr>
            <w:color w:val="0A3A8C"/>
            <w:u w:val="single"/>
          </w:rPr>
          <w:t xml:space="preserve">§ 10h (weggefallen)</w:t>
        </w:r>
      </w:hyperlink>
    </w:p>
    <w:p>
      <w:pPr>
        <w:pStyle w:val="Übersicht"/>
        <w:ind w:left="680"/>
      </w:pPr>
      <w:hyperlink w:anchor="b60" w:history="1">
        <w:r>
          <w:rPr>
            <w:color w:val="0A3A8C"/>
            <w:u w:val="single"/>
          </w:rPr>
          <w:t xml:space="preserve">§ 10i (weggefallen)</w:t>
        </w:r>
      </w:hyperlink>
    </w:p>
    <w:p>
      <w:pPr>
        <w:pStyle w:val="Übersicht"/>
        <w:ind w:left="340"/>
      </w:pPr>
      <w:hyperlink w:anchor="b61" w:history="1">
        <w:r>
          <w:rPr>
            <w:b/>
            <w:color w:val="0A3A8C"/>
            <w:u w:val="single"/>
          </w:rPr>
          <w:t xml:space="preserve">6. Vereinnahmung und Verausgabung</w:t>
        </w:r>
      </w:hyperlink>
    </w:p>
    <w:p>
      <w:pPr>
        <w:pStyle w:val="Übersicht"/>
        <w:ind w:left="680"/>
      </w:pPr>
      <w:hyperlink w:anchor="b62" w:history="1">
        <w:r>
          <w:rPr>
            <w:color w:val="0A3A8C"/>
            <w:u w:val="single"/>
          </w:rPr>
          <w:t xml:space="preserve">§ 11</w:t>
        </w:r>
      </w:hyperlink>
    </w:p>
    <w:p>
      <w:pPr>
        <w:pStyle w:val="Übersicht"/>
        <w:ind w:left="680"/>
      </w:pPr>
      <w:hyperlink w:anchor="b63" w:history="1">
        <w:r>
          <w:rPr>
            <w:color w:val="0A3A8C"/>
            <w:u w:val="single"/>
          </w:rPr>
          <w:t xml:space="preserve">§ 11a Sonderbehandlung von Erhaltungsaufwand bei Gebäuden in Sanierungsgebieten und städtebaulichen Entwicklungsbereichen</w:t>
        </w:r>
      </w:hyperlink>
    </w:p>
    <w:p>
      <w:pPr>
        <w:pStyle w:val="Übersicht"/>
        <w:ind w:left="680"/>
      </w:pPr>
      <w:hyperlink w:anchor="b64" w:history="1">
        <w:r>
          <w:rPr>
            <w:color w:val="0A3A8C"/>
            <w:u w:val="single"/>
          </w:rPr>
          <w:t xml:space="preserve">§ 11b Sonderbehandlung von Erhaltungsaufwand bei Baudenkmalen</w:t>
        </w:r>
      </w:hyperlink>
    </w:p>
    <w:p>
      <w:pPr>
        <w:pStyle w:val="Übersicht"/>
        <w:ind w:left="340"/>
      </w:pPr>
      <w:hyperlink w:anchor="b65" w:history="1">
        <w:r>
          <w:rPr>
            <w:b/>
            <w:color w:val="0A3A8C"/>
            <w:u w:val="single"/>
          </w:rPr>
          <w:t xml:space="preserve">7. Nicht abzugsfähige Ausgaben</w:t>
        </w:r>
      </w:hyperlink>
    </w:p>
    <w:p>
      <w:pPr>
        <w:pStyle w:val="Übersicht"/>
        <w:ind w:left="680"/>
      </w:pPr>
      <w:hyperlink w:anchor="b66" w:history="1">
        <w:r>
          <w:rPr>
            <w:color w:val="0A3A8C"/>
            <w:u w:val="single"/>
          </w:rPr>
          <w:t xml:space="preserve">§ 12</w:t>
        </w:r>
      </w:hyperlink>
    </w:p>
    <w:p>
      <w:pPr>
        <w:pStyle w:val="Übersicht"/>
        <w:ind w:left="340"/>
      </w:pPr>
      <w:hyperlink w:anchor="b67" w:history="1">
        <w:r>
          <w:rPr>
            <w:b/>
            <w:color w:val="0A3A8C"/>
            <w:u w:val="single"/>
          </w:rPr>
          <w:t xml:space="preserve">8. Die einzelnen Einkunftsarten</w:t>
        </w:r>
      </w:hyperlink>
    </w:p>
    <w:p>
      <w:pPr>
        <w:pStyle w:val="Übersicht"/>
        <w:ind w:left="680"/>
      </w:pPr>
      <w:hyperlink w:anchor="b68" w:history="1">
        <w:r>
          <w:rPr>
            <w:b/>
            <w:color w:val="0A3A8C"/>
            <w:u w:val="single"/>
          </w:rPr>
          <w:t xml:space="preserve">a) Land- und Forstwirtschaft (§ 2 Absatz 1 Satz 1 Nummer 1)</w:t>
        </w:r>
      </w:hyperlink>
    </w:p>
    <w:p>
      <w:pPr>
        <w:pStyle w:val="Übersicht"/>
        <w:ind w:left="1020"/>
      </w:pPr>
      <w:hyperlink w:anchor="b69" w:history="1">
        <w:r>
          <w:rPr>
            <w:color w:val="0A3A8C"/>
            <w:u w:val="single"/>
          </w:rPr>
          <w:t xml:space="preserve">§ 13 Einkünfte aus Land- und Forstwirtschaft</w:t>
        </w:r>
      </w:hyperlink>
    </w:p>
    <w:p>
      <w:pPr>
        <w:pStyle w:val="Übersicht"/>
        <w:ind w:left="1020"/>
      </w:pPr>
      <w:hyperlink w:anchor="b70" w:history="1">
        <w:r>
          <w:rPr>
            <w:color w:val="0A3A8C"/>
            <w:u w:val="single"/>
          </w:rPr>
          <w:t xml:space="preserve">§ 13a Ermittlung des Gewinns aus Land- und Forstwirtschaft nach Durchschnittssätzen</w:t>
        </w:r>
      </w:hyperlink>
    </w:p>
    <w:p>
      <w:pPr>
        <w:pStyle w:val="Übersicht"/>
        <w:ind w:left="1020"/>
      </w:pPr>
      <w:hyperlink w:anchor="b71" w:history="1">
        <w:r>
          <w:rPr>
            <w:color w:val="0A3A8C"/>
            <w:u w:val="single"/>
          </w:rPr>
          <w:t xml:space="preserve">§ 13b Gemeinschaftliche Tierhaltung</w:t>
        </w:r>
      </w:hyperlink>
    </w:p>
    <w:p>
      <w:pPr>
        <w:pStyle w:val="Übersicht"/>
        <w:ind w:left="1020"/>
      </w:pPr>
      <w:hyperlink w:anchor="b72" w:history="1">
        <w:r>
          <w:rPr>
            <w:color w:val="0A3A8C"/>
            <w:u w:val="single"/>
          </w:rPr>
          <w:t xml:space="preserve">§ 14 Veräußerung des Betriebs</w:t>
        </w:r>
      </w:hyperlink>
    </w:p>
    <w:p>
      <w:pPr>
        <w:pStyle w:val="Übersicht"/>
        <w:ind w:left="1020"/>
      </w:pPr>
      <w:hyperlink w:anchor="b73" w:history="1">
        <w:r>
          <w:rPr>
            <w:color w:val="0A3A8C"/>
            <w:u w:val="single"/>
          </w:rPr>
          <w:t xml:space="preserve">§ 14a Vergünstigungen bei der Veräußerung bestimmter land- und forstwirtschaftlicher Betriebe</w:t>
        </w:r>
      </w:hyperlink>
    </w:p>
    <w:p>
      <w:pPr>
        <w:pStyle w:val="Übersicht"/>
        <w:ind w:left="680"/>
      </w:pPr>
      <w:hyperlink w:anchor="b74" w:history="1">
        <w:r>
          <w:rPr>
            <w:b/>
            <w:color w:val="0A3A8C"/>
            <w:u w:val="single"/>
          </w:rPr>
          <w:t xml:space="preserve">b) Gewerbebetrieb (§ 2 Absatz 1 Satz 1 Nummer 2)</w:t>
        </w:r>
      </w:hyperlink>
    </w:p>
    <w:p>
      <w:pPr>
        <w:pStyle w:val="Übersicht"/>
        <w:ind w:left="1020"/>
      </w:pPr>
      <w:hyperlink w:anchor="b75" w:history="1">
        <w:r>
          <w:rPr>
            <w:color w:val="0A3A8C"/>
            <w:u w:val="single"/>
          </w:rPr>
          <w:t xml:space="preserve">§ 15 Einkünfte aus Gewerbebetrieb</w:t>
        </w:r>
      </w:hyperlink>
    </w:p>
    <w:p>
      <w:pPr>
        <w:pStyle w:val="Übersicht"/>
        <w:ind w:left="1020"/>
      </w:pPr>
      <w:hyperlink w:anchor="b76" w:history="1">
        <w:r>
          <w:rPr>
            <w:color w:val="0A3A8C"/>
            <w:u w:val="single"/>
          </w:rPr>
          <w:t xml:space="preserve">§ 15a Verluste bei beschränkter Haftung</w:t>
        </w:r>
      </w:hyperlink>
    </w:p>
    <w:p>
      <w:pPr>
        <w:pStyle w:val="Übersicht"/>
        <w:ind w:left="1020"/>
      </w:pPr>
      <w:hyperlink w:anchor="b77" w:history="1">
        <w:r>
          <w:rPr>
            <w:color w:val="0A3A8C"/>
            <w:u w:val="single"/>
          </w:rPr>
          <w:t xml:space="preserve">§ 15b Verluste im Zusammenhang mit Steuerstundungsmodellen</w:t>
        </w:r>
      </w:hyperlink>
    </w:p>
    <w:p>
      <w:pPr>
        <w:pStyle w:val="Übersicht"/>
        <w:ind w:left="1020"/>
      </w:pPr>
      <w:hyperlink w:anchor="b78" w:history="1">
        <w:r>
          <w:rPr>
            <w:color w:val="0A3A8C"/>
            <w:u w:val="single"/>
          </w:rPr>
          <w:t xml:space="preserve">§ 16 Veräußerung des Betriebs</w:t>
        </w:r>
      </w:hyperlink>
    </w:p>
    <w:p>
      <w:pPr>
        <w:pStyle w:val="Übersicht"/>
        <w:ind w:left="1020"/>
      </w:pPr>
      <w:hyperlink w:anchor="b79" w:history="1">
        <w:r>
          <w:rPr>
            <w:color w:val="0A3A8C"/>
            <w:u w:val="single"/>
          </w:rPr>
          <w:t xml:space="preserve">§ 17 Veräußerung von Anteilen an Kapitalgesellschaften</w:t>
        </w:r>
      </w:hyperlink>
    </w:p>
    <w:p>
      <w:pPr>
        <w:pStyle w:val="Übersicht"/>
        <w:ind w:left="680"/>
      </w:pPr>
      <w:hyperlink w:anchor="b80" w:history="1">
        <w:r>
          <w:rPr>
            <w:b/>
            <w:color w:val="0A3A8C"/>
            <w:u w:val="single"/>
          </w:rPr>
          <w:t xml:space="preserve">c) Selbständige Arbeit (§ 2 Absatz 1 Satz 1 Nummer 3)</w:t>
        </w:r>
      </w:hyperlink>
    </w:p>
    <w:p>
      <w:pPr>
        <w:pStyle w:val="Übersicht"/>
        <w:ind w:left="1020"/>
      </w:pPr>
      <w:hyperlink w:anchor="b81" w:history="1">
        <w:r>
          <w:rPr>
            <w:color w:val="0A3A8C"/>
            <w:u w:val="single"/>
          </w:rPr>
          <w:t xml:space="preserve">§ 18</w:t>
        </w:r>
      </w:hyperlink>
    </w:p>
    <w:p>
      <w:pPr>
        <w:pStyle w:val="Übersicht"/>
        <w:ind w:left="680"/>
      </w:pPr>
      <w:hyperlink w:anchor="b82" w:history="1">
        <w:r>
          <w:rPr>
            <w:b/>
            <w:color w:val="0A3A8C"/>
            <w:u w:val="single"/>
          </w:rPr>
          <w:t xml:space="preserve">d) Nichtselbständige Arbeit (§ 2 Absatz 1 Satz 1 Nummer 4)</w:t>
        </w:r>
      </w:hyperlink>
    </w:p>
    <w:p>
      <w:pPr>
        <w:pStyle w:val="Übersicht"/>
        <w:ind w:left="1020"/>
      </w:pPr>
      <w:hyperlink w:anchor="b83" w:history="1">
        <w:r>
          <w:rPr>
            <w:color w:val="0A3A8C"/>
            <w:u w:val="single"/>
          </w:rPr>
          <w:t xml:space="preserve">§ 19</w:t>
        </w:r>
      </w:hyperlink>
    </w:p>
    <w:p>
      <w:pPr>
        <w:pStyle w:val="Übersicht"/>
        <w:ind w:left="1020"/>
      </w:pPr>
      <w:hyperlink w:anchor="b84" w:history="1">
        <w:r>
          <w:rPr>
            <w:color w:val="0A3A8C"/>
            <w:u w:val="single"/>
          </w:rPr>
          <w:t xml:space="preserve">§ 19a Sondervorschrift für Einkünfte aus nichtselbständiger Arbeit bei Vermögensbeteiligungen</w:t>
        </w:r>
      </w:hyperlink>
    </w:p>
    <w:p>
      <w:pPr>
        <w:pStyle w:val="Übersicht"/>
        <w:ind w:left="680"/>
      </w:pPr>
      <w:hyperlink w:anchor="b85" w:history="1">
        <w:r>
          <w:rPr>
            <w:b/>
            <w:color w:val="0A3A8C"/>
            <w:u w:val="single"/>
          </w:rPr>
          <w:t xml:space="preserve">e) Kapitalvermögen (§ 2 Absatz 1 Satz 1 Nummer 5)</w:t>
        </w:r>
      </w:hyperlink>
    </w:p>
    <w:p>
      <w:pPr>
        <w:pStyle w:val="Übersicht"/>
        <w:ind w:left="1020"/>
      </w:pPr>
      <w:hyperlink w:anchor="b86" w:history="1">
        <w:r>
          <w:rPr>
            <w:color w:val="0A3A8C"/>
            <w:u w:val="single"/>
          </w:rPr>
          <w:t xml:space="preserve">§ 20</w:t>
        </w:r>
      </w:hyperlink>
    </w:p>
    <w:p>
      <w:pPr>
        <w:pStyle w:val="Übersicht"/>
        <w:ind w:left="680"/>
      </w:pPr>
      <w:hyperlink w:anchor="b87" w:history="1">
        <w:r>
          <w:rPr>
            <w:b/>
            <w:color w:val="0A3A8C"/>
            <w:u w:val="single"/>
          </w:rPr>
          <w:t xml:space="preserve">f) Vermietung und Verpachtung (§ 2 Absatz 1 Satz 1 Nummer 6)</w:t>
        </w:r>
      </w:hyperlink>
    </w:p>
    <w:p>
      <w:pPr>
        <w:pStyle w:val="Übersicht"/>
        <w:ind w:left="1020"/>
      </w:pPr>
      <w:hyperlink w:anchor="b88" w:history="1">
        <w:r>
          <w:rPr>
            <w:color w:val="0A3A8C"/>
            <w:u w:val="single"/>
          </w:rPr>
          <w:t xml:space="preserve">§ 21</w:t>
        </w:r>
      </w:hyperlink>
    </w:p>
    <w:p>
      <w:pPr>
        <w:pStyle w:val="Übersicht"/>
        <w:ind w:left="680"/>
      </w:pPr>
      <w:hyperlink w:anchor="b89" w:history="1">
        <w:r>
          <w:rPr>
            <w:b/>
            <w:color w:val="0A3A8C"/>
            <w:u w:val="single"/>
          </w:rPr>
          <w:t xml:space="preserve">g) Sonstige Einkünfte (§ 2 Absatz 1 Satz 1 Nummer 7)</w:t>
        </w:r>
      </w:hyperlink>
    </w:p>
    <w:p>
      <w:pPr>
        <w:pStyle w:val="Übersicht"/>
        <w:ind w:left="1020"/>
      </w:pPr>
      <w:hyperlink w:anchor="b90" w:history="1">
        <w:r>
          <w:rPr>
            <w:color w:val="0A3A8C"/>
            <w:u w:val="single"/>
          </w:rPr>
          <w:t xml:space="preserve">§ 22 Arten der sonstigen Einkünfte</w:t>
        </w:r>
      </w:hyperlink>
    </w:p>
    <w:p>
      <w:pPr>
        <w:pStyle w:val="Übersicht"/>
        <w:ind w:left="1020"/>
      </w:pPr>
      <w:hyperlink w:anchor="b91" w:history="1">
        <w:r>
          <w:rPr>
            <w:color w:val="0A3A8C"/>
            <w:u w:val="single"/>
          </w:rPr>
          <w:t xml:space="preserve">§ 22a Rentenbezugsmitteilungen an die zentrale Stelle</w:t>
        </w:r>
      </w:hyperlink>
    </w:p>
    <w:p>
      <w:pPr>
        <w:pStyle w:val="Übersicht"/>
        <w:ind w:left="1020"/>
      </w:pPr>
      <w:hyperlink w:anchor="b92" w:history="1">
        <w:r>
          <w:rPr>
            <w:color w:val="0A3A8C"/>
            <w:u w:val="single"/>
          </w:rPr>
          <w:t xml:space="preserve">§ 23 Private Veräußerungsgeschäfte</w:t>
        </w:r>
      </w:hyperlink>
    </w:p>
    <w:p>
      <w:pPr>
        <w:pStyle w:val="Übersicht"/>
        <w:ind w:left="680"/>
      </w:pPr>
      <w:hyperlink w:anchor="b93" w:history="1">
        <w:r>
          <w:rPr>
            <w:b/>
            <w:color w:val="0A3A8C"/>
            <w:u w:val="single"/>
          </w:rPr>
          <w:t xml:space="preserve">h) Gemeinsame Vorschriften</w:t>
        </w:r>
      </w:hyperlink>
    </w:p>
    <w:p>
      <w:pPr>
        <w:pStyle w:val="Übersicht"/>
        <w:ind w:left="1020"/>
      </w:pPr>
      <w:hyperlink w:anchor="b94" w:history="1">
        <w:r>
          <w:rPr>
            <w:color w:val="0A3A8C"/>
            <w:u w:val="single"/>
          </w:rPr>
          <w:t xml:space="preserve">§ 24</w:t>
        </w:r>
      </w:hyperlink>
    </w:p>
    <w:p>
      <w:pPr>
        <w:pStyle w:val="Übersicht"/>
        <w:ind w:left="1020"/>
      </w:pPr>
      <w:hyperlink w:anchor="b95" w:history="1">
        <w:r>
          <w:rPr>
            <w:color w:val="0A3A8C"/>
            <w:u w:val="single"/>
          </w:rPr>
          <w:t xml:space="preserve">§ 24a Altersentlastungsbetrag</w:t>
        </w:r>
      </w:hyperlink>
    </w:p>
    <w:p>
      <w:pPr>
        <w:pStyle w:val="Übersicht"/>
        <w:ind w:left="1020"/>
      </w:pPr>
      <w:hyperlink w:anchor="b96" w:history="1">
        <w:r>
          <w:rPr>
            <w:color w:val="0A3A8C"/>
            <w:u w:val="single"/>
          </w:rPr>
          <w:t xml:space="preserve">§ 24b Entlastungsbetrag für Alleinerziehende</w:t>
        </w:r>
      </w:hyperlink>
    </w:p>
    <w:p>
      <w:pPr>
        <w:pStyle w:val="Übersicht"/>
        <w:ind w:left="0"/>
      </w:pPr>
      <w:hyperlink w:anchor="b97" w:history="1">
        <w:r>
          <w:rPr>
            <w:b/>
            <w:color w:val="0A3A8C"/>
            <w:u w:val="single"/>
          </w:rPr>
          <w:t xml:space="preserve">III. Veranlagung</w:t>
        </w:r>
      </w:hyperlink>
    </w:p>
    <w:p>
      <w:pPr>
        <w:pStyle w:val="Übersicht"/>
        <w:ind w:left="340"/>
      </w:pPr>
      <w:hyperlink w:anchor="b98" w:history="1">
        <w:r>
          <w:rPr>
            <w:color w:val="0A3A8C"/>
            <w:u w:val="single"/>
          </w:rPr>
          <w:t xml:space="preserve">§ 25 Veranlagungszeitraum, Steuererklärungspflicht</w:t>
        </w:r>
      </w:hyperlink>
    </w:p>
    <w:p>
      <w:pPr>
        <w:pStyle w:val="Übersicht"/>
        <w:ind w:left="340"/>
      </w:pPr>
      <w:hyperlink w:anchor="b99" w:history="1">
        <w:r>
          <w:rPr>
            <w:color w:val="0A3A8C"/>
            <w:u w:val="single"/>
          </w:rPr>
          <w:t xml:space="preserve">§ 26 Veranlagung von Ehegatten</w:t>
        </w:r>
      </w:hyperlink>
    </w:p>
    <w:p>
      <w:pPr>
        <w:pStyle w:val="Übersicht"/>
        <w:ind w:left="340"/>
      </w:pPr>
      <w:hyperlink w:anchor="b100" w:history="1">
        <w:r>
          <w:rPr>
            <w:color w:val="0A3A8C"/>
            <w:u w:val="single"/>
          </w:rPr>
          <w:t xml:space="preserve">§ 26a Einzelveranlagung von Ehegatten</w:t>
        </w:r>
      </w:hyperlink>
    </w:p>
    <w:p>
      <w:pPr>
        <w:pStyle w:val="Übersicht"/>
        <w:ind w:left="340"/>
      </w:pPr>
      <w:hyperlink w:anchor="b101" w:history="1">
        <w:r>
          <w:rPr>
            <w:color w:val="0A3A8C"/>
            <w:u w:val="single"/>
          </w:rPr>
          <w:t xml:space="preserve">§ 26b Zusammenveranlagung von Ehegatten</w:t>
        </w:r>
      </w:hyperlink>
    </w:p>
    <w:p>
      <w:pPr>
        <w:pStyle w:val="Übersicht"/>
        <w:ind w:left="340"/>
      </w:pPr>
      <w:hyperlink w:anchor="b102" w:history="1">
        <w:r>
          <w:rPr>
            <w:color w:val="0A3A8C"/>
            <w:u w:val="single"/>
          </w:rPr>
          <w:t xml:space="preserve">§ 27 (weggefallen)</w:t>
        </w:r>
      </w:hyperlink>
    </w:p>
    <w:p>
      <w:pPr>
        <w:pStyle w:val="Übersicht"/>
        <w:ind w:left="340"/>
      </w:pPr>
      <w:hyperlink w:anchor="b103" w:history="1">
        <w:r>
          <w:rPr>
            <w:color w:val="0A3A8C"/>
            <w:u w:val="single"/>
          </w:rPr>
          <w:t xml:space="preserve">§ 28 Besteuerung bei fortgesetzter Gütergemeinschaft</w:t>
        </w:r>
      </w:hyperlink>
    </w:p>
    <w:p>
      <w:pPr>
        <w:pStyle w:val="Übersicht"/>
        <w:ind w:left="340"/>
      </w:pPr>
      <w:hyperlink w:anchor="b104" w:history="1">
        <w:r>
          <w:rPr>
            <w:color w:val="0A3A8C"/>
            <w:u w:val="single"/>
          </w:rPr>
          <w:t xml:space="preserve">§§ 29 und 30 (weggefallen)</w:t>
        </w:r>
      </w:hyperlink>
    </w:p>
    <w:p>
      <w:pPr>
        <w:pStyle w:val="Übersicht"/>
        <w:ind w:left="0"/>
      </w:pPr>
      <w:hyperlink w:anchor="b105" w:history="1">
        <w:r>
          <w:rPr>
            <w:b/>
            <w:color w:val="0A3A8C"/>
            <w:u w:val="single"/>
          </w:rPr>
          <w:t xml:space="preserve">IV. Tarif</w:t>
        </w:r>
      </w:hyperlink>
    </w:p>
    <w:p>
      <w:pPr>
        <w:pStyle w:val="Übersicht"/>
        <w:ind w:left="340"/>
      </w:pPr>
      <w:hyperlink w:anchor="b106" w:history="1">
        <w:r>
          <w:rPr>
            <w:color w:val="0A3A8C"/>
            <w:u w:val="single"/>
          </w:rPr>
          <w:t xml:space="preserve">§ 31 Familienleistungsausgleich</w:t>
        </w:r>
      </w:hyperlink>
    </w:p>
    <w:p>
      <w:pPr>
        <w:pStyle w:val="Übersicht"/>
        <w:ind w:left="340"/>
      </w:pPr>
      <w:hyperlink w:anchor="b107" w:history="1">
        <w:r>
          <w:rPr>
            <w:color w:val="0A3A8C"/>
            <w:u w:val="single"/>
          </w:rPr>
          <w:t xml:space="preserve">§ 32 Kinder, Freibeträge für Kinder</w:t>
        </w:r>
      </w:hyperlink>
    </w:p>
    <w:p>
      <w:pPr>
        <w:pStyle w:val="Übersicht"/>
        <w:ind w:left="340"/>
      </w:pPr>
      <w:hyperlink w:anchor="b108" w:history="1">
        <w:r>
          <w:rPr>
            <w:color w:val="0A3A8C"/>
            <w:u w:val="single"/>
          </w:rPr>
          <w:t xml:space="preserve">§ 32a Einkommensteuertarif</w:t>
        </w:r>
      </w:hyperlink>
    </w:p>
    <w:p>
      <w:pPr>
        <w:pStyle w:val="Übersicht"/>
        <w:ind w:left="340"/>
      </w:pPr>
      <w:hyperlink w:anchor="b109" w:history="1">
        <w:r>
          <w:rPr>
            <w:color w:val="0A3A8C"/>
            <w:u w:val="single"/>
          </w:rPr>
          <w:t xml:space="preserve">§ 32b Progressionsvorbehalt</w:t>
        </w:r>
      </w:hyperlink>
    </w:p>
    <w:p>
      <w:pPr>
        <w:pStyle w:val="Übersicht"/>
        <w:ind w:left="340"/>
      </w:pPr>
      <w:hyperlink w:anchor="b110" w:history="1">
        <w:r>
          <w:rPr>
            <w:color w:val="0A3A8C"/>
            <w:u w:val="single"/>
          </w:rPr>
          <w:t xml:space="preserve">§ 32c Tarifermäßigung bei Einkünften aus Land- und Forstwirtschaft</w:t>
        </w:r>
      </w:hyperlink>
    </w:p>
    <w:p>
      <w:pPr>
        <w:pStyle w:val="Übersicht"/>
        <w:ind w:left="340"/>
      </w:pPr>
      <w:hyperlink w:anchor="b111" w:history="1">
        <w:r>
          <w:rPr>
            <w:color w:val="0A3A8C"/>
            <w:u w:val="single"/>
          </w:rPr>
          <w:t xml:space="preserve">§ 32d Gesonderter Steuertarif für Einkünfte aus Kapitalvermögen</w:t>
        </w:r>
      </w:hyperlink>
    </w:p>
    <w:p>
      <w:pPr>
        <w:pStyle w:val="Übersicht"/>
        <w:ind w:left="340"/>
      </w:pPr>
      <w:hyperlink w:anchor="b112" w:history="1">
        <w:r>
          <w:rPr>
            <w:color w:val="0A3A8C"/>
            <w:u w:val="single"/>
          </w:rPr>
          <w:t xml:space="preserve">§ 33 Außergewöhnliche Belastungen</w:t>
        </w:r>
      </w:hyperlink>
    </w:p>
    <w:p>
      <w:pPr>
        <w:pStyle w:val="Übersicht"/>
        <w:ind w:left="340"/>
      </w:pPr>
      <w:hyperlink w:anchor="b113" w:history="1">
        <w:r>
          <w:rPr>
            <w:color w:val="0A3A8C"/>
            <w:u w:val="single"/>
          </w:rPr>
          <w:t xml:space="preserve">§ 33a Außergewöhnliche Belastung in besonderen Fällen</w:t>
        </w:r>
      </w:hyperlink>
    </w:p>
    <w:p>
      <w:pPr>
        <w:pStyle w:val="Übersicht"/>
        <w:ind w:left="340"/>
      </w:pPr>
      <w:hyperlink w:anchor="b114" w:history="1">
        <w:r>
          <w:rPr>
            <w:color w:val="0A3A8C"/>
            <w:u w:val="single"/>
          </w:rPr>
          <w:t xml:space="preserve">§ 33b Pauschbeträge für Menschen mit Behinderungen, Hinterbliebene und Pflegepersonen</w:t>
        </w:r>
      </w:hyperlink>
    </w:p>
    <w:p>
      <w:pPr>
        <w:pStyle w:val="Übersicht"/>
        <w:ind w:left="340"/>
      </w:pPr>
      <w:hyperlink w:anchor="b115" w:history="1">
        <w:r>
          <w:rPr>
            <w:color w:val="0A3A8C"/>
            <w:u w:val="single"/>
          </w:rPr>
          <w:t xml:space="preserve">§ 34 Außerordentliche Einkünfte</w:t>
        </w:r>
      </w:hyperlink>
    </w:p>
    <w:p>
      <w:pPr>
        <w:pStyle w:val="Übersicht"/>
        <w:ind w:left="340"/>
      </w:pPr>
      <w:hyperlink w:anchor="b116" w:history="1">
        <w:r>
          <w:rPr>
            <w:color w:val="0A3A8C"/>
            <w:u w:val="single"/>
          </w:rPr>
          <w:t xml:space="preserve">§ 34a Begünstigung der nicht entnommenen Gewinne</w:t>
        </w:r>
      </w:hyperlink>
    </w:p>
    <w:p>
      <w:pPr>
        <w:pStyle w:val="Übersicht"/>
        <w:ind w:left="340"/>
      </w:pPr>
      <w:hyperlink w:anchor="b117" w:history="1">
        <w:r>
          <w:rPr>
            <w:color w:val="0A3A8C"/>
            <w:u w:val="single"/>
          </w:rPr>
          <w:t xml:space="preserve">§ 34b Steuersätze bei Einkünften aus außerordentlichen Holznutzungen</w:t>
        </w:r>
      </w:hyperlink>
    </w:p>
    <w:p>
      <w:pPr>
        <w:pStyle w:val="Übersicht"/>
        <w:ind w:left="0"/>
      </w:pPr>
      <w:hyperlink w:anchor="b118" w:history="1">
        <w:r>
          <w:rPr>
            <w:b/>
            <w:color w:val="0A3A8C"/>
            <w:u w:val="single"/>
          </w:rPr>
          <w:t xml:space="preserve">V. Steuerermäßigungen</w:t>
        </w:r>
      </w:hyperlink>
    </w:p>
    <w:p>
      <w:pPr>
        <w:pStyle w:val="Übersicht"/>
        <w:ind w:left="340"/>
      </w:pPr>
      <w:hyperlink w:anchor="b119" w:history="1">
        <w:r>
          <w:rPr>
            <w:b/>
            <w:color w:val="0A3A8C"/>
            <w:u w:val="single"/>
          </w:rPr>
          <w:t xml:space="preserve">1. Steuerermäßigung bei ausländischen Einkünften</w:t>
        </w:r>
      </w:hyperlink>
    </w:p>
    <w:p>
      <w:pPr>
        <w:pStyle w:val="Übersicht"/>
        <w:ind w:left="680"/>
      </w:pPr>
      <w:hyperlink w:anchor="b120" w:history="1">
        <w:r>
          <w:rPr>
            <w:color w:val="0A3A8C"/>
            <w:u w:val="single"/>
          </w:rPr>
          <w:t xml:space="preserve">§ 34c</w:t>
        </w:r>
      </w:hyperlink>
    </w:p>
    <w:p>
      <w:pPr>
        <w:pStyle w:val="Übersicht"/>
        <w:ind w:left="680"/>
      </w:pPr>
      <w:hyperlink w:anchor="b121" w:history="1">
        <w:r>
          <w:rPr>
            <w:color w:val="0A3A8C"/>
            <w:u w:val="single"/>
          </w:rPr>
          <w:t xml:space="preserve">§ 34d Ausländische Einkünfte</w:t>
        </w:r>
      </w:hyperlink>
    </w:p>
    <w:p>
      <w:pPr>
        <w:pStyle w:val="Übersicht"/>
        <w:ind w:left="340"/>
      </w:pPr>
      <w:hyperlink w:anchor="b122" w:history="1">
        <w:r>
          <w:rPr>
            <w:b/>
            <w:color w:val="0A3A8C"/>
            <w:u w:val="single"/>
          </w:rPr>
          <w:t xml:space="preserve">2. Steuerermäßigung bei Einkünften aus Land- und Forstwirtschaft</w:t>
        </w:r>
      </w:hyperlink>
    </w:p>
    <w:p>
      <w:pPr>
        <w:pStyle w:val="Übersicht"/>
        <w:ind w:left="680"/>
      </w:pPr>
      <w:hyperlink w:anchor="b123" w:history="1">
        <w:r>
          <w:rPr>
            <w:color w:val="0A3A8C"/>
            <w:u w:val="single"/>
          </w:rPr>
          <w:t xml:space="preserve">§ 34e (weggefallen)</w:t>
        </w:r>
      </w:hyperlink>
    </w:p>
    <w:p>
      <w:pPr>
        <w:pStyle w:val="Übersicht"/>
        <w:ind w:left="680"/>
      </w:pPr>
      <w:hyperlink w:anchor="b124" w:history="1">
        <w:r>
          <w:rPr>
            <w:b/>
            <w:color w:val="0A3A8C"/>
            <w:u w:val="single"/>
          </w:rPr>
          <w:t xml:space="preserve">2a. Steuerermäßigung für Steuerpflichtige mit Kindern bei Inanspruchnahme erhöhter Absetzungen für Wohngebäude oder der Steuerbegünstigungen für eigengenutztes Wohneigentum</w:t>
        </w:r>
      </w:hyperlink>
    </w:p>
    <w:p>
      <w:pPr>
        <w:pStyle w:val="Übersicht"/>
        <w:ind w:left="1020"/>
      </w:pPr>
      <w:hyperlink w:anchor="b125" w:history="1">
        <w:r>
          <w:rPr>
            <w:color w:val="0A3A8C"/>
            <w:u w:val="single"/>
          </w:rPr>
          <w:t xml:space="preserve">§ 34f</w:t>
        </w:r>
      </w:hyperlink>
    </w:p>
    <w:p>
      <w:pPr>
        <w:pStyle w:val="Übersicht"/>
        <w:ind w:left="680"/>
      </w:pPr>
      <w:hyperlink w:anchor="b126" w:history="1">
        <w:r>
          <w:rPr>
            <w:b/>
            <w:color w:val="0A3A8C"/>
            <w:u w:val="single"/>
          </w:rPr>
          <w:t xml:space="preserve">2b. Steuerermäßigung bei Zuwendungen an politische Parteien und an unabhängige Wählervereinigungen</w:t>
        </w:r>
      </w:hyperlink>
    </w:p>
    <w:p>
      <w:pPr>
        <w:pStyle w:val="Übersicht"/>
        <w:ind w:left="1020"/>
      </w:pPr>
      <w:hyperlink w:anchor="b127" w:history="1">
        <w:r>
          <w:rPr>
            <w:color w:val="0A3A8C"/>
            <w:u w:val="single"/>
          </w:rPr>
          <w:t xml:space="preserve">§ 34g</w:t>
        </w:r>
      </w:hyperlink>
    </w:p>
    <w:p>
      <w:pPr>
        <w:pStyle w:val="Übersicht"/>
        <w:ind w:left="340"/>
      </w:pPr>
      <w:hyperlink w:anchor="b128" w:history="1">
        <w:r>
          <w:rPr>
            <w:b/>
            <w:color w:val="0A3A8C"/>
            <w:u w:val="single"/>
          </w:rPr>
          <w:t xml:space="preserve">3. Steuerermäßigung bei Einkünften aus Gewerbebetrieb</w:t>
        </w:r>
      </w:hyperlink>
    </w:p>
    <w:p>
      <w:pPr>
        <w:pStyle w:val="Übersicht"/>
        <w:ind w:left="680"/>
      </w:pPr>
      <w:hyperlink w:anchor="b129" w:history="1">
        <w:r>
          <w:rPr>
            <w:color w:val="0A3A8C"/>
            <w:u w:val="single"/>
          </w:rPr>
          <w:t xml:space="preserve">§ 35</w:t>
        </w:r>
      </w:hyperlink>
    </w:p>
    <w:p>
      <w:pPr>
        <w:pStyle w:val="Übersicht"/>
        <w:ind w:left="340"/>
      </w:pPr>
      <w:hyperlink w:anchor="b130" w:history="1">
        <w:r>
          <w:rPr>
            <w:b/>
            <w:color w:val="0A3A8C"/>
            <w:u w:val="single"/>
          </w:rPr>
          <w:t xml:space="preserve">4. Steuerermäßigung bei Aufwendungen für haushaltsnahe Beschäftigungsverhältnisse und für die Inanspruchnahme haushaltsnaher Dienstleistungen</w:t>
        </w:r>
      </w:hyperlink>
    </w:p>
    <w:p>
      <w:pPr>
        <w:pStyle w:val="Übersicht"/>
        <w:ind w:left="680"/>
      </w:pPr>
      <w:hyperlink w:anchor="b131" w:history="1">
        <w:r>
          <w:rPr>
            <w:color w:val="0A3A8C"/>
            <w:u w:val="single"/>
          </w:rPr>
          <w:t xml:space="preserve">§ 35a Steuerermäßigung bei Aufwendungen für haushaltsnahe Beschäftigungsverhältnisse, haushaltsnahe Dienstleistungen und Handwerkerleistungen</w:t>
        </w:r>
      </w:hyperlink>
    </w:p>
    <w:p>
      <w:pPr>
        <w:pStyle w:val="Übersicht"/>
        <w:ind w:left="340"/>
      </w:pPr>
      <w:hyperlink w:anchor="b132" w:history="1">
        <w:r>
          <w:rPr>
            <w:b/>
            <w:color w:val="0A3A8C"/>
            <w:u w:val="single"/>
          </w:rPr>
          <w:t xml:space="preserve">5. Steuerermäßigung bei Belastung mit Erbschaftsteuer</w:t>
        </w:r>
      </w:hyperlink>
    </w:p>
    <w:p>
      <w:pPr>
        <w:pStyle w:val="Übersicht"/>
        <w:ind w:left="680"/>
      </w:pPr>
      <w:hyperlink w:anchor="b133" w:history="1">
        <w:r>
          <w:rPr>
            <w:color w:val="0A3A8C"/>
            <w:u w:val="single"/>
          </w:rPr>
          <w:t xml:space="preserve">§ 35b Steuerermäßigung bei Belastung mit Erbschaftsteuer</w:t>
        </w:r>
      </w:hyperlink>
    </w:p>
    <w:p>
      <w:pPr>
        <w:pStyle w:val="Übersicht"/>
        <w:ind w:left="340"/>
      </w:pPr>
      <w:hyperlink w:anchor="b134" w:history="1">
        <w:r>
          <w:rPr>
            <w:b/>
            <w:color w:val="0A3A8C"/>
            <w:u w:val="single"/>
          </w:rPr>
          <w:t xml:space="preserve">6. Steuerermäßigung für energetische Maßnahmen bei zu eigenen Wohnzwecken genutzten Gebäuden</w:t>
        </w:r>
      </w:hyperlink>
    </w:p>
    <w:p>
      <w:pPr>
        <w:pStyle w:val="Übersicht"/>
        <w:ind w:left="680"/>
      </w:pPr>
      <w:hyperlink w:anchor="b135" w:history="1">
        <w:r>
          <w:rPr>
            <w:color w:val="0A3A8C"/>
            <w:u w:val="single"/>
          </w:rPr>
          <w:t xml:space="preserve">§ 35c Steuerermäßigung für energetische Maßnahmen bei zu eigenen Wohnzwecken genutzten Gebäuden</w:t>
        </w:r>
      </w:hyperlink>
    </w:p>
    <w:p>
      <w:pPr>
        <w:pStyle w:val="Übersicht"/>
        <w:ind w:left="0"/>
      </w:pPr>
      <w:hyperlink w:anchor="b136" w:history="1">
        <w:r>
          <w:rPr>
            <w:b/>
            <w:color w:val="0A3A8C"/>
            <w:u w:val="single"/>
          </w:rPr>
          <w:t xml:space="preserve">VI. Steuererhebung</w:t>
        </w:r>
      </w:hyperlink>
    </w:p>
    <w:p>
      <w:pPr>
        <w:pStyle w:val="Übersicht"/>
        <w:ind w:left="340"/>
      </w:pPr>
      <w:hyperlink w:anchor="b137" w:history="1">
        <w:r>
          <w:rPr>
            <w:b/>
            <w:color w:val="0A3A8C"/>
            <w:u w:val="single"/>
          </w:rPr>
          <w:t xml:space="preserve">1. Erhebung der Einkommensteuer</w:t>
        </w:r>
      </w:hyperlink>
    </w:p>
    <w:p>
      <w:pPr>
        <w:pStyle w:val="Übersicht"/>
        <w:ind w:left="680"/>
      </w:pPr>
      <w:hyperlink w:anchor="b138" w:history="1">
        <w:r>
          <w:rPr>
            <w:color w:val="0A3A8C"/>
            <w:u w:val="single"/>
          </w:rPr>
          <w:t xml:space="preserve">§ 36 Entstehung und Tilgung der Einkommensteuer</w:t>
        </w:r>
      </w:hyperlink>
    </w:p>
    <w:p>
      <w:pPr>
        <w:pStyle w:val="Übersicht"/>
        <w:ind w:left="680"/>
      </w:pPr>
      <w:hyperlink w:anchor="b139" w:history="1">
        <w:r>
          <w:rPr>
            <w:color w:val="0A3A8C"/>
            <w:u w:val="single"/>
          </w:rPr>
          <w:t xml:space="preserve">§ 36a Beschränkung der Anrechenbarkeit der Kapitalertragsteuer</w:t>
        </w:r>
      </w:hyperlink>
    </w:p>
    <w:p>
      <w:pPr>
        <w:pStyle w:val="Übersicht"/>
        <w:ind w:left="680"/>
      </w:pPr>
      <w:hyperlink w:anchor="b140" w:history="1">
        <w:r>
          <w:rPr>
            <w:color w:val="0A3A8C"/>
            <w:u w:val="single"/>
          </w:rPr>
          <w:t xml:space="preserve">§ 37 Einkommensteuer-Vorauszahlung</w:t>
        </w:r>
      </w:hyperlink>
    </w:p>
    <w:p>
      <w:pPr>
        <w:pStyle w:val="Übersicht"/>
        <w:ind w:left="680"/>
      </w:pPr>
      <w:hyperlink w:anchor="b141" w:history="1">
        <w:r>
          <w:rPr>
            <w:color w:val="0A3A8C"/>
            <w:u w:val="single"/>
          </w:rPr>
          <w:t xml:space="preserve">§ 37a Pauschalierung der Einkommensteuer durch Dritte</w:t>
        </w:r>
      </w:hyperlink>
    </w:p>
    <w:p>
      <w:pPr>
        <w:pStyle w:val="Übersicht"/>
        <w:ind w:left="680"/>
      </w:pPr>
      <w:hyperlink w:anchor="b142" w:history="1">
        <w:r>
          <w:rPr>
            <w:color w:val="0A3A8C"/>
            <w:u w:val="single"/>
          </w:rPr>
          <w:t xml:space="preserve">§ 37b Pauschalierung der Einkommensteuer bei Sachzuwendungen</w:t>
        </w:r>
      </w:hyperlink>
    </w:p>
    <w:p>
      <w:pPr>
        <w:pStyle w:val="Übersicht"/>
        <w:ind w:left="340"/>
      </w:pPr>
      <w:hyperlink w:anchor="b143" w:history="1">
        <w:r>
          <w:rPr>
            <w:b/>
            <w:color w:val="0A3A8C"/>
            <w:u w:val="single"/>
          </w:rPr>
          <w:t xml:space="preserve">2. Steuerabzug vom Arbeitslohn (Lohnsteuer)</w:t>
        </w:r>
      </w:hyperlink>
    </w:p>
    <w:p>
      <w:pPr>
        <w:pStyle w:val="Übersicht"/>
        <w:ind w:left="680"/>
      </w:pPr>
      <w:hyperlink w:anchor="b144" w:history="1">
        <w:r>
          <w:rPr>
            <w:color w:val="0A3A8C"/>
            <w:u w:val="single"/>
          </w:rPr>
          <w:t xml:space="preserve">§ 38 Erhebung der Lohnsteuer</w:t>
        </w:r>
      </w:hyperlink>
    </w:p>
    <w:p>
      <w:pPr>
        <w:pStyle w:val="Übersicht"/>
        <w:ind w:left="680"/>
      </w:pPr>
      <w:hyperlink w:anchor="b145" w:history="1">
        <w:r>
          <w:rPr>
            <w:color w:val="0A3A8C"/>
            <w:u w:val="single"/>
          </w:rPr>
          <w:t xml:space="preserve">§ 38a Höhe der Lohnsteuer</w:t>
        </w:r>
      </w:hyperlink>
    </w:p>
    <w:p>
      <w:pPr>
        <w:pStyle w:val="Übersicht"/>
        <w:ind w:left="680"/>
      </w:pPr>
      <w:hyperlink w:anchor="b146" w:history="1">
        <w:r>
          <w:rPr>
            <w:color w:val="0A3A8C"/>
            <w:u w:val="single"/>
          </w:rPr>
          <w:t xml:space="preserve">§ 38b Lohnsteuerklassen, Zahl der Kinderfreibeträge</w:t>
        </w:r>
      </w:hyperlink>
    </w:p>
    <w:p>
      <w:pPr>
        <w:pStyle w:val="Übersicht"/>
        <w:ind w:left="680"/>
      </w:pPr>
      <w:hyperlink w:anchor="b147" w:history="1">
        <w:r>
          <w:rPr>
            <w:color w:val="0A3A8C"/>
            <w:u w:val="single"/>
          </w:rPr>
          <w:t xml:space="preserve">§ 39 Lohnsteuerabzugsmerkmale</w:t>
        </w:r>
      </w:hyperlink>
    </w:p>
    <w:p>
      <w:pPr>
        <w:pStyle w:val="Übersicht"/>
        <w:ind w:left="680"/>
      </w:pPr>
      <w:hyperlink w:anchor="b148" w:history="1">
        <w:r>
          <w:rPr>
            <w:color w:val="0A3A8C"/>
            <w:u w:val="single"/>
          </w:rPr>
          <w:t xml:space="preserve">§ 39a Freibetrag und Hinzurechnungsbetrag</w:t>
        </w:r>
      </w:hyperlink>
    </w:p>
    <w:p>
      <w:pPr>
        <w:pStyle w:val="Übersicht"/>
        <w:ind w:left="680"/>
      </w:pPr>
      <w:hyperlink w:anchor="b149" w:history="1">
        <w:r>
          <w:rPr>
            <w:color w:val="0A3A8C"/>
            <w:u w:val="single"/>
          </w:rPr>
          <w:t xml:space="preserve">§ 39b Einbehaltung der Lohnsteuer</w:t>
        </w:r>
      </w:hyperlink>
    </w:p>
    <w:p>
      <w:pPr>
        <w:pStyle w:val="Übersicht"/>
        <w:ind w:left="680"/>
      </w:pPr>
      <w:hyperlink w:anchor="b150" w:history="1">
        <w:r>
          <w:rPr>
            <w:color w:val="0A3A8C"/>
            <w:u w:val="single"/>
          </w:rPr>
          <w:t xml:space="preserve">§ 39c Einbehaltung der Lohnsteuer ohne Lohnsteuerabzugsmerkmale</w:t>
        </w:r>
      </w:hyperlink>
    </w:p>
    <w:p>
      <w:pPr>
        <w:pStyle w:val="Übersicht"/>
        <w:ind w:left="680"/>
      </w:pPr>
      <w:hyperlink w:anchor="b151" w:history="1">
        <w:r>
          <w:rPr>
            <w:color w:val="0A3A8C"/>
            <w:u w:val="single"/>
          </w:rPr>
          <w:t xml:space="preserve">§ 39d (weggefallen)</w:t>
        </w:r>
      </w:hyperlink>
    </w:p>
    <w:p>
      <w:pPr>
        <w:pStyle w:val="Übersicht"/>
        <w:ind w:left="680"/>
      </w:pPr>
      <w:hyperlink w:anchor="b152" w:history="1">
        <w:r>
          <w:rPr>
            <w:color w:val="0A3A8C"/>
            <w:u w:val="single"/>
          </w:rPr>
          <w:t xml:space="preserve">§ 39e Verfahren zur Bildung und Anwendung der elektronischen Lohnsteuerabzugsmerkmale</w:t>
        </w:r>
      </w:hyperlink>
    </w:p>
    <w:p>
      <w:pPr>
        <w:pStyle w:val="Übersicht"/>
        <w:ind w:left="680"/>
      </w:pPr>
      <w:hyperlink w:anchor="b153" w:history="1">
        <w:r>
          <w:rPr>
            <w:color w:val="0A3A8C"/>
            <w:u w:val="single"/>
          </w:rPr>
          <w:t xml:space="preserve">§ 39f Faktorverfahren anstelle Steuerklassenkombination III/V</w:t>
        </w:r>
      </w:hyperlink>
    </w:p>
    <w:p>
      <w:pPr>
        <w:pStyle w:val="Übersicht"/>
        <w:ind w:left="680"/>
      </w:pPr>
      <w:hyperlink w:anchor="b154" w:history="1">
        <w:r>
          <w:rPr>
            <w:color w:val="0A3A8C"/>
            <w:u w:val="single"/>
          </w:rPr>
          <w:t xml:space="preserve">§ 40 Pauschalierung der Lohnsteuer in besonderen Fällen</w:t>
        </w:r>
      </w:hyperlink>
    </w:p>
    <w:p>
      <w:pPr>
        <w:pStyle w:val="Übersicht"/>
        <w:ind w:left="680"/>
      </w:pPr>
      <w:hyperlink w:anchor="b155" w:history="1">
        <w:r>
          <w:rPr>
            <w:color w:val="0A3A8C"/>
            <w:u w:val="single"/>
          </w:rPr>
          <w:t xml:space="preserve">§ 40a Pauschalierung der Lohnsteuer für Teilzeitbeschäftigte und geringfügig Beschäftigte</w:t>
        </w:r>
      </w:hyperlink>
    </w:p>
    <w:p>
      <w:pPr>
        <w:pStyle w:val="Übersicht"/>
        <w:ind w:left="680"/>
      </w:pPr>
      <w:hyperlink w:anchor="b156" w:history="1">
        <w:r>
          <w:rPr>
            <w:color w:val="0A3A8C"/>
            <w:u w:val="single"/>
          </w:rPr>
          <w:t xml:space="preserve">§ 40b Pauschalierung der Lohnsteuer bei bestimmten Zukunftssicherungsleistungen</w:t>
        </w:r>
      </w:hyperlink>
    </w:p>
    <w:p>
      <w:pPr>
        <w:pStyle w:val="Übersicht"/>
        <w:ind w:left="680"/>
      </w:pPr>
      <w:hyperlink w:anchor="b157" w:history="1">
        <w:r>
          <w:rPr>
            <w:color w:val="0A3A8C"/>
            <w:u w:val="single"/>
          </w:rPr>
          <w:t xml:space="preserve">§ 41 Aufzeichnungspflichten beim Lohnsteuerabzug</w:t>
        </w:r>
      </w:hyperlink>
    </w:p>
    <w:p>
      <w:pPr>
        <w:pStyle w:val="Übersicht"/>
        <w:ind w:left="680"/>
      </w:pPr>
      <w:hyperlink w:anchor="b158" w:history="1">
        <w:r>
          <w:rPr>
            <w:color w:val="0A3A8C"/>
            <w:u w:val="single"/>
          </w:rPr>
          <w:t xml:space="preserve">§ 41a Anmeldung und Abführung der Lohnsteuer</w:t>
        </w:r>
      </w:hyperlink>
    </w:p>
    <w:p>
      <w:pPr>
        <w:pStyle w:val="Übersicht"/>
        <w:ind w:left="680"/>
      </w:pPr>
      <w:hyperlink w:anchor="b159" w:history="1">
        <w:r>
          <w:rPr>
            <w:color w:val="0A3A8C"/>
            <w:u w:val="single"/>
          </w:rPr>
          <w:t xml:space="preserve">§ 41b Abschluss des Lohnsteuerabzugs</w:t>
        </w:r>
      </w:hyperlink>
    </w:p>
    <w:p>
      <w:pPr>
        <w:pStyle w:val="Übersicht"/>
        <w:ind w:left="680"/>
      </w:pPr>
      <w:hyperlink w:anchor="b160" w:history="1">
        <w:r>
          <w:rPr>
            <w:color w:val="0A3A8C"/>
            <w:u w:val="single"/>
          </w:rPr>
          <w:t xml:space="preserve">§ 41c Änderung des Lohnsteuerabzugs</w:t>
        </w:r>
      </w:hyperlink>
    </w:p>
    <w:p>
      <w:pPr>
        <w:pStyle w:val="Übersicht"/>
        <w:ind w:left="680"/>
      </w:pPr>
      <w:hyperlink w:anchor="b161" w:history="1">
        <w:r>
          <w:rPr>
            <w:color w:val="0A3A8C"/>
            <w:u w:val="single"/>
          </w:rPr>
          <w:t xml:space="preserve">§§ 42 und 42a (weggefallen)</w:t>
        </w:r>
      </w:hyperlink>
    </w:p>
    <w:p>
      <w:pPr>
        <w:pStyle w:val="Übersicht"/>
        <w:ind w:left="680"/>
      </w:pPr>
      <w:hyperlink w:anchor="b162" w:history="1">
        <w:r>
          <w:rPr>
            <w:color w:val="0A3A8C"/>
            <w:u w:val="single"/>
          </w:rPr>
          <w:t xml:space="preserve">§ 42b Lohnsteuer-Jahresausgleich durch den Arbeitgeber</w:t>
        </w:r>
      </w:hyperlink>
    </w:p>
    <w:p>
      <w:pPr>
        <w:pStyle w:val="Übersicht"/>
        <w:ind w:left="680"/>
      </w:pPr>
      <w:hyperlink w:anchor="b163" w:history="1">
        <w:r>
          <w:rPr>
            <w:color w:val="0A3A8C"/>
            <w:u w:val="single"/>
          </w:rPr>
          <w:t xml:space="preserve">§ 42c (weggefallen)</w:t>
        </w:r>
      </w:hyperlink>
    </w:p>
    <w:p>
      <w:pPr>
        <w:pStyle w:val="Übersicht"/>
        <w:ind w:left="680"/>
      </w:pPr>
      <w:hyperlink w:anchor="b164" w:history="1">
        <w:r>
          <w:rPr>
            <w:color w:val="0A3A8C"/>
            <w:u w:val="single"/>
          </w:rPr>
          <w:t xml:space="preserve">§ 42d Haftung des Arbeitgebers und Haftung bei Arbeitnehmerüberlassung</w:t>
        </w:r>
      </w:hyperlink>
    </w:p>
    <w:p>
      <w:pPr>
        <w:pStyle w:val="Übersicht"/>
        <w:ind w:left="680"/>
      </w:pPr>
      <w:hyperlink w:anchor="b165" w:history="1">
        <w:r>
          <w:rPr>
            <w:color w:val="0A3A8C"/>
            <w:u w:val="single"/>
          </w:rPr>
          <w:t xml:space="preserve">§ 42e Anrufungsauskunft</w:t>
        </w:r>
      </w:hyperlink>
    </w:p>
    <w:p>
      <w:pPr>
        <w:pStyle w:val="Übersicht"/>
        <w:ind w:left="680"/>
      </w:pPr>
      <w:hyperlink w:anchor="b166" w:history="1">
        <w:r>
          <w:rPr>
            <w:color w:val="0A3A8C"/>
            <w:u w:val="single"/>
          </w:rPr>
          <w:t xml:space="preserve">§ 42f Lohnsteuer-Außenprüfung</w:t>
        </w:r>
      </w:hyperlink>
    </w:p>
    <w:p>
      <w:pPr>
        <w:pStyle w:val="Übersicht"/>
        <w:ind w:left="680"/>
      </w:pPr>
      <w:hyperlink w:anchor="b167" w:history="1">
        <w:r>
          <w:rPr>
            <w:color w:val="0A3A8C"/>
            <w:u w:val="single"/>
          </w:rPr>
          <w:t xml:space="preserve">§ 42g Lohnsteuer-Nachschau</w:t>
        </w:r>
      </w:hyperlink>
    </w:p>
    <w:p>
      <w:pPr>
        <w:pStyle w:val="Übersicht"/>
        <w:ind w:left="340"/>
      </w:pPr>
      <w:hyperlink w:anchor="b168" w:history="1">
        <w:r>
          <w:rPr>
            <w:b/>
            <w:color w:val="0A3A8C"/>
            <w:u w:val="single"/>
          </w:rPr>
          <w:t xml:space="preserve">3. Steuerabzug vom Kapitalertrag (Kapitalertragsteuer)</w:t>
        </w:r>
      </w:hyperlink>
    </w:p>
    <w:p>
      <w:pPr>
        <w:pStyle w:val="Übersicht"/>
        <w:ind w:left="680"/>
      </w:pPr>
      <w:hyperlink w:anchor="b169" w:history="1">
        <w:r>
          <w:rPr>
            <w:color w:val="0A3A8C"/>
            <w:u w:val="single"/>
          </w:rPr>
          <w:t xml:space="preserve">§ 43 Kapitalerträge mit Steuerabzug</w:t>
        </w:r>
      </w:hyperlink>
    </w:p>
    <w:p>
      <w:pPr>
        <w:pStyle w:val="Übersicht"/>
        <w:ind w:left="680"/>
      </w:pPr>
      <w:hyperlink w:anchor="b170" w:history="1">
        <w:r>
          <w:rPr>
            <w:color w:val="0A3A8C"/>
            <w:u w:val="single"/>
          </w:rPr>
          <w:t xml:space="preserve">§ 43a Bemessung der Kapitalertragsteuer</w:t>
        </w:r>
      </w:hyperlink>
    </w:p>
    <w:p>
      <w:pPr>
        <w:pStyle w:val="Übersicht"/>
        <w:ind w:left="680"/>
      </w:pPr>
      <w:hyperlink w:anchor="b171" w:history="1">
        <w:r>
          <w:rPr>
            <w:color w:val="0A3A8C"/>
            <w:u w:val="single"/>
          </w:rPr>
          <w:t xml:space="preserve">§ 43b Bemessung der Kapitalertragsteuer bei bestimmten Gesellschaften</w:t>
        </w:r>
      </w:hyperlink>
    </w:p>
    <w:p>
      <w:pPr>
        <w:pStyle w:val="Übersicht"/>
        <w:ind w:left="680"/>
      </w:pPr>
      <w:hyperlink w:anchor="b172" w:history="1">
        <w:r>
          <w:rPr>
            <w:color w:val="0A3A8C"/>
            <w:u w:val="single"/>
          </w:rPr>
          <w:t xml:space="preserve">§ 44 Entrichtung der Kapitalertragsteuer</w:t>
        </w:r>
      </w:hyperlink>
    </w:p>
    <w:p>
      <w:pPr>
        <w:pStyle w:val="Übersicht"/>
        <w:ind w:left="680"/>
      </w:pPr>
      <w:hyperlink w:anchor="b173" w:history="1">
        <w:r>
          <w:rPr>
            <w:color w:val="0A3A8C"/>
            <w:u w:val="single"/>
          </w:rPr>
          <w:t xml:space="preserve">§ 44a Abstandnahme vom Steuerabzug</w:t>
        </w:r>
      </w:hyperlink>
    </w:p>
    <w:p>
      <w:pPr>
        <w:pStyle w:val="Übersicht"/>
        <w:ind w:left="680"/>
      </w:pPr>
      <w:hyperlink w:anchor="b174" w:history="1">
        <w:r>
          <w:rPr>
            <w:color w:val="0A3A8C"/>
            <w:u w:val="single"/>
          </w:rPr>
          <w:t xml:space="preserve">§ 44b Erstattung der Kapitalertragsteuer</w:t>
        </w:r>
      </w:hyperlink>
    </w:p>
    <w:p>
      <w:pPr>
        <w:pStyle w:val="Übersicht"/>
        <w:ind w:left="680"/>
      </w:pPr>
      <w:hyperlink w:anchor="b175" w:history="1">
        <w:r>
          <w:rPr>
            <w:color w:val="0A3A8C"/>
            <w:u w:val="single"/>
          </w:rPr>
          <w:t xml:space="preserve">§ 45 Ausschluss der Erstattung von Kapitalertragsteuer</w:t>
        </w:r>
      </w:hyperlink>
    </w:p>
    <w:p>
      <w:pPr>
        <w:pStyle w:val="Übersicht"/>
        <w:ind w:left="680"/>
      </w:pPr>
      <w:hyperlink w:anchor="b176" w:history="1">
        <w:r>
          <w:rPr>
            <w:color w:val="0A3A8C"/>
            <w:u w:val="single"/>
          </w:rPr>
          <w:t xml:space="preserve">§ 45a Anmeldung und Bescheinigung der Kapitalertragsteuer</w:t>
        </w:r>
      </w:hyperlink>
    </w:p>
    <w:p>
      <w:pPr>
        <w:pStyle w:val="Übersicht"/>
        <w:ind w:left="680"/>
      </w:pPr>
      <w:hyperlink w:anchor="b177" w:history="1">
        <w:r>
          <w:rPr>
            <w:color w:val="0A3A8C"/>
            <w:u w:val="single"/>
          </w:rPr>
          <w:t xml:space="preserve">§ 45b Angaben zur Bescheinigung und Abführung der Kapitalertragsteuer</w:t>
        </w:r>
      </w:hyperlink>
    </w:p>
    <w:p>
      <w:pPr>
        <w:pStyle w:val="Übersicht"/>
        <w:ind w:left="680"/>
      </w:pPr>
      <w:hyperlink w:anchor="b178" w:history="1">
        <w:r>
          <w:rPr>
            <w:color w:val="0A3A8C"/>
            <w:u w:val="single"/>
          </w:rPr>
          <w:t xml:space="preserve">§ 45c Zusammengefasste Mitteilung zur Bescheinigung und Abführung der Kapitalertragsteuer</w:t>
        </w:r>
      </w:hyperlink>
    </w:p>
    <w:p>
      <w:pPr>
        <w:pStyle w:val="Übersicht"/>
        <w:ind w:left="680"/>
      </w:pPr>
      <w:hyperlink w:anchor="b179" w:history="1">
        <w:r>
          <w:rPr>
            <w:color w:val="0A3A8C"/>
            <w:u w:val="single"/>
          </w:rPr>
          <w:t xml:space="preserve">§ 45d Mitteilungen an das Bundeszentralamt für Steuern</w:t>
        </w:r>
      </w:hyperlink>
    </w:p>
    <w:p>
      <w:pPr>
        <w:pStyle w:val="Übersicht"/>
        <w:ind w:left="680"/>
      </w:pPr>
      <w:hyperlink w:anchor="b180" w:history="1">
        <w:r>
          <w:rPr>
            <w:color w:val="0A3A8C"/>
            <w:u w:val="single"/>
          </w:rPr>
          <w:t xml:space="preserve">§ 45e Ermächtigung für Zinsinformationsverordnung</w:t>
        </w:r>
      </w:hyperlink>
    </w:p>
    <w:p>
      <w:pPr>
        <w:pStyle w:val="Übersicht"/>
        <w:ind w:left="340"/>
      </w:pPr>
      <w:hyperlink w:anchor="b181" w:history="1">
        <w:r>
          <w:rPr>
            <w:b/>
            <w:color w:val="0A3A8C"/>
            <w:u w:val="single"/>
          </w:rPr>
          <w:t xml:space="preserve">4. Veranlagung von Steuerpflichtigen mit steuerabzugspflichtigen Einkünften</w:t>
        </w:r>
      </w:hyperlink>
    </w:p>
    <w:p>
      <w:pPr>
        <w:pStyle w:val="Übersicht"/>
        <w:ind w:left="680"/>
      </w:pPr>
      <w:hyperlink w:anchor="b182" w:history="1">
        <w:r>
          <w:rPr>
            <w:color w:val="0A3A8C"/>
            <w:u w:val="single"/>
          </w:rPr>
          <w:t xml:space="preserve">§ 46 Veranlagung bei Bezug von Einkünften aus nichtselbständiger Arbeit</w:t>
        </w:r>
      </w:hyperlink>
    </w:p>
    <w:p>
      <w:pPr>
        <w:pStyle w:val="Übersicht"/>
        <w:ind w:left="680"/>
      </w:pPr>
      <w:hyperlink w:anchor="b183" w:history="1">
        <w:r>
          <w:rPr>
            <w:color w:val="0A3A8C"/>
            <w:u w:val="single"/>
          </w:rPr>
          <w:t xml:space="preserve">§ 47 (weggefallen)</w:t>
        </w:r>
      </w:hyperlink>
    </w:p>
    <w:p>
      <w:pPr>
        <w:pStyle w:val="Übersicht"/>
        <w:ind w:left="0"/>
      </w:pPr>
      <w:hyperlink w:anchor="b184" w:history="1">
        <w:r>
          <w:rPr>
            <w:b/>
            <w:color w:val="0A3A8C"/>
            <w:u w:val="single"/>
          </w:rPr>
          <w:t xml:space="preserve">VII. Steuerabzug bei Bauleistungen</w:t>
        </w:r>
      </w:hyperlink>
    </w:p>
    <w:p>
      <w:pPr>
        <w:pStyle w:val="Übersicht"/>
        <w:ind w:left="340"/>
      </w:pPr>
      <w:hyperlink w:anchor="b185" w:history="1">
        <w:r>
          <w:rPr>
            <w:color w:val="0A3A8C"/>
            <w:u w:val="single"/>
          </w:rPr>
          <w:t xml:space="preserve">§ 48 Steuerabzug</w:t>
        </w:r>
      </w:hyperlink>
    </w:p>
    <w:p>
      <w:pPr>
        <w:pStyle w:val="Übersicht"/>
        <w:ind w:left="340"/>
      </w:pPr>
      <w:hyperlink w:anchor="b186" w:history="1">
        <w:r>
          <w:rPr>
            <w:color w:val="0A3A8C"/>
            <w:u w:val="single"/>
          </w:rPr>
          <w:t xml:space="preserve">§ 48a Verfahren</w:t>
        </w:r>
      </w:hyperlink>
    </w:p>
    <w:p>
      <w:pPr>
        <w:pStyle w:val="Übersicht"/>
        <w:ind w:left="340"/>
      </w:pPr>
      <w:hyperlink w:anchor="b187" w:history="1">
        <w:r>
          <w:rPr>
            <w:color w:val="0A3A8C"/>
            <w:u w:val="single"/>
          </w:rPr>
          <w:t xml:space="preserve">§ 48b Freistellungsbescheinigung</w:t>
        </w:r>
      </w:hyperlink>
    </w:p>
    <w:p>
      <w:pPr>
        <w:pStyle w:val="Übersicht"/>
        <w:ind w:left="340"/>
      </w:pPr>
      <w:hyperlink w:anchor="b188" w:history="1">
        <w:r>
          <w:rPr>
            <w:color w:val="0A3A8C"/>
            <w:u w:val="single"/>
          </w:rPr>
          <w:t xml:space="preserve">§ 48c Anrechnung</w:t>
        </w:r>
      </w:hyperlink>
    </w:p>
    <w:p>
      <w:pPr>
        <w:pStyle w:val="Übersicht"/>
        <w:ind w:left="340"/>
      </w:pPr>
      <w:hyperlink w:anchor="b189" w:history="1">
        <w:r>
          <w:rPr>
            <w:color w:val="0A3A8C"/>
            <w:u w:val="single"/>
          </w:rPr>
          <w:t xml:space="preserve">§ 48d Besonderheiten im Fall von Doppelbesteuerungsabkommen</w:t>
        </w:r>
      </w:hyperlink>
    </w:p>
    <w:p>
      <w:pPr>
        <w:pStyle w:val="Übersicht"/>
        <w:ind w:left="0"/>
      </w:pPr>
      <w:hyperlink w:anchor="b190" w:history="1">
        <w:r>
          <w:rPr>
            <w:b/>
            <w:color w:val="0A3A8C"/>
            <w:u w:val="single"/>
          </w:rPr>
          <w:t xml:space="preserve">VIII. Besteuerung beschränkt Steuerpflichtiger</w:t>
        </w:r>
      </w:hyperlink>
    </w:p>
    <w:p>
      <w:pPr>
        <w:pStyle w:val="Übersicht"/>
        <w:ind w:left="340"/>
      </w:pPr>
      <w:hyperlink w:anchor="b191" w:history="1">
        <w:r>
          <w:rPr>
            <w:color w:val="0A3A8C"/>
            <w:u w:val="single"/>
          </w:rPr>
          <w:t xml:space="preserve">§ 49 Beschränkt steuerpflichtige Einkünfte</w:t>
        </w:r>
      </w:hyperlink>
    </w:p>
    <w:p>
      <w:pPr>
        <w:pStyle w:val="Übersicht"/>
        <w:ind w:left="340"/>
      </w:pPr>
      <w:hyperlink w:anchor="b192" w:history="1">
        <w:r>
          <w:rPr>
            <w:color w:val="0A3A8C"/>
            <w:u w:val="single"/>
          </w:rPr>
          <w:t xml:space="preserve">§ 50 Sondervorschriften für beschränkt Steuerpflichtige</w:t>
        </w:r>
      </w:hyperlink>
    </w:p>
    <w:p>
      <w:pPr>
        <w:pStyle w:val="Übersicht"/>
        <w:ind w:left="340"/>
      </w:pPr>
      <w:hyperlink w:anchor="b193" w:history="1">
        <w:r>
          <w:rPr>
            <w:color w:val="0A3A8C"/>
            <w:u w:val="single"/>
          </w:rPr>
          <w:t xml:space="preserve">§ 50a Steuerabzug bei beschränkt Steuerpflichtigen</w:t>
        </w:r>
      </w:hyperlink>
    </w:p>
    <w:p>
      <w:pPr>
        <w:pStyle w:val="Übersicht"/>
        <w:ind w:left="0"/>
      </w:pPr>
      <w:hyperlink w:anchor="b194" w:history="1">
        <w:r>
          <w:rPr>
            <w:b/>
            <w:color w:val="0A3A8C"/>
            <w:u w:val="single"/>
          </w:rPr>
          <w:t xml:space="preserve">IX. Sonstige Vorschriften, Bußgeld-, Ermächtigungs- und Schlussvorschriften</w:t>
        </w:r>
      </w:hyperlink>
    </w:p>
    <w:p>
      <w:pPr>
        <w:pStyle w:val="Übersicht"/>
        <w:ind w:left="340"/>
      </w:pPr>
      <w:hyperlink w:anchor="b195" w:history="1">
        <w:r>
          <w:rPr>
            <w:color w:val="0A3A8C"/>
            <w:u w:val="single"/>
          </w:rPr>
          <w:t xml:space="preserve">§ 50b Prüfungsrecht</w:t>
        </w:r>
      </w:hyperlink>
    </w:p>
    <w:p>
      <w:pPr>
        <w:pStyle w:val="Übersicht"/>
        <w:ind w:left="340"/>
      </w:pPr>
      <w:hyperlink w:anchor="b196" w:history="1">
        <w:r>
          <w:rPr>
            <w:color w:val="0A3A8C"/>
            <w:u w:val="single"/>
          </w:rPr>
          <w:t xml:space="preserve">§ 50c Entlastung vom Steuerabzug in bestimmten Fällen</w:t>
        </w:r>
      </w:hyperlink>
    </w:p>
    <w:p>
      <w:pPr>
        <w:pStyle w:val="Übersicht"/>
        <w:ind w:left="340"/>
      </w:pPr>
      <w:hyperlink w:anchor="b197" w:history="1">
        <w:r>
          <w:rPr>
            <w:color w:val="0A3A8C"/>
            <w:u w:val="single"/>
          </w:rPr>
          <w:t xml:space="preserve">§ 50d Anwendung von Abkommen zur Vermeidung der Doppelbesteuerung</w:t>
        </w:r>
      </w:hyperlink>
    </w:p>
    <w:p>
      <w:pPr>
        <w:pStyle w:val="Übersicht"/>
        <w:ind w:left="340"/>
      </w:pPr>
      <w:hyperlink w:anchor="b198" w:history="1">
        <w:r>
          <w:rPr>
            <w:color w:val="0A3A8C"/>
            <w:u w:val="single"/>
          </w:rPr>
          <w:t xml:space="preserve">§ 50e Bußgeldvorschriften; Nichtverfolgung von Steuerstraftaten bei geringfügiger Beschäftigung in Privathaushalten</w:t>
        </w:r>
      </w:hyperlink>
    </w:p>
    <w:p>
      <w:pPr>
        <w:pStyle w:val="Übersicht"/>
        <w:ind w:left="340"/>
      </w:pPr>
      <w:hyperlink w:anchor="b199" w:history="1">
        <w:r>
          <w:rPr>
            <w:color w:val="0A3A8C"/>
            <w:u w:val="single"/>
          </w:rPr>
          <w:t xml:space="preserve">§ 50f Bußgeldvorschriften</w:t>
        </w:r>
      </w:hyperlink>
    </w:p>
    <w:p>
      <w:pPr>
        <w:pStyle w:val="Übersicht"/>
        <w:ind w:left="340"/>
      </w:pPr>
      <w:hyperlink w:anchor="b200" w:history="1">
        <w:r>
          <w:rPr>
            <w:color w:val="0A3A8C"/>
            <w:u w:val="single"/>
          </w:rPr>
          <w:t xml:space="preserve">§ 50g Entlastung vom Steuerabzug bei Zahlungen von Zinsen und Lizenzgebühren zwischen verbundenen Unternehmen verschiedener Mitgliedstaaten der Europäischen Union</w:t>
        </w:r>
      </w:hyperlink>
    </w:p>
    <w:p>
      <w:pPr>
        <w:pStyle w:val="Übersicht"/>
        <w:ind w:left="340"/>
      </w:pPr>
      <w:hyperlink w:anchor="b201" w:history="1">
        <w:r>
          <w:rPr>
            <w:color w:val="0A3A8C"/>
            <w:u w:val="single"/>
          </w:rPr>
          <w:t xml:space="preserve">§ 50h Bestätigung für Zwecke der Entlastung von Quellensteuern in einem anderen Mitgliedstaat der Europäischen Union oder der Schweizerischen Eidgenossenschaft</w:t>
        </w:r>
      </w:hyperlink>
    </w:p>
    <w:p>
      <w:pPr>
        <w:pStyle w:val="Übersicht"/>
        <w:ind w:left="340"/>
      </w:pPr>
      <w:hyperlink w:anchor="b202" w:history="1">
        <w:r>
          <w:rPr>
            <w:color w:val="0A3A8C"/>
            <w:u w:val="single"/>
          </w:rPr>
          <w:t xml:space="preserve">§ 50i Besteuerung bestimmter Einkünfte und Anwendung von Doppelbesteuerungsabkommen</w:t>
        </w:r>
      </w:hyperlink>
    </w:p>
    <w:p>
      <w:pPr>
        <w:pStyle w:val="Übersicht"/>
        <w:ind w:left="340"/>
      </w:pPr>
      <w:hyperlink w:anchor="b203" w:history="1">
        <w:r>
          <w:rPr>
            <w:color w:val="0A3A8C"/>
            <w:u w:val="single"/>
          </w:rPr>
          <w:t xml:space="preserve">§ 50j Versagung der Entlastung von Kapitalertragsteuern in bestimmten Fällen</w:t>
        </w:r>
      </w:hyperlink>
    </w:p>
    <w:p>
      <w:pPr>
        <w:pStyle w:val="Übersicht"/>
        <w:ind w:left="340"/>
      </w:pPr>
      <w:hyperlink w:anchor="b204" w:history="1">
        <w:r>
          <w:rPr>
            <w:color w:val="0A3A8C"/>
            <w:u w:val="single"/>
          </w:rPr>
          <w:t xml:space="preserve">§ 51 Ermächtigungen</w:t>
        </w:r>
      </w:hyperlink>
    </w:p>
    <w:p>
      <w:pPr>
        <w:pStyle w:val="Übersicht"/>
        <w:ind w:left="340"/>
      </w:pPr>
      <w:hyperlink w:anchor="b205" w:history="1">
        <w:r>
          <w:rPr>
            <w:color w:val="0A3A8C"/>
            <w:u w:val="single"/>
          </w:rPr>
          <w:t xml:space="preserve">§ 51a Festsetzung und Erhebung von Zuschlagsteuern</w:t>
        </w:r>
      </w:hyperlink>
    </w:p>
    <w:p>
      <w:pPr>
        <w:pStyle w:val="Übersicht"/>
        <w:ind w:left="340"/>
      </w:pPr>
      <w:hyperlink w:anchor="b206" w:history="1">
        <w:r>
          <w:rPr>
            <w:color w:val="0A3A8C"/>
            <w:u w:val="single"/>
          </w:rPr>
          <w:t xml:space="preserve">§ 52 Anwendungsvorschriften</w:t>
        </w:r>
      </w:hyperlink>
    </w:p>
    <w:p>
      <w:pPr>
        <w:pStyle w:val="Übersicht"/>
        <w:ind w:left="340"/>
      </w:pPr>
      <w:hyperlink w:anchor="b207" w:history="1">
        <w:r>
          <w:rPr>
            <w:color w:val="0A3A8C"/>
            <w:u w:val="single"/>
          </w:rPr>
          <w:t xml:space="preserve">§ 52a (weggefallen)</w:t>
        </w:r>
      </w:hyperlink>
    </w:p>
    <w:p>
      <w:pPr>
        <w:pStyle w:val="Übersicht"/>
        <w:ind w:left="340"/>
      </w:pPr>
      <w:hyperlink w:anchor="b208" w:history="1">
        <w:r>
          <w:rPr>
            <w:color w:val="0A3A8C"/>
            <w:u w:val="single"/>
          </w:rPr>
          <w:t xml:space="preserve">§ 52b (weggefallen)</w:t>
        </w:r>
      </w:hyperlink>
    </w:p>
    <w:p>
      <w:pPr>
        <w:pStyle w:val="Übersicht"/>
        <w:ind w:left="340"/>
      </w:pPr>
      <w:hyperlink w:anchor="b209" w:history="1">
        <w:r>
          <w:rPr>
            <w:color w:val="0A3A8C"/>
            <w:u w:val="single"/>
          </w:rPr>
          <w:t xml:space="preserve">§ 53 (weggefallen)</w:t>
        </w:r>
      </w:hyperlink>
    </w:p>
    <w:p>
      <w:pPr>
        <w:pStyle w:val="Übersicht"/>
        <w:ind w:left="340"/>
      </w:pPr>
      <w:hyperlink w:anchor="b210" w:history="1">
        <w:r>
          <w:rPr>
            <w:color w:val="0A3A8C"/>
            <w:u w:val="single"/>
          </w:rPr>
          <w:t xml:space="preserve">§ 54 (weggefallen)</w:t>
        </w:r>
      </w:hyperlink>
    </w:p>
    <w:p>
      <w:pPr>
        <w:pStyle w:val="Übersicht"/>
        <w:ind w:left="340"/>
      </w:pPr>
      <w:hyperlink w:anchor="b211" w:history="1">
        <w:r>
          <w:rPr>
            <w:color w:val="0A3A8C"/>
            <w:u w:val="single"/>
          </w:rPr>
          <w:t xml:space="preserve">§ 55 Schlussvorschriften (Sondervorschriften für die Gewinnermittlung nach § 4 oder nach Durchschnittssätzen bei vor dem 1. Juli 1970 angeschafftem Grund und Boden)</w:t>
        </w:r>
      </w:hyperlink>
    </w:p>
    <w:p>
      <w:pPr>
        <w:pStyle w:val="Übersicht"/>
        <w:ind w:left="340"/>
      </w:pPr>
      <w:hyperlink w:anchor="b212" w:history="1">
        <w:r>
          <w:rPr>
            <w:color w:val="0A3A8C"/>
            <w:u w:val="single"/>
          </w:rPr>
          <w:t xml:space="preserve">§ 56 Sondervorschriften für Steuerpflichtige in dem in Artikel 3 des Einigungsvertrages genannten Gebiet</w:t>
        </w:r>
      </w:hyperlink>
    </w:p>
    <w:p>
      <w:pPr>
        <w:pStyle w:val="Übersicht"/>
        <w:ind w:left="340"/>
      </w:pPr>
      <w:hyperlink w:anchor="b213" w:history="1">
        <w:r>
          <w:rPr>
            <w:color w:val="0A3A8C"/>
            <w:u w:val="single"/>
          </w:rPr>
          <w:t xml:space="preserve">§ 57 Besondere Anwendungsregeln aus Anlass der Herstellung der Einheit Deutschlands</w:t>
        </w:r>
      </w:hyperlink>
    </w:p>
    <w:p>
      <w:pPr>
        <w:pStyle w:val="Übersicht"/>
        <w:ind w:left="340"/>
      </w:pPr>
      <w:hyperlink w:anchor="b214" w:history="1">
        <w:r>
          <w:rPr>
            <w:color w:val="0A3A8C"/>
            <w:u w:val="single"/>
          </w:rPr>
          <w:t xml:space="preserve">§ 58 Weitere Anwendung von Rechtsvorschriften, die vor Herstellung der Einheit Deutschlands in dem in Artikel 3 des Einigungsvertrages genannten Gebiet gegolten haben</w:t>
        </w:r>
      </w:hyperlink>
    </w:p>
    <w:p>
      <w:pPr>
        <w:pStyle w:val="Übersicht"/>
        <w:ind w:left="340"/>
      </w:pPr>
      <w:hyperlink w:anchor="b215" w:history="1">
        <w:r>
          <w:rPr>
            <w:color w:val="0A3A8C"/>
            <w:u w:val="single"/>
          </w:rPr>
          <w:t xml:space="preserve">§§ 59 bis 61 (weggefallen)</w:t>
        </w:r>
      </w:hyperlink>
    </w:p>
    <w:p>
      <w:pPr>
        <w:pStyle w:val="Übersicht"/>
        <w:ind w:left="0"/>
      </w:pPr>
      <w:hyperlink w:anchor="b216" w:history="1">
        <w:r>
          <w:rPr>
            <w:b/>
            <w:color w:val="0A3A8C"/>
            <w:u w:val="single"/>
          </w:rPr>
          <w:t xml:space="preserve">X. Kindergeld</w:t>
        </w:r>
      </w:hyperlink>
    </w:p>
    <w:p>
      <w:pPr>
        <w:pStyle w:val="Übersicht"/>
        <w:ind w:left="340"/>
      </w:pPr>
      <w:hyperlink w:anchor="b217" w:history="1">
        <w:r>
          <w:rPr>
            <w:color w:val="0A3A8C"/>
            <w:u w:val="single"/>
          </w:rPr>
          <w:t xml:space="preserve">§ 62 Anspruchsberechtigte</w:t>
        </w:r>
      </w:hyperlink>
    </w:p>
    <w:p>
      <w:pPr>
        <w:pStyle w:val="Übersicht"/>
        <w:ind w:left="340"/>
      </w:pPr>
      <w:hyperlink w:anchor="b218" w:history="1">
        <w:r>
          <w:rPr>
            <w:color w:val="0A3A8C"/>
            <w:u w:val="single"/>
          </w:rPr>
          <w:t xml:space="preserve">§ 63 Kinder</w:t>
        </w:r>
      </w:hyperlink>
    </w:p>
    <w:p>
      <w:pPr>
        <w:pStyle w:val="Übersicht"/>
        <w:ind w:left="340"/>
      </w:pPr>
      <w:hyperlink w:anchor="b219" w:history="1">
        <w:r>
          <w:rPr>
            <w:color w:val="0A3A8C"/>
            <w:u w:val="single"/>
          </w:rPr>
          <w:t xml:space="preserve">§ 64 Zusammentreffen mehrerer Ansprüche</w:t>
        </w:r>
      </w:hyperlink>
    </w:p>
    <w:p>
      <w:pPr>
        <w:pStyle w:val="Übersicht"/>
        <w:ind w:left="340"/>
      </w:pPr>
      <w:hyperlink w:anchor="b220" w:history="1">
        <w:r>
          <w:rPr>
            <w:color w:val="0A3A8C"/>
            <w:u w:val="single"/>
          </w:rPr>
          <w:t xml:space="preserve">§ 65 Andere Leistungen für Kinder</w:t>
        </w:r>
      </w:hyperlink>
    </w:p>
    <w:p>
      <w:pPr>
        <w:pStyle w:val="Übersicht"/>
        <w:ind w:left="340"/>
      </w:pPr>
      <w:hyperlink w:anchor="b221" w:history="1">
        <w:r>
          <w:rPr>
            <w:color w:val="0A3A8C"/>
            <w:u w:val="single"/>
          </w:rPr>
          <w:t xml:space="preserve">§ 66 Höhe des Kindergeldes, Zahlungszeitraum</w:t>
        </w:r>
      </w:hyperlink>
    </w:p>
    <w:p>
      <w:pPr>
        <w:pStyle w:val="Übersicht"/>
        <w:ind w:left="340"/>
      </w:pPr>
      <w:hyperlink w:anchor="b222" w:history="1">
        <w:r>
          <w:rPr>
            <w:color w:val="0A3A8C"/>
            <w:u w:val="single"/>
          </w:rPr>
          <w:t xml:space="preserve">§ 67 Antrag</w:t>
        </w:r>
      </w:hyperlink>
    </w:p>
    <w:p>
      <w:pPr>
        <w:pStyle w:val="Übersicht"/>
        <w:ind w:left="340"/>
      </w:pPr>
      <w:hyperlink w:anchor="b223" w:history="1">
        <w:r>
          <w:rPr>
            <w:color w:val="0A3A8C"/>
            <w:u w:val="single"/>
          </w:rPr>
          <w:t xml:space="preserve">§ 68 Besondere Mitwirkungspflichten und Offenbarungsbefugnis</w:t>
        </w:r>
      </w:hyperlink>
    </w:p>
    <w:p>
      <w:pPr>
        <w:pStyle w:val="Übersicht"/>
        <w:ind w:left="340"/>
      </w:pPr>
      <w:hyperlink w:anchor="b224" w:history="1">
        <w:r>
          <w:rPr>
            <w:color w:val="0A3A8C"/>
            <w:u w:val="single"/>
          </w:rPr>
          <w:t xml:space="preserve">§ 69 Datenübermittlung an die Familienkassen</w:t>
        </w:r>
      </w:hyperlink>
    </w:p>
    <w:p>
      <w:pPr>
        <w:pStyle w:val="Übersicht"/>
        <w:ind w:left="340"/>
      </w:pPr>
      <w:hyperlink w:anchor="b225" w:history="1">
        <w:r>
          <w:rPr>
            <w:color w:val="0A3A8C"/>
            <w:u w:val="single"/>
          </w:rPr>
          <w:t xml:space="preserve">§ 70 Festsetzung und Zahlung des Kindergeldes</w:t>
        </w:r>
      </w:hyperlink>
    </w:p>
    <w:p>
      <w:pPr>
        <w:pStyle w:val="Übersicht"/>
        <w:ind w:left="340"/>
      </w:pPr>
      <w:hyperlink w:anchor="b226" w:history="1">
        <w:r>
          <w:rPr>
            <w:color w:val="0A3A8C"/>
            <w:u w:val="single"/>
          </w:rPr>
          <w:t xml:space="preserve">§ 71 Vorläufige Einstellung der Zahlung des Kindergeldes</w:t>
        </w:r>
      </w:hyperlink>
    </w:p>
    <w:p>
      <w:pPr>
        <w:pStyle w:val="Übersicht"/>
        <w:ind w:left="340"/>
      </w:pPr>
      <w:hyperlink w:anchor="b227" w:history="1">
        <w:r>
          <w:rPr>
            <w:color w:val="0A3A8C"/>
            <w:u w:val="single"/>
          </w:rPr>
          <w:t xml:space="preserve">§ 72 (weggefallen)</w:t>
        </w:r>
      </w:hyperlink>
    </w:p>
    <w:p>
      <w:pPr>
        <w:pStyle w:val="Übersicht"/>
        <w:ind w:left="340"/>
      </w:pPr>
      <w:hyperlink w:anchor="b228" w:history="1">
        <w:r>
          <w:rPr>
            <w:color w:val="0A3A8C"/>
            <w:u w:val="single"/>
          </w:rPr>
          <w:t xml:space="preserve">§ 73 (weggefallen)</w:t>
        </w:r>
      </w:hyperlink>
    </w:p>
    <w:p>
      <w:pPr>
        <w:pStyle w:val="Übersicht"/>
        <w:ind w:left="340"/>
      </w:pPr>
      <w:hyperlink w:anchor="b229" w:history="1">
        <w:r>
          <w:rPr>
            <w:color w:val="0A3A8C"/>
            <w:u w:val="single"/>
          </w:rPr>
          <w:t xml:space="preserve">§ 74 Zahlung des Kindergeldes in Sonderfällen</w:t>
        </w:r>
      </w:hyperlink>
    </w:p>
    <w:p>
      <w:pPr>
        <w:pStyle w:val="Übersicht"/>
        <w:ind w:left="340"/>
      </w:pPr>
      <w:hyperlink w:anchor="b230" w:history="1">
        <w:r>
          <w:rPr>
            <w:color w:val="0A3A8C"/>
            <w:u w:val="single"/>
          </w:rPr>
          <w:t xml:space="preserve">§ 75 Aufrechnung</w:t>
        </w:r>
      </w:hyperlink>
    </w:p>
    <w:p>
      <w:pPr>
        <w:pStyle w:val="Übersicht"/>
        <w:ind w:left="340"/>
      </w:pPr>
      <w:hyperlink w:anchor="b231" w:history="1">
        <w:r>
          <w:rPr>
            <w:color w:val="0A3A8C"/>
            <w:u w:val="single"/>
          </w:rPr>
          <w:t xml:space="preserve">§ 76 Pfändung</w:t>
        </w:r>
      </w:hyperlink>
    </w:p>
    <w:p>
      <w:pPr>
        <w:pStyle w:val="Übersicht"/>
        <w:ind w:left="340"/>
      </w:pPr>
      <w:hyperlink w:anchor="b232" w:history="1">
        <w:r>
          <w:rPr>
            <w:color w:val="0A3A8C"/>
            <w:u w:val="single"/>
          </w:rPr>
          <w:t xml:space="preserve">§ 76a (weggefallen)</w:t>
        </w:r>
      </w:hyperlink>
    </w:p>
    <w:p>
      <w:pPr>
        <w:pStyle w:val="Übersicht"/>
        <w:ind w:left="340"/>
      </w:pPr>
      <w:hyperlink w:anchor="b233" w:history="1">
        <w:r>
          <w:rPr>
            <w:color w:val="0A3A8C"/>
            <w:u w:val="single"/>
          </w:rPr>
          <w:t xml:space="preserve">§ 77 Erstattung von Kosten im Vorverfahren</w:t>
        </w:r>
      </w:hyperlink>
    </w:p>
    <w:p>
      <w:pPr>
        <w:pStyle w:val="Übersicht"/>
        <w:ind w:left="340"/>
      </w:pPr>
      <w:hyperlink w:anchor="b234" w:history="1">
        <w:r>
          <w:rPr>
            <w:color w:val="0A3A8C"/>
            <w:u w:val="single"/>
          </w:rPr>
          <w:t xml:space="preserve">§ 78 Übergangsregelungen</w:t>
        </w:r>
      </w:hyperlink>
    </w:p>
    <w:p>
      <w:pPr>
        <w:pStyle w:val="Übersicht"/>
        <w:ind w:left="0"/>
      </w:pPr>
      <w:hyperlink w:anchor="b235" w:history="1">
        <w:r>
          <w:rPr>
            <w:b/>
            <w:color w:val="0A3A8C"/>
            <w:u w:val="single"/>
          </w:rPr>
          <w:t xml:space="preserve">XI. Altersvorsorgezulage</w:t>
        </w:r>
      </w:hyperlink>
    </w:p>
    <w:p>
      <w:pPr>
        <w:pStyle w:val="Übersicht"/>
        <w:ind w:left="340"/>
      </w:pPr>
      <w:hyperlink w:anchor="b236" w:history="1">
        <w:r>
          <w:rPr>
            <w:color w:val="0A3A8C"/>
            <w:u w:val="single"/>
          </w:rPr>
          <w:t xml:space="preserve">§ 79 Zulageberechtigte</w:t>
        </w:r>
      </w:hyperlink>
    </w:p>
    <w:p>
      <w:pPr>
        <w:pStyle w:val="Übersicht"/>
        <w:ind w:left="340"/>
      </w:pPr>
      <w:hyperlink w:anchor="b237" w:history="1">
        <w:r>
          <w:rPr>
            <w:color w:val="0A3A8C"/>
            <w:u w:val="single"/>
          </w:rPr>
          <w:t xml:space="preserve">§ 80 Anbieter</w:t>
        </w:r>
      </w:hyperlink>
    </w:p>
    <w:p>
      <w:pPr>
        <w:pStyle w:val="Übersicht"/>
        <w:ind w:left="340"/>
      </w:pPr>
      <w:hyperlink w:anchor="b238" w:history="1">
        <w:r>
          <w:rPr>
            <w:color w:val="0A3A8C"/>
            <w:u w:val="single"/>
          </w:rPr>
          <w:t xml:space="preserve">§ 81 Zentrale Stelle</w:t>
        </w:r>
      </w:hyperlink>
    </w:p>
    <w:p>
      <w:pPr>
        <w:pStyle w:val="Übersicht"/>
        <w:ind w:left="340"/>
      </w:pPr>
      <w:hyperlink w:anchor="b239" w:history="1">
        <w:r>
          <w:rPr>
            <w:color w:val="0A3A8C"/>
            <w:u w:val="single"/>
          </w:rPr>
          <w:t xml:space="preserve">§ 81a Zuständige Stelle</w:t>
        </w:r>
      </w:hyperlink>
    </w:p>
    <w:p>
      <w:pPr>
        <w:pStyle w:val="Übersicht"/>
        <w:ind w:left="340"/>
      </w:pPr>
      <w:hyperlink w:anchor="b240" w:history="1">
        <w:r>
          <w:rPr>
            <w:color w:val="0A3A8C"/>
            <w:u w:val="single"/>
          </w:rPr>
          <w:t xml:space="preserve">§ 82 Altersvorsorgebeiträge</w:t>
        </w:r>
      </w:hyperlink>
    </w:p>
    <w:p>
      <w:pPr>
        <w:pStyle w:val="Übersicht"/>
        <w:ind w:left="340"/>
      </w:pPr>
      <w:hyperlink w:anchor="b241" w:history="1">
        <w:r>
          <w:rPr>
            <w:color w:val="0A3A8C"/>
            <w:u w:val="single"/>
          </w:rPr>
          <w:t xml:space="preserve">§ 83 Altersvorsorgezulage</w:t>
        </w:r>
      </w:hyperlink>
    </w:p>
    <w:p>
      <w:pPr>
        <w:pStyle w:val="Übersicht"/>
        <w:ind w:left="340"/>
      </w:pPr>
      <w:hyperlink w:anchor="b242" w:history="1">
        <w:r>
          <w:rPr>
            <w:color w:val="0A3A8C"/>
            <w:u w:val="single"/>
          </w:rPr>
          <w:t xml:space="preserve">§ 84 Grundzulage</w:t>
        </w:r>
      </w:hyperlink>
    </w:p>
    <w:p>
      <w:pPr>
        <w:pStyle w:val="Übersicht"/>
        <w:ind w:left="340"/>
      </w:pPr>
      <w:hyperlink w:anchor="b243" w:history="1">
        <w:r>
          <w:rPr>
            <w:color w:val="0A3A8C"/>
            <w:u w:val="single"/>
          </w:rPr>
          <w:t xml:space="preserve">§ 85 Kinderzulage</w:t>
        </w:r>
      </w:hyperlink>
    </w:p>
    <w:p>
      <w:pPr>
        <w:pStyle w:val="Übersicht"/>
        <w:ind w:left="340"/>
      </w:pPr>
      <w:hyperlink w:anchor="b244" w:history="1">
        <w:r>
          <w:rPr>
            <w:color w:val="0A3A8C"/>
            <w:u w:val="single"/>
          </w:rPr>
          <w:t xml:space="preserve">§ 86 Mindesteigenbeitrag</w:t>
        </w:r>
      </w:hyperlink>
    </w:p>
    <w:p>
      <w:pPr>
        <w:pStyle w:val="Übersicht"/>
        <w:ind w:left="340"/>
      </w:pPr>
      <w:hyperlink w:anchor="b245" w:history="1">
        <w:r>
          <w:rPr>
            <w:color w:val="0A3A8C"/>
            <w:u w:val="single"/>
          </w:rPr>
          <w:t xml:space="preserve">§ 87 Zusammentreffen mehrerer Verträge</w:t>
        </w:r>
      </w:hyperlink>
    </w:p>
    <w:p>
      <w:pPr>
        <w:pStyle w:val="Übersicht"/>
        <w:ind w:left="340"/>
      </w:pPr>
      <w:hyperlink w:anchor="b246" w:history="1">
        <w:r>
          <w:rPr>
            <w:color w:val="0A3A8C"/>
            <w:u w:val="single"/>
          </w:rPr>
          <w:t xml:space="preserve">§ 88 Entstehung des Anspruchs auf Zulage</w:t>
        </w:r>
      </w:hyperlink>
    </w:p>
    <w:p>
      <w:pPr>
        <w:pStyle w:val="Übersicht"/>
        <w:ind w:left="340"/>
      </w:pPr>
      <w:hyperlink w:anchor="b247" w:history="1">
        <w:r>
          <w:rPr>
            <w:color w:val="0A3A8C"/>
            <w:u w:val="single"/>
          </w:rPr>
          <w:t xml:space="preserve">§ 89 Antrag</w:t>
        </w:r>
      </w:hyperlink>
    </w:p>
    <w:p>
      <w:pPr>
        <w:pStyle w:val="Übersicht"/>
        <w:ind w:left="340"/>
      </w:pPr>
      <w:hyperlink w:anchor="b248" w:history="1">
        <w:r>
          <w:rPr>
            <w:color w:val="0A3A8C"/>
            <w:u w:val="single"/>
          </w:rPr>
          <w:t xml:space="preserve">§ 90 Verfahren</w:t>
        </w:r>
      </w:hyperlink>
    </w:p>
    <w:p>
      <w:pPr>
        <w:pStyle w:val="Übersicht"/>
        <w:ind w:left="340"/>
      </w:pPr>
      <w:hyperlink w:anchor="b249" w:history="1">
        <w:r>
          <w:rPr>
            <w:color w:val="0A3A8C"/>
            <w:u w:val="single"/>
          </w:rPr>
          <w:t xml:space="preserve">§ 91 Datenerhebung und Datenabgleich</w:t>
        </w:r>
      </w:hyperlink>
    </w:p>
    <w:p>
      <w:pPr>
        <w:pStyle w:val="Übersicht"/>
        <w:ind w:left="340"/>
      </w:pPr>
      <w:hyperlink w:anchor="b250" w:history="1">
        <w:r>
          <w:rPr>
            <w:color w:val="0A3A8C"/>
            <w:u w:val="single"/>
          </w:rPr>
          <w:t xml:space="preserve">§ 92 Bescheinigung</w:t>
        </w:r>
      </w:hyperlink>
    </w:p>
    <w:p>
      <w:pPr>
        <w:pStyle w:val="Übersicht"/>
        <w:ind w:left="340"/>
      </w:pPr>
      <w:hyperlink w:anchor="b251" w:history="1">
        <w:r>
          <w:rPr>
            <w:color w:val="0A3A8C"/>
            <w:u w:val="single"/>
          </w:rPr>
          <w:t xml:space="preserve">§ 92a Verwendung für eine selbst genutzte Wohnung</w:t>
        </w:r>
      </w:hyperlink>
    </w:p>
    <w:p>
      <w:pPr>
        <w:pStyle w:val="Übersicht"/>
        <w:ind w:left="340"/>
      </w:pPr>
      <w:hyperlink w:anchor="b252" w:history="1">
        <w:r>
          <w:rPr>
            <w:color w:val="0A3A8C"/>
            <w:u w:val="single"/>
          </w:rPr>
          <w:t xml:space="preserve">§ 92b Verfahren bei Verwendung für eine selbst genutzte Wohnung</w:t>
        </w:r>
      </w:hyperlink>
    </w:p>
    <w:p>
      <w:pPr>
        <w:pStyle w:val="Übersicht"/>
        <w:ind w:left="340"/>
      </w:pPr>
      <w:hyperlink w:anchor="b253" w:history="1">
        <w:r>
          <w:rPr>
            <w:color w:val="0A3A8C"/>
            <w:u w:val="single"/>
          </w:rPr>
          <w:t xml:space="preserve">§ 93 Schädliche Verwendung</w:t>
        </w:r>
      </w:hyperlink>
    </w:p>
    <w:p>
      <w:pPr>
        <w:pStyle w:val="Übersicht"/>
        <w:ind w:left="340"/>
      </w:pPr>
      <w:hyperlink w:anchor="b254" w:history="1">
        <w:r>
          <w:rPr>
            <w:color w:val="0A3A8C"/>
            <w:u w:val="single"/>
          </w:rPr>
          <w:t xml:space="preserve">§ 94 Verfahren bei schädlicher Verwendung</w:t>
        </w:r>
      </w:hyperlink>
    </w:p>
    <w:p>
      <w:pPr>
        <w:pStyle w:val="Übersicht"/>
        <w:ind w:left="340"/>
      </w:pPr>
      <w:hyperlink w:anchor="b255" w:history="1">
        <w:r>
          <w:rPr>
            <w:color w:val="0A3A8C"/>
            <w:u w:val="single"/>
          </w:rPr>
          <w:t xml:space="preserve">§ 95 Sonderfälle der Rückzahlung</w:t>
        </w:r>
      </w:hyperlink>
    </w:p>
    <w:p>
      <w:pPr>
        <w:pStyle w:val="Übersicht"/>
        <w:ind w:left="340"/>
      </w:pPr>
      <w:hyperlink w:anchor="b256" w:history="1">
        <w:r>
          <w:rPr>
            <w:color w:val="0A3A8C"/>
            <w:u w:val="single"/>
          </w:rPr>
          <w:t xml:space="preserve">§ 96 Anwendung der Abgabenordnung, allgemeine Vorschriften</w:t>
        </w:r>
      </w:hyperlink>
    </w:p>
    <w:p>
      <w:pPr>
        <w:pStyle w:val="Übersicht"/>
        <w:ind w:left="340"/>
      </w:pPr>
      <w:hyperlink w:anchor="b257" w:history="1">
        <w:r>
          <w:rPr>
            <w:color w:val="0A3A8C"/>
            <w:u w:val="single"/>
          </w:rPr>
          <w:t xml:space="preserve">§ 97 Übertragbarkeit</w:t>
        </w:r>
      </w:hyperlink>
    </w:p>
    <w:p>
      <w:pPr>
        <w:pStyle w:val="Übersicht"/>
        <w:ind w:left="340"/>
      </w:pPr>
      <w:hyperlink w:anchor="b258" w:history="1">
        <w:r>
          <w:rPr>
            <w:color w:val="0A3A8C"/>
            <w:u w:val="single"/>
          </w:rPr>
          <w:t xml:space="preserve">§ 98 Rechtsweg</w:t>
        </w:r>
      </w:hyperlink>
    </w:p>
    <w:p>
      <w:pPr>
        <w:pStyle w:val="Übersicht"/>
        <w:ind w:left="340"/>
      </w:pPr>
      <w:hyperlink w:anchor="b259" w:history="1">
        <w:r>
          <w:rPr>
            <w:color w:val="0A3A8C"/>
            <w:u w:val="single"/>
          </w:rPr>
          <w:t xml:space="preserve">§ 99 Ermächtigung</w:t>
        </w:r>
      </w:hyperlink>
    </w:p>
    <w:p>
      <w:pPr>
        <w:pStyle w:val="Übersicht"/>
        <w:ind w:left="0"/>
      </w:pPr>
      <w:hyperlink w:anchor="b260" w:history="1">
        <w:r>
          <w:rPr>
            <w:b/>
            <w:color w:val="0A3A8C"/>
            <w:u w:val="single"/>
          </w:rPr>
          <w:t xml:space="preserve">XII. Förderbetrag zur betrieblichen Altersversorgung</w:t>
        </w:r>
      </w:hyperlink>
    </w:p>
    <w:p>
      <w:pPr>
        <w:pStyle w:val="Übersicht"/>
        <w:ind w:left="340"/>
      </w:pPr>
      <w:hyperlink w:anchor="b261" w:history="1">
        <w:r>
          <w:rPr>
            <w:color w:val="0A3A8C"/>
            <w:u w:val="single"/>
          </w:rPr>
          <w:t xml:space="preserve">§ 100 Förderbetrag zur betrieblichen Altersversorgung</w:t>
        </w:r>
      </w:hyperlink>
    </w:p>
    <w:p>
      <w:pPr>
        <w:pStyle w:val="Übersicht"/>
        <w:ind w:left="0"/>
      </w:pPr>
      <w:hyperlink w:anchor="b262" w:history="1">
        <w:r>
          <w:rPr>
            <w:b/>
            <w:color w:val="0A3A8C"/>
            <w:u w:val="single"/>
          </w:rPr>
          <w:t xml:space="preserve">XIII. Mobilitätsprämie</w:t>
        </w:r>
      </w:hyperlink>
    </w:p>
    <w:p>
      <w:pPr>
        <w:pStyle w:val="Übersicht"/>
        <w:ind w:left="340"/>
      </w:pPr>
      <w:hyperlink w:anchor="b263" w:history="1">
        <w:r>
          <w:rPr>
            <w:color w:val="0A3A8C"/>
            <w:u w:val="single"/>
          </w:rPr>
          <w:t xml:space="preserve">§ 101 Bemessungsgrundlage und Höhe der Mobilitätsprämie</w:t>
        </w:r>
      </w:hyperlink>
    </w:p>
    <w:p>
      <w:pPr>
        <w:pStyle w:val="Übersicht"/>
        <w:ind w:left="340"/>
      </w:pPr>
      <w:hyperlink w:anchor="b264" w:history="1">
        <w:r>
          <w:rPr>
            <w:color w:val="0A3A8C"/>
            <w:u w:val="single"/>
          </w:rPr>
          <w:t xml:space="preserve">§ 102 Anspruchsberechtigung</w:t>
        </w:r>
      </w:hyperlink>
    </w:p>
    <w:p>
      <w:pPr>
        <w:pStyle w:val="Übersicht"/>
        <w:ind w:left="340"/>
      </w:pPr>
      <w:hyperlink w:anchor="b265" w:history="1">
        <w:r>
          <w:rPr>
            <w:color w:val="0A3A8C"/>
            <w:u w:val="single"/>
          </w:rPr>
          <w:t xml:space="preserve">§ 103 Entstehung der Mobilitätsprämie</w:t>
        </w:r>
      </w:hyperlink>
    </w:p>
    <w:p>
      <w:pPr>
        <w:pStyle w:val="Übersicht"/>
        <w:ind w:left="340"/>
      </w:pPr>
      <w:hyperlink w:anchor="b266" w:history="1">
        <w:r>
          <w:rPr>
            <w:color w:val="0A3A8C"/>
            <w:u w:val="single"/>
          </w:rPr>
          <w:t xml:space="preserve">§ 104 Antrag auf die Mobilitätsprämie</w:t>
        </w:r>
      </w:hyperlink>
    </w:p>
    <w:p>
      <w:pPr>
        <w:pStyle w:val="Übersicht"/>
        <w:ind w:left="340"/>
      </w:pPr>
      <w:hyperlink w:anchor="b267" w:history="1">
        <w:r>
          <w:rPr>
            <w:color w:val="0A3A8C"/>
            <w:u w:val="single"/>
          </w:rPr>
          <w:t xml:space="preserve">§ 105 Festsetzung und Auszahlung der Mobilitätsprämie</w:t>
        </w:r>
      </w:hyperlink>
    </w:p>
    <w:p>
      <w:pPr>
        <w:pStyle w:val="Übersicht"/>
        <w:ind w:left="340"/>
      </w:pPr>
      <w:hyperlink w:anchor="b268" w:history="1">
        <w:r>
          <w:rPr>
            <w:color w:val="0A3A8C"/>
            <w:u w:val="single"/>
          </w:rPr>
          <w:t xml:space="preserve">§ 106 Ertragsteuerliche Behandlung der Mobilitätsprämie</w:t>
        </w:r>
      </w:hyperlink>
    </w:p>
    <w:p>
      <w:pPr>
        <w:pStyle w:val="Übersicht"/>
        <w:ind w:left="340"/>
      </w:pPr>
      <w:hyperlink w:anchor="b269" w:history="1">
        <w:r>
          <w:rPr>
            <w:color w:val="0A3A8C"/>
            <w:u w:val="single"/>
          </w:rPr>
          <w:t xml:space="preserve">§ 107 Anwendung der Abgabenordnung</w:t>
        </w:r>
      </w:hyperlink>
    </w:p>
    <w:p>
      <w:pPr>
        <w:pStyle w:val="Übersicht"/>
        <w:ind w:left="340"/>
      </w:pPr>
      <w:hyperlink w:anchor="b270" w:history="1">
        <w:r>
          <w:rPr>
            <w:color w:val="0A3A8C"/>
            <w:u w:val="single"/>
          </w:rPr>
          <w:t xml:space="preserve">§ 108 Anwendung von Straf- und Bußgeldvorschriften der Abgabenordnung</w:t>
        </w:r>
      </w:hyperlink>
    </w:p>
    <w:p>
      <w:pPr>
        <w:pStyle w:val="Übersicht"/>
        <w:ind w:left="340"/>
      </w:pPr>
      <w:hyperlink w:anchor="b271" w:history="1">
        <w:r>
          <w:rPr>
            <w:color w:val="0A3A8C"/>
            <w:u w:val="single"/>
          </w:rPr>
          <w:t xml:space="preserve">§ 109 Verordnungsermächtigung</w:t>
        </w:r>
      </w:hyperlink>
    </w:p>
    <w:p>
      <w:pPr>
        <w:pStyle w:val="Übersicht"/>
        <w:ind w:left="0"/>
      </w:pPr>
      <w:hyperlink w:anchor="b272" w:history="1">
        <w:r>
          <w:rPr>
            <w:b/>
            <w:color w:val="0A3A8C"/>
            <w:u w:val="single"/>
          </w:rPr>
          <w:t xml:space="preserve">XIV. Sondervorschriften zur Bewältigung der Corona-Pandemie</w:t>
        </w:r>
      </w:hyperlink>
    </w:p>
    <w:p>
      <w:pPr>
        <w:pStyle w:val="Übersicht"/>
        <w:ind w:left="340"/>
      </w:pPr>
      <w:hyperlink w:anchor="b273" w:history="1">
        <w:r>
          <w:rPr>
            <w:color w:val="0A3A8C"/>
            <w:u w:val="single"/>
          </w:rPr>
          <w:t xml:space="preserve">§ 110 Anpassung von Vorauszahlungen für den Veranlagungszeitraum 2019</w:t>
        </w:r>
      </w:hyperlink>
    </w:p>
    <w:p>
      <w:pPr>
        <w:pStyle w:val="Übersicht"/>
        <w:ind w:left="340"/>
      </w:pPr>
      <w:hyperlink w:anchor="b274" w:history="1">
        <w:r>
          <w:rPr>
            <w:color w:val="0A3A8C"/>
            <w:u w:val="single"/>
          </w:rPr>
          <w:t xml:space="preserve">§ 111 Vorläufiger Verlustrücktrag für 2020 und 2021</w:t>
        </w:r>
      </w:hyperlink>
    </w:p>
    <w:p>
      <w:pPr>
        <w:pStyle w:val="Übersicht"/>
        <w:ind w:left="0"/>
      </w:pPr>
      <w:hyperlink w:anchor="b275" w:history="1">
        <w:r>
          <w:rPr>
            <w:b/>
            <w:color w:val="0A3A8C"/>
            <w:u w:val="single"/>
          </w:rPr>
          <w:t xml:space="preserve">XV. Energiepreispauschale</w:t>
        </w:r>
      </w:hyperlink>
    </w:p>
    <w:p>
      <w:pPr>
        <w:pStyle w:val="Übersicht"/>
        <w:ind w:left="340"/>
      </w:pPr>
      <w:hyperlink w:anchor="b276" w:history="1">
        <w:r>
          <w:rPr>
            <w:color w:val="0A3A8C"/>
            <w:u w:val="single"/>
          </w:rPr>
          <w:t xml:space="preserve">§ 112 Veranlagungszeitraum, Höhe</w:t>
        </w:r>
      </w:hyperlink>
    </w:p>
    <w:p>
      <w:pPr>
        <w:pStyle w:val="Übersicht"/>
        <w:ind w:left="340"/>
      </w:pPr>
      <w:hyperlink w:anchor="b277" w:history="1">
        <w:r>
          <w:rPr>
            <w:color w:val="0A3A8C"/>
            <w:u w:val="single"/>
          </w:rPr>
          <w:t xml:space="preserve">§ 113 Anspruchsberechtigung</w:t>
        </w:r>
      </w:hyperlink>
    </w:p>
    <w:p>
      <w:pPr>
        <w:pStyle w:val="Übersicht"/>
        <w:ind w:left="340"/>
      </w:pPr>
      <w:hyperlink w:anchor="b278" w:history="1">
        <w:r>
          <w:rPr>
            <w:color w:val="0A3A8C"/>
            <w:u w:val="single"/>
          </w:rPr>
          <w:t xml:space="preserve">§ 114 Entstehung des Anspruchs</w:t>
        </w:r>
      </w:hyperlink>
    </w:p>
    <w:p>
      <w:pPr>
        <w:pStyle w:val="Übersicht"/>
        <w:ind w:left="340"/>
      </w:pPr>
      <w:hyperlink w:anchor="b279" w:history="1">
        <w:r>
          <w:rPr>
            <w:color w:val="0A3A8C"/>
            <w:u w:val="single"/>
          </w:rPr>
          <w:t xml:space="preserve">§ 115 Festsetzung mit der Einkommensteuerveranlagung</w:t>
        </w:r>
      </w:hyperlink>
    </w:p>
    <w:p>
      <w:pPr>
        <w:pStyle w:val="Übersicht"/>
        <w:ind w:left="340"/>
      </w:pPr>
      <w:hyperlink w:anchor="b280" w:history="1">
        <w:r>
          <w:rPr>
            <w:color w:val="0A3A8C"/>
            <w:u w:val="single"/>
          </w:rPr>
          <w:t xml:space="preserve">§ 116 Anrechnung auf die Einkommensteuer</w:t>
        </w:r>
      </w:hyperlink>
    </w:p>
    <w:p>
      <w:pPr>
        <w:pStyle w:val="Übersicht"/>
        <w:ind w:left="340"/>
      </w:pPr>
      <w:hyperlink w:anchor="b281" w:history="1">
        <w:r>
          <w:rPr>
            <w:color w:val="0A3A8C"/>
            <w:u w:val="single"/>
          </w:rPr>
          <w:t xml:space="preserve">§ 117 Auszahlung an Arbeitnehmer</w:t>
        </w:r>
      </w:hyperlink>
    </w:p>
    <w:p>
      <w:pPr>
        <w:pStyle w:val="Übersicht"/>
        <w:ind w:left="340"/>
      </w:pPr>
      <w:hyperlink w:anchor="b282" w:history="1">
        <w:r>
          <w:rPr>
            <w:color w:val="0A3A8C"/>
            <w:u w:val="single"/>
          </w:rPr>
          <w:t xml:space="preserve">§ 118 Energiepreispauschale im Einkommensteuer-Vorauszahlungsverfahren</w:t>
        </w:r>
      </w:hyperlink>
    </w:p>
    <w:p>
      <w:pPr>
        <w:pStyle w:val="Übersicht"/>
        <w:ind w:left="340"/>
      </w:pPr>
      <w:hyperlink w:anchor="b283" w:history="1">
        <w:r>
          <w:rPr>
            <w:color w:val="0A3A8C"/>
            <w:u w:val="single"/>
          </w:rPr>
          <w:t xml:space="preserve">§ 119 Steuerpflicht</w:t>
        </w:r>
      </w:hyperlink>
    </w:p>
    <w:p>
      <w:pPr>
        <w:pStyle w:val="Übersicht"/>
        <w:ind w:left="340"/>
      </w:pPr>
      <w:hyperlink w:anchor="b284" w:history="1">
        <w:r>
          <w:rPr>
            <w:color w:val="0A3A8C"/>
            <w:u w:val="single"/>
          </w:rPr>
          <w:t xml:space="preserve">§ 120 Anwendung der Abgabenordnung</w:t>
        </w:r>
      </w:hyperlink>
    </w:p>
    <w:p>
      <w:pPr>
        <w:pStyle w:val="Übersicht"/>
        <w:ind w:left="340"/>
      </w:pPr>
      <w:hyperlink w:anchor="b285" w:history="1">
        <w:r>
          <w:rPr>
            <w:color w:val="0A3A8C"/>
            <w:u w:val="single"/>
          </w:rPr>
          <w:t xml:space="preserve">§ 121 Anwendung von Straf- und Bußgeldvorschriften der Abgabenordnung</w:t>
        </w:r>
      </w:hyperlink>
    </w:p>
    <w:p>
      <w:pPr>
        <w:pStyle w:val="Übersicht"/>
        <w:ind w:left="340"/>
      </w:pPr>
      <w:hyperlink w:anchor="b286" w:history="1">
        <w:r>
          <w:rPr>
            <w:color w:val="0A3A8C"/>
            <w:u w:val="single"/>
          </w:rPr>
          <w:t xml:space="preserve">§ 122 Nichtberücksichtigung als Einkommen bei Sozialleistungen, Unpfändbarkeit</w:t>
        </w:r>
      </w:hyperlink>
    </w:p>
    <w:p>
      <w:pPr>
        <w:pStyle w:val="Übersicht"/>
        <w:ind w:left="340"/>
      </w:pPr>
      <w:hyperlink w:anchor="b287" w:history="1">
        <w:r>
          <w:rPr>
            <w:color w:val="0A3A8C"/>
            <w:u w:val="single"/>
          </w:rPr>
          <w:t xml:space="preserve">Anlage 1 (zu § 4d Absatz 1)Tabelle für die Errechnung des Deckungskapitals für lebenslänglich laufende Leistungen von Unterstützungskassen</w:t>
        </w:r>
      </w:hyperlink>
    </w:p>
    <w:p>
      <w:pPr>
        <w:pStyle w:val="Übersicht"/>
        <w:ind w:left="340"/>
      </w:pPr>
      <w:hyperlink w:anchor="b288" w:history="1">
        <w:r>
          <w:rPr>
            <w:color w:val="0A3A8C"/>
            <w:u w:val="single"/>
          </w:rPr>
          <w:t xml:space="preserve">Anlage 1a (zu § 13a)Ermittlung des Gewinns aus Land- und Forstwirtschaft nach Durchschnittssätzen</w:t>
        </w:r>
      </w:hyperlink>
    </w:p>
    <w:p>
      <w:pPr>
        <w:pStyle w:val="Übersicht"/>
        <w:ind w:left="340"/>
      </w:pPr>
      <w:hyperlink w:anchor="b289" w:history="1">
        <w:r>
          <w:rPr>
            <w:color w:val="0A3A8C"/>
            <w:u w:val="single"/>
          </w:rPr>
          <w:t xml:space="preserve">Anlage 2 (zu § 43b) Gesellschaften im Sinne der Richtlinie Nr. 2011/96/EU</w:t>
        </w:r>
      </w:hyperlink>
    </w:p>
    <w:p>
      <w:pPr>
        <w:pStyle w:val="Übersicht"/>
        <w:ind w:left="340"/>
      </w:pPr>
      <w:hyperlink w:anchor="b290" w:history="1">
        <w:r>
          <w:rPr>
            <w:color w:val="0A3A8C"/>
            <w:u w:val="single"/>
          </w:rPr>
          <w:t xml:space="preserve">Anlage 3 (zu § 50g)</w:t>
        </w:r>
      </w:hyperlink>
    </w:p>
    <w:p>
      <w:pPr>
        <w:pStyle w:val="Heading1"/>
      </w:pPr>
      <w:bookmarkStart w:id="1" w:name="b0"/>
      <w:r>
        <w:t>I. Steuerpflicht</w:t>
      </w:r>
      <w:bookmarkEnd w:id="1"/>
    </w:p>
    <w:p>
      <w:pPr>
        <w:pStyle w:val="Heading2"/>
      </w:pPr>
      <w:bookmarkStart w:id="2" w:name="b1"/>
      <w:r>
        <w:t>§ 1 Steuerpflicht</w:t>
      </w:r>
      <w:r>
        <w:t xml:space="preserve"> </w:t>
      </w:r>
      <w:r>
        <w:rPr>
          <w:rStyle w:val="Suchmarke"/>
        </w:rPr>
        <w:t>#1#</w:t>
      </w:r>
      <w:bookmarkEnd w:id="2"/>
    </w:p>
    <w:p>
      <w:r>
        <w:t xml:space="preserve">(1) </w:t>
      </w:r>
      <w:r>
        <w:rPr>
          <w:rStyle w:val="Satznummer"/>
        </w:rPr>
        <w:t>1</w:t>
      </w:r>
      <w:r>
        <w:t xml:space="preserve">Natürliche Personen, die im Inland einen Wohnsitz oder ihren gewöhnlichen Aufenthalt haben, sind unbeschränkt einkommensteuerpflichtig. </w:t>
      </w:r>
      <w:r>
        <w:rPr>
          <w:rStyle w:val="Satznummer"/>
        </w:rPr>
        <w:t>2</w:t>
      </w:r>
      <w:r>
        <w:t>Zum Inland im Sinne dieses Gesetzes gehört auch der der Bundesrepublik Deutschland zustehende Anteil</w:t>
      </w:r>
    </w:p>
    <w:p>
      <w:pPr>
        <w:tabs>
          <w:tab w:pos="567" w:val="left"/>
        </w:tabs>
        <w:ind w:left="567" w:hanging="567"/>
      </w:pPr>
      <w:r>
        <w:t>1.</w:t>
      </w:r>
      <w:r>
        <w:tab/>
      </w:r>
      <w:r>
        <w:t>an der ausschließlichen Wirtschaftszone, soweit dort</w:t>
      </w:r>
    </w:p>
    <w:p>
      <w:pPr>
        <w:tabs>
          <w:tab w:pos="1134" w:val="left"/>
        </w:tabs>
        <w:ind w:left="1134" w:hanging="567"/>
      </w:pPr>
      <w:r>
        <w:t>a)</w:t>
      </w:r>
      <w:r>
        <w:tab/>
      </w:r>
      <w:r>
        <w:t>die lebenden und nicht lebenden natürlichen Ressourcen der Gewässer über dem Meeresboden, des Meeresbodens und seines Untergrunds erforscht, ausgebeutet, erhalten oder bewirtschaftet werden,</w:t>
      </w:r>
    </w:p>
    <w:p>
      <w:pPr>
        <w:tabs>
          <w:tab w:pos="1134" w:val="left"/>
        </w:tabs>
        <w:ind w:left="1134" w:hanging="567"/>
      </w:pPr>
      <w:r>
        <w:t>b)</w:t>
      </w:r>
      <w:r>
        <w:tab/>
      </w:r>
      <w:r>
        <w:t>andere Tätigkeiten zur wirtschaftlichen Erforschung oder Ausbeutung der ausschließlichen Wirtschaftszone ausgeübt werden, wie beispielsweise die Energieerzeugung aus Wasser, Strömung und Wind oder</w:t>
      </w:r>
    </w:p>
    <w:p>
      <w:pPr>
        <w:tabs>
          <w:tab w:pos="1134" w:val="left"/>
        </w:tabs>
        <w:ind w:left="1134" w:hanging="567"/>
      </w:pPr>
      <w:r>
        <w:t>c)</w:t>
      </w:r>
      <w:r>
        <w:tab/>
      </w:r>
      <w:r>
        <w:t>künstliche Inseln errichtet oder genutzt werden und Anlagen und Bauwerke für die in den Buchstaben a und b genannten Zwecke errichtet oder genutzt werden, und</w:t>
      </w:r>
    </w:p>
    <w:p>
      <w:pPr>
        <w:tabs>
          <w:tab w:pos="567" w:val="left"/>
        </w:tabs>
        <w:ind w:left="567" w:hanging="567"/>
      </w:pPr>
      <w:r>
        <w:t>2.</w:t>
      </w:r>
      <w:r>
        <w:tab/>
      </w:r>
      <w:r>
        <w:t>am Festlandsockel, soweit dort</w:t>
      </w:r>
    </w:p>
    <w:p>
      <w:pPr>
        <w:tabs>
          <w:tab w:pos="1134" w:val="left"/>
        </w:tabs>
        <w:ind w:left="1134" w:hanging="567"/>
      </w:pPr>
      <w:r>
        <w:t>a)</w:t>
      </w:r>
      <w:r>
        <w:tab/>
      </w:r>
      <w:r>
        <w:t>dessen natürliche Ressourcen erforscht oder ausgebeutet werden; natürliche Ressourcen in diesem Sinne sind die mineralischen und sonstigen nicht lebenden Ressourcen des Meeresbodens und seines Untergrunds sowie die zu den sesshaften Arten gehörenden Lebewesen, die im nutzbaren Stadium entweder unbeweglich auf oder unter dem Meeresboden verbleiben oder sich nur in ständigem körperlichen Kontakt mit dem Meeresboden oder seinem Untergrund fortbewegen können; oder</w:t>
      </w:r>
    </w:p>
    <w:p>
      <w:pPr>
        <w:tabs>
          <w:tab w:pos="1134" w:val="left"/>
        </w:tabs>
        <w:ind w:left="1134" w:hanging="567"/>
      </w:pPr>
      <w:r>
        <w:t>b)</w:t>
      </w:r>
      <w:r>
        <w:tab/>
      </w:r>
      <w:r>
        <w:t>künstliche Inseln errichtet oder genutzt werden und Anlagen und Bauwerke für die in Buchstabe a genannten Zwecke errichtet oder genutzt werden.</w:t>
      </w:r>
    </w:p>
    <w:p>
      <w:r>
        <w:t xml:space="preserve">(2) </w:t>
      </w:r>
      <w:r>
        <w:rPr>
          <w:rStyle w:val="Satznummer"/>
        </w:rPr>
        <w:t>1</w:t>
      </w:r>
      <w:r>
        <w:t>Unbeschränkt einkommensteuerpflichtig sind auch deutsche Staatsangehörige, die</w:t>
      </w:r>
    </w:p>
    <w:p>
      <w:pPr>
        <w:tabs>
          <w:tab w:pos="567" w:val="left"/>
        </w:tabs>
        <w:ind w:left="567" w:hanging="567"/>
      </w:pPr>
      <w:r>
        <w:t>1.</w:t>
      </w:r>
      <w:r>
        <w:tab/>
      </w:r>
      <w:r>
        <w:t>im Inland weder einen Wohnsitz noch ihren gewöhnlichen Aufenthalt haben und</w:t>
      </w:r>
    </w:p>
    <w:p>
      <w:pPr>
        <w:tabs>
          <w:tab w:pos="567" w:val="left"/>
        </w:tabs>
        <w:ind w:left="567" w:hanging="567"/>
      </w:pPr>
      <w:r>
        <w:t>2.</w:t>
      </w:r>
      <w:r>
        <w:tab/>
      </w:r>
      <w:r>
        <w:t>zu einer inländischen juristischen Person des öffentlichen Rechts in einem Dienstverhältnis stehen und dafür Arbeitslohn aus einer inländischen öffentlichen Kasse beziehen,</w:t>
      </w:r>
    </w:p>
    <w:p>
      <w:r>
        <w:t xml:space="preserve">sowie zu ihrem Haushalt gehörende Angehörige, die die deutsche Staatsangehörigkeit besitzen oder keine Einkünfte oder nur Einkünfte beziehen, die ausschließlich im Inland einkommensteuerpflichtig sind. </w:t>
      </w:r>
      <w:r>
        <w:rPr>
          <w:rStyle w:val="Satznummer"/>
        </w:rPr>
        <w:t>2</w:t>
      </w:r>
      <w:r>
        <w:t>Dies gilt nur für natürliche Personen, die in dem Staat, in dem sie ihren Wohnsitz oder ihren gewöhnlichen Aufenthalt haben, lediglich in einem der beschränkten Einkommensteuerpflicht ähnlichen Umfang zu einer Steuer vom Einkommen herangezogen werden.</w:t>
      </w:r>
    </w:p>
    <w:p>
      <w:r>
        <w:t xml:space="preserve">(3) </w:t>
      </w:r>
      <w:r>
        <w:rPr>
          <w:rStyle w:val="Satznummer"/>
        </w:rPr>
        <w:t>1</w:t>
      </w:r>
      <w:r>
        <w:t xml:space="preserve">Auf Antrag werden auch natürliche Personen als unbeschränkt einkommensteuerpflichtig behandelt, die im Inland weder einen Wohnsitz noch ihren gewöhnlichen Aufenthalt haben, soweit sie inländische Einkünfte im Sinne des </w:t>
      </w:r>
      <w:hyperlink w:anchor="b191" w:history="1">
        <w:r>
          <w:rPr>
            <w:color w:val="0A3A8C"/>
            <w:u w:val="single"/>
          </w:rPr>
          <w:t xml:space="preserve">§ 49</w:t>
        </w:r>
      </w:hyperlink>
      <w:r>
        <w:t xml:space="preserve"> haben. </w:t>
      </w:r>
      <w:r>
        <w:rPr>
          <w:rStyle w:val="Satznummer"/>
        </w:rPr>
        <w:t>2</w:t>
      </w:r>
      <w:r>
        <w:t xml:space="preserve">Dies gilt nur, wenn ihre Einkünfte im Kalenderjahr mindestens zu 90 Prozent der deutschen Einkommensteuer unterliegen oder die nicht der deutschen Einkommensteuer unterliegenden Einkünfte den Grundfreibetrag nach </w:t>
      </w:r>
      <w:hyperlink w:anchor="b108" w:history="1">
        <w:r>
          <w:rPr>
            <w:color w:val="0A3A8C"/>
            <w:u w:val="single"/>
          </w:rPr>
          <w:t xml:space="preserve">§ 32a</w:t>
        </w:r>
      </w:hyperlink>
      <w:r>
        <w:t xml:space="preserve"> Absatz 1 Satz 2 Nummer 1 nicht übersteigen; dieser Betrag ist zu kürzen, soweit es nach den Verhältnissen im Wohnsitzstaat des Steuerpflichtigen notwendig und angemessen ist. </w:t>
      </w:r>
      <w:r>
        <w:rPr>
          <w:rStyle w:val="Satznummer"/>
        </w:rPr>
        <w:t>3</w:t>
      </w:r>
      <w:r>
        <w:t xml:space="preserve">Inländische Einkünfte, die nach einem Abkommen zur Vermeidung der Doppelbesteuerung nur der Höhe nach beschränkt besteuert werden dürfen, gelten hierbei als nicht der deutschen Einkommensteuer unterliegend. </w:t>
      </w:r>
      <w:r>
        <w:rPr>
          <w:rStyle w:val="Satznummer"/>
        </w:rPr>
        <w:t>4</w:t>
      </w:r>
      <w:r>
        <w:t xml:space="preserve">Unberücksichtigt bleiben bei der Ermittlung der Einkünfte nach Satz 2 nicht der deutschen Einkommensteuer unterliegende Einkünfte, die im Ausland nicht besteuert werden, soweit vergleichbare Einkünfte im Inland steuerfrei sind. </w:t>
      </w:r>
      <w:r>
        <w:rPr>
          <w:rStyle w:val="Satznummer"/>
        </w:rPr>
        <w:t>5</w:t>
      </w:r>
      <w:r>
        <w:t xml:space="preserve">Weitere Voraussetzung ist, dass die Höhe der nicht der deutschen Einkommensteuer unterliegenden Einkünfte durch eine Bescheinigung der zuständigen ausländischen Steuerbehörde nachgewiesen wird. </w:t>
      </w:r>
      <w:r>
        <w:rPr>
          <w:rStyle w:val="Satznummer"/>
        </w:rPr>
        <w:t>6</w:t>
      </w:r>
      <w:r>
        <w:t xml:space="preserve">Der Steuerabzug nach </w:t>
      </w:r>
      <w:hyperlink w:anchor="b193" w:history="1">
        <w:r>
          <w:rPr>
            <w:color w:val="0A3A8C"/>
            <w:u w:val="single"/>
          </w:rPr>
          <w:t xml:space="preserve">§ 50a</w:t>
        </w:r>
      </w:hyperlink>
      <w:r>
        <w:t xml:space="preserve"> ist ungeachtet der Sätze 1 bis 4 vorzunehmen.</w:t>
      </w:r>
    </w:p>
    <w:p>
      <w:r>
        <w:t xml:space="preserve">(4) Natürliche Personen, die im Inland weder einen Wohnsitz noch ihren gewöhnlichen Aufenthalt haben, sind vorbehaltlich der Absätze 2 und 3 und des </w:t>
      </w:r>
      <w:hyperlink w:anchor="b2" w:history="1">
        <w:r>
          <w:rPr>
            <w:color w:val="0A3A8C"/>
            <w:u w:val="single"/>
          </w:rPr>
          <w:t xml:space="preserve">§ 1a</w:t>
        </w:r>
      </w:hyperlink>
      <w:r>
        <w:t xml:space="preserve"> beschränkt einkommensteuerpflichtig, wenn sie inländische Einkünfte im Sinne des </w:t>
      </w:r>
      <w:hyperlink w:anchor="b191" w:history="1">
        <w:r>
          <w:rPr>
            <w:color w:val="0A3A8C"/>
            <w:u w:val="single"/>
          </w:rPr>
          <w:t xml:space="preserve">§ 49</w:t>
        </w:r>
      </w:hyperlink>
      <w:r>
        <w:t xml:space="preserve"> haben.</w:t>
      </w:r>
    </w:p>
    <w:p>
      <w:pPr>
        <w:pStyle w:val="Heading2"/>
      </w:pPr>
      <w:bookmarkStart w:id="3" w:name="b2"/>
      <w:r>
        <w:t>§ 1a</w:t>
      </w:r>
      <w:r>
        <w:t xml:space="preserve"> </w:t>
      </w:r>
      <w:r>
        <w:rPr>
          <w:rStyle w:val="Suchmarke"/>
        </w:rPr>
        <w:t>#1a#</w:t>
      </w:r>
      <w:bookmarkEnd w:id="3"/>
    </w:p>
    <w:p>
      <w:r>
        <w:t xml:space="preserve">(1) Für Staatsangehörige eines Mitgliedstaates der Europäischen Union oder eines Staates, auf den das Abkommen über den Europäischen Wirtschaftsraum anwendbar ist, die nach </w:t>
      </w:r>
      <w:hyperlink w:anchor="b1" w:history="1">
        <w:r>
          <w:rPr>
            <w:color w:val="0A3A8C"/>
            <w:u w:val="single"/>
          </w:rPr>
          <w:t xml:space="preserve">§ 1</w:t>
        </w:r>
      </w:hyperlink>
      <w:r>
        <w:t xml:space="preserve"> Absatz 1 unbeschränkt einkommensteuerpflichtig sind oder die nach </w:t>
      </w:r>
      <w:hyperlink w:anchor="b1" w:history="1">
        <w:r>
          <w:rPr>
            <w:color w:val="0A3A8C"/>
            <w:u w:val="single"/>
          </w:rPr>
          <w:t xml:space="preserve">§ 1</w:t>
        </w:r>
      </w:hyperlink>
      <w:r>
        <w:t xml:space="preserve"> Absatz 3 als unbeschränkt einkommensteuerpflichtig zu behandeln sind, gilt bei Anwendung von § 10 Absatz 1a und § 26 Absatz 1 Satz 1 Folgendes:</w:t>
      </w:r>
    </w:p>
    <w:p>
      <w:pPr>
        <w:tabs>
          <w:tab w:pos="567" w:val="left"/>
        </w:tabs>
        <w:ind w:left="567" w:hanging="567"/>
      </w:pPr>
      <w:r>
        <w:t>1.</w:t>
      </w:r>
      <w:r>
        <w:tab/>
      </w:r>
      <w:r>
        <w:t xml:space="preserve">Aufwendungen im Sinne des </w:t>
      </w:r>
      <w:hyperlink w:anchor="b51" w:history="1">
        <w:r>
          <w:rPr>
            <w:color w:val="0A3A8C"/>
            <w:u w:val="single"/>
          </w:rPr>
          <w:t xml:space="preserve">§ 10</w:t>
        </w:r>
      </w:hyperlink>
      <w:r>
        <w:t xml:space="preserve"> Absatz 1a sind auch dann als Sonderausgaben abziehbar, wenn der Empfänger der Leistung oder Zahlung nicht unbeschränkt einkommensteuerpflichtig ist. </w:t>
      </w:r>
      <w:r>
        <w:rPr>
          <w:rStyle w:val="Satznummer"/>
        </w:rPr>
        <w:t>2</w:t>
      </w:r>
      <w:r>
        <w:t>Voraussetzung ist, dass</w:t>
      </w:r>
    </w:p>
    <w:p>
      <w:pPr>
        <w:tabs>
          <w:tab w:pos="1134" w:val="left"/>
        </w:tabs>
        <w:ind w:left="1134" w:hanging="567"/>
      </w:pPr>
      <w:r>
        <w:t>a)</w:t>
      </w:r>
      <w:r>
        <w:tab/>
      </w:r>
      <w:r>
        <w:t>der Empfänger seinen Wohnsitz oder gewöhnlichen Aufenthalt im Hoheitsgebiet eines anderen Mitgliedstaates der Europäischen Union oder eines Staates hat, auf den das Abkommen über den Europäischen Wirtschaftsraum Anwendung findet und</w:t>
      </w:r>
    </w:p>
    <w:p>
      <w:pPr>
        <w:tabs>
          <w:tab w:pos="1134" w:val="left"/>
        </w:tabs>
        <w:ind w:left="1134" w:hanging="567"/>
      </w:pPr>
      <w:r>
        <w:t>b)</w:t>
      </w:r>
      <w:r>
        <w:tab/>
      </w:r>
      <w:r>
        <w:t xml:space="preserve">die Besteuerung der nach </w:t>
      </w:r>
      <w:hyperlink w:anchor="b51" w:history="1">
        <w:r>
          <w:rPr>
            <w:color w:val="0A3A8C"/>
            <w:u w:val="single"/>
          </w:rPr>
          <w:t xml:space="preserve">§ 10</w:t>
        </w:r>
      </w:hyperlink>
      <w:r>
        <w:t xml:space="preserve"> Absatz 1a zu berücksichtigenden Leistung oder Zahlung beim Empfänger durch eine Bescheinigung der zuständigen ausländischen Steuerbehörde nachgewiesen wird;</w:t>
      </w:r>
    </w:p>
    <w:p>
      <w:pPr>
        <w:tabs>
          <w:tab w:pos="567" w:val="left"/>
        </w:tabs>
        <w:ind w:left="567" w:hanging="567"/>
      </w:pPr>
      <w:r>
        <w:t>1a.</w:t>
      </w:r>
      <w:r>
        <w:tab/>
      </w:r>
      <w:r>
        <w:t>(weggefallen)</w:t>
      </w:r>
    </w:p>
    <w:p>
      <w:pPr>
        <w:tabs>
          <w:tab w:pos="567" w:val="left"/>
        </w:tabs>
        <w:ind w:left="567" w:hanging="567"/>
      </w:pPr>
      <w:r>
        <w:t>1b.</w:t>
      </w:r>
      <w:r>
        <w:tab/>
      </w:r>
      <w:r>
        <w:t>(weggefallen)</w:t>
      </w:r>
    </w:p>
    <w:p>
      <w:pPr>
        <w:tabs>
          <w:tab w:pos="567" w:val="left"/>
        </w:tabs>
        <w:ind w:left="567" w:hanging="567"/>
      </w:pPr>
      <w:r>
        <w:t>2.</w:t>
      </w:r>
      <w:r>
        <w:tab/>
      </w:r>
      <w:r>
        <w:t xml:space="preserve">der nicht dauernd getrennt lebende Ehegatte ohne Wohnsitz oder gewöhnlichen Aufenthalt im Inland wird auf Antrag für die Anwendung des </w:t>
      </w:r>
      <w:hyperlink w:anchor="b99" w:history="1">
        <w:r>
          <w:rPr>
            <w:color w:val="0A3A8C"/>
            <w:u w:val="single"/>
          </w:rPr>
          <w:t xml:space="preserve">§ 26</w:t>
        </w:r>
      </w:hyperlink>
      <w:r>
        <w:t xml:space="preserve"> Absatz 1 Satz 1 als unbeschränkt einkommensteuerpflichtig behandelt. </w:t>
      </w:r>
      <w:r>
        <w:rPr>
          <w:rStyle w:val="Satznummer"/>
        </w:rPr>
        <w:t>2</w:t>
      </w:r>
      <w:r>
        <w:t xml:space="preserve">Nummer 1 Satz 2 Buchstabe a gilt entsprechend. </w:t>
      </w:r>
      <w:r>
        <w:rPr>
          <w:rStyle w:val="Satznummer"/>
        </w:rPr>
        <w:t>3</w:t>
      </w:r>
      <w:r>
        <w:t xml:space="preserve">Bei Anwendung des </w:t>
      </w:r>
      <w:hyperlink w:anchor="b1" w:history="1">
        <w:r>
          <w:rPr>
            <w:color w:val="0A3A8C"/>
            <w:u w:val="single"/>
          </w:rPr>
          <w:t xml:space="preserve">§ 1</w:t>
        </w:r>
      </w:hyperlink>
      <w:r>
        <w:t xml:space="preserve"> Absatz 3 Satz 2 ist auf die Einkünfte beider Ehegatten abzustellen und der Grundfreibetrag nach </w:t>
      </w:r>
      <w:hyperlink w:anchor="b108" w:history="1">
        <w:r>
          <w:rPr>
            <w:color w:val="0A3A8C"/>
            <w:u w:val="single"/>
          </w:rPr>
          <w:t xml:space="preserve">§ 32a</w:t>
        </w:r>
      </w:hyperlink>
      <w:r>
        <w:t xml:space="preserve"> Absatz 1 Satz 2 Nummer 1 zu verdoppeln.</w:t>
      </w:r>
    </w:p>
    <w:p>
      <w:r>
        <w:t xml:space="preserve">(2) Für unbeschränkt einkommensteuerpflichtige Personen im Sinne des </w:t>
      </w:r>
      <w:hyperlink w:anchor="b1" w:history="1">
        <w:r>
          <w:rPr>
            <w:color w:val="0A3A8C"/>
            <w:u w:val="single"/>
          </w:rPr>
          <w:t xml:space="preserve">§ 1</w:t>
        </w:r>
      </w:hyperlink>
      <w:r>
        <w:t xml:space="preserve"> Absatz 2, die die Voraussetzungen des </w:t>
      </w:r>
      <w:hyperlink w:anchor="b1" w:history="1">
        <w:r>
          <w:rPr>
            <w:color w:val="0A3A8C"/>
            <w:u w:val="single"/>
          </w:rPr>
          <w:t xml:space="preserve">§ 1</w:t>
        </w:r>
      </w:hyperlink>
      <w:r>
        <w:t xml:space="preserve"> Absatz 3 Satz 2 bis 5 erfüllen, und für unbeschränkt einkommensteuerpflichtige Personen im Sinne des </w:t>
      </w:r>
      <w:hyperlink w:anchor="b1" w:history="1">
        <w:r>
          <w:rPr>
            <w:color w:val="0A3A8C"/>
            <w:u w:val="single"/>
          </w:rPr>
          <w:t xml:space="preserve">§ 1</w:t>
        </w:r>
      </w:hyperlink>
      <w:r>
        <w:t xml:space="preserve"> Absatz 3, die die Voraussetzungen des </w:t>
      </w:r>
      <w:hyperlink w:anchor="b1" w:history="1">
        <w:r>
          <w:rPr>
            <w:color w:val="0A3A8C"/>
            <w:u w:val="single"/>
          </w:rPr>
          <w:t xml:space="preserve">§ 1</w:t>
        </w:r>
      </w:hyperlink>
      <w:r>
        <w:t xml:space="preserve"> Absatz 2 Satz 1 Nummer 1 und 2 erfüllen und an einem ausländischen Dienstort tätig sind, gilt die Regelung des Absatzes 1 Nummer 2 entsprechend mit der Maßgabe, dass auf Wohnsitz oder gewöhnlichen Aufenthalt im Staat des ausländischen Dienstortes abzustellen ist.</w:t>
      </w:r>
    </w:p>
    <w:p>
      <w:pPr>
        <w:pStyle w:val="Heading1"/>
      </w:pPr>
      <w:bookmarkStart w:id="4" w:name="b3"/>
      <w:r>
        <w:t>II. Einkommen</w:t>
      </w:r>
      <w:bookmarkEnd w:id="4"/>
    </w:p>
    <w:p>
      <w:pPr>
        <w:pStyle w:val="Heading2"/>
      </w:pPr>
      <w:bookmarkStart w:id="5" w:name="b4"/>
      <w:r>
        <w:t>1. Sachliche Voraussetzungen für die Besteuerung</w:t>
      </w:r>
      <w:bookmarkEnd w:id="5"/>
    </w:p>
    <w:p>
      <w:pPr>
        <w:pStyle w:val="Heading3"/>
      </w:pPr>
      <w:bookmarkStart w:id="6" w:name="b5"/>
      <w:r>
        <w:t>§ 2 Umfang der Besteuerung, Begriffsbestimmungen</w:t>
      </w:r>
      <w:r>
        <w:t xml:space="preserve"> </w:t>
      </w:r>
      <w:r>
        <w:rPr>
          <w:rStyle w:val="Suchmarke"/>
        </w:rPr>
        <w:t>#2#</w:t>
      </w:r>
      <w:bookmarkEnd w:id="6"/>
    </w:p>
    <w:p>
      <w:r>
        <w:t xml:space="preserve">(1) </w:t>
      </w:r>
      <w:r>
        <w:rPr>
          <w:rStyle w:val="Satznummer"/>
        </w:rPr>
        <w:t>1</w:t>
      </w:r>
      <w:r>
        <w:t>Der Einkommensteuer unterliegen</w:t>
      </w:r>
    </w:p>
    <w:p>
      <w:pPr>
        <w:tabs>
          <w:tab w:pos="567" w:val="left"/>
        </w:tabs>
        <w:ind w:left="567" w:hanging="567"/>
      </w:pPr>
      <w:r>
        <w:t>1.</w:t>
      </w:r>
      <w:r>
        <w:tab/>
      </w:r>
      <w:r>
        <w:t>Einkünfte aus Land- und Forstwirtschaft,</w:t>
      </w:r>
    </w:p>
    <w:p>
      <w:pPr>
        <w:tabs>
          <w:tab w:pos="567" w:val="left"/>
        </w:tabs>
        <w:ind w:left="567" w:hanging="567"/>
      </w:pPr>
      <w:r>
        <w:t>2.</w:t>
      </w:r>
      <w:r>
        <w:tab/>
      </w:r>
      <w:r>
        <w:t>Einkünfte aus Gewerbebetrieb,</w:t>
      </w:r>
    </w:p>
    <w:p>
      <w:pPr>
        <w:tabs>
          <w:tab w:pos="567" w:val="left"/>
        </w:tabs>
        <w:ind w:left="567" w:hanging="567"/>
      </w:pPr>
      <w:r>
        <w:t>3.</w:t>
      </w:r>
      <w:r>
        <w:tab/>
      </w:r>
      <w:r>
        <w:t>Einkünfte aus selbständiger Arbeit,</w:t>
      </w:r>
    </w:p>
    <w:p>
      <w:pPr>
        <w:tabs>
          <w:tab w:pos="567" w:val="left"/>
        </w:tabs>
        <w:ind w:left="567" w:hanging="567"/>
      </w:pPr>
      <w:r>
        <w:t>4.</w:t>
      </w:r>
      <w:r>
        <w:tab/>
      </w:r>
      <w:r>
        <w:t>Einkünfte aus nichtselbständiger Arbeit,</w:t>
      </w:r>
    </w:p>
    <w:p>
      <w:pPr>
        <w:tabs>
          <w:tab w:pos="567" w:val="left"/>
        </w:tabs>
        <w:ind w:left="567" w:hanging="567"/>
      </w:pPr>
      <w:r>
        <w:t>5.</w:t>
      </w:r>
      <w:r>
        <w:tab/>
      </w:r>
      <w:r>
        <w:t>Einkünfte aus Kapitalvermögen,</w:t>
      </w:r>
    </w:p>
    <w:p>
      <w:pPr>
        <w:tabs>
          <w:tab w:pos="567" w:val="left"/>
        </w:tabs>
        <w:ind w:left="567" w:hanging="567"/>
      </w:pPr>
      <w:r>
        <w:t>6.</w:t>
      </w:r>
      <w:r>
        <w:tab/>
      </w:r>
      <w:r>
        <w:t>Einkünfte aus Vermietung und Verpachtung,</w:t>
      </w:r>
    </w:p>
    <w:p>
      <w:pPr>
        <w:tabs>
          <w:tab w:pos="567" w:val="left"/>
        </w:tabs>
        <w:ind w:left="567" w:hanging="567"/>
      </w:pPr>
      <w:r>
        <w:t>7.</w:t>
      </w:r>
      <w:r>
        <w:tab/>
      </w:r>
      <w:r>
        <w:t xml:space="preserve">sonstige Einkünfte im Sinne des </w:t>
      </w:r>
      <w:hyperlink w:anchor="b90" w:history="1">
        <w:r>
          <w:rPr>
            <w:color w:val="0A3A8C"/>
            <w:u w:val="single"/>
          </w:rPr>
          <w:t xml:space="preserve">§ 22</w:t>
        </w:r>
      </w:hyperlink>
      <w:r>
        <w:t>,</w:t>
      </w:r>
    </w:p>
    <w:p>
      <w:r>
        <w:t xml:space="preserve">die der Steuerpflichtige während seiner unbeschränkten Einkommensteuerpflicht oder als inländische Einkünfte während seiner beschränkten Einkommensteuerpflicht erzielt. </w:t>
      </w:r>
      <w:r>
        <w:rPr>
          <w:rStyle w:val="Satznummer"/>
        </w:rPr>
        <w:t>2</w:t>
      </w:r>
      <w:r>
        <w:t xml:space="preserve">Zu welcher Einkunftsart die Einkünfte im einzelnen Fall gehören, bestimmt sich nach den </w:t>
      </w:r>
      <w:hyperlink w:anchor="b69" w:history="1">
        <w:r>
          <w:rPr>
            <w:color w:val="0A3A8C"/>
            <w:u w:val="single"/>
          </w:rPr>
          <w:t xml:space="preserve">§§ 13</w:t>
        </w:r>
      </w:hyperlink>
      <w:r>
        <w:t xml:space="preserve"> bis </w:t>
      </w:r>
      <w:hyperlink w:anchor="b94" w:history="1">
        <w:r>
          <w:rPr>
            <w:color w:val="0A3A8C"/>
            <w:u w:val="single"/>
          </w:rPr>
          <w:t xml:space="preserve">24</w:t>
        </w:r>
      </w:hyperlink>
      <w:r>
        <w:t>.</w:t>
      </w:r>
    </w:p>
    <w:p>
      <w:r>
        <w:t xml:space="preserve">(2) </w:t>
      </w:r>
      <w:r>
        <w:rPr>
          <w:rStyle w:val="Satznummer"/>
        </w:rPr>
        <w:t>1</w:t>
      </w:r>
      <w:r>
        <w:t>Einkünfte sind</w:t>
      </w:r>
    </w:p>
    <w:p>
      <w:pPr>
        <w:tabs>
          <w:tab w:pos="567" w:val="left"/>
        </w:tabs>
        <w:ind w:left="567" w:hanging="567"/>
      </w:pPr>
      <w:r>
        <w:t>1.</w:t>
      </w:r>
      <w:r>
        <w:tab/>
      </w:r>
      <w:r>
        <w:t>bei Land- und Forstwirtschaft, Gewerbebetrieb und selbständiger Arbeit der Gewinn (</w:t>
      </w:r>
      <w:hyperlink w:anchor="b13" w:history="1">
        <w:r>
          <w:rPr>
            <w:color w:val="0A3A8C"/>
            <w:u w:val="single"/>
          </w:rPr>
          <w:t xml:space="preserve">§§ 4</w:t>
        </w:r>
      </w:hyperlink>
      <w:r>
        <w:t xml:space="preserve"> bis </w:t>
      </w:r>
      <w:hyperlink w:anchor="b43" w:history="1">
        <w:r>
          <w:rPr>
            <w:color w:val="0A3A8C"/>
            <w:u w:val="single"/>
          </w:rPr>
          <w:t xml:space="preserve">7k</w:t>
        </w:r>
      </w:hyperlink>
      <w:r>
        <w:t xml:space="preserve"> und </w:t>
      </w:r>
      <w:hyperlink w:anchor="b70" w:history="1">
        <w:r>
          <w:rPr>
            <w:color w:val="0A3A8C"/>
            <w:u w:val="single"/>
          </w:rPr>
          <w:t xml:space="preserve">13a</w:t>
        </w:r>
      </w:hyperlink>
      <w:r>
        <w:t>),</w:t>
      </w:r>
    </w:p>
    <w:p>
      <w:pPr>
        <w:tabs>
          <w:tab w:pos="567" w:val="left"/>
        </w:tabs>
        <w:ind w:left="567" w:hanging="567"/>
      </w:pPr>
      <w:r>
        <w:t>2.</w:t>
      </w:r>
      <w:r>
        <w:tab/>
      </w:r>
      <w:r>
        <w:t>bei den anderen Einkunftsarten der Überschuss der Einnahmen über die Werbungskosten (</w:t>
      </w:r>
      <w:hyperlink w:anchor="b45" w:history="1">
        <w:r>
          <w:rPr>
            <w:color w:val="0A3A8C"/>
            <w:u w:val="single"/>
          </w:rPr>
          <w:t xml:space="preserve">§§ 8</w:t>
        </w:r>
      </w:hyperlink>
      <w:r>
        <w:t xml:space="preserve"> bis </w:t>
      </w:r>
      <w:hyperlink w:anchor="b47" w:history="1">
        <w:r>
          <w:rPr>
            <w:color w:val="0A3A8C"/>
            <w:u w:val="single"/>
          </w:rPr>
          <w:t xml:space="preserve">9a</w:t>
        </w:r>
      </w:hyperlink>
      <w:r>
        <w:t>).</w:t>
      </w:r>
    </w:p>
    <w:p>
      <w:r>
        <w:rPr>
          <w:rStyle w:val="Satznummer"/>
        </w:rPr>
        <w:t>2</w:t>
      </w:r>
      <w:r>
        <w:t xml:space="preserve">Bei Einkünften aus Kapitalvermögen tritt </w:t>
      </w:r>
      <w:hyperlink w:anchor="b86" w:history="1">
        <w:r>
          <w:rPr>
            <w:color w:val="0A3A8C"/>
            <w:u w:val="single"/>
          </w:rPr>
          <w:t xml:space="preserve">§ 20</w:t>
        </w:r>
      </w:hyperlink>
      <w:r>
        <w:t xml:space="preserve"> Absatz 9 vorbehaltlich der Regelung in </w:t>
      </w:r>
      <w:hyperlink w:anchor="b111" w:history="1">
        <w:r>
          <w:rPr>
            <w:color w:val="0A3A8C"/>
            <w:u w:val="single"/>
          </w:rPr>
          <w:t xml:space="preserve">§ 32d</w:t>
        </w:r>
      </w:hyperlink>
      <w:r>
        <w:t xml:space="preserve"> Absatz 2 an die Stelle der </w:t>
      </w:r>
      <w:hyperlink w:anchor="b46" w:history="1">
        <w:r>
          <w:rPr>
            <w:color w:val="0A3A8C"/>
            <w:u w:val="single"/>
          </w:rPr>
          <w:t xml:space="preserve">§§ 9</w:t>
        </w:r>
      </w:hyperlink>
      <w:r>
        <w:t xml:space="preserve"> und </w:t>
      </w:r>
      <w:hyperlink w:anchor="b47" w:history="1">
        <w:r>
          <w:rPr>
            <w:color w:val="0A3A8C"/>
            <w:u w:val="single"/>
          </w:rPr>
          <w:t xml:space="preserve">9a</w:t>
        </w:r>
      </w:hyperlink>
      <w:r>
        <w:t>.</w:t>
      </w:r>
    </w:p>
    <w:p>
      <w:r>
        <w:t xml:space="preserve">(3) Die Summe der Einkünfte, vermindert um den Altersentlastungsbetrag, den Entlastungsbetrag für Alleinerziehende und den Abzug nach </w:t>
      </w:r>
      <w:hyperlink w:anchor="b69" w:history="1">
        <w:r>
          <w:rPr>
            <w:color w:val="0A3A8C"/>
            <w:u w:val="single"/>
          </w:rPr>
          <w:t xml:space="preserve">§ 13</w:t>
        </w:r>
      </w:hyperlink>
      <w:r>
        <w:t xml:space="preserve"> Absatz 3, ist der Gesamtbetrag der Einkünfte.</w:t>
      </w:r>
    </w:p>
    <w:p>
      <w:r>
        <w:t>(4) Der Gesamtbetrag der Einkünfte, vermindert um die Sonderausgaben und die außergewöhnlichen Belastungen, ist das Einkommen.</w:t>
      </w:r>
    </w:p>
    <w:p>
      <w:r>
        <w:t xml:space="preserve">(5) </w:t>
      </w:r>
      <w:r>
        <w:rPr>
          <w:rStyle w:val="Satznummer"/>
        </w:rPr>
        <w:t>1</w:t>
      </w:r>
      <w:r>
        <w:t xml:space="preserve">Das Einkommen, vermindert um die Freibeträge nach </w:t>
      </w:r>
      <w:hyperlink w:anchor="b107" w:history="1">
        <w:r>
          <w:rPr>
            <w:color w:val="0A3A8C"/>
            <w:u w:val="single"/>
          </w:rPr>
          <w:t xml:space="preserve">§ 32</w:t>
        </w:r>
      </w:hyperlink>
      <w:r>
        <w:t xml:space="preserve"> Absatz 6 und um die sonstigen vom Einkommen abzuziehenden Beträge, ist das zu versteuernde Einkommen; dieses bildet die Bemessungsgrundlage für die tarifliche Einkommensteuer. </w:t>
      </w:r>
      <w:r>
        <w:rPr>
          <w:rStyle w:val="Satznummer"/>
        </w:rPr>
        <w:t>2</w:t>
      </w:r>
      <w:r>
        <w:t xml:space="preserve">Knüpfen andere Gesetze an den Begriff des zu versteuernden Einkommens an, ist für deren Zweck das Einkommen in allen Fällen des </w:t>
      </w:r>
      <w:hyperlink w:anchor="b107" w:history="1">
        <w:r>
          <w:rPr>
            <w:color w:val="0A3A8C"/>
            <w:u w:val="single"/>
          </w:rPr>
          <w:t xml:space="preserve">§ 32</w:t>
        </w:r>
      </w:hyperlink>
      <w:r>
        <w:t xml:space="preserve"> um die Freibeträge nach </w:t>
      </w:r>
      <w:hyperlink w:anchor="b107" w:history="1">
        <w:r>
          <w:rPr>
            <w:color w:val="0A3A8C"/>
            <w:u w:val="single"/>
          </w:rPr>
          <w:t xml:space="preserve">§ 32</w:t>
        </w:r>
      </w:hyperlink>
      <w:r>
        <w:t xml:space="preserve"> Absatz 6 zu vermindern.</w:t>
      </w:r>
    </w:p>
    <w:p>
      <w:r>
        <w:t xml:space="preserve">(5a) </w:t>
      </w:r>
      <w:r>
        <w:rPr>
          <w:rStyle w:val="Satznummer"/>
        </w:rPr>
        <w:t>1</w:t>
      </w:r>
      <w:r>
        <w:t xml:space="preserve">Knüpfen außersteuerliche Rechtsnormen an die in den vorstehenden Absätzen definierten Begriffe (Einkünfte, Summe der Einkünfte, Gesamtbetrag der Einkünfte, Einkommen, zu versteuerndes Einkommen) an, erhöhen sich für deren Zwecke diese Größen um die nach </w:t>
      </w:r>
      <w:hyperlink w:anchor="b111" w:history="1">
        <w:r>
          <w:rPr>
            <w:color w:val="0A3A8C"/>
            <w:u w:val="single"/>
          </w:rPr>
          <w:t xml:space="preserve">§ 32d</w:t>
        </w:r>
      </w:hyperlink>
      <w:r>
        <w:t xml:space="preserve"> Absatz 1 und nach </w:t>
      </w:r>
      <w:hyperlink w:anchor="b169" w:history="1">
        <w:r>
          <w:rPr>
            <w:color w:val="0A3A8C"/>
            <w:u w:val="single"/>
          </w:rPr>
          <w:t xml:space="preserve">§ 43</w:t>
        </w:r>
      </w:hyperlink>
      <w:r>
        <w:t xml:space="preserve"> Absatz 5 zu besteuernden Beträge sowie um die nach </w:t>
      </w:r>
      <w:hyperlink w:anchor="b8" w:history="1">
        <w:r>
          <w:rPr>
            <w:color w:val="0A3A8C"/>
            <w:u w:val="single"/>
          </w:rPr>
          <w:t xml:space="preserve">§ 3</w:t>
        </w:r>
      </w:hyperlink>
      <w:r>
        <w:t xml:space="preserve"> Nummer 40 steuerfreien Beträge und mindern sich um die nach </w:t>
      </w:r>
      <w:hyperlink w:anchor="b11" w:history="1">
        <w:r>
          <w:rPr>
            <w:color w:val="0A3A8C"/>
            <w:u w:val="single"/>
          </w:rPr>
          <w:t xml:space="preserve">§ 3c</w:t>
        </w:r>
      </w:hyperlink>
      <w:r>
        <w:t xml:space="preserve"> Absatz 2 nicht abziehbaren Beträge. </w:t>
      </w:r>
      <w:r>
        <w:rPr>
          <w:rStyle w:val="Satznummer"/>
        </w:rPr>
        <w:t>2</w:t>
      </w:r>
      <w:r>
        <w:t xml:space="preserve">Knüpfen außersteuerliche Rechtsnormen an die in den Absätzen 1 bis 3 genannten Begriffe (Einkünfte, Summe der Einkünfte, Gesamtbetrag der Einkünfte) an, mindern sich für deren Zwecke diese Größen um die nach </w:t>
      </w:r>
      <w:hyperlink w:anchor="b51" w:history="1">
        <w:r>
          <w:rPr>
            <w:color w:val="0A3A8C"/>
            <w:u w:val="single"/>
          </w:rPr>
          <w:t xml:space="preserve">§ 10</w:t>
        </w:r>
      </w:hyperlink>
      <w:r>
        <w:t xml:space="preserve"> Absatz 1 Nummer 5 abziehbaren Kinderbetreuungskosten.</w:t>
      </w:r>
    </w:p>
    <w:p>
      <w:r>
        <w:t xml:space="preserve">(5b) Soweit Rechtsnormen dieses Gesetzes an die in den vorstehenden Absätzen definierten Begriffe (Einkünfte, Summe der Einkünfte, Gesamtbetrag der Einkünfte, Einkommen, zu versteuerndes Einkommen) anknüpfen, sind Kapitalerträge nach </w:t>
      </w:r>
      <w:hyperlink w:anchor="b111" w:history="1">
        <w:r>
          <w:rPr>
            <w:color w:val="0A3A8C"/>
            <w:u w:val="single"/>
          </w:rPr>
          <w:t xml:space="preserve">§ 32d</w:t>
        </w:r>
      </w:hyperlink>
      <w:r>
        <w:t xml:space="preserve"> Absatz 1 und </w:t>
      </w:r>
      <w:hyperlink w:anchor="b169" w:history="1">
        <w:r>
          <w:rPr>
            <w:color w:val="0A3A8C"/>
            <w:u w:val="single"/>
          </w:rPr>
          <w:t xml:space="preserve">§ 43</w:t>
        </w:r>
      </w:hyperlink>
      <w:r>
        <w:t xml:space="preserve"> Absatz 5 nicht einzubeziehen.</w:t>
      </w:r>
    </w:p>
    <w:p>
      <w:r>
        <w:t xml:space="preserve">(6) </w:t>
      </w:r>
      <w:r>
        <w:rPr>
          <w:rStyle w:val="Satznummer"/>
        </w:rPr>
        <w:t>1</w:t>
      </w:r>
      <w:r>
        <w:t xml:space="preserve">Die tarifliche Einkommensteuer, vermindert um den Unterschiedsbetrag nach </w:t>
      </w:r>
      <w:hyperlink w:anchor="b110" w:history="1">
        <w:r>
          <w:rPr>
            <w:color w:val="0A3A8C"/>
            <w:u w:val="single"/>
          </w:rPr>
          <w:t xml:space="preserve">§ 32c</w:t>
        </w:r>
      </w:hyperlink>
      <w:r>
        <w:t xml:space="preserve"> Absatz 1 Satz 2, die anzurechnenden ausländischen Steuern und die Steuerermäßigungen, vermehrt um die Steuer nach </w:t>
      </w:r>
      <w:hyperlink w:anchor="b111" w:history="1">
        <w:r>
          <w:rPr>
            <w:color w:val="0A3A8C"/>
            <w:u w:val="single"/>
          </w:rPr>
          <w:t xml:space="preserve">§ 32d</w:t>
        </w:r>
      </w:hyperlink>
      <w:r>
        <w:t xml:space="preserve"> Absatz 3 und 4, die Steuer nach </w:t>
      </w:r>
      <w:hyperlink w:anchor="b120" w:history="1">
        <w:r>
          <w:rPr>
            <w:color w:val="0A3A8C"/>
            <w:u w:val="single"/>
          </w:rPr>
          <w:t xml:space="preserve">§ 34c</w:t>
        </w:r>
      </w:hyperlink>
      <w:r>
        <w:t xml:space="preserve"> Absatz 5 und den Zuschlag nach § 3 Absatz 4 Satz 2 des Forstschäden-Ausgleichsgesetzes in der Fassung der Bekanntmachung vom 26. August 1985 (BGBl. I S. 1756), das zuletzt durch Artikel 412 der Verordnung vom 31. August 2015 (BGBl. I S. 1474) geändert worden ist, in der jeweils geltenden Fassung, ist die festzusetzende Einkommensteuer. </w:t>
      </w:r>
      <w:r>
        <w:rPr>
          <w:rStyle w:val="Satznummer"/>
        </w:rPr>
        <w:t>2</w:t>
      </w:r>
      <w:r>
        <w:t xml:space="preserve">Wurde der Gesamtbetrag der Einkünfte in den Fällen des </w:t>
      </w:r>
      <w:hyperlink w:anchor="b52" w:history="1">
        <w:r>
          <w:rPr>
            <w:color w:val="0A3A8C"/>
            <w:u w:val="single"/>
          </w:rPr>
          <w:t xml:space="preserve">§ 10a</w:t>
        </w:r>
      </w:hyperlink>
      <w:r>
        <w:t xml:space="preserve"> Absatz 2 um Sonderausgaben nach </w:t>
      </w:r>
      <w:hyperlink w:anchor="b52" w:history="1">
        <w:r>
          <w:rPr>
            <w:color w:val="0A3A8C"/>
            <w:u w:val="single"/>
          </w:rPr>
          <w:t xml:space="preserve">§ 10a</w:t>
        </w:r>
      </w:hyperlink>
      <w:r>
        <w:t xml:space="preserve"> Absatz 1 gemindert, ist für die Ermittlung der festzusetzenden Einkommensteuer der Anspruch auf Zulage nach Abschnitt XI der tariflichen Einkommensteuer hinzuzurechnen; bei der Ermittlung der dem Steuerpflichtigen zustehenden Zulage bleibt die Erhöhung der Grundzulage nach </w:t>
      </w:r>
      <w:hyperlink w:anchor="b242" w:history="1">
        <w:r>
          <w:rPr>
            <w:color w:val="0A3A8C"/>
            <w:u w:val="single"/>
          </w:rPr>
          <w:t xml:space="preserve">§ 84</w:t>
        </w:r>
      </w:hyperlink>
      <w:r>
        <w:t xml:space="preserve"> Satz 2 außer Betracht. </w:t>
      </w:r>
      <w:r>
        <w:rPr>
          <w:rStyle w:val="Satznummer"/>
        </w:rPr>
        <w:t>3</w:t>
      </w:r>
      <w:r>
        <w:t xml:space="preserve">Wird das Einkommen in den Fällen des </w:t>
      </w:r>
      <w:hyperlink w:anchor="b106" w:history="1">
        <w:r>
          <w:rPr>
            <w:color w:val="0A3A8C"/>
            <w:u w:val="single"/>
          </w:rPr>
          <w:t xml:space="preserve">§ 31</w:t>
        </w:r>
      </w:hyperlink>
      <w:r>
        <w:t xml:space="preserve"> um die Freibeträge nach </w:t>
      </w:r>
      <w:hyperlink w:anchor="b107" w:history="1">
        <w:r>
          <w:rPr>
            <w:color w:val="0A3A8C"/>
            <w:u w:val="single"/>
          </w:rPr>
          <w:t xml:space="preserve">§ 32</w:t>
        </w:r>
      </w:hyperlink>
      <w:r>
        <w:t xml:space="preserve"> Absatz 6 gemindert, ist der Anspruch auf Kindergeld nach Abschnitt X der tariflichen Einkommensteuer hinzuzurechnen; nicht jedoch für Kalendermonate, in denen durch Bescheid der Familienkasse ein Anspruch auf Kindergeld festgesetzt, aber wegen </w:t>
      </w:r>
      <w:hyperlink w:anchor="b225" w:history="1">
        <w:r>
          <w:rPr>
            <w:color w:val="0A3A8C"/>
            <w:u w:val="single"/>
          </w:rPr>
          <w:t xml:space="preserve">§ 70</w:t>
        </w:r>
      </w:hyperlink>
      <w:r>
        <w:t xml:space="preserve"> Absatz 1 Satz 2 nicht ausgezahlt wurde.</w:t>
      </w:r>
    </w:p>
    <w:p>
      <w:r>
        <w:t>(7)</w:t>
      </w:r>
      <w:r>
        <w:t xml:space="preserve"> </w:t>
      </w:r>
      <w:r>
        <w:rPr>
          <w:rStyle w:val="Satznummer"/>
        </w:rPr>
        <w:t>1</w:t>
      </w:r>
      <w:r>
        <w:t xml:space="preserve">Die Einkommensteuer ist eine Jahressteuer. </w:t>
      </w:r>
      <w:r>
        <w:rPr>
          <w:rStyle w:val="Satznummer"/>
        </w:rPr>
        <w:t>2</w:t>
      </w:r>
      <w:r>
        <w:t xml:space="preserve">Die Grundlagen für ihre Festsetzung sind jeweils für ein Kalenderjahr zu ermitteln. </w:t>
      </w:r>
      <w:r>
        <w:rPr>
          <w:rStyle w:val="Satznummer"/>
        </w:rPr>
        <w:t>3</w:t>
      </w:r>
      <w:r>
        <w:t>Besteht während eines Kalenderjahres sowohl unbeschränkte als auch beschränkte Einkommensteuerpflicht, so sind die während der beschränkten Einkommensteuerpflicht erzielten inländischen Einkünfte in eine Veranlagung zur unbeschränkten Einkommensteuerpflicht einzubeziehen.</w:t>
      </w:r>
    </w:p>
    <w:p>
      <w:r>
        <w:t>(8) Die Regelungen dieses Gesetzes zu Ehegatten und Ehen sind auch auf Lebenspartner und Lebenspartnerschaften anzuwenden.</w:t>
      </w:r>
    </w:p>
    <w:p>
      <w:pPr>
        <w:pStyle w:val="Heading3"/>
      </w:pPr>
      <w:bookmarkStart w:id="7" w:name="b6"/>
      <w:r>
        <w:t>§ 2a Negative Einkünfte mit Bezug zu Drittstaaten</w:t>
      </w:r>
      <w:r>
        <w:t xml:space="preserve"> </w:t>
      </w:r>
      <w:r>
        <w:rPr>
          <w:rStyle w:val="Suchmarke"/>
        </w:rPr>
        <w:t>#2a#</w:t>
      </w:r>
      <w:bookmarkEnd w:id="7"/>
    </w:p>
    <w:p>
      <w:r>
        <w:t xml:space="preserve">(1) </w:t>
      </w:r>
      <w:r>
        <w:rPr>
          <w:rStyle w:val="Satznummer"/>
        </w:rPr>
        <w:t>1</w:t>
      </w:r>
      <w:r>
        <w:t>Negative Einkünfte</w:t>
      </w:r>
    </w:p>
    <w:p>
      <w:pPr>
        <w:tabs>
          <w:tab w:pos="567" w:val="left"/>
        </w:tabs>
        <w:ind w:left="567" w:hanging="567"/>
      </w:pPr>
      <w:r>
        <w:t>1.</w:t>
      </w:r>
      <w:r>
        <w:tab/>
      </w:r>
      <w:r>
        <w:t>aus einer in einem Drittstaat belegenen land- und forstwirtschaftlichen Betriebsstätte,</w:t>
      </w:r>
    </w:p>
    <w:p>
      <w:pPr>
        <w:tabs>
          <w:tab w:pos="567" w:val="left"/>
        </w:tabs>
        <w:ind w:left="567" w:hanging="567"/>
      </w:pPr>
      <w:r>
        <w:t>2.</w:t>
      </w:r>
      <w:r>
        <w:tab/>
      </w:r>
      <w:r>
        <w:t>aus einer in einem Drittstaat belegenen gewerblichen Betriebsstätte,</w:t>
      </w:r>
    </w:p>
    <w:p>
      <w:pPr>
        <w:tabs>
          <w:tab w:pos="567" w:val="left"/>
        </w:tabs>
        <w:ind w:left="567" w:hanging="567"/>
      </w:pPr>
      <w:r>
        <w:t>3.</w:t>
      </w:r>
      <w:r>
        <w:tab/>
      </w:r>
    </w:p>
    <w:p>
      <w:pPr>
        <w:tabs>
          <w:tab w:pos="1134" w:val="left"/>
        </w:tabs>
        <w:ind w:left="1134" w:hanging="567"/>
      </w:pPr>
      <w:r>
        <w:t>a)</w:t>
      </w:r>
      <w:r>
        <w:tab/>
      </w:r>
      <w:r>
        <w:t>aus dem Ansatz des niedrigeren Teilwerts eines zu einem Betriebsvermögen gehörenden Anteils an einer Drittstaaten-Körperschaft oder</w:t>
      </w:r>
    </w:p>
    <w:p>
      <w:pPr>
        <w:tabs>
          <w:tab w:pos="1134" w:val="left"/>
        </w:tabs>
        <w:ind w:left="1134" w:hanging="567"/>
      </w:pPr>
      <w:r>
        <w:t>b)</w:t>
      </w:r>
      <w:r>
        <w:tab/>
      </w:r>
      <w:r>
        <w:t>aus der Veräußerung oder Entnahme eines zu einem Betriebsvermögen gehörenden Anteils an einer Drittstaaten-Körperschaft oder aus der Auflösung oder Herabsetzung des Kapitals einer Drittstaaten-Körperschaft,</w:t>
      </w:r>
    </w:p>
    <w:p>
      <w:pPr>
        <w:tabs>
          <w:tab w:pos="567" w:val="left"/>
        </w:tabs>
        <w:ind w:left="567" w:hanging="567"/>
      </w:pPr>
      <w:r>
        <w:t>4.</w:t>
      </w:r>
      <w:r>
        <w:tab/>
      </w:r>
      <w:r>
        <w:t xml:space="preserve">in den Fällen des </w:t>
      </w:r>
      <w:hyperlink w:anchor="b79" w:history="1">
        <w:r>
          <w:rPr>
            <w:color w:val="0A3A8C"/>
            <w:u w:val="single"/>
          </w:rPr>
          <w:t xml:space="preserve">§ 17</w:t>
        </w:r>
      </w:hyperlink>
      <w:r>
        <w:t xml:space="preserve"> bei einem Anteil an einer Drittstaaten-Kapitalgesellschaft,</w:t>
      </w:r>
    </w:p>
    <w:p>
      <w:pPr>
        <w:tabs>
          <w:tab w:pos="567" w:val="left"/>
        </w:tabs>
        <w:ind w:left="567" w:hanging="567"/>
      </w:pPr>
      <w:r>
        <w:t>5.</w:t>
      </w:r>
      <w:r>
        <w:tab/>
      </w:r>
      <w:r>
        <w:t>aus der Beteiligung an einem Handelsgewerbe als stiller Gesellschafter und aus partiarischen Darlehen, wenn der Schuldner Wohnsitz, Sitz oder Geschäftsleitung in einem Drittstaat hat,</w:t>
      </w:r>
    </w:p>
    <w:p>
      <w:pPr>
        <w:tabs>
          <w:tab w:pos="567" w:val="left"/>
        </w:tabs>
        <w:ind w:left="567" w:hanging="567"/>
      </w:pPr>
      <w:r>
        <w:t>6.</w:t>
      </w:r>
      <w:r>
        <w:tab/>
      </w:r>
    </w:p>
    <w:p>
      <w:pPr>
        <w:tabs>
          <w:tab w:pos="1134" w:val="left"/>
        </w:tabs>
        <w:ind w:left="1134" w:hanging="567"/>
      </w:pPr>
      <w:r>
        <w:t>a)</w:t>
      </w:r>
      <w:r>
        <w:tab/>
      </w:r>
      <w:r>
        <w:t>aus der Vermietung oder der Verpachtung von unbeweglichem Vermögen oder von Sachinbegriffen, wenn diese in einem Drittstaat belegen sind, oder</w:t>
      </w:r>
    </w:p>
    <w:p>
      <w:pPr>
        <w:tabs>
          <w:tab w:pos="1134" w:val="left"/>
        </w:tabs>
        <w:ind w:left="1134" w:hanging="567"/>
      </w:pPr>
      <w:r>
        <w:t>b)</w:t>
      </w:r>
      <w:r>
        <w:tab/>
      </w:r>
      <w:r>
        <w:t>aus der entgeltlichen Überlassung von Schiffen, sofern der Überlassende nicht nachweist, dass diese ausschließlich oder fast ausschließlich in einem anderen Staat als einem Drittstaat eingesetzt worden sind, es sei denn, es handelt sich um Handelsschiffe, die</w:t>
      </w:r>
    </w:p>
    <w:p>
      <w:pPr>
        <w:tabs>
          <w:tab w:pos="1701" w:val="left"/>
        </w:tabs>
        <w:ind w:left="1701" w:hanging="567"/>
      </w:pPr>
      <w:r>
        <w:t>aa)</w:t>
      </w:r>
      <w:r>
        <w:tab/>
      </w:r>
      <w:r>
        <w:t>von einem Vercharterer ausgerüstet überlassen oder</w:t>
      </w:r>
    </w:p>
    <w:p>
      <w:pPr>
        <w:tabs>
          <w:tab w:pos="1701" w:val="left"/>
        </w:tabs>
        <w:ind w:left="1701" w:hanging="567"/>
      </w:pPr>
      <w:r>
        <w:t>bb)</w:t>
      </w:r>
      <w:r>
        <w:tab/>
      </w:r>
      <w:r>
        <w:t>an in einem anderen als in einem Drittstaat ansässige Ausrüster, die die Voraussetzungen des § 510 Absatz 1 des Handelsgesetzbuchs erfüllen, überlassen oder</w:t>
      </w:r>
    </w:p>
    <w:p>
      <w:pPr>
        <w:tabs>
          <w:tab w:pos="1701" w:val="left"/>
        </w:tabs>
        <w:ind w:left="1701" w:hanging="567"/>
      </w:pPr>
      <w:r>
        <w:t>cc)</w:t>
      </w:r>
      <w:r>
        <w:tab/>
      </w:r>
      <w:r>
        <w:t>insgesamt nur vorübergehend an in einem Drittstaat ansässige Ausrüster, die die Voraussetzungen des § 510 Absatz 1 des Handelsgesetzbuchs erfüllen, überlassen</w:t>
      </w:r>
    </w:p>
    <w:p>
      <w:pPr>
        <w:ind w:left="1134"/>
      </w:pPr>
      <w:r>
        <w:t>worden sind, oder</w:t>
      </w:r>
    </w:p>
    <w:p>
      <w:pPr>
        <w:tabs>
          <w:tab w:pos="1134" w:val="left"/>
        </w:tabs>
        <w:ind w:left="1134" w:hanging="567"/>
      </w:pPr>
      <w:r>
        <w:t>c)</w:t>
      </w:r>
      <w:r>
        <w:tab/>
      </w:r>
      <w:r>
        <w:t>aus dem Ansatz des niedrigeren Teilwerts oder der Übertragung eines zu einem Betriebsvermögen gehörenden Wirtschaftsguts im Sinne der Buchstaben a und b,</w:t>
      </w:r>
    </w:p>
    <w:p>
      <w:pPr>
        <w:tabs>
          <w:tab w:pos="567" w:val="left"/>
        </w:tabs>
        <w:ind w:left="567" w:hanging="567"/>
      </w:pPr>
      <w:r>
        <w:t>7.</w:t>
      </w:r>
      <w:r>
        <w:tab/>
      </w:r>
    </w:p>
    <w:p>
      <w:pPr>
        <w:tabs>
          <w:tab w:pos="1134" w:val="left"/>
        </w:tabs>
        <w:ind w:left="1134" w:hanging="567"/>
      </w:pPr>
      <w:r>
        <w:t>a)</w:t>
      </w:r>
      <w:r>
        <w:tab/>
      </w:r>
      <w:r>
        <w:t>aus dem Ansatz des niedrigeren Teilwerts, der Veräußerung oder Entnahme eines zu einem Betriebsvermögen gehörenden Anteils an</w:t>
      </w:r>
    </w:p>
    <w:p>
      <w:pPr>
        <w:tabs>
          <w:tab w:pos="1134" w:val="left"/>
        </w:tabs>
        <w:ind w:left="1134" w:hanging="567"/>
      </w:pPr>
      <w:r>
        <w:t>b)</w:t>
      </w:r>
      <w:r>
        <w:tab/>
      </w:r>
      <w:r>
        <w:t>aus der Auflösung oder Herabsetzung des Kapitals,</w:t>
      </w:r>
    </w:p>
    <w:p>
      <w:pPr>
        <w:tabs>
          <w:tab w:pos="1134" w:val="left"/>
        </w:tabs>
        <w:ind w:left="1134" w:hanging="567"/>
      </w:pPr>
      <w:r>
        <w:t>c)</w:t>
      </w:r>
      <w:r>
        <w:tab/>
      </w:r>
      <w:r>
        <w:t xml:space="preserve">in den Fällen des </w:t>
      </w:r>
      <w:hyperlink w:anchor="b79" w:history="1">
        <w:r>
          <w:rPr>
            <w:color w:val="0A3A8C"/>
            <w:u w:val="single"/>
          </w:rPr>
          <w:t xml:space="preserve">§ 17</w:t>
        </w:r>
      </w:hyperlink>
      <w:r>
        <w:t xml:space="preserve"> bei einem Anteil an</w:t>
      </w:r>
    </w:p>
    <w:p>
      <w:pPr>
        <w:ind w:left="567"/>
      </w:pPr>
      <w:r>
        <w:t>einer Körperschaft mit Sitz oder Geschäftsleitung in einem anderen Staat als einem Drittstaat, soweit die negativen Einkünfte auf einen der in den Nummern 1 bis 6 genannten Tatbestände zurückzuführen sind,</w:t>
      </w:r>
    </w:p>
    <w:p>
      <w:r>
        <w:t xml:space="preserve">dürfen nur mit positiven Einkünften der jeweils selben Art und, mit Ausnahme der Fälle der Nummer 6 Buchstabe b, aus demselben Staat, in den Fällen der Nummer 7 auf Grund von Tatbeständen der jeweils selben Art aus demselben Staat, ausgeglichen werden; sie dürfen auch nicht nach </w:t>
      </w:r>
      <w:hyperlink w:anchor="b55" w:history="1">
        <w:r>
          <w:rPr>
            <w:color w:val="0A3A8C"/>
            <w:u w:val="single"/>
          </w:rPr>
          <w:t xml:space="preserve">§ 10d</w:t>
        </w:r>
      </w:hyperlink>
      <w:r>
        <w:t xml:space="preserve"> abgezogen werden. </w:t>
      </w:r>
      <w:r>
        <w:rPr>
          <w:rStyle w:val="Satznummer"/>
        </w:rPr>
        <w:t>2</w:t>
      </w:r>
      <w:r>
        <w:t xml:space="preserve">Den negativen Einkünften sind Gewinnminderungen gleichgestellt. </w:t>
      </w:r>
      <w:r>
        <w:rPr>
          <w:rStyle w:val="Satznummer"/>
        </w:rPr>
        <w:t>3</w:t>
      </w:r>
      <w:r>
        <w:t xml:space="preserve">Soweit die negativen Einkünfte nicht nach Satz 1 ausgeglichen werden können, mindern sie die positiven Einkünfte der jeweils selben Art, die der Steuerpflichtige in den folgenden Veranlagungszeiträumen aus demselben Staat, in den Fällen der Nummer 7 auf Grund von Tatbeständen der jeweils selben Art aus demselben Staat, erzielt. </w:t>
      </w:r>
      <w:r>
        <w:rPr>
          <w:rStyle w:val="Satznummer"/>
        </w:rPr>
        <w:t>4</w:t>
      </w:r>
      <w:r>
        <w:t xml:space="preserve">Die Minderung ist nur insoweit zulässig, als die negativen Einkünfte in den vorangegangenen Veranlagungszeiträumen nicht berücksichtigt werden konnten (verbleibende negative Einkünfte). </w:t>
      </w:r>
      <w:r>
        <w:rPr>
          <w:rStyle w:val="Satznummer"/>
        </w:rPr>
        <w:t>5</w:t>
      </w:r>
      <w:r>
        <w:t xml:space="preserve">Die am Schluss eines Veranlagungszeitraums verbleibenden negativen Einkünfte sind gesondert festzustellen; </w:t>
      </w:r>
      <w:hyperlink w:anchor="b55" w:history="1">
        <w:r>
          <w:rPr>
            <w:color w:val="0A3A8C"/>
            <w:u w:val="single"/>
          </w:rPr>
          <w:t xml:space="preserve">§ 10d</w:t>
        </w:r>
      </w:hyperlink>
      <w:r>
        <w:t xml:space="preserve"> Absatz 4 gilt sinngemäß.</w:t>
      </w:r>
    </w:p>
    <w:p>
      <w:r>
        <w:t xml:space="preserve">(2) </w:t>
      </w:r>
      <w:r>
        <w:rPr>
          <w:rStyle w:val="Satznummer"/>
        </w:rPr>
        <w:t>1</w:t>
      </w:r>
      <w:r>
        <w:t xml:space="preserve">Absatz 1 Satz 1 Nummer 2 ist nicht anzuwenden, wenn der Steuerpflichtige nachweist, dass die negativen Einkünfte aus einer gewerblichen Betriebsstätte in einem Drittstaat stammen, die ausschließlich oder fast ausschließlich die Herstellung oder Lieferung von Waren, außer Waffen, die Gewinnung von Bodenschätzen sowie die Bewirkung gewerblicher Leistungen zum Gegenstand hat, soweit diese nicht in der Errichtung oder dem Betrieb von Anlagen, die dem Fremdenverkehr dienen, oder in der Vermietung oder der Verpachtung von Wirtschaftsgütern einschließlich der Überlassung von Rechten, Plänen, Mustern, Verfahren, Erfahrungen und Kenntnissen bestehen; das unmittelbare Halten einer Beteiligung von mindestens einem Viertel am Nennkapital einer Kapitalgesellschaft, die ausschließlich oder fast ausschließlich die vorgenannten Tätigkeiten zum Gegenstand hat, sowie die mit dem Halten der Beteiligung in Zusammenhang stehende Finanzierung gilt als Bewirkung gewerblicher Leistungen, wenn die Kapitalgesellschaft weder ihre Geschäftsleitung noch ihren Sitz im Inland hat. </w:t>
      </w:r>
      <w:r>
        <w:rPr>
          <w:rStyle w:val="Satznummer"/>
        </w:rPr>
        <w:t>2</w:t>
      </w:r>
      <w:r>
        <w:t>Absatz 1 Satz 1 Nummer 3 und 4 ist nicht anzuwenden, wenn der Steuerpflichtige nachweist, dass die in Satz 1 genannten Voraussetzungen bei der Körperschaft entweder seit ihrer Gründung oder während der letzten fünf Jahre vor und in dem Veranlagungszeitraum vorgelegen haben, in dem die negativen Einkünfte bezogen werden.</w:t>
      </w:r>
    </w:p>
    <w:p>
      <w:r>
        <w:t xml:space="preserve">(2a) </w:t>
      </w:r>
      <w:r>
        <w:rPr>
          <w:rStyle w:val="Satznummer"/>
        </w:rPr>
        <w:t>1</w:t>
      </w:r>
      <w:r>
        <w:t>Bei der Anwendung der Absätze 1 und 2 sind</w:t>
      </w:r>
    </w:p>
    <w:p>
      <w:pPr>
        <w:tabs>
          <w:tab w:pos="567" w:val="left"/>
        </w:tabs>
        <w:ind w:left="567" w:hanging="567"/>
      </w:pPr>
      <w:r>
        <w:t>1.</w:t>
      </w:r>
      <w:r>
        <w:tab/>
      </w:r>
      <w:r>
        <w:t>als Drittstaaten die Staaten anzusehen, die nicht Mitgliedstaaten der Europäischen Union sind;</w:t>
      </w:r>
    </w:p>
    <w:p>
      <w:pPr>
        <w:tabs>
          <w:tab w:pos="567" w:val="left"/>
        </w:tabs>
        <w:ind w:left="567" w:hanging="567"/>
      </w:pPr>
      <w:r>
        <w:t>2.</w:t>
      </w:r>
      <w:r>
        <w:tab/>
      </w:r>
      <w:r>
        <w:t>Drittstaaten-Körperschaften und Drittstaaten-Kapitalgesellschaften solche, die weder ihre Geschäftsleitung noch ihren Sitz in einem Mitgliedstaat der Europäischen Union haben.</w:t>
      </w:r>
    </w:p>
    <w:p>
      <w:r>
        <w:rPr>
          <w:rStyle w:val="Satznummer"/>
        </w:rPr>
        <w:t>2</w:t>
      </w:r>
      <w:r>
        <w:t>Bei Anwendung des Satzes 1 sind den Mitgliedstaaten der Europäischen Union die Staaten gleichgestellt, auf die das Abkommen über den Europäischen Wirtschaftsraum anwendbar ist, sofern zwischen der Bundesrepublik Deutschland und dem anderen Staat auf Grund der Amtshilferichtlinie gemäß § 2 Absatz 2 des EU-Amtshilfegesetzes oder einer vergleichbaren zwei- oder mehrseitigen Vereinbarung Auskünfte erteilt werden, die erforderlich sind, um die Besteuerung durchzuführen.</w:t>
      </w:r>
    </w:p>
    <w:p>
      <w:pPr>
        <w:pStyle w:val="Heading2"/>
      </w:pPr>
      <w:bookmarkStart w:id="8" w:name="b7"/>
      <w:r>
        <w:t>2. Steuerfreie Einnahmen</w:t>
      </w:r>
      <w:bookmarkEnd w:id="8"/>
    </w:p>
    <w:p>
      <w:pPr>
        <w:pStyle w:val="Heading3"/>
      </w:pPr>
      <w:bookmarkStart w:id="9" w:name="b8"/>
      <w:r>
        <w:t>§ 3</w:t>
      </w:r>
      <w:r>
        <w:t xml:space="preserve"> </w:t>
      </w:r>
      <w:r>
        <w:rPr>
          <w:rStyle w:val="Suchmarke"/>
        </w:rPr>
        <w:t>#3#</w:t>
      </w:r>
      <w:bookmarkEnd w:id="9"/>
    </w:p>
    <w:p>
      <w:r>
        <w:t>Steuerfrei sind</w:t>
      </w:r>
    </w:p>
    <w:p>
      <w:pPr>
        <w:tabs>
          <w:tab w:pos="567" w:val="left"/>
        </w:tabs>
        <w:ind w:left="567" w:hanging="567"/>
      </w:pPr>
      <w:r>
        <w:t>1.</w:t>
      </w:r>
      <w:r>
        <w:tab/>
      </w:r>
    </w:p>
    <w:p>
      <w:pPr>
        <w:tabs>
          <w:tab w:pos="1134" w:val="left"/>
        </w:tabs>
        <w:ind w:left="1134" w:hanging="567"/>
      </w:pPr>
      <w:r>
        <w:t>a)</w:t>
      </w:r>
      <w:r>
        <w:tab/>
      </w:r>
      <w:r>
        <w:t>Leistungen aus einer Krankenversicherung, aus einer Pflegeversicherung und aus der gesetzlichen Unfallversicherung,</w:t>
      </w:r>
    </w:p>
    <w:p>
      <w:pPr>
        <w:tabs>
          <w:tab w:pos="1134" w:val="left"/>
        </w:tabs>
        <w:ind w:left="1134" w:hanging="567"/>
      </w:pPr>
      <w:r>
        <w:t>b)</w:t>
      </w:r>
      <w:r>
        <w:tab/>
      </w:r>
      <w:r>
        <w:t>Sachleistungen und Kinderzuschüsse aus den gesetzlichen Rentenversicherungen einschließlich der Sachleistungen nach dem Gesetz über die Alterssicherung der Landwirte,</w:t>
      </w:r>
    </w:p>
    <w:p>
      <w:pPr>
        <w:tabs>
          <w:tab w:pos="1134" w:val="left"/>
        </w:tabs>
        <w:ind w:left="1134" w:hanging="567"/>
      </w:pPr>
      <w:r>
        <w:t>c)</w:t>
      </w:r>
      <w:r>
        <w:tab/>
      </w:r>
      <w:r>
        <w:t>Übergangsgeld nach dem Sechsten Buch Sozialgesetzbuch und Geldleistungen nach den §§ 10, 36 bis 39 des Gesetzes über die Alterssicherung der Landwirte,</w:t>
      </w:r>
    </w:p>
    <w:p>
      <w:pPr>
        <w:tabs>
          <w:tab w:pos="1134" w:val="left"/>
        </w:tabs>
        <w:ind w:left="1134" w:hanging="567"/>
      </w:pPr>
      <w:r>
        <w:t>d)</w:t>
      </w:r>
      <w:r>
        <w:tab/>
      </w:r>
      <w:r>
        <w:t>das Mutterschaftsgeld nach dem Mutterschutzgesetz, der Reichsversicherungsordnung und dem Gesetz über die Krankenversicherung der Landwirte, die Sonderunterstützung für im Familienhaushalt beschäftigte Frauen, der Zuschuss zum Mutterschaftsgeld nach dem Mutterschutzgesetz sowie der Zuschuss bei Beschäftigungsverboten für die Zeit vor oder nach einer Entbindung sowie für den Entbindungstag während einer Elternzeit nach beamtenrechtlichen Vorschriften;</w:t>
      </w:r>
    </w:p>
    <w:p>
      <w:pPr>
        <w:tabs>
          <w:tab w:pos="567" w:val="left"/>
        </w:tabs>
        <w:ind w:left="567" w:hanging="567"/>
      </w:pPr>
      <w:r>
        <w:t>2.</w:t>
      </w:r>
      <w:r>
        <w:tab/>
      </w:r>
    </w:p>
    <w:p>
      <w:pPr>
        <w:tabs>
          <w:tab w:pos="1134" w:val="left"/>
        </w:tabs>
        <w:ind w:left="1134" w:hanging="567"/>
      </w:pPr>
      <w:r>
        <w:t>a)</w:t>
      </w:r>
      <w:r>
        <w:tab/>
      </w:r>
      <w:r>
        <w:t>das Arbeitslosengeld, das Teilarbeitslosengeld, das Kurzarbeitergeld, der Zuschuss zum Arbeitsentgelt, das Übergangsgeld, der Gründungszuschuss, das Qualifizierungsgeld nach dem Dritten Buch Sozialgesetzbuch sowie die übrigen Leistungen nach dem Dritten Buch Sozialgesetzbuch und den entsprechenden Programmen des Bundes und der Länder, soweit sie Arbeitnehmern oder Arbeitsuchenden oder zur Förderung der Aus- oder Weiterbildung oder Existenzgründung der Empfänger gewährt werden,</w:t>
      </w:r>
    </w:p>
    <w:p>
      <w:pPr>
        <w:tabs>
          <w:tab w:pos="1134" w:val="left"/>
        </w:tabs>
        <w:ind w:left="1134" w:hanging="567"/>
      </w:pPr>
      <w:r>
        <w:t>b)</w:t>
      </w:r>
      <w:r>
        <w:tab/>
      </w:r>
      <w:r>
        <w:t>das Insolvenzgeld, Leistungen auf Grund der in § 169 und § 175 Absatz 2 des Dritten Buches Sozialgesetzbuch genannten Ansprüche sowie Zahlungen des Arbeitgebers an einen Sozialleistungsträger auf Grund des gesetzlichen Forderungsübergangs nach § 115 Absatz 1 des Zehnten Buches Sozialgesetzbuch, wenn ein Insolvenzereignis nach § 165 Absatz 1 Satz 2 auch in Verbindung mit Satz 3 des Dritten Buches Sozialgesetzbuch vorliegt,</w:t>
      </w:r>
    </w:p>
    <w:p>
      <w:pPr>
        <w:tabs>
          <w:tab w:pos="1134" w:val="left"/>
        </w:tabs>
        <w:ind w:left="1134" w:hanging="567"/>
      </w:pPr>
      <w:r>
        <w:t>c)</w:t>
      </w:r>
      <w:r>
        <w:tab/>
      </w:r>
      <w:r>
        <w:t>die Arbeitslosenbeihilfe nach dem Soldatenversorgungsgesetz,</w:t>
      </w:r>
    </w:p>
    <w:p>
      <w:pPr>
        <w:tabs>
          <w:tab w:pos="1134" w:val="left"/>
        </w:tabs>
        <w:ind w:left="1134" w:hanging="567"/>
      </w:pPr>
      <w:r>
        <w:t>d)</w:t>
      </w:r>
      <w:r>
        <w:tab/>
      </w:r>
      <w:r>
        <w:t>Leistungen zur Sicherung des Lebensunterhalts und zur Eingliederung in Arbeit nach dem Zweiten Buch Sozialgesetzbuch,</w:t>
      </w:r>
    </w:p>
    <w:p>
      <w:pPr>
        <w:tabs>
          <w:tab w:pos="1134" w:val="left"/>
        </w:tabs>
        <w:ind w:left="1134" w:hanging="567"/>
      </w:pPr>
      <w:r>
        <w:t>e)</w:t>
      </w:r>
      <w:r>
        <w:tab/>
      </w:r>
      <w:r>
        <w:t>mit den in den Nummern 1 bis 2 Buchstabe d und Nummer 67 Buchstabe b genannten Leistungen vergleichbare Leistungen ausländischer Rechtsträger, die ihren Sitz in einem Mitgliedstaat der Europäischen Union, in einem Staat, auf den das Abkommen über den Europäischen Wirtschaftsraum Anwendung findet oder in der Schweiz haben;</w:t>
      </w:r>
    </w:p>
    <w:p>
      <w:pPr>
        <w:tabs>
          <w:tab w:pos="567" w:val="left"/>
        </w:tabs>
        <w:ind w:left="567" w:hanging="567"/>
      </w:pPr>
      <w:r>
        <w:t>3.</w:t>
      </w:r>
      <w:r>
        <w:tab/>
      </w:r>
    </w:p>
    <w:p>
      <w:pPr>
        <w:tabs>
          <w:tab w:pos="1134" w:val="left"/>
        </w:tabs>
        <w:ind w:left="1134" w:hanging="567"/>
      </w:pPr>
      <w:r>
        <w:t>a)</w:t>
      </w:r>
      <w:r>
        <w:tab/>
      </w:r>
      <w:r>
        <w:t>Rentenabfindungen nach § 107 des Sechsten Buches Sozialgesetzbuch, nach § 21 des Beamtenversorgungsgesetzes, nach § 9 Absatz 1 Nummer 3 des Altersgeldgesetzes oder entsprechendem Landesrecht und nach § 59 des Soldatenversorgungsgesetzes in Verbindung mit § 21 des Beamtenversorgungsgesetzes,</w:t>
      </w:r>
    </w:p>
    <w:p>
      <w:pPr>
        <w:tabs>
          <w:tab w:pos="1134" w:val="left"/>
        </w:tabs>
        <w:ind w:left="1134" w:hanging="567"/>
      </w:pPr>
      <w:r>
        <w:t>b)</w:t>
      </w:r>
      <w:r>
        <w:tab/>
      </w:r>
      <w:r>
        <w:t>Beitragserstattungen an den Versicherten nach den §§ 210 und 286d des Sechsten Buches Sozialgesetzbuch sowie nach den §§ 204, 205 und 207 des Sechsten Buches Sozialgesetzbuch, Beitragserstattungen nach den §§ 75 und 117 des Gesetzes über die Alterssicherung der Landwirte und nach § 26 des Vierten Buches Sozialgesetzbuch,</w:t>
      </w:r>
    </w:p>
    <w:p>
      <w:pPr>
        <w:tabs>
          <w:tab w:pos="1134" w:val="left"/>
        </w:tabs>
        <w:ind w:left="1134" w:hanging="567"/>
      </w:pPr>
      <w:r>
        <w:t>c)</w:t>
      </w:r>
      <w:r>
        <w:tab/>
      </w:r>
      <w:r>
        <w:t>Leistungen aus berufsständischen Versorgungseinrichtungen, die den Leistungen nach den Buchstaben a und b entsprechen,</w:t>
      </w:r>
    </w:p>
    <w:p>
      <w:pPr>
        <w:tabs>
          <w:tab w:pos="1134" w:val="left"/>
        </w:tabs>
        <w:ind w:left="1134" w:hanging="567"/>
      </w:pPr>
      <w:r>
        <w:t>d)</w:t>
      </w:r>
      <w:r>
        <w:tab/>
      </w:r>
      <w:r>
        <w:t>Kapitalabfindungen und Ausgleichszahlungen nach § 48 des Beamtenversorgungsgesetzes oder entsprechendem Landesrecht und nach den §§ 43 bis 50 und 53 des Soldatenversorgungsgesetzes;</w:t>
      </w:r>
    </w:p>
    <w:p>
      <w:pPr>
        <w:tabs>
          <w:tab w:pos="567" w:val="left"/>
        </w:tabs>
        <w:ind w:left="567" w:hanging="567"/>
      </w:pPr>
      <w:r>
        <w:t>4.</w:t>
      </w:r>
      <w:r>
        <w:tab/>
      </w:r>
      <w:r>
        <w:t>bei Angehörigen der Bundeswehr, der Bundespolizei, der Zollverwaltung, der Bereitschaftspolizei der Länder, der Vollzugspolizei und der Berufsfeuerwehr der Länder und Gemeinden und bei Vollzugsbeamten der Kriminalpolizei des Bundes, der Länder und Gemeinden</w:t>
      </w:r>
    </w:p>
    <w:p>
      <w:pPr>
        <w:tabs>
          <w:tab w:pos="1134" w:val="left"/>
        </w:tabs>
        <w:ind w:left="1134" w:hanging="567"/>
      </w:pPr>
      <w:r>
        <w:t>a)</w:t>
      </w:r>
      <w:r>
        <w:tab/>
      </w:r>
      <w:r>
        <w:t>der Geldwert der ihnen aus Dienstbeständen überlassenen Dienstkleidung,</w:t>
      </w:r>
    </w:p>
    <w:p>
      <w:pPr>
        <w:tabs>
          <w:tab w:pos="1134" w:val="left"/>
        </w:tabs>
        <w:ind w:left="1134" w:hanging="567"/>
      </w:pPr>
      <w:r>
        <w:t>b)</w:t>
      </w:r>
      <w:r>
        <w:tab/>
      </w:r>
      <w:r>
        <w:t>Einkleidungsbeihilfen und Abnutzungsentschädigungen für die Dienstkleidung der zum Tragen oder Bereithalten von Dienstkleidung Verpflichteten und für dienstlich notwendige Kleidungsstücke der Vollzugsbeamten der Kriminalpolizei sowie der Angehörigen der Zollverwaltung,</w:t>
      </w:r>
    </w:p>
    <w:p>
      <w:pPr>
        <w:tabs>
          <w:tab w:pos="1134" w:val="left"/>
        </w:tabs>
        <w:ind w:left="1134" w:hanging="567"/>
      </w:pPr>
      <w:r>
        <w:t>c)</w:t>
      </w:r>
      <w:r>
        <w:tab/>
      </w:r>
      <w:r>
        <w:t>im Einsatz gewährte Verpflegung oder Verpflegungszuschüsse,</w:t>
      </w:r>
    </w:p>
    <w:p>
      <w:pPr>
        <w:tabs>
          <w:tab w:pos="1134" w:val="left"/>
        </w:tabs>
        <w:ind w:left="1134" w:hanging="567"/>
      </w:pPr>
      <w:r>
        <w:t>d)</w:t>
      </w:r>
      <w:r>
        <w:tab/>
      </w:r>
      <w:r>
        <w:t>der Geldwert der auf Grund gesetzlicher Vorschriften gewährten Heilfürsorge;</w:t>
      </w:r>
    </w:p>
    <w:p>
      <w:pPr>
        <w:tabs>
          <w:tab w:pos="567" w:val="left"/>
        </w:tabs>
        <w:ind w:left="567" w:hanging="567"/>
      </w:pPr>
      <w:r>
        <w:t>5.</w:t>
      </w:r>
      <w:r>
        <w:tab/>
      </w:r>
    </w:p>
    <w:p>
      <w:pPr>
        <w:tabs>
          <w:tab w:pos="1134" w:val="left"/>
        </w:tabs>
        <w:ind w:left="1134" w:hanging="567"/>
      </w:pPr>
      <w:r>
        <w:t>a)</w:t>
      </w:r>
      <w:r>
        <w:tab/>
      </w:r>
      <w:r>
        <w:t>die Geld- und Sachbezüge, die Wehrpflichtige während des Wehrdienstes nach § 4 des Wehrpflichtgesetzes erhalten,</w:t>
      </w:r>
    </w:p>
    <w:p>
      <w:pPr>
        <w:tabs>
          <w:tab w:pos="1134" w:val="left"/>
        </w:tabs>
        <w:ind w:left="1134" w:hanging="567"/>
      </w:pPr>
      <w:r>
        <w:t>b)</w:t>
      </w:r>
      <w:r>
        <w:tab/>
      </w:r>
      <w:r>
        <w:t>die Geld- und Sachbezüge, die Zivildienstleistende nach § 35 des Zivildienstgesetzes erhalten,</w:t>
      </w:r>
    </w:p>
    <w:p>
      <w:pPr>
        <w:tabs>
          <w:tab w:pos="1134" w:val="left"/>
        </w:tabs>
        <w:ind w:left="1134" w:hanging="567"/>
      </w:pPr>
      <w:r>
        <w:t>c)</w:t>
      </w:r>
      <w:r>
        <w:tab/>
      </w:r>
      <w:r>
        <w:t>die Heilfürsorge, die Soldaten nach § 16 des Wehrsoldgesetzes und Zivildienstleistende nach § 35 des Zivildienstgesetzes erhalten,</w:t>
      </w:r>
    </w:p>
    <w:p>
      <w:pPr>
        <w:tabs>
          <w:tab w:pos="1134" w:val="left"/>
        </w:tabs>
        <w:ind w:left="1134" w:hanging="567"/>
      </w:pPr>
      <w:r>
        <w:t>d)</w:t>
      </w:r>
      <w:r>
        <w:tab/>
      </w:r>
      <w:r>
        <w:t>das an Personen, die einen in § 32 Absatz 4 Satz 1 Nummer 2 Buchstabe d genannten Freiwilligendienst leisten, gezahlte Taschengeld oder eine vergleichbare Geldleistung,</w:t>
      </w:r>
    </w:p>
    <w:p>
      <w:pPr>
        <w:tabs>
          <w:tab w:pos="1134" w:val="left"/>
        </w:tabs>
        <w:ind w:left="1134" w:hanging="567"/>
      </w:pPr>
      <w:r>
        <w:t>e)</w:t>
      </w:r>
      <w:r>
        <w:tab/>
      </w:r>
      <w:r>
        <w:t>Leistungen nach § 5 des Wehrsoldgesetzes,</w:t>
      </w:r>
    </w:p>
    <w:p>
      <w:pPr>
        <w:tabs>
          <w:tab w:pos="1134" w:val="left"/>
        </w:tabs>
        <w:ind w:left="1134" w:hanging="567"/>
      </w:pPr>
      <w:r>
        <w:t>f)</w:t>
      </w:r>
      <w:r>
        <w:tab/>
      </w:r>
      <w:r>
        <w:t>Zuschüsse nach den §§ 31b und 31c des Soldatengesetzes;</w:t>
      </w:r>
    </w:p>
    <w:p>
      <w:pPr>
        <w:tabs>
          <w:tab w:pos="567" w:val="left"/>
        </w:tabs>
        <w:ind w:left="567" w:hanging="567"/>
      </w:pPr>
      <w:r>
        <w:t>6.</w:t>
      </w:r>
      <w:r>
        <w:tab/>
      </w:r>
      <w:r>
        <w:t xml:space="preserve">Bezüge, die auf Grund gesetzlicher Vorschriften aus öffentlichen Mitteln versorgungshalber an Wehrdienstbeschädigte, im Freiwilligen Wehrdienst Beschädigte, Zivildienstbeschädigte und im Bundesfreiwilligendienst Beschädigte oder ihre Hinterbliebenen, Kriegsbeschädigte, Kriegshinterbliebene und ihnen gleichgestellte Personen gezahlt werden, soweit es sich nicht um Bezüge handelt, die auf Grund der Dienstzeit gewährt werden. </w:t>
      </w:r>
      <w:r>
        <w:rPr>
          <w:rStyle w:val="Satznummer"/>
        </w:rPr>
        <w:t>2</w:t>
      </w:r>
      <w:r>
        <w:t>Gleichgestellte im Sinne des Satzes 1 sind auch Personen, die Anspruch auf Leistungen nach dem Vierzehnten Buch Sozialgesetzbuch oder auf Unfallfürsorgeleistungen nach dem Soldatenversorgungsgesetz, Soldatenentschädigungsgesetz, Beamtenversorgungsgesetz oder vergleichbarem Landesrecht haben;</w:t>
      </w:r>
    </w:p>
    <w:p>
      <w:pPr>
        <w:tabs>
          <w:tab w:pos="567" w:val="left"/>
        </w:tabs>
        <w:ind w:left="567" w:hanging="567"/>
      </w:pPr>
      <w:r>
        <w:t>7.</w:t>
      </w:r>
      <w:r>
        <w:tab/>
      </w:r>
      <w:r>
        <w:t xml:space="preserve">Ausgleichsleistungen nach dem Lastenausgleichsgesetz, Leistungen nach dem Flüchtlingshilfegesetz, dem Bundesvertriebenengesetz, dem Reparationsschädengesetz, dem Vertriebenenzuwendungsgesetz, dem NS-Verfolgtenentschädigungsgesetz sowie Leistungen nach dem Entschädigungsgesetz und nach dem Ausgleichsleistungsgesetz, soweit sie nicht Kapitalerträge im Sinne des </w:t>
      </w:r>
      <w:hyperlink w:anchor="b86" w:history="1">
        <w:r>
          <w:rPr>
            <w:color w:val="0A3A8C"/>
            <w:u w:val="single"/>
          </w:rPr>
          <w:t xml:space="preserve">§ 20</w:t>
        </w:r>
      </w:hyperlink>
      <w:r>
        <w:t xml:space="preserve"> Absatz 1 Nummer 7 und Absatz 2 sind;</w:t>
      </w:r>
    </w:p>
    <w:p>
      <w:pPr>
        <w:tabs>
          <w:tab w:pos="567" w:val="left"/>
        </w:tabs>
        <w:ind w:left="567" w:hanging="567"/>
      </w:pPr>
      <w:r>
        <w:t>8.</w:t>
      </w:r>
      <w:r>
        <w:tab/>
      </w:r>
      <w:r>
        <w:t xml:space="preserve">Geldrenten, Kapitalentschädigungen und Leistungen im Heilverfahren, die auf Grund gesetzlicher Vorschriften zur Wiedergutmachung nationalsozialistischen Unrechts gewährt werden. </w:t>
      </w:r>
      <w:r>
        <w:rPr>
          <w:rStyle w:val="Satznummer"/>
        </w:rPr>
        <w:t>2</w:t>
      </w:r>
      <w:r>
        <w:t>Die Steuerpflicht von Bezügen aus einem aus Wiedergutmachungsgründen neu begründeten oder wieder begründeten Dienstverhältnis sowie von Bezügen aus einem früheren Dienstverhältnis, die aus Wiedergutmachungsgründen neu gewährt oder wieder gewährt werden, bleibt unberührt;</w:t>
      </w:r>
    </w:p>
    <w:p>
      <w:pPr>
        <w:tabs>
          <w:tab w:pos="567" w:val="left"/>
        </w:tabs>
        <w:ind w:left="567" w:hanging="567"/>
      </w:pPr>
      <w:r>
        <w:t>8a.</w:t>
      </w:r>
      <w:r>
        <w:tab/>
      </w:r>
      <w:r>
        <w:t xml:space="preserve">Renten wegen Alters und Renten wegen verminderter Erwerbsfähigkeit aus der gesetzlichen Rentenversicherung, die an Verfolgte im Sinne des § 1 des Bundesentschädigungsgesetzes gezahlt werden, wenn rentenrechtliche Zeiten auf Grund der Verfolgung in der Rente enthalten sind. </w:t>
      </w:r>
      <w:r>
        <w:rPr>
          <w:rStyle w:val="Satznummer"/>
        </w:rPr>
        <w:t>2</w:t>
      </w:r>
      <w:r>
        <w:t>Renten wegen Todes aus der gesetzlichen Rentenversicherung, wenn der verstorbene Versicherte Verfolgter im Sinne des § 1 des Bundesentschädigungsgesetzes war und wenn rentenrechtliche Zeiten auf Grund der Verfolgung in dieser Rente enthalten sind;</w:t>
      </w:r>
    </w:p>
    <w:p>
      <w:pPr>
        <w:tabs>
          <w:tab w:pos="567" w:val="left"/>
        </w:tabs>
        <w:ind w:left="567" w:hanging="567"/>
      </w:pPr>
      <w:r>
        <w:t>9.</w:t>
      </w:r>
      <w:r>
        <w:tab/>
      </w:r>
      <w:r>
        <w:t xml:space="preserve">Erstattungen nach </w:t>
      </w:r>
      <w:hyperlink w:anchor="b92" w:history="1">
        <w:r>
          <w:rPr>
            <w:color w:val="0A3A8C"/>
            <w:u w:val="single"/>
          </w:rPr>
          <w:t xml:space="preserve">§ 23</w:t>
        </w:r>
      </w:hyperlink>
      <w:r>
        <w:t xml:space="preserve"> Absatz 2 Satz 1 Nummer 3 und 4 sowie nach § 39 Absatz 4 Satz 2 des Achten Buches Sozialgesetzbuch;</w:t>
      </w:r>
    </w:p>
    <w:p>
      <w:pPr>
        <w:tabs>
          <w:tab w:pos="567" w:val="left"/>
        </w:tabs>
        <w:ind w:left="567" w:hanging="567"/>
      </w:pPr>
      <w:r>
        <w:t>10.</w:t>
      </w:r>
      <w:r>
        <w:tab/>
      </w:r>
      <w:r>
        <w:t xml:space="preserve">Einnahmen einer Gastfamilie für die Aufnahme eines Menschen mit Behinderungen oder von Behinderung bedrohten Menschen nach § 2 Absatz 1 des Neunten Buches Sozialgesetzbuch zur Pflege, Betreuung, Unterbringung und Verpflegung, die auf Leistungen eines Leistungsträgers nach dem Sozialgesetzbuch beruhen. </w:t>
      </w:r>
      <w:r>
        <w:rPr>
          <w:rStyle w:val="Satznummer"/>
        </w:rPr>
        <w:t>2</w:t>
      </w:r>
      <w:r>
        <w:t xml:space="preserve">Für Einnahmen im Sinne des Satzes 1, die nicht auf Leistungen eines Leistungsträgers nach dem Sozialgesetzbuch beruhen, gilt Entsprechendes bis zur Höhe der Leistungen nach dem Zwölften Buch Sozialgesetzbuch. </w:t>
      </w:r>
      <w:r>
        <w:rPr>
          <w:rStyle w:val="Satznummer"/>
        </w:rPr>
        <w:t>3</w:t>
      </w:r>
      <w:r>
        <w:t xml:space="preserve">Überschreiten die auf Grund der in Satz 1 bezeichneten Tätigkeit bezogenen Einnahmen der Gastfamilie den steuerfreien Betrag, dürfen die mit der Tätigkeit in unmittelbarem wirtschaftlichen Zusammenhang stehenden Ausgaben abweichend von </w:t>
      </w:r>
      <w:hyperlink w:anchor="b11" w:history="1">
        <w:r>
          <w:rPr>
            <w:color w:val="0A3A8C"/>
            <w:u w:val="single"/>
          </w:rPr>
          <w:t xml:space="preserve">§ 3c</w:t>
        </w:r>
      </w:hyperlink>
      <w:r>
        <w:t xml:space="preserve"> nur insoweit als Betriebsausgaben abgezogen werden, als sie den Betrag der steuerfreien Einnahmen übersteigen;</w:t>
      </w:r>
    </w:p>
    <w:p>
      <w:pPr>
        <w:tabs>
          <w:tab w:pos="567" w:val="left"/>
        </w:tabs>
        <w:ind w:left="567" w:hanging="567"/>
      </w:pPr>
      <w:r>
        <w:t>11.</w:t>
      </w:r>
      <w:r>
        <w:tab/>
      </w:r>
      <w:r>
        <w:t xml:space="preserve">Bezüge aus öffentlichen Mitteln oder aus Mitteln einer öffentlichen Stiftung, die wegen Hilfsbedürftigkeit oder als Beihilfe zu dem Zweck bewilligt werden, die Erziehung oder Ausbildung, die Wissenschaft oder Kunst unmittelbar zu fördern. </w:t>
      </w:r>
      <w:r>
        <w:rPr>
          <w:rStyle w:val="Satznummer"/>
        </w:rPr>
        <w:t>2</w:t>
      </w:r>
      <w:r>
        <w:t xml:space="preserve">Darunter fallen nicht Kinderzuschläge und Kinderbeihilfen, die auf Grund der Besoldungsgesetze, besonderer Tarife oder ähnlicher Vorschriften gewährt werden. </w:t>
      </w:r>
      <w:r>
        <w:rPr>
          <w:rStyle w:val="Satznummer"/>
        </w:rPr>
        <w:t>3</w:t>
      </w:r>
      <w:r>
        <w:t xml:space="preserve">Voraussetzung für die Steuerfreiheit ist, dass der Empfänger mit den Bezügen nicht zu einer bestimmten wissenschaftlichen oder künstlerischen Gegenleistung oder zu einer bestimmten Arbeitnehmertätigkeit verpflichtet wird. </w:t>
      </w:r>
      <w:r>
        <w:rPr>
          <w:rStyle w:val="Satznummer"/>
        </w:rPr>
        <w:t>4</w:t>
      </w:r>
      <w:r>
        <w:t>Den Bezügen aus öffentlichen Mitteln wegen Hilfsbedürftigkeit gleichgestellt sind Beitragsermäßigungen und Prämienrückzahlungen eines Trägers der gesetzlichen Krankenversicherung für nicht in Anspruch genommene Beihilfeleistungen;</w:t>
      </w:r>
    </w:p>
    <w:p>
      <w:pPr>
        <w:tabs>
          <w:tab w:pos="567" w:val="left"/>
        </w:tabs>
        <w:ind w:left="567" w:hanging="567"/>
      </w:pPr>
      <w:r>
        <w:t>11a.</w:t>
      </w:r>
      <w:r>
        <w:tab/>
      </w:r>
      <w:r>
        <w:t>zusätzlich zum ohnehin geschuldeten Arbeitslohn vom Arbeitgeber in der Zeit vom 1. März 2020 bis zum 31. März 2022 auf Grund der Corona-Krise an seine Arbeitnehmer in Form von Zuschüssen und Sachbezügen gewährte Beihilfen und Unterstützungen bis zu einem Betrag von 1 500 Euro;</w:t>
      </w:r>
    </w:p>
    <w:p>
      <w:pPr>
        <w:tabs>
          <w:tab w:pos="567" w:val="left"/>
        </w:tabs>
        <w:ind w:left="567" w:hanging="567"/>
      </w:pPr>
      <w:r>
        <w:t>11b.</w:t>
      </w:r>
      <w:r>
        <w:tab/>
      </w:r>
      <w:r>
        <w:t xml:space="preserve">zusätzlich zum ohnehin geschuldeten Arbeitslohn vom Arbeitgeber in der Zeit vom 18. November 2021 bis zum 31. Dezember 2022 an seine Arbeitnehmer zur Anerkennung besonderer Leistungen während der Corona-Krise gewährte Leistungen bis zu einem Betrag von 4 500 Euro. </w:t>
      </w:r>
      <w:r>
        <w:rPr>
          <w:rStyle w:val="Satznummer"/>
        </w:rPr>
        <w:t>2</w:t>
      </w:r>
      <w:r>
        <w:t xml:space="preserve">Voraussetzung für die Steuerbefreiung ist, dass die Arbeitnehmer in Einrichtungen im Sinne des § 23 Absatz 3 Satz 1 Nummer 1 bis 4, 8, 11 oder Nummer 12 des Infektionsschutzgesetzes oder § 36 Absatz 1 Nummer 2 oder Nummer 7 des Infektionsschutzgesetzes tätig sind; maßgeblich ist jeweils die am 22. Juni 2022 gültige Fassung des Infektionsschutzgesetzes. </w:t>
      </w:r>
      <w:r>
        <w:rPr>
          <w:rStyle w:val="Satznummer"/>
        </w:rPr>
        <w:t>3</w:t>
      </w:r>
      <w:r>
        <w:t xml:space="preserve">Die Steuerbefreiung gilt entsprechend für Personen, die in den in Satz 2 genannten Einrichtungen im Rahmen einer Arbeitnehmerüberlassung oder im Rahmen eines Werk- oder Dienstleistungsvertrags eingesetzt werden. </w:t>
      </w:r>
      <w:r>
        <w:rPr>
          <w:rStyle w:val="Satznummer"/>
        </w:rPr>
        <w:t>4</w:t>
      </w:r>
      <w:r>
        <w:t xml:space="preserve">Nummer 11a findet auf die Leistungen im Sinne der Sätze 1 bis 3 keine Anwendung. </w:t>
      </w:r>
      <w:r>
        <w:rPr>
          <w:rStyle w:val="Satznummer"/>
        </w:rPr>
        <w:t>5</w:t>
      </w:r>
      <w:r>
        <w:t>Abweichend von Satz 1 gilt die Steuerbefreiung für Leistungen nach § 150c des Elften Buches Sozialgesetzbuch in der Fassung des Gesetzes zur Stärkung des Schutzes der Bevölkerung und insbesondere vulnerabler Personengruppen vor COVID-19 vom 16. September 2022 (BGBl. I S. 1454) auch dann, wenn sie in der Zeit bis zum 31. Mai 2023 gewährt werden;</w:t>
      </w:r>
    </w:p>
    <w:p>
      <w:pPr>
        <w:tabs>
          <w:tab w:pos="567" w:val="left"/>
        </w:tabs>
        <w:ind w:left="567" w:hanging="567"/>
      </w:pPr>
      <w:r>
        <w:t>11c.</w:t>
      </w:r>
      <w:r>
        <w:tab/>
      </w:r>
      <w:r>
        <w:t>zusätzlich zum ohnehin geschuldeten Arbeitslohn vom Arbeitgeber in der Zeit vom 26. Oktober 2022 bis zum 31. Dezember 2024 in Form von Zuschüssen und Sachbezügen gewährte Leistungen zur Abmilderung der gestiegenen Verbraucherpreise bis zu einem Betrag von 3 000 Euro;</w:t>
      </w:r>
    </w:p>
    <w:p>
      <w:pPr>
        <w:tabs>
          <w:tab w:pos="567" w:val="left"/>
        </w:tabs>
        <w:ind w:left="567" w:hanging="567"/>
      </w:pPr>
      <w:r>
        <w:t>12.</w:t>
      </w:r>
      <w:r>
        <w:tab/>
      </w:r>
      <w:r>
        <w:t>aus einer Bundeskasse oder Landeskasse gezahlte Bezüge, die zum einen</w:t>
      </w:r>
    </w:p>
    <w:p>
      <w:pPr>
        <w:tabs>
          <w:tab w:pos="1134" w:val="left"/>
        </w:tabs>
        <w:ind w:left="1134" w:hanging="567"/>
      </w:pPr>
      <w:r>
        <w:t>a)</w:t>
      </w:r>
      <w:r>
        <w:tab/>
      </w:r>
      <w:r>
        <w:t>in einem Bundesgesetz oder Landesgesetz,</w:t>
      </w:r>
    </w:p>
    <w:p>
      <w:pPr>
        <w:tabs>
          <w:tab w:pos="1134" w:val="left"/>
        </w:tabs>
        <w:ind w:left="1134" w:hanging="567"/>
      </w:pPr>
      <w:r>
        <w:t>b)</w:t>
      </w:r>
      <w:r>
        <w:tab/>
      </w:r>
      <w:r>
        <w:t>auf Grundlage einer bundesgesetzlichen oder landesgesetzlichen Ermächtigung beruhenden Bestimmung oder</w:t>
      </w:r>
    </w:p>
    <w:p>
      <w:pPr>
        <w:tabs>
          <w:tab w:pos="1134" w:val="left"/>
        </w:tabs>
        <w:ind w:left="1134" w:hanging="567"/>
      </w:pPr>
      <w:r>
        <w:t>c)</w:t>
      </w:r>
      <w:r>
        <w:tab/>
      </w:r>
      <w:r>
        <w:t>von der Bundesregierung oder einer Landesregierung</w:t>
      </w:r>
    </w:p>
    <w:p>
      <w:pPr>
        <w:ind w:left="567"/>
      </w:pPr>
      <w:r>
        <w:t xml:space="preserve">als Aufwandsentschädigung festgesetzt sind und die zum anderen jeweils auch als Aufwandsentschädigung im Haushaltsplan ausgewiesen werden. </w:t>
      </w:r>
      <w:r>
        <w:rPr>
          <w:rStyle w:val="Satznummer"/>
        </w:rPr>
        <w:t>2</w:t>
      </w:r>
      <w:r>
        <w:t>Das Gleiche gilt für andere Bezüge, die als Aufwandsentschädigung aus öffentlichen Kassen an öffentliche Dienste leistende Personen gezahlt werden, soweit nicht festgestellt wird, dass sie für Verdienstausfall oder Zeitverlust gewährt werden oder den Aufwand, der dem Empfänger erwächst, offenbar übersteigen;</w:t>
      </w:r>
    </w:p>
    <w:p>
      <w:pPr>
        <w:tabs>
          <w:tab w:pos="567" w:val="left"/>
        </w:tabs>
        <w:ind w:left="567" w:hanging="567"/>
      </w:pPr>
      <w:r>
        <w:t>13.</w:t>
      </w:r>
      <w:r>
        <w:tab/>
      </w:r>
      <w:r>
        <w:t xml:space="preserve">die aus öffentlichen Kassen gezahlten Reisekostenvergütungen, Umzugskostenvergütungen und Trennungsgelder. </w:t>
      </w:r>
      <w:r>
        <w:rPr>
          <w:rStyle w:val="Satznummer"/>
        </w:rPr>
        <w:t>2</w:t>
      </w:r>
      <w:r>
        <w:t xml:space="preserve">Die als Reisekostenvergütungen gezahlten Vergütungen für Verpflegung sind nur insoweit steuerfrei, als sie die Pauschbeträge nach </w:t>
      </w:r>
      <w:hyperlink w:anchor="b46" w:history="1">
        <w:r>
          <w:rPr>
            <w:color w:val="0A3A8C"/>
            <w:u w:val="single"/>
          </w:rPr>
          <w:t xml:space="preserve">§ 9</w:t>
        </w:r>
      </w:hyperlink>
      <w:r>
        <w:t xml:space="preserve"> Absatz 4a nicht übersteigen; Trennungsgelder sind nur insoweit steuerfrei, als sie die nach </w:t>
      </w:r>
      <w:hyperlink w:anchor="b46" w:history="1">
        <w:r>
          <w:rPr>
            <w:color w:val="0A3A8C"/>
            <w:u w:val="single"/>
          </w:rPr>
          <w:t xml:space="preserve">§ 9</w:t>
        </w:r>
      </w:hyperlink>
      <w:r>
        <w:t xml:space="preserve"> Absatz 1 Satz 3 Nummer 5 und Absatz 4a abziehbaren Aufwendungen nicht übersteigen;</w:t>
      </w:r>
    </w:p>
    <w:p>
      <w:pPr>
        <w:tabs>
          <w:tab w:pos="567" w:val="left"/>
        </w:tabs>
        <w:ind w:left="567" w:hanging="567"/>
      </w:pPr>
      <w:r>
        <w:t>14.</w:t>
      </w:r>
      <w:r>
        <w:tab/>
      </w:r>
      <w:r>
        <w:t>Zuschüsse eines Trägers der gesetzlichen Rentenversicherung zu den Aufwendungen eines Rentners für seine Krankenversicherung und von dem gesetzlichen Rentenversicherungsträger getragene Anteile (§ 249a des Fünften Buches Sozialgesetzbuch) an den Beiträgen für die gesetzliche Krankenversicherung;</w:t>
      </w:r>
    </w:p>
    <w:p>
      <w:pPr>
        <w:tabs>
          <w:tab w:pos="567" w:val="left"/>
        </w:tabs>
        <w:ind w:left="567" w:hanging="567"/>
      </w:pPr>
      <w:r>
        <w:t>14a.</w:t>
      </w:r>
      <w:r>
        <w:tab/>
      </w:r>
      <w:r>
        <w:t>der Anteil der Rente aus der gesetzlichen Rentenversicherung, der auf Grund des Zuschlags an Entgeltpunkten für langjährige Versicherung nach dem Sechsten Buch Sozialgesetzbuch geleistet wird;</w:t>
      </w:r>
    </w:p>
    <w:p>
      <w:pPr>
        <w:tabs>
          <w:tab w:pos="567" w:val="left"/>
        </w:tabs>
        <w:ind w:left="567" w:hanging="567"/>
      </w:pPr>
      <w:r>
        <w:t>15.</w:t>
      </w:r>
      <w:r>
        <w:tab/>
      </w:r>
      <w:r>
        <w:t xml:space="preserve">Zuschüsse des Arbeitgebers, die zusätzlich zum ohnehin geschuldeten Arbeitslohn zu den Aufwendungen des Arbeitnehmers für Fahrten mit öffentlichen Verkehrsmitteln im Linienverkehr (ohne Luftverkehr) zwischen Wohnung und erster Tätigkeitsstätte und nach </w:t>
      </w:r>
      <w:hyperlink w:anchor="b46" w:history="1">
        <w:r>
          <w:rPr>
            <w:color w:val="0A3A8C"/>
            <w:u w:val="single"/>
          </w:rPr>
          <w:t xml:space="preserve">§ 9</w:t>
        </w:r>
      </w:hyperlink>
      <w:r>
        <w:t xml:space="preserve"> Absatz 1 Satz 3 Nummer 4a Satz 3 sowie für Fahrten im öffentlichen Personennahverkehr gezahlt werden. </w:t>
      </w:r>
      <w:r>
        <w:rPr>
          <w:rStyle w:val="Satznummer"/>
        </w:rPr>
        <w:t>2</w:t>
      </w:r>
      <w:r>
        <w:t xml:space="preserve">Das Gleiche gilt für die unentgeltliche oder verbilligte Nutzung öffentlicher Verkehrsmittel im Linienverkehr (ohne Luftverkehr) für Fahrten zwischen Wohnung und erster Tätigkeitsstätte und nach </w:t>
      </w:r>
      <w:hyperlink w:anchor="b46" w:history="1">
        <w:r>
          <w:rPr>
            <w:color w:val="0A3A8C"/>
            <w:u w:val="single"/>
          </w:rPr>
          <w:t xml:space="preserve">§ 9</w:t>
        </w:r>
      </w:hyperlink>
      <w:r>
        <w:t xml:space="preserve"> Absatz 1 Satz 3 Nummer 4a Satz 3 sowie für Fahrten im öffentlichen Personennahverkehr, die der Arbeitnehmer auf Grund seines Dienstverhältnisses zusätzlich zum ohnehin geschuldeten Arbeitslohn in Anspruch nehmen kann. </w:t>
      </w:r>
      <w:r>
        <w:rPr>
          <w:rStyle w:val="Satznummer"/>
        </w:rPr>
        <w:t>3</w:t>
      </w:r>
      <w:r>
        <w:t xml:space="preserve">Die nach den Sätzen 1 und 2 steuerfreien Leistungen mindern den nach </w:t>
      </w:r>
      <w:hyperlink w:anchor="b46" w:history="1">
        <w:r>
          <w:rPr>
            <w:color w:val="0A3A8C"/>
            <w:u w:val="single"/>
          </w:rPr>
          <w:t xml:space="preserve">§ 9</w:t>
        </w:r>
      </w:hyperlink>
      <w:r>
        <w:t xml:space="preserve"> Absatz 1 Satz 3 Nummer 4 Satz 2 abziehbaren Betrag;</w:t>
      </w:r>
    </w:p>
    <w:p>
      <w:pPr>
        <w:tabs>
          <w:tab w:pos="567" w:val="left"/>
        </w:tabs>
        <w:ind w:left="567" w:hanging="567"/>
      </w:pPr>
      <w:r>
        <w:t>16.</w:t>
      </w:r>
      <w:r>
        <w:tab/>
      </w:r>
      <w:r>
        <w:t xml:space="preserve">die Vergütungen, die Arbeitnehmer außerhalb des öffentlichen Dienstes von ihrem Arbeitgeber zur Erstattung von Reisekosten, Umzugskosten oder Mehraufwendungen bei doppelter Haushaltsführung erhalten, soweit sie die nach </w:t>
      </w:r>
      <w:hyperlink w:anchor="b46" w:history="1">
        <w:r>
          <w:rPr>
            <w:color w:val="0A3A8C"/>
            <w:u w:val="single"/>
          </w:rPr>
          <w:t xml:space="preserve">§ 9</w:t>
        </w:r>
      </w:hyperlink>
      <w:r>
        <w:t xml:space="preserve"> als Werbungskosten abziehbaren Aufwendungen nicht übersteigen;</w:t>
      </w:r>
    </w:p>
    <w:p>
      <w:pPr>
        <w:tabs>
          <w:tab w:pos="567" w:val="left"/>
        </w:tabs>
        <w:ind w:left="567" w:hanging="567"/>
      </w:pPr>
      <w:r>
        <w:t>17.</w:t>
      </w:r>
      <w:r>
        <w:tab/>
      </w:r>
      <w:r>
        <w:t>Zuschüsse zum Beitrag nach § 32 des Gesetzes über die Alterssicherung der Landwirte;</w:t>
      </w:r>
    </w:p>
    <w:p>
      <w:pPr>
        <w:tabs>
          <w:tab w:pos="567" w:val="left"/>
        </w:tabs>
        <w:ind w:left="567" w:hanging="567"/>
      </w:pPr>
      <w:r>
        <w:t>18.</w:t>
      </w:r>
      <w:r>
        <w:tab/>
      </w:r>
      <w:r>
        <w:t>das Aufgeld für ein an die Bank für Vertriebene und Geschädigte (Lastenausgleichsbank) zugunsten des Ausgleichsfonds (§ 5 des Lastenausgleichsgesetzes) gegebenes Darlehen, wenn das Darlehen nach § 7f des Gesetzes in der Fassung der Bekanntmachung vom 15. September 1953 (BGBl. I S. 1355) im Jahr der Hingabe als Betriebsausgabe abzugsfähig war;</w:t>
      </w:r>
    </w:p>
    <w:p>
      <w:pPr>
        <w:tabs>
          <w:tab w:pos="567" w:val="left"/>
        </w:tabs>
        <w:ind w:left="567" w:hanging="567"/>
      </w:pPr>
      <w:r>
        <w:t>19.</w:t>
      </w:r>
      <w:r>
        <w:tab/>
      </w:r>
      <w:r>
        <w:t>Weiterbildungsleistungen des Arbeitgebers oder auf dessen Veranlassung von einem Dritten</w:t>
      </w:r>
    </w:p>
    <w:p>
      <w:pPr>
        <w:tabs>
          <w:tab w:pos="1134" w:val="left"/>
        </w:tabs>
        <w:ind w:left="1134" w:hanging="567"/>
      </w:pPr>
      <w:r>
        <w:t>a)</w:t>
      </w:r>
      <w:r>
        <w:tab/>
      </w:r>
      <w:r>
        <w:t>für Maßnahmen nach § 82 Absatz 1 und 2 und § 82a des Dritten Buches Sozialgesetzbuch oder</w:t>
      </w:r>
    </w:p>
    <w:p>
      <w:pPr>
        <w:tabs>
          <w:tab w:pos="1134" w:val="left"/>
        </w:tabs>
        <w:ind w:left="1134" w:hanging="567"/>
      </w:pPr>
      <w:r>
        <w:t>b)</w:t>
      </w:r>
      <w:r>
        <w:tab/>
      </w:r>
      <w:r>
        <w:t>die der Verbesserung der Beschäftigungsfähigkeit des Arbeitnehmers dienen.</w:t>
      </w:r>
    </w:p>
    <w:p>
      <w:pPr>
        <w:ind w:left="567"/>
      </w:pPr>
      <w:r>
        <w:rPr>
          <w:rStyle w:val="Satznummer"/>
        </w:rPr>
        <w:t>2</w:t>
      </w:r>
      <w:r>
        <w:t xml:space="preserve">Steuerfrei sind auch Beratungsleistungen des Arbeitgebers oder auf dessen Veranlassung von einem Dritten zur beruflichen Neuorientierung bei Beendigung des Dienstverhältnisses. </w:t>
      </w:r>
      <w:r>
        <w:rPr>
          <w:rStyle w:val="Satznummer"/>
        </w:rPr>
        <w:t>3</w:t>
      </w:r>
      <w:r>
        <w:t>Die Leistungen im Sinne der Sätze 1 und 2 dürfen keinen überwiegenden Belohnungscharakter haben;</w:t>
      </w:r>
    </w:p>
    <w:p>
      <w:pPr>
        <w:tabs>
          <w:tab w:pos="567" w:val="left"/>
        </w:tabs>
        <w:ind w:left="567" w:hanging="567"/>
      </w:pPr>
      <w:r>
        <w:t>20.</w:t>
      </w:r>
      <w:r>
        <w:tab/>
      </w:r>
      <w:r>
        <w:t>die aus öffentlichen Mitteln des Bundespräsidenten aus sittlichen oder sozialen Gründen gewährten Zuwendungen an besonders verdiente Personen oder ihre Hinterbliebenen;</w:t>
      </w:r>
    </w:p>
    <w:p>
      <w:pPr>
        <w:tabs>
          <w:tab w:pos="567" w:val="left"/>
        </w:tabs>
        <w:ind w:left="567" w:hanging="567"/>
      </w:pPr>
      <w:r>
        <w:t>21.</w:t>
      </w:r>
      <w:r>
        <w:tab/>
      </w:r>
      <w:r>
        <w:t xml:space="preserve">Einnahmen aus nichtselbständiger Arbeit nach </w:t>
      </w:r>
      <w:hyperlink w:anchor="b83" w:history="1">
        <w:r>
          <w:rPr>
            <w:color w:val="0A3A8C"/>
            <w:u w:val="single"/>
          </w:rPr>
          <w:t xml:space="preserve">§ 19</w:t>
        </w:r>
      </w:hyperlink>
      <w:r>
        <w:t xml:space="preserve"> Absatz 1 Satz 1 Nummer 1 bis zu einer Höhe von insgesamt 24 000 Euro im Jahr, soweit die Einnahmen für vom Steuerpflichtigen ab dem Folgemonat nach Erreichen der Regelaltersgrenze gemäß § 35 Satz 2 oder § 235 des Sechsten Buches Sozialgesetzbuch erbrachte Leistungen zufließen und der Arbeitgeber für diese Leistungen Beiträge nach § 168 Absatz 1 Nummer 1 oder Nummer 1d oder Absatz 3, § 172 Absatz 1 oder § 172a des Sechsten Buches Sozialgesetzbuch zu entrichten hat. </w:t>
      </w:r>
      <w:r>
        <w:rPr>
          <w:rStyle w:val="Satznummer"/>
        </w:rPr>
        <w:t>2</w:t>
      </w:r>
      <w:r>
        <w:t xml:space="preserve">Die Steuerfreiheit gilt nicht, wenn die Einnahmen bereits nach anderen Vorschriften steuerfrei sind. </w:t>
      </w:r>
      <w:r>
        <w:rPr>
          <w:rStyle w:val="Satznummer"/>
        </w:rPr>
        <w:t>3</w:t>
      </w:r>
      <w:r>
        <w:t xml:space="preserve">Für jeden Kalendermonat, in dem die Voraussetzungen des Satzes 1 nicht vorgelegen haben, ermäßigt sich der Steuerfreibetrag um ein Zwölftel. </w:t>
      </w:r>
      <w:r>
        <w:rPr>
          <w:rStyle w:val="Satznummer"/>
        </w:rPr>
        <w:t>4</w:t>
      </w:r>
      <w:r>
        <w:t xml:space="preserve">Beim Lohnsteuerabzug ist der Freibetrag in der Steuerklasse VI nur zu berücksichtigen, wenn der Steuerpflichtige gegenüber dem Arbeitgeber bestätigt hat, dass die Steuerbefreiung nach Satz 1 nicht bereits in einem anderen Dienstverhältnis berücksichtigt wird. </w:t>
      </w:r>
      <w:r>
        <w:rPr>
          <w:rStyle w:val="Satznummer"/>
        </w:rPr>
        <w:t>5</w:t>
      </w:r>
      <w:r>
        <w:t xml:space="preserve">Diese Bestätigung ist zum Lohnkonto zu nehmen. </w:t>
      </w:r>
      <w:r>
        <w:rPr>
          <w:rStyle w:val="Satznummer"/>
        </w:rPr>
        <w:t>6</w:t>
      </w:r>
      <w:r>
        <w:t>Im Lohnsteuerabzugsverfahren ist der Steuerfreibetrag zeitanteilig zu berücksichtigen; dies gilt entsprechend bei der Veranlagung zur Einkommensteuer;</w:t>
      </w:r>
    </w:p>
    <w:p>
      <w:pPr>
        <w:tabs>
          <w:tab w:pos="567" w:val="left"/>
        </w:tabs>
        <w:ind w:left="567" w:hanging="567"/>
      </w:pPr>
      <w:r>
        <w:t>22.</w:t>
      </w:r>
      <w:r>
        <w:tab/>
      </w:r>
      <w:r>
        <w:t>(weggefallen)</w:t>
      </w:r>
    </w:p>
    <w:p>
      <w:pPr>
        <w:tabs>
          <w:tab w:pos="567" w:val="left"/>
        </w:tabs>
        <w:ind w:left="567" w:hanging="567"/>
      </w:pPr>
      <w:r>
        <w:t>23.</w:t>
      </w:r>
      <w:r>
        <w:tab/>
      </w:r>
      <w:r>
        <w:t>Leistungen nach</w:t>
      </w:r>
    </w:p>
    <w:p>
      <w:pPr>
        <w:tabs>
          <w:tab w:pos="1134" w:val="left"/>
        </w:tabs>
        <w:ind w:left="1134" w:hanging="567"/>
      </w:pPr>
      <w:r>
        <w:t>a)</w:t>
      </w:r>
      <w:r>
        <w:tab/>
      </w:r>
      <w:r>
        <w:t>dem Häftlingshilfegesetz,</w:t>
      </w:r>
    </w:p>
    <w:p>
      <w:pPr>
        <w:tabs>
          <w:tab w:pos="1134" w:val="left"/>
        </w:tabs>
        <w:ind w:left="1134" w:hanging="567"/>
      </w:pPr>
      <w:r>
        <w:t>b)</w:t>
      </w:r>
      <w:r>
        <w:tab/>
      </w:r>
      <w:r>
        <w:t>dem Strafrechtlichen Rehabilitierungsgesetz,</w:t>
      </w:r>
    </w:p>
    <w:p>
      <w:pPr>
        <w:tabs>
          <w:tab w:pos="1134" w:val="left"/>
        </w:tabs>
        <w:ind w:left="1134" w:hanging="567"/>
      </w:pPr>
      <w:r>
        <w:t>c)</w:t>
      </w:r>
      <w:r>
        <w:tab/>
      </w:r>
      <w:r>
        <w:t>dem Verwaltungsrechtlichen Rehabilitierungsgesetz,</w:t>
      </w:r>
    </w:p>
    <w:p>
      <w:pPr>
        <w:tabs>
          <w:tab w:pos="1134" w:val="left"/>
        </w:tabs>
        <w:ind w:left="1134" w:hanging="567"/>
      </w:pPr>
      <w:r>
        <w:t>d)</w:t>
      </w:r>
      <w:r>
        <w:tab/>
      </w:r>
      <w:r>
        <w:t>dem Beruflichen Rehabilitierungsgesetz,</w:t>
      </w:r>
    </w:p>
    <w:p>
      <w:pPr>
        <w:tabs>
          <w:tab w:pos="1134" w:val="left"/>
        </w:tabs>
        <w:ind w:left="1134" w:hanging="567"/>
      </w:pPr>
      <w:r>
        <w:t>e)</w:t>
      </w:r>
      <w:r>
        <w:tab/>
      </w:r>
      <w:r>
        <w:t>dem Gesetz zur strafrechtlichen Rehabilitierung der nach dem 8. Mai 1945 wegen einvernehmlicher homosexueller Handlungen verurteilten Personen und</w:t>
      </w:r>
    </w:p>
    <w:p>
      <w:pPr>
        <w:tabs>
          <w:tab w:pos="1134" w:val="left"/>
        </w:tabs>
        <w:ind w:left="1134" w:hanging="567"/>
      </w:pPr>
      <w:r>
        <w:t>f)</w:t>
      </w:r>
      <w:r>
        <w:tab/>
      </w:r>
      <w:r>
        <w:t>dem Gesetz zur Rehabilitierung der wegen einvernehmlicher homosexueller Handlungen, wegen ihrer homosexuellen Orientierung oder wegen ihrer geschlechtlichen Identität dienstrechtlich benachteiligten Soldatinnen und Soldaten;</w:t>
      </w:r>
    </w:p>
    <w:p>
      <w:pPr>
        <w:tabs>
          <w:tab w:pos="567" w:val="left"/>
        </w:tabs>
        <w:ind w:left="567" w:hanging="567"/>
      </w:pPr>
      <w:r>
        <w:t>24.</w:t>
      </w:r>
      <w:r>
        <w:tab/>
      </w:r>
      <w:r>
        <w:t>Leistungen, die auf Grund des Bundeskindergeldgesetzes gewährt werden;</w:t>
      </w:r>
    </w:p>
    <w:p>
      <w:pPr>
        <w:tabs>
          <w:tab w:pos="567" w:val="left"/>
        </w:tabs>
        <w:ind w:left="567" w:hanging="567"/>
      </w:pPr>
      <w:r>
        <w:t>25.</w:t>
      </w:r>
      <w:r>
        <w:tab/>
      </w:r>
      <w:r>
        <w:t>Entschädigungen nach dem Infektionsschutzgesetz vom 20. Juli 2000 (BGBl. I S. 1045);</w:t>
      </w:r>
    </w:p>
    <w:p>
      <w:pPr>
        <w:tabs>
          <w:tab w:pos="567" w:val="left"/>
        </w:tabs>
        <w:ind w:left="567" w:hanging="567"/>
      </w:pPr>
      <w:r>
        <w:t>26.</w:t>
      </w:r>
      <w:r>
        <w:tab/>
      </w:r>
      <w:r>
        <w:t xml:space="preserve">Einnahmen aus nebenberuflichen Tätigkeiten zur Förderung gemeinnütziger, mildtätiger und kirchlicher Zwecke (§§ 52 bis 54 der Abgabenordnung) als Übungsleiter, Ausbilder, Erzieher, Betreuer oder vergleichbaren nebenberuflichen Tätigkeiten, aus nebenberuflichen künstlerischen Tätigkeiten oder der nebenberuflichen Pflege alter, kranker Menschen oder von Menschen mit Behinderungen im Dienst oder Auftrag einer juristischen Person des öffentlichen Rechts, die in einem Mitgliedstaat der Europäischen Union, in einem Staat, auf den das Abkommen über den Europäischen Wirtschaftsraum Anwendung findet, oder in der Schweiz belegen ist, oder einer unter § 5 Absatz 1 Nummer 9 des Körperschaftsteuergesetzes fallenden Einrichtung bis zur Höhe von insgesamt 3 300 Euro im Jahr. </w:t>
      </w:r>
      <w:r>
        <w:rPr>
          <w:rStyle w:val="Satznummer"/>
        </w:rPr>
        <w:t>2</w:t>
      </w:r>
      <w:r>
        <w:t xml:space="preserve">Überschreiten die Einnahmen für die in Satz 1 bezeichneten Tätigkeiten den steuerfreien Betrag, dürfen die mit den nebenberuflichen Tätigkeiten in unmittelbarem wirtschaftlichen Zusammenhang stehenden Ausgaben abweichend von </w:t>
      </w:r>
      <w:hyperlink w:anchor="b11" w:history="1">
        <w:r>
          <w:rPr>
            <w:color w:val="0A3A8C"/>
            <w:u w:val="single"/>
          </w:rPr>
          <w:t xml:space="preserve">§ 3c</w:t>
        </w:r>
      </w:hyperlink>
      <w:r>
        <w:t xml:space="preserve"> nur insoweit als Betriebsausgaben oder Werbungskosten abgezogen werden, als sie den Betrag der steuerfreien Einnahmen übersteigen;</w:t>
      </w:r>
    </w:p>
    <w:p>
      <w:pPr>
        <w:tabs>
          <w:tab w:pos="567" w:val="left"/>
        </w:tabs>
        <w:ind w:left="567" w:hanging="567"/>
      </w:pPr>
      <w:r>
        <w:t>26a.</w:t>
      </w:r>
      <w:r>
        <w:tab/>
      </w:r>
      <w:r>
        <w:t xml:space="preserve">Einnahmen aus nebenberuflichen Tätigkeiten zur Förderung gemeinnütziger, mildtätiger und kirchlicher Zwecke (§§ 52 bis 54 der Abgabenordnung) im Dienst oder Auftrag einer juristischen Person des öffentlichen Rechts, die in einem Mitgliedstaat der Europäischen Union, in einem Staat, auf den das Abkommen über den Europäischen Wirtschaftsraum Anwendung findet, oder in der Schweiz belegen ist, oder einer unter § 5 Absatz 1 Nummer 9 des Körperschaftsteuergesetzes fallenden Einrichtung bis zur Höhe von insgesamt 960 Euro im Jahr. </w:t>
      </w:r>
      <w:r>
        <w:rPr>
          <w:rStyle w:val="Satznummer"/>
        </w:rPr>
        <w:t>2</w:t>
      </w:r>
      <w:r>
        <w:t xml:space="preserve">Die Steuerbefreiung ist ausgeschlossen, wenn für die Einnahmen aus der Tätigkeit – ganz oder teilweise – eine Steuerbefreiung nach </w:t>
      </w:r>
      <w:hyperlink w:anchor="b8" w:history="1">
        <w:r>
          <w:rPr>
            <w:color w:val="0A3A8C"/>
            <w:u w:val="single"/>
          </w:rPr>
          <w:t xml:space="preserve">§ 3</w:t>
        </w:r>
      </w:hyperlink>
      <w:r>
        <w:t xml:space="preserve"> Nummer 12, 26 oder 26b gewährt wird. </w:t>
      </w:r>
      <w:r>
        <w:rPr>
          <w:rStyle w:val="Satznummer"/>
        </w:rPr>
        <w:t>3</w:t>
      </w:r>
      <w:r>
        <w:t xml:space="preserve">Überschreiten die Einnahmen für die in Satz 1 bezeichneten Tätigkeiten den steuerfreien Betrag, dürfen die mit den nebenberuflichen Tätigkeiten in unmittelbarem wirtschaftlichen Zusammenhang stehenden Ausgaben abweichend von </w:t>
      </w:r>
      <w:hyperlink w:anchor="b11" w:history="1">
        <w:r>
          <w:rPr>
            <w:color w:val="0A3A8C"/>
            <w:u w:val="single"/>
          </w:rPr>
          <w:t xml:space="preserve">§ 3c</w:t>
        </w:r>
      </w:hyperlink>
      <w:r>
        <w:t xml:space="preserve"> nur insoweit als Betriebsausgaben oder Werbungskosten abgezogen werden, als sie den Betrag der steuerfreien Einnahmen übersteigen;</w:t>
      </w:r>
    </w:p>
    <w:p>
      <w:pPr>
        <w:tabs>
          <w:tab w:pos="567" w:val="left"/>
        </w:tabs>
        <w:ind w:left="567" w:hanging="567"/>
      </w:pPr>
      <w:r>
        <w:t>26b.</w:t>
      </w:r>
      <w:r>
        <w:tab/>
      </w:r>
      <w:r>
        <w:t xml:space="preserve">Aufwandspauschalen nach § 1878 des Bürgerlichen Gesetzbuchs, soweit sie zusammen mit den steuerfreien Einnahmen im Sinne der Nummer 26 den Freibetrag nach Nummer 26 Satz 1 nicht überschreiten. </w:t>
      </w:r>
      <w:r>
        <w:rPr>
          <w:rStyle w:val="Satznummer"/>
        </w:rPr>
        <w:t>2</w:t>
      </w:r>
      <w:r>
        <w:t>Nummer 26 Satz 2 gilt entsprechend;</w:t>
      </w:r>
    </w:p>
    <w:p>
      <w:pPr>
        <w:tabs>
          <w:tab w:pos="567" w:val="left"/>
        </w:tabs>
        <w:ind w:left="567" w:hanging="567"/>
      </w:pPr>
      <w:r>
        <w:t>27.</w:t>
      </w:r>
      <w:r>
        <w:tab/>
      </w:r>
      <w:r>
        <w:t>der Grundbetrag der Produktionsaufgaberente und das Ausgleichsgeld nach dem Gesetz zur Förderung der Einstellung der landwirtschaftlichen Erwerbstätigkeit bis zum Höchstbetrag von 18 407 Euro;</w:t>
      </w:r>
    </w:p>
    <w:p>
      <w:pPr>
        <w:tabs>
          <w:tab w:pos="567" w:val="left"/>
        </w:tabs>
        <w:ind w:left="567" w:hanging="567"/>
      </w:pPr>
      <w:r>
        <w:t>28.</w:t>
      </w:r>
      <w:r>
        <w:tab/>
      </w:r>
      <w:r>
        <w:t>die Aufstockungsbeträge im Sinne des § 3 Absatz 1 Nummer 1 Buchstabe a sowie die Beiträge und Aufwendungen im Sinne des § 3 Absatz 1 Nummer 1 Buchstabe b und des § 4 Absatz 2 des Altersteilzeitgesetzes, die Zuschläge, die versicherungsfrei Beschäftigte im Sinne des § 27 Absatz 1 Nummer 1 bis 3 des Dritten Buches Sozialgesetzbuch zur Aufstockung der Bezüge bei Altersteilzeit nach beamtenrechtlichen Vorschriften oder Grundsätzen erhalten sowie die Zahlungen des Arbeitgebers zur Übernahme der Beiträge im Sinne des § 187a des Sechsten Buches Sozialgesetzbuch, soweit sie 50 Prozent der Beiträge nicht übersteigen;</w:t>
      </w:r>
    </w:p>
    <w:p>
      <w:pPr>
        <w:tabs>
          <w:tab w:pos="567" w:val="left"/>
        </w:tabs>
        <w:ind w:left="567" w:hanging="567"/>
      </w:pPr>
      <w:r>
        <w:t>28a.</w:t>
      </w:r>
      <w:r>
        <w:tab/>
      </w:r>
      <w:r>
        <w:t>Zuschüsse des Arbeitgebers zum Kurzarbeitergeld und Saison-Kurzarbeitergeld, soweit sie zusammen mit dem Kurzarbeitergeld 80 Prozent des Unterschiedsbetrags zwischen dem Soll-Entgelt und dem Ist-Entgelt nach § 106 des Dritten Buches Sozialgesetzbuch nicht übersteigen und sie für Lohnzahlungszeiträume, die nach dem 29. Februar 2020 beginnen und vor dem 1. Juli 2022 enden, geleistet werden;</w:t>
      </w:r>
    </w:p>
    <w:p>
      <w:pPr>
        <w:tabs>
          <w:tab w:pos="567" w:val="left"/>
        </w:tabs>
        <w:ind w:left="567" w:hanging="567"/>
      </w:pPr>
      <w:r>
        <w:t>29.</w:t>
      </w:r>
      <w:r>
        <w:tab/>
      </w:r>
      <w:r>
        <w:t>das Gehalt und die Bezüge,</w:t>
      </w:r>
    </w:p>
    <w:p>
      <w:pPr>
        <w:tabs>
          <w:tab w:pos="1134" w:val="left"/>
        </w:tabs>
        <w:ind w:left="1134" w:hanging="567"/>
      </w:pPr>
      <w:r>
        <w:t>a)</w:t>
      </w:r>
      <w:r>
        <w:tab/>
      </w:r>
      <w:r>
        <w:t xml:space="preserve">die die diplomatischen Vertreter ausländischer Staaten, die ihnen zugewiesenen Beamten und die in ihren Diensten stehenden Personen erhalten. </w:t>
      </w:r>
      <w:r>
        <w:rPr>
          <w:rStyle w:val="Satznummer"/>
        </w:rPr>
        <w:t>2</w:t>
      </w:r>
      <w:r>
        <w:t>Dies gilt nicht für deutsche Staatsangehörige oder für im Inland ständig ansässige Personen;</w:t>
      </w:r>
    </w:p>
    <w:p>
      <w:pPr>
        <w:tabs>
          <w:tab w:pos="1134" w:val="left"/>
        </w:tabs>
        <w:ind w:left="1134" w:hanging="567"/>
      </w:pPr>
      <w:r>
        <w:t>b)</w:t>
      </w:r>
      <w:r>
        <w:tab/>
      </w:r>
      <w:r>
        <w:t xml:space="preserve">der Berufskonsuln, der Konsulatsangehörigen und ihres Personals, soweit sie Angehörige des Entsendestaates sind. </w:t>
      </w:r>
      <w:r>
        <w:rPr>
          <w:rStyle w:val="Satznummer"/>
        </w:rPr>
        <w:t>2</w:t>
      </w:r>
      <w:r>
        <w:t>Dies gilt nicht für Personen, die im Inland ständig ansässig sind oder außerhalb ihres Amtes oder Dienstes einen Beruf, ein Gewerbe oder eine andere gewinnbringende Tätigkeit ausüben;</w:t>
      </w:r>
    </w:p>
    <w:p>
      <w:pPr>
        <w:tabs>
          <w:tab w:pos="567" w:val="left"/>
        </w:tabs>
        <w:ind w:left="567" w:hanging="567"/>
      </w:pPr>
      <w:r>
        <w:t>30.</w:t>
      </w:r>
      <w:r>
        <w:tab/>
      </w:r>
      <w:r>
        <w:t>Entschädigungen für die betriebliche Benutzung von Werkzeugen eines Arbeitnehmers (Werkzeuggeld), soweit sie die entsprechenden Aufwendungen des Arbeitnehmers nicht offensichtlich übersteigen;</w:t>
      </w:r>
    </w:p>
    <w:p>
      <w:pPr>
        <w:tabs>
          <w:tab w:pos="567" w:val="left"/>
        </w:tabs>
        <w:ind w:left="567" w:hanging="567"/>
      </w:pPr>
      <w:r>
        <w:t>31.</w:t>
      </w:r>
      <w:r>
        <w:tab/>
      </w:r>
      <w:r>
        <w:t>die typische Berufskleidung, die der Arbeitgeber seinem Arbeitnehmer unentgeltlich oder verbilligt überlässt; dasselbe gilt für eine Barablösung eines nicht nur einzelvertraglichen Anspruchs auf Gestellung von typischer Berufskleidung, wenn die Barablösung betrieblich veranlasst ist und die entsprechenden Aufwendungen des Arbeitnehmers nicht offensichtlich übersteigt;</w:t>
      </w:r>
    </w:p>
    <w:p>
      <w:pPr>
        <w:tabs>
          <w:tab w:pos="567" w:val="left"/>
        </w:tabs>
        <w:ind w:left="567" w:hanging="567"/>
      </w:pPr>
      <w:r>
        <w:t>32.</w:t>
      </w:r>
      <w:r>
        <w:tab/>
      </w:r>
      <w:r>
        <w:t xml:space="preserve">die unentgeltliche oder verbilligte Sammelbeförderung eines Arbeitnehmers zwischen Wohnung und erster Tätigkeitsstätte sowie bei Fahrten nach </w:t>
      </w:r>
      <w:hyperlink w:anchor="b46" w:history="1">
        <w:r>
          <w:rPr>
            <w:color w:val="0A3A8C"/>
            <w:u w:val="single"/>
          </w:rPr>
          <w:t xml:space="preserve">§ 9</w:t>
        </w:r>
      </w:hyperlink>
      <w:r>
        <w:t xml:space="preserve"> Absatz 1 Satz 3 Nummer 4a Satz 3 mit einem vom Arbeitgeber gestellten Beförderungsmittel, soweit die Sammelbeförderung für den betrieblichen Einsatz des Arbeitnehmers notwendig ist;</w:t>
      </w:r>
    </w:p>
    <w:p>
      <w:pPr>
        <w:tabs>
          <w:tab w:pos="567" w:val="left"/>
        </w:tabs>
        <w:ind w:left="567" w:hanging="567"/>
      </w:pPr>
      <w:r>
        <w:t>33.</w:t>
      </w:r>
      <w:r>
        <w:tab/>
      </w:r>
      <w:r>
        <w:t>zusätzlich zum ohnehin geschuldeten Arbeitslohn erbrachte Leistungen des Arbeitgebers zur Unterbringung und Betreuung von nicht schulpflichtigen Kindern der Arbeitnehmer in Kindergärten oder vergleichbaren Einrichtungen;</w:t>
      </w:r>
    </w:p>
    <w:p>
      <w:pPr>
        <w:tabs>
          <w:tab w:pos="567" w:val="left"/>
        </w:tabs>
        <w:ind w:left="567" w:hanging="567"/>
      </w:pPr>
      <w:r>
        <w:t>34.</w:t>
      </w:r>
      <w:r>
        <w:tab/>
      </w:r>
      <w:r>
        <w:t>zusätzlich zum ohnehin geschuldeten Arbeitslohn erbrachte Leistungen des Arbeitgebers zur Verhinderung und Verminderung von Krankheitsrisiken und zur Förderung der Gesundheit in Betrieben, die hinsichtlich Qualität, Zweckbindung, Zielgerichtetheit und Zertifizierung den Anforderungen der §§ 20 und 20b des Fünften Buches Sozialgesetzbuch genügen, soweit sie 600 Euro im Kalenderjahr nicht übersteigen;</w:t>
      </w:r>
    </w:p>
    <w:p>
      <w:pPr>
        <w:tabs>
          <w:tab w:pos="567" w:val="left"/>
        </w:tabs>
        <w:ind w:left="567" w:hanging="567"/>
      </w:pPr>
      <w:r>
        <w:t>34a.</w:t>
      </w:r>
      <w:r>
        <w:tab/>
      </w:r>
      <w:r>
        <w:t>zusätzlich zum ohnehin geschuldeten Arbeitslohn erbrachte Leistungen des Arbeitgebers</w:t>
      </w:r>
    </w:p>
    <w:p>
      <w:pPr>
        <w:tabs>
          <w:tab w:pos="1134" w:val="left"/>
        </w:tabs>
        <w:ind w:left="1134" w:hanging="567"/>
      </w:pPr>
      <w:r>
        <w:t>a)</w:t>
      </w:r>
      <w:r>
        <w:tab/>
      </w:r>
      <w:r>
        <w:t>an ein Dienstleistungsunternehmen, das den Arbeitnehmer hinsichtlich der Betreuung von Kindern oder pflegebedürftigen Angehörigen berät oder hierfür Betreuungspersonen vermittelt sowie</w:t>
      </w:r>
    </w:p>
    <w:p>
      <w:pPr>
        <w:tabs>
          <w:tab w:pos="1134" w:val="left"/>
        </w:tabs>
        <w:ind w:left="1134" w:hanging="567"/>
      </w:pPr>
      <w:r>
        <w:t>b)</w:t>
      </w:r>
      <w:r>
        <w:tab/>
      </w:r>
      <w:r>
        <w:t xml:space="preserve">zur kurzfristigen Betreuung von Kindern im Sinne des </w:t>
      </w:r>
      <w:hyperlink w:anchor="b107" w:history="1">
        <w:r>
          <w:rPr>
            <w:color w:val="0A3A8C"/>
            <w:u w:val="single"/>
          </w:rPr>
          <w:t xml:space="preserve">§ 32</w:t>
        </w:r>
      </w:hyperlink>
      <w:r>
        <w:t xml:space="preserve"> Absatz 1, die das 14. Lebensjahr noch nicht vollendet haben oder die wegen einer vor Vollendung des 25. Lebensjahres eingetretenen körperlichen, geistigen oder seelischen Behinderung außerstande sind, sich selbst zu unterhalten oder pflegebedürftigen Angehörigen des Arbeitnehmers, wenn die Betreuung aus zwingenden und beruflich veranlassten Gründen notwendig ist, auch wenn sie im privaten Haushalt des Arbeitnehmers stattfindet, soweit die Leistungen 600 Euro im Kalenderjahr nicht übersteigen;</w:t>
      </w:r>
    </w:p>
    <w:p>
      <w:pPr>
        <w:tabs>
          <w:tab w:pos="567" w:val="left"/>
        </w:tabs>
        <w:ind w:left="567" w:hanging="567"/>
      </w:pPr>
      <w:r>
        <w:t>35.</w:t>
      </w:r>
      <w:r>
        <w:tab/>
      </w:r>
      <w:r>
        <w:t>die Einnahmen der bei der Deutsche Post AG, Deutsche Postbank AG oder Deutsche Telekom AG beschäftigten Beamten, soweit die Einnahmen ohne Neuordnung des Postwesens und der Telekommunikation nach den Nummern 11 bis 13 und 64 steuerfrei wären;</w:t>
      </w:r>
    </w:p>
    <w:p>
      <w:pPr>
        <w:tabs>
          <w:tab w:pos="567" w:val="left"/>
        </w:tabs>
        <w:ind w:left="567" w:hanging="567"/>
      </w:pPr>
      <w:r>
        <w:t>36.</w:t>
      </w:r>
      <w:r>
        <w:tab/>
      </w:r>
      <w:r>
        <w:t xml:space="preserve">Einnahmen für Leistungen zu körperbezogenen Pflegemaßnahmen, pflegerischen Betreuungsmaßnahmen oder Hilfen bei der Haushaltsführung bis zur Höhe des Pflegegeldes nach § 37 des Elften Buches Sozialgesetzbuch, mindestens aber bis zur Höhe des Entlastungsbetrages nach § 45b Absatz 1 Satz 1 des Elften Buches Sozialgesetzbuch, wenn diese Leistungen von Angehörigen des Pflegebedürftigen oder von anderen Personen, die damit eine sittliche Pflicht im Sinne des </w:t>
      </w:r>
      <w:hyperlink w:anchor="b112" w:history="1">
        <w:r>
          <w:rPr>
            <w:color w:val="0A3A8C"/>
            <w:u w:val="single"/>
          </w:rPr>
          <w:t xml:space="preserve">§ 33</w:t>
        </w:r>
      </w:hyperlink>
      <w:r>
        <w:t xml:space="preserve"> Absatz 2 gegenüber dem Pflegebedürftigen erfüllen, erbracht werden. </w:t>
      </w:r>
      <w:r>
        <w:rPr>
          <w:rStyle w:val="Satznummer"/>
        </w:rPr>
        <w:t>2</w:t>
      </w:r>
      <w:r>
        <w:t>Entsprechendes gilt, wenn der Pflegebedürftige vergleichbare Leistungen aus privaten Versicherungsverträgen nach den Vorgaben des Elften Buches Sozialgesetzbuch oder nach den Beihilfevorschriften für häusliche Pflege erhält;</w:t>
      </w:r>
    </w:p>
    <w:p>
      <w:pPr>
        <w:tabs>
          <w:tab w:pos="567" w:val="left"/>
        </w:tabs>
        <w:ind w:left="567" w:hanging="567"/>
      </w:pPr>
      <w:r>
        <w:t>37.</w:t>
      </w:r>
      <w:r>
        <w:tab/>
      </w:r>
      <w:r>
        <w:t xml:space="preserve">zusätzlich zum ohnehin geschuldeten Arbeitslohn vom Arbeitgeber gewährte Vorteile für die Überlassung eines betrieblichen Fahrrads, das kein Kraftfahrzeug im Sinne des </w:t>
      </w:r>
      <w:hyperlink w:anchor="b28" w:history="1">
        <w:r>
          <w:rPr>
            <w:color w:val="0A3A8C"/>
            <w:u w:val="single"/>
          </w:rPr>
          <w:t xml:space="preserve">§ 6</w:t>
        </w:r>
      </w:hyperlink>
      <w:r>
        <w:t xml:space="preserve"> Absatz 1 Nummer 4 Satz 2 ist;</w:t>
      </w:r>
    </w:p>
    <w:p>
      <w:pPr>
        <w:tabs>
          <w:tab w:pos="567" w:val="left"/>
        </w:tabs>
        <w:ind w:left="567" w:hanging="567"/>
      </w:pPr>
      <w:r>
        <w:t>38.</w:t>
      </w:r>
      <w:r>
        <w:tab/>
      </w:r>
      <w:r>
        <w:t>Sachprämien, die der Steuerpflichtige für die persönliche Inanspruchnahme von Dienstleistungen von Unternehmen unentgeltlich erhält, die diese zum Zwecke der Kundenbindung im allgemeinen Geschäftsverkehr in einem jedermann zugänglichen planmäßigen Verfahren gewähren, soweit der Wert der Prämien 1 080 Euro im Kalenderjahr nicht übersteigt;</w:t>
      </w:r>
    </w:p>
    <w:p>
      <w:pPr>
        <w:tabs>
          <w:tab w:pos="567" w:val="left"/>
        </w:tabs>
        <w:ind w:left="567" w:hanging="567"/>
      </w:pPr>
      <w:r>
        <w:t>39.</w:t>
      </w:r>
      <w:r>
        <w:tab/>
      </w:r>
      <w:r>
        <w:t xml:space="preserve">der Vorteil des Arbeitnehmers im Rahmen eines gegenwärtigen Dienstverhältnisses aus der unentgeltlichen oder verbilligten Überlassung von Vermögensbeteiligungen im Sinne des § 2 Absatz 1 Nummer 1 Buchstabe a, b und f bis l und Absatz 2 bis 5 des Fünften Vermögensbildungsgesetzes in der Fassung der Bekanntmachung vom 4. März 1994 (BGBl. I S. 406), zuletzt geändert durch Artikel 2 des Gesetzes vom 7. März 2009 (BGBl. I S. 451), in der jeweils geltenden Fassung, am Unternehmen des Arbeitgebers, soweit der Vorteil insgesamt 2 000 Euro im Kalenderjahr nicht übersteigt. </w:t>
      </w:r>
      <w:r>
        <w:rPr>
          <w:rStyle w:val="Satznummer"/>
        </w:rPr>
        <w:t>2</w:t>
      </w:r>
      <w:r>
        <w:t xml:space="preserve">Voraussetzung für die Steuerfreiheit ist, dass die Beteiligung mindestens allen Arbeitnehmern offensteht, die im Zeitpunkt der Bekanntgabe des Angebots ein Jahr oder länger ununterbrochen in einem gegenwärtigen Dienstverhältnis zum Unternehmen stehen. </w:t>
      </w:r>
      <w:r>
        <w:rPr>
          <w:rStyle w:val="Satznummer"/>
        </w:rPr>
        <w:t>3</w:t>
      </w:r>
      <w:r>
        <w:t xml:space="preserve">Als Unternehmen des Arbeitgebers im Sinne des Satzes 1 gilt auch ein Unternehmen im Sinne des § 18 des Aktiengesetzes. </w:t>
      </w:r>
      <w:r>
        <w:rPr>
          <w:rStyle w:val="Satznummer"/>
        </w:rPr>
        <w:t>4</w:t>
      </w:r>
      <w:r>
        <w:t>Als Wert der Vermögensbeteiligung ist der gemeine Wert anzusetzen;</w:t>
      </w:r>
    </w:p>
    <w:p>
      <w:pPr>
        <w:tabs>
          <w:tab w:pos="567" w:val="left"/>
        </w:tabs>
        <w:ind w:left="567" w:hanging="567"/>
      </w:pPr>
      <w:r>
        <w:t>40.</w:t>
      </w:r>
      <w:r>
        <w:tab/>
      </w:r>
      <w:r>
        <w:t>40 Prozent</w:t>
      </w:r>
    </w:p>
    <w:p>
      <w:pPr>
        <w:tabs>
          <w:tab w:pos="1134" w:val="left"/>
        </w:tabs>
        <w:ind w:left="1134" w:hanging="567"/>
      </w:pPr>
      <w:r>
        <w:t>a)</w:t>
      </w:r>
      <w:r>
        <w:tab/>
      </w:r>
      <w:r>
        <w:t xml:space="preserve">der Betriebsvermögensmehrungen oder Einnahmen aus der Veräußerung oder der Entnahme von Anteilen an Körperschaften, Personenvereinigungen und Vermögensmassen, deren Leistungen beim Empfänger zu Einnahmen im Sinne des </w:t>
      </w:r>
      <w:hyperlink w:anchor="b86" w:history="1">
        <w:r>
          <w:rPr>
            <w:color w:val="0A3A8C"/>
            <w:u w:val="single"/>
          </w:rPr>
          <w:t xml:space="preserve">§ 20</w:t>
        </w:r>
      </w:hyperlink>
      <w:r>
        <w:t xml:space="preserve"> Absatz 1 Nummer 1 und 9 gehören, oder an einer Organgesellschaft im Sinne des § 14 oder § 17 des Körperschaftsteuergesetzes, oder aus deren Auflösung oder Herabsetzung von deren Nennkapital oder aus dem Ansatz eines solchen Wirtschaftsguts mit dem Wert, der sich nach </w:t>
      </w:r>
      <w:hyperlink w:anchor="b28" w:history="1">
        <w:r>
          <w:rPr>
            <w:color w:val="0A3A8C"/>
            <w:u w:val="single"/>
          </w:rPr>
          <w:t xml:space="preserve">§ 6</w:t>
        </w:r>
      </w:hyperlink>
      <w:r>
        <w:t xml:space="preserve"> Absatz 1 Nummer 2 Satz 3 ergibt, soweit sie zu den Einkünften aus Land- und Forstwirtschaft, aus Gewerbebetrieb oder aus selbständiger Arbeit gehören. </w:t>
      </w:r>
      <w:r>
        <w:rPr>
          <w:rStyle w:val="Satznummer"/>
        </w:rPr>
        <w:t>2</w:t>
      </w:r>
      <w:r>
        <w:t xml:space="preserve">Dies gilt nicht, soweit der Ansatz des niedrigeren Teilwerts in vollem Umfang zu einer Gewinnminderung geführt hat und soweit diese Gewinnminderung nicht durch Ansatz eines Werts, der sich nach </w:t>
      </w:r>
      <w:hyperlink w:anchor="b28" w:history="1">
        <w:r>
          <w:rPr>
            <w:color w:val="0A3A8C"/>
            <w:u w:val="single"/>
          </w:rPr>
          <w:t xml:space="preserve">§ 6</w:t>
        </w:r>
      </w:hyperlink>
      <w:r>
        <w:t xml:space="preserve"> Absatz 1 Nummer 2 Satz 3 ergibt, ausgeglichen worden ist. </w:t>
      </w:r>
      <w:r>
        <w:rPr>
          <w:rStyle w:val="Satznummer"/>
        </w:rPr>
        <w:t>3</w:t>
      </w:r>
      <w:r>
        <w:t xml:space="preserve">Satz 1 gilt außer für Betriebsvermögensmehrungen aus dem Ansatz mit dem Wert, der sich nach </w:t>
      </w:r>
      <w:hyperlink w:anchor="b28" w:history="1">
        <w:r>
          <w:rPr>
            <w:color w:val="0A3A8C"/>
            <w:u w:val="single"/>
          </w:rPr>
          <w:t xml:space="preserve">§ 6</w:t>
        </w:r>
      </w:hyperlink>
      <w:r>
        <w:t xml:space="preserve"> Absatz 1 Nummer 2 Satz 3 ergibt, ebenfalls nicht, soweit Abzüge nach </w:t>
      </w:r>
      <w:hyperlink w:anchor="b30" w:history="1">
        <w:r>
          <w:rPr>
            <w:color w:val="0A3A8C"/>
            <w:u w:val="single"/>
          </w:rPr>
          <w:t xml:space="preserve">§ 6b</w:t>
        </w:r>
      </w:hyperlink>
      <w:r>
        <w:t xml:space="preserve"> oder ähnliche Abzüge voll steuerwirksam vorgenommen worden sind,</w:t>
      </w:r>
    </w:p>
    <w:p>
      <w:pPr>
        <w:tabs>
          <w:tab w:pos="1134" w:val="left"/>
        </w:tabs>
        <w:ind w:left="1134" w:hanging="567"/>
      </w:pPr>
      <w:r>
        <w:t>b)</w:t>
      </w:r>
      <w:r>
        <w:tab/>
      </w:r>
      <w:r>
        <w:t xml:space="preserve">des Veräußerungspreises im Sinne des </w:t>
      </w:r>
      <w:hyperlink w:anchor="b78" w:history="1">
        <w:r>
          <w:rPr>
            <w:color w:val="0A3A8C"/>
            <w:u w:val="single"/>
          </w:rPr>
          <w:t xml:space="preserve">§ 16</w:t>
        </w:r>
      </w:hyperlink>
      <w:r>
        <w:t xml:space="preserve"> Absatz 2, soweit er auf die Veräußerung von Anteilen an Körperschaften, Personenvereinigungen und Vermögensmassen entfällt, deren Leistungen beim Empfänger zu Einnahmen im Sinne des </w:t>
      </w:r>
      <w:hyperlink w:anchor="b86" w:history="1">
        <w:r>
          <w:rPr>
            <w:color w:val="0A3A8C"/>
            <w:u w:val="single"/>
          </w:rPr>
          <w:t xml:space="preserve">§ 20</w:t>
        </w:r>
      </w:hyperlink>
      <w:r>
        <w:t xml:space="preserve"> Absatz 1 Nummer 1 und 9 gehören, oder an einer Organgesellschaft im Sinne des § 14 oder § 17 des Körperschaftsteuergesetzes. </w:t>
      </w:r>
      <w:r>
        <w:rPr>
          <w:rStyle w:val="Satznummer"/>
        </w:rPr>
        <w:t>2</w:t>
      </w:r>
      <w:r>
        <w:t xml:space="preserve">Satz 1 ist in den Fällen des </w:t>
      </w:r>
      <w:hyperlink w:anchor="b78" w:history="1">
        <w:r>
          <w:rPr>
            <w:color w:val="0A3A8C"/>
            <w:u w:val="single"/>
          </w:rPr>
          <w:t xml:space="preserve">§ 16</w:t>
        </w:r>
      </w:hyperlink>
      <w:r>
        <w:t xml:space="preserve"> Absatz 3 entsprechend anzuwenden. </w:t>
      </w:r>
      <w:r>
        <w:rPr>
          <w:rStyle w:val="Satznummer"/>
        </w:rPr>
        <w:t>3</w:t>
      </w:r>
      <w:r>
        <w:t>Buchstabe a Satz 3 gilt entsprechend,</w:t>
      </w:r>
    </w:p>
    <w:p>
      <w:pPr>
        <w:tabs>
          <w:tab w:pos="1134" w:val="left"/>
        </w:tabs>
        <w:ind w:left="1134" w:hanging="567"/>
      </w:pPr>
      <w:r>
        <w:t>c)</w:t>
      </w:r>
      <w:r>
        <w:tab/>
      </w:r>
      <w:r>
        <w:t xml:space="preserve">des Veräußerungspreises oder des gemeinen Werts im Sinne des </w:t>
      </w:r>
      <w:hyperlink w:anchor="b79" w:history="1">
        <w:r>
          <w:rPr>
            <w:color w:val="0A3A8C"/>
            <w:u w:val="single"/>
          </w:rPr>
          <w:t xml:space="preserve">§ 17</w:t>
        </w:r>
      </w:hyperlink>
      <w:r>
        <w:t xml:space="preserve"> Absatz 2. </w:t>
      </w:r>
      <w:r>
        <w:rPr>
          <w:rStyle w:val="Satznummer"/>
        </w:rPr>
        <w:t>2</w:t>
      </w:r>
      <w:r>
        <w:t xml:space="preserve">Satz 1 ist in den Fällen des </w:t>
      </w:r>
      <w:hyperlink w:anchor="b79" w:history="1">
        <w:r>
          <w:rPr>
            <w:color w:val="0A3A8C"/>
            <w:u w:val="single"/>
          </w:rPr>
          <w:t xml:space="preserve">§ 17</w:t>
        </w:r>
      </w:hyperlink>
      <w:r>
        <w:t xml:space="preserve"> Absatz 4 entsprechend anzuwenden,</w:t>
      </w:r>
    </w:p>
    <w:p>
      <w:pPr>
        <w:tabs>
          <w:tab w:pos="1134" w:val="left"/>
        </w:tabs>
        <w:ind w:left="1134" w:hanging="567"/>
      </w:pPr>
      <w:r>
        <w:t>d)</w:t>
      </w:r>
      <w:r>
        <w:tab/>
      </w:r>
      <w:r>
        <w:t xml:space="preserve">der Bezüge im Sinne des </w:t>
      </w:r>
      <w:hyperlink w:anchor="b86" w:history="1">
        <w:r>
          <w:rPr>
            <w:color w:val="0A3A8C"/>
            <w:u w:val="single"/>
          </w:rPr>
          <w:t xml:space="preserve">§ 20</w:t>
        </w:r>
      </w:hyperlink>
      <w:r>
        <w:t xml:space="preserve"> Absatz 1 Nummer 1 und der Einnahmen im Sinne des </w:t>
      </w:r>
      <w:hyperlink w:anchor="b86" w:history="1">
        <w:r>
          <w:rPr>
            <w:color w:val="0A3A8C"/>
            <w:u w:val="single"/>
          </w:rPr>
          <w:t xml:space="preserve">§ 20</w:t>
        </w:r>
      </w:hyperlink>
      <w:r>
        <w:t xml:space="preserve"> Absatz 1 Nummer 9. </w:t>
      </w:r>
      <w:r>
        <w:rPr>
          <w:rStyle w:val="Satznummer"/>
        </w:rPr>
        <w:t>2</w:t>
      </w:r>
      <w:r>
        <w:t xml:space="preserve">Dies gilt nur, soweit sie das Einkommen der leistenden Körperschaft nicht gemindert haben. </w:t>
      </w:r>
      <w:r>
        <w:rPr>
          <w:rStyle w:val="Satznummer"/>
        </w:rPr>
        <w:t>3</w:t>
      </w:r>
      <w:r>
        <w:t xml:space="preserve">Sofern die Bezüge in einem anderen Staat auf Grund einer vom deutschen Recht abweichenden steuerlichen Zurechnung einer anderen Person zugerechnet werden, gilt Satz 1 nur, soweit das Einkommen der anderen Person oder ihr nahestehender Personen nicht niedriger ist als bei einer dem deutschen Recht entsprechenden Zurechnung. </w:t>
      </w:r>
      <w:r>
        <w:rPr>
          <w:rStyle w:val="Satznummer"/>
        </w:rPr>
        <w:t>4</w:t>
      </w:r>
      <w:r>
        <w:t>Satz 1 Buchstabe d Satz 2 gilt nicht, soweit eine verdeckte Gewinnausschüttung das Einkommen einer dem Steuerpflichtigen nahe stehenden Person erhöht hat und § 32a des Körperschaftsteuergesetzes auf die Veranlagung dieser nahe stehenden Person keine Anwendung findet,</w:t>
      </w:r>
    </w:p>
    <w:p>
      <w:pPr>
        <w:tabs>
          <w:tab w:pos="1134" w:val="left"/>
        </w:tabs>
        <w:ind w:left="1134" w:hanging="567"/>
      </w:pPr>
      <w:r>
        <w:t>e)</w:t>
      </w:r>
      <w:r>
        <w:tab/>
      </w:r>
      <w:r>
        <w:t xml:space="preserve">der Bezüge im Sinne des </w:t>
      </w:r>
      <w:hyperlink w:anchor="b86" w:history="1">
        <w:r>
          <w:rPr>
            <w:color w:val="0A3A8C"/>
            <w:u w:val="single"/>
          </w:rPr>
          <w:t xml:space="preserve">§ 20</w:t>
        </w:r>
      </w:hyperlink>
      <w:r>
        <w:t xml:space="preserve"> Absatz 1 Nummer 2,</w:t>
      </w:r>
    </w:p>
    <w:p>
      <w:pPr>
        <w:tabs>
          <w:tab w:pos="1134" w:val="left"/>
        </w:tabs>
        <w:ind w:left="1134" w:hanging="567"/>
      </w:pPr>
      <w:r>
        <w:t>f)</w:t>
      </w:r>
      <w:r>
        <w:tab/>
      </w:r>
      <w:r>
        <w:t xml:space="preserve">der besonderen Entgelte oder Vorteile im Sinne des </w:t>
      </w:r>
      <w:hyperlink w:anchor="b86" w:history="1">
        <w:r>
          <w:rPr>
            <w:color w:val="0A3A8C"/>
            <w:u w:val="single"/>
          </w:rPr>
          <w:t xml:space="preserve">§ 20</w:t>
        </w:r>
      </w:hyperlink>
      <w:r>
        <w:t xml:space="preserve"> Absatz 3, die neben den in § 20 Absatz 1 Nummer 1 und Absatz 2 Satz 1 Nummer 2 Buchstabe a bezeichneten Einnahmen oder an deren Stelle gewährt werden,</w:t>
      </w:r>
    </w:p>
    <w:p>
      <w:pPr>
        <w:tabs>
          <w:tab w:pos="1134" w:val="left"/>
        </w:tabs>
        <w:ind w:left="1134" w:hanging="567"/>
      </w:pPr>
      <w:r>
        <w:t>g)</w:t>
      </w:r>
      <w:r>
        <w:tab/>
      </w:r>
      <w:r>
        <w:t>des Gewinns aus der Veräußerung von Dividendenscheinen und sonstigen Ansprüchen im Sinne des § 20 Absatz 2 Satz 1 Nummer 2 Buchstabe a,</w:t>
      </w:r>
    </w:p>
    <w:p>
      <w:pPr>
        <w:tabs>
          <w:tab w:pos="1134" w:val="left"/>
        </w:tabs>
        <w:ind w:left="1134" w:hanging="567"/>
      </w:pPr>
      <w:r>
        <w:t>h)</w:t>
      </w:r>
      <w:r>
        <w:tab/>
      </w:r>
      <w:r>
        <w:t xml:space="preserve">des Gewinns aus der Abtretung von Dividendenansprüchen oder sonstigen Ansprüchen im Sinne des § 20 Absatz 2 Satz 1 Nummer 2 Buchstabe a in Verbindung mit </w:t>
      </w:r>
      <w:hyperlink w:anchor="b86" w:history="1">
        <w:r>
          <w:rPr>
            <w:color w:val="0A3A8C"/>
            <w:u w:val="single"/>
          </w:rPr>
          <w:t xml:space="preserve">§ 20</w:t>
        </w:r>
      </w:hyperlink>
      <w:r>
        <w:t xml:space="preserve"> Absatz 2 Satz 2,</w:t>
      </w:r>
    </w:p>
    <w:p>
      <w:pPr>
        <w:tabs>
          <w:tab w:pos="1134" w:val="left"/>
        </w:tabs>
        <w:ind w:left="1134" w:hanging="567"/>
      </w:pPr>
      <w:r>
        <w:t>i)</w:t>
      </w:r>
      <w:r>
        <w:tab/>
      </w:r>
      <w:r>
        <w:t xml:space="preserve">der Bezüge im Sinne des </w:t>
      </w:r>
      <w:hyperlink w:anchor="b90" w:history="1">
        <w:r>
          <w:rPr>
            <w:color w:val="0A3A8C"/>
            <w:u w:val="single"/>
          </w:rPr>
          <w:t xml:space="preserve">§ 22</w:t>
        </w:r>
      </w:hyperlink>
      <w:r>
        <w:t xml:space="preserve"> Nummer 1 Satz 2, soweit diese von einer nicht von der Körperschaftsteuer befreiten Körperschaft, Personenvereinigung oder Vermögensmasse stammen.</w:t>
      </w:r>
    </w:p>
    <w:p>
      <w:pPr>
        <w:ind w:left="567"/>
      </w:pPr>
      <w:r>
        <w:rPr>
          <w:rStyle w:val="Satznummer"/>
        </w:rPr>
        <w:t>2</w:t>
      </w:r>
      <w:r>
        <w:t xml:space="preserve">Dies gilt für Satz 1 Buchstabe d bis h nur in Verbindung mit </w:t>
      </w:r>
      <w:hyperlink w:anchor="b86" w:history="1">
        <w:r>
          <w:rPr>
            <w:color w:val="0A3A8C"/>
            <w:u w:val="single"/>
          </w:rPr>
          <w:t xml:space="preserve">§ 20</w:t>
        </w:r>
      </w:hyperlink>
      <w:r>
        <w:t xml:space="preserve"> Absatz 8. </w:t>
      </w:r>
      <w:r>
        <w:rPr>
          <w:rStyle w:val="Satznummer"/>
        </w:rPr>
        <w:t>3</w:t>
      </w:r>
      <w:r>
        <w:t xml:space="preserve">Satz 1 Buchstabe a, b und d bis h ist nicht anzuwenden auf Anteile, die bei Kreditinstituten, Finanzdienstleistungsinstituten und Wertpapierinstituten dem Handelsbestand im Sinne des § 340e Absatz 3 des Handelsgesetzbuchs zuzuordnen sind; Gleiches gilt für Anteile, die bei Finanzunternehmen im Sinne des Kreditwesengesetzes, an denen Kreditinstitute, Finanzdienstleistungsinstitute oder Wertpapierinstitute unmittelbar oder mittelbar zu mehr als 50 Prozent beteiligt sind, zum Zeitpunkt des Zugangs zum Betriebsvermögen als Umlaufvermögen auszuweisen sind. </w:t>
      </w:r>
      <w:r>
        <w:rPr>
          <w:rStyle w:val="Satznummer"/>
        </w:rPr>
        <w:t>4</w:t>
      </w:r>
      <w:r>
        <w:t>Satz 1 ist nicht anzuwenden bei Anteilen an Unterstützungskassen;</w:t>
      </w:r>
    </w:p>
    <w:p>
      <w:pPr>
        <w:tabs>
          <w:tab w:pos="567" w:val="left"/>
        </w:tabs>
        <w:ind w:left="567" w:hanging="567"/>
      </w:pPr>
      <w:r>
        <w:t>40a.</w:t>
      </w:r>
      <w:r>
        <w:tab/>
      </w:r>
      <w:r>
        <w:t xml:space="preserve">40 Prozent der Vergütungen im Sinne des </w:t>
      </w:r>
      <w:hyperlink w:anchor="b81" w:history="1">
        <w:r>
          <w:rPr>
            <w:color w:val="0A3A8C"/>
            <w:u w:val="single"/>
          </w:rPr>
          <w:t xml:space="preserve">§ 18</w:t>
        </w:r>
      </w:hyperlink>
      <w:r>
        <w:t xml:space="preserve"> Absatz 1 Nummer 4;</w:t>
      </w:r>
    </w:p>
    <w:p>
      <w:pPr>
        <w:tabs>
          <w:tab w:pos="567" w:val="left"/>
        </w:tabs>
        <w:ind w:left="567" w:hanging="567"/>
      </w:pPr>
      <w:r>
        <w:t>41.</w:t>
      </w:r>
      <w:r>
        <w:tab/>
      </w:r>
      <w:r>
        <w:t>(weggefallen)</w:t>
      </w:r>
    </w:p>
    <w:p>
      <w:pPr>
        <w:tabs>
          <w:tab w:pos="567" w:val="left"/>
        </w:tabs>
        <w:ind w:left="567" w:hanging="567"/>
      </w:pPr>
      <w:r>
        <w:t>42.</w:t>
      </w:r>
      <w:r>
        <w:tab/>
      </w:r>
      <w:r>
        <w:t>die Zuwendungen, die auf Grund des Fulbright-Abkommens gezahlt werden;</w:t>
      </w:r>
    </w:p>
    <w:p>
      <w:pPr>
        <w:tabs>
          <w:tab w:pos="567" w:val="left"/>
        </w:tabs>
        <w:ind w:left="567" w:hanging="567"/>
      </w:pPr>
      <w:r>
        <w:t>43.</w:t>
      </w:r>
      <w:r>
        <w:tab/>
      </w:r>
      <w:r>
        <w:t>der Ehrensold für Künstler sowie Zuwendungen aus Mitteln der Deutschen Künstlerhilfe, wenn es sich um Bezüge aus öffentlichen Mitteln handelt, die wegen der Bedürftigkeit des Künstlers gezahlt werden;</w:t>
      </w:r>
    </w:p>
    <w:p>
      <w:pPr>
        <w:tabs>
          <w:tab w:pos="567" w:val="left"/>
        </w:tabs>
        <w:ind w:left="567" w:hanging="567"/>
      </w:pPr>
      <w:r>
        <w:t>44.</w:t>
      </w:r>
      <w:r>
        <w:tab/>
      </w:r>
      <w:r>
        <w:t xml:space="preserve">Stipendien, die aus öffentlichen Mitteln oder von zwischenstaatlichen oder überstaatlichen Einrichtungen, denen die Bundesrepublik Deutschland als Mitglied angehört, zur Förderung der Forschung oder zur Förderung der wissenschaftlichen oder künstlerischen Ausbildung oder Fortbildung gewährt werden. </w:t>
      </w:r>
      <w:r>
        <w:rPr>
          <w:rStyle w:val="Satznummer"/>
        </w:rPr>
        <w:t>2</w:t>
      </w:r>
      <w:r>
        <w:t xml:space="preserve">Das Gleiche gilt für Stipendien, die zu den in Satz 1 bezeichneten Zwecken von einer Einrichtung, die von einer Körperschaft des öffentlichen Rechts errichtet ist oder verwaltet wird, oder von einer Körperschaft, Personenvereinigung oder Vermögensmasse im Sinne des § 5 Absatz 1 Nummer 9 des Körperschaftsteuergesetzes gegeben werden. </w:t>
      </w:r>
      <w:r>
        <w:rPr>
          <w:rStyle w:val="Satznummer"/>
        </w:rPr>
        <w:t>3</w:t>
      </w:r>
      <w:r>
        <w:t>Voraussetzung für die Steuerfreiheit ist, dass</w:t>
      </w:r>
    </w:p>
    <w:p>
      <w:pPr>
        <w:tabs>
          <w:tab w:pos="1134" w:val="left"/>
        </w:tabs>
        <w:ind w:left="1134" w:hanging="567"/>
      </w:pPr>
      <w:r>
        <w:t>a)</w:t>
      </w:r>
      <w:r>
        <w:tab/>
      </w:r>
      <w:r>
        <w:t>die Stipendien einen für die Erfüllung der Forschungsaufgabe oder für die Bestreitung des Lebensunterhalts und die Deckung des Ausbildungsbedarfs erforderlichen Betrag nicht übersteigen und nach den von dem Geber erlassenen Richtlinien vergeben werden,</w:t>
      </w:r>
    </w:p>
    <w:p>
      <w:pPr>
        <w:tabs>
          <w:tab w:pos="1134" w:val="left"/>
        </w:tabs>
        <w:ind w:left="1134" w:hanging="567"/>
      </w:pPr>
      <w:r>
        <w:t>b)</w:t>
      </w:r>
      <w:r>
        <w:tab/>
      </w:r>
      <w:r>
        <w:t>der Empfänger im Zusammenhang mit dem Stipendium nicht zu einer bestimmten wissenschaftlichen oder künstlerischen Gegenleistung oder zu einer bestimmten Arbeitnehmertätigkeit verpflichtet ist;</w:t>
      </w:r>
    </w:p>
    <w:p>
      <w:pPr>
        <w:tabs>
          <w:tab w:pos="567" w:val="left"/>
        </w:tabs>
        <w:ind w:left="567" w:hanging="567"/>
      </w:pPr>
      <w:r>
        <w:t>45.</w:t>
      </w:r>
      <w:r>
        <w:tab/>
      </w:r>
      <w:r>
        <w:t xml:space="preserve">die Vorteile des Arbeitnehmers aus der privaten Nutzung von betrieblichen Datenverarbeitungsgeräten und Telekommunikationsgeräten sowie deren Zubehör, aus zur privaten Nutzung überlassenen System- und Anwendungsprogrammen, die der Arbeitgeber auch in seinem Betrieb einsetzt, und aus den im Zusammenhang mit diesen Zuwendungen erbrachten Dienstleistungen. </w:t>
      </w:r>
      <w:r>
        <w:rPr>
          <w:rStyle w:val="Satznummer"/>
        </w:rPr>
        <w:t>2</w:t>
      </w:r>
      <w:r>
        <w:t xml:space="preserve">Satz 1 gilt entsprechend für Steuerpflichtige, denen die Vorteile im Rahmen einer Tätigkeit zugewendet werden, für die sie eine Aufwandsentschädigung im Sinne des </w:t>
      </w:r>
      <w:hyperlink w:anchor="b8" w:history="1">
        <w:r>
          <w:rPr>
            <w:color w:val="0A3A8C"/>
            <w:u w:val="single"/>
          </w:rPr>
          <w:t xml:space="preserve">§ 3</w:t>
        </w:r>
      </w:hyperlink>
      <w:r>
        <w:t xml:space="preserve"> Nummer 12 erhalten;</w:t>
      </w:r>
    </w:p>
    <w:p>
      <w:pPr>
        <w:tabs>
          <w:tab w:pos="567" w:val="left"/>
        </w:tabs>
        <w:ind w:left="567" w:hanging="567"/>
      </w:pPr>
      <w:r>
        <w:t>46.</w:t>
      </w:r>
      <w:r>
        <w:tab/>
      </w:r>
      <w:r>
        <w:t xml:space="preserve">zusätzlich zum ohnehin geschuldeten Arbeitslohn vom Arbeitgeber gewährte Vorteile für das elektrische Aufladen eines Elektrofahrzeugs oder Hybridelektrofahrzeugs im Sinne des </w:t>
      </w:r>
      <w:hyperlink w:anchor="b28" w:history="1">
        <w:r>
          <w:rPr>
            <w:color w:val="0A3A8C"/>
            <w:u w:val="single"/>
          </w:rPr>
          <w:t xml:space="preserve">§ 6</w:t>
        </w:r>
      </w:hyperlink>
      <w:r>
        <w:t xml:space="preserve"> Absatz 1 Nummer 4 Satz 2 zweiter Halbsatz an einer ortsfesten betrieblichen Einrichtung des Arbeitgebers oder eines verbundenen Unternehmens (§ 15 des Aktiengesetzes) und für die zur privaten Nutzung überlassene betriebliche Ladevorrichtung;</w:t>
      </w:r>
    </w:p>
    <w:p>
      <w:pPr>
        <w:tabs>
          <w:tab w:pos="567" w:val="left"/>
        </w:tabs>
        <w:ind w:left="567" w:hanging="567"/>
      </w:pPr>
      <w:r>
        <w:t>47.</w:t>
      </w:r>
      <w:r>
        <w:tab/>
      </w:r>
      <w:r>
        <w:t>Leistungen nach § 14a Absatz 4 und § 14b des Arbeitsplatzschutzgesetzes;</w:t>
      </w:r>
    </w:p>
    <w:p>
      <w:pPr>
        <w:tabs>
          <w:tab w:pos="567" w:val="left"/>
        </w:tabs>
        <w:ind w:left="567" w:hanging="567"/>
      </w:pPr>
      <w:r>
        <w:t>48.</w:t>
      </w:r>
      <w:r>
        <w:tab/>
      </w:r>
      <w:r>
        <w:t>Leistungen nach dem Unterhaltssicherungsgesetz mit Ausnahme der Leistungen nach § 6 des Unterhaltssicherungsgesetzes;</w:t>
      </w:r>
    </w:p>
    <w:p>
      <w:pPr>
        <w:tabs>
          <w:tab w:pos="567" w:val="left"/>
        </w:tabs>
        <w:ind w:left="567" w:hanging="567"/>
      </w:pPr>
      <w:r>
        <w:t>49.</w:t>
      </w:r>
      <w:r>
        <w:tab/>
      </w:r>
      <w:r>
        <w:t>(weggefallen)</w:t>
      </w:r>
    </w:p>
    <w:p>
      <w:pPr>
        <w:tabs>
          <w:tab w:pos="567" w:val="left"/>
        </w:tabs>
        <w:ind w:left="567" w:hanging="567"/>
      </w:pPr>
      <w:r>
        <w:t>50.</w:t>
      </w:r>
      <w:r>
        <w:tab/>
      </w:r>
      <w:r>
        <w:t>die Beträge, die der Arbeitnehmer vom Arbeitgeber erhält, um sie für ihn auszugeben (durchlaufende Gelder), und die Beträge, durch die Auslagen des Arbeitnehmers für den Arbeitgeber ersetzt werden (Auslagenersatz);</w:t>
      </w:r>
    </w:p>
    <w:p>
      <w:pPr>
        <w:tabs>
          <w:tab w:pos="567" w:val="left"/>
        </w:tabs>
        <w:ind w:left="567" w:hanging="567"/>
      </w:pPr>
      <w:r>
        <w:t>51.</w:t>
      </w:r>
      <w:r>
        <w:tab/>
      </w:r>
      <w:r>
        <w:t>Trinkgelder, die anlässlich einer Arbeitsleistung dem Arbeitnehmer von Dritten freiwillig und ohne dass ein Rechtsanspruch auf sie besteht, zusätzlich zu dem Betrag gegeben werden, der für diese Arbeitsleistung zu zahlen ist;</w:t>
      </w:r>
    </w:p>
    <w:p>
      <w:pPr>
        <w:tabs>
          <w:tab w:pos="567" w:val="left"/>
        </w:tabs>
        <w:ind w:left="567" w:hanging="567"/>
      </w:pPr>
      <w:r>
        <w:t>52.</w:t>
      </w:r>
      <w:r>
        <w:tab/>
      </w:r>
      <w:r>
        <w:t>(weggefallen)</w:t>
      </w:r>
    </w:p>
    <w:p>
      <w:pPr>
        <w:tabs>
          <w:tab w:pos="567" w:val="left"/>
        </w:tabs>
        <w:ind w:left="567" w:hanging="567"/>
      </w:pPr>
      <w:r>
        <w:t>53.</w:t>
      </w:r>
      <w:r>
        <w:tab/>
      </w:r>
      <w:r>
        <w:t xml:space="preserve">die Übertragung von Wertguthaben nach § 7f Absatz 1 Satz 1 Nummer 2 des Vierten Buches Sozialgesetzbuch auf die Deutsche Rentenversicherung Bund. </w:t>
      </w:r>
      <w:r>
        <w:rPr>
          <w:rStyle w:val="Satznummer"/>
        </w:rPr>
        <w:t>2</w:t>
      </w:r>
      <w:r>
        <w:t xml:space="preserve">Die Leistungen aus dem Wertguthaben durch die Deutsche Rentenversicherung Bund gehören zu den Einkünften aus nichtselbständiger Arbeit im Sinne des </w:t>
      </w:r>
      <w:hyperlink w:anchor="b83" w:history="1">
        <w:r>
          <w:rPr>
            <w:color w:val="0A3A8C"/>
            <w:u w:val="single"/>
          </w:rPr>
          <w:t xml:space="preserve">§ 19</w:t>
        </w:r>
      </w:hyperlink>
      <w:r>
        <w:t xml:space="preserve">. </w:t>
      </w:r>
      <w:r>
        <w:rPr>
          <w:rStyle w:val="Satznummer"/>
        </w:rPr>
        <w:t>3</w:t>
      </w:r>
      <w:r>
        <w:t>Von ihnen ist Lohnsteuer einzubehalten;</w:t>
      </w:r>
    </w:p>
    <w:p>
      <w:pPr>
        <w:tabs>
          <w:tab w:pos="567" w:val="left"/>
        </w:tabs>
        <w:ind w:left="567" w:hanging="567"/>
      </w:pPr>
      <w:r>
        <w:t>54.</w:t>
      </w:r>
      <w:r>
        <w:tab/>
      </w:r>
      <w:r>
        <w:t xml:space="preserve">Zinsen aus Entschädigungsansprüchen für deutsche Auslandsbonds im Sinne der §§ 52 bis 54 des Bereinigungsgesetzes für deutsche Auslandsbonds in der im Bundesgesetzblatt Teil III, Gliederungsnummer 4139-2, veröffentlichten bereinigten Fassung, soweit sich die Entschädigungsansprüche gegen den Bund oder die Länder richten. </w:t>
      </w:r>
      <w:r>
        <w:rPr>
          <w:rStyle w:val="Satznummer"/>
        </w:rPr>
        <w:t>2</w:t>
      </w:r>
      <w:r>
        <w:t>Das Gleiche gilt für die Zinsen aus Schuldverschreibungen und Schuldbuchforderungen, die nach den §§ 9, 10 und 14 des Gesetzes zur näheren Regelung der Entschädigungsansprüche für Auslandsbonds in der im Bundesgesetzblatt Teil III, Gliederungsnummer 4139-3, veröffentlichten bereinigten Fassung vom Bund oder von den Ländern für Entschädigungsansprüche erteilt oder eingetragen werden;</w:t>
      </w:r>
    </w:p>
    <w:p>
      <w:pPr>
        <w:tabs>
          <w:tab w:pos="567" w:val="left"/>
        </w:tabs>
        <w:ind w:left="567" w:hanging="567"/>
      </w:pPr>
      <w:r>
        <w:t>55.</w:t>
      </w:r>
      <w:r>
        <w:tab/>
      </w:r>
      <w:r>
        <w:t xml:space="preserve">der in den Fällen des § 4 Absatz 2 Nummer 2 und Absatz 3 des Betriebsrentengesetzes vom 19. Dezember 1974 (BGBl. I S. 3610), das zuletzt durch Artikel 8 des Gesetzes vom 5. Juli 2004 (BGBl. I S. 1427) geändert worden ist, in der jeweils geltenden Fassung geleistete Übertragungswert nach § 4 Absatz 5 des Betriebsrentengesetzes, wenn die betriebliche Altersversorgung beim ehemaligen und neuen Arbeitgeber über einen Pensionsfonds, eine Pensionskasse oder ein Unternehmen der Lebensversicherung durchgeführt wird; dies gilt auch, wenn eine Versorgungsanwartschaft aus einer betrieblichen Altersversorgung auf Grund vertraglicher Vereinbarung ohne Fristerfordernis unverfallbar ist. </w:t>
      </w:r>
      <w:r>
        <w:rPr>
          <w:rStyle w:val="Satznummer"/>
        </w:rPr>
        <w:t>2</w:t>
      </w:r>
      <w:r>
        <w:t xml:space="preserve">Satz 1 gilt auch, wenn der Übertragungswert vom ehemaligen Arbeitgeber oder von einer Unterstützungskasse an den neuen Arbeitgeber oder eine andere Unterstützungskasse geleistet wird. </w:t>
      </w:r>
      <w:r>
        <w:rPr>
          <w:rStyle w:val="Satznummer"/>
        </w:rPr>
        <w:t>3</w:t>
      </w:r>
      <w:r>
        <w:t>Die Leistungen des neuen Arbeitgebers, der Unterstützungskasse, des Pensionsfonds, der Pensionskasse oder des Unternehmens der Lebensversicherung auf Grund des Betrags nach Satz 1 und 2 gehören zu den Einkünften, zu denen die Leistungen gehören würden, wenn die Übertragung nach § 4 Absatz 2 Nummer 2 und Absatz 3 des Betriebsrentengesetzes nicht stattgefunden hätte;</w:t>
      </w:r>
    </w:p>
    <w:p>
      <w:pPr>
        <w:tabs>
          <w:tab w:pos="567" w:val="left"/>
        </w:tabs>
        <w:ind w:left="567" w:hanging="567"/>
      </w:pPr>
      <w:r>
        <w:t>55a.</w:t>
      </w:r>
      <w:r>
        <w:tab/>
      </w:r>
      <w:r>
        <w:t xml:space="preserve">die nach § 10 des Versorgungsausgleichsgesetzes vom 3. April 2009 (BGBl. I S. 700) in der jeweils geltenden Fassung (interne Teilung) durchgeführte Übertragung von Anrechten für die ausgleichsberechtigte Person zu Lasten von Anrechten der ausgleichspflichtigen Person. </w:t>
      </w:r>
      <w:r>
        <w:rPr>
          <w:rStyle w:val="Satznummer"/>
        </w:rPr>
        <w:t>2</w:t>
      </w:r>
      <w:r>
        <w:t>Die Leistungen aus diesen Anrechten gehören bei der ausgleichsberechtigten Person zu den Einkünften, zu denen die Leistungen bei der ausgleichspflichtigen Person gehören würden, wenn die interne Teilung nicht stattgefunden hätte;</w:t>
      </w:r>
    </w:p>
    <w:p>
      <w:pPr>
        <w:tabs>
          <w:tab w:pos="567" w:val="left"/>
        </w:tabs>
        <w:ind w:left="567" w:hanging="567"/>
      </w:pPr>
      <w:r>
        <w:t>55b.</w:t>
      </w:r>
      <w:r>
        <w:tab/>
      </w:r>
      <w:r>
        <w:t xml:space="preserve">der nach § 14 des Versorgungsausgleichsgesetzes (externe Teilung) geleistete Ausgleichswert zur Begründung von Anrechten für die ausgleichsberechtigte Person zu Lasten von Anrechten der ausgleichspflichtigen Person, soweit Leistungen aus diesen Anrechten zu steuerpflichtigen Einkünften nach den </w:t>
      </w:r>
      <w:hyperlink w:anchor="b83" w:history="1">
        <w:r>
          <w:rPr>
            <w:color w:val="0A3A8C"/>
            <w:u w:val="single"/>
          </w:rPr>
          <w:t xml:space="preserve">§§ 19</w:t>
        </w:r>
      </w:hyperlink>
      <w:r>
        <w:t xml:space="preserve">, </w:t>
      </w:r>
      <w:hyperlink w:anchor="b86" w:history="1">
        <w:r>
          <w:rPr>
            <w:color w:val="0A3A8C"/>
            <w:u w:val="single"/>
          </w:rPr>
          <w:t xml:space="preserve">20</w:t>
        </w:r>
      </w:hyperlink>
      <w:r>
        <w:t xml:space="preserve"> und </w:t>
      </w:r>
      <w:hyperlink w:anchor="b90" w:history="1">
        <w:r>
          <w:rPr>
            <w:color w:val="0A3A8C"/>
            <w:u w:val="single"/>
          </w:rPr>
          <w:t xml:space="preserve">22</w:t>
        </w:r>
      </w:hyperlink>
      <w:r>
        <w:t xml:space="preserve"> führen würden. </w:t>
      </w:r>
      <w:r>
        <w:rPr>
          <w:rStyle w:val="Satznummer"/>
        </w:rPr>
        <w:t>2</w:t>
      </w:r>
      <w:r>
        <w:t xml:space="preserve">Satz 1 gilt nicht, soweit Leistungen, die auf dem begründeten Anrecht beruhen, bei der ausgleichsberechtigten Person zu Einkünften nach § 20 Absatz 1 Nummer 6 oder § 22 Nummer 1 Satz 3 Buchstabe a Doppelbuchstabe bb führen würden. </w:t>
      </w:r>
      <w:r>
        <w:rPr>
          <w:rStyle w:val="Satznummer"/>
        </w:rPr>
        <w:t>3</w:t>
      </w:r>
      <w:r>
        <w:t xml:space="preserve">Der Versorgungsträger der ausgleichspflichtigen Person hat den Versorgungsträger der ausgleichsberechtigten Person über die für die Besteuerung der Leistungen erforderlichen Grundlagen zu informieren. </w:t>
      </w:r>
      <w:r>
        <w:rPr>
          <w:rStyle w:val="Satznummer"/>
        </w:rPr>
        <w:t>4</w:t>
      </w:r>
      <w:r>
        <w:t>Dies gilt nicht, wenn der Versorgungsträger der ausgleichsberechtigten Person die Grundlagen bereits kennt oder aus den bei ihm vorhandenen Daten feststellen kann und dieser Umstand dem Versorgungsträger der ausgleichspflichtigen Person mitgeteilt worden ist;</w:t>
      </w:r>
    </w:p>
    <w:p>
      <w:pPr>
        <w:tabs>
          <w:tab w:pos="567" w:val="left"/>
        </w:tabs>
        <w:ind w:left="567" w:hanging="567"/>
      </w:pPr>
      <w:r>
        <w:t>55c.</w:t>
      </w:r>
      <w:r>
        <w:tab/>
      </w:r>
      <w:r>
        <w:t xml:space="preserve">Übertragungen von Altersvorsorgevermögen im Sinne des </w:t>
      </w:r>
      <w:hyperlink w:anchor="b250" w:history="1">
        <w:r>
          <w:rPr>
            <w:color w:val="0A3A8C"/>
            <w:u w:val="single"/>
          </w:rPr>
          <w:t xml:space="preserve">§ 92</w:t>
        </w:r>
      </w:hyperlink>
      <w:r>
        <w:t xml:space="preserve"> auf einen anderen auf den Namen des Steuerpflichtigen lautenden Altersvorsorgevertrag (§ 1 Absatz 1 Satz 1 Nummer 10 Buchstabe b des Altersvorsorgeverträge-Zertifizierungsgesetzes), soweit die Leistungen zu steuerpflichtigen Einkünften nach </w:t>
      </w:r>
      <w:hyperlink w:anchor="b90" w:history="1">
        <w:r>
          <w:rPr>
            <w:color w:val="0A3A8C"/>
            <w:u w:val="single"/>
          </w:rPr>
          <w:t xml:space="preserve">§ 22</w:t>
        </w:r>
      </w:hyperlink>
      <w:r>
        <w:t xml:space="preserve"> Nummer 5 führen würden. </w:t>
      </w:r>
      <w:r>
        <w:rPr>
          <w:rStyle w:val="Satznummer"/>
        </w:rPr>
        <w:t>2</w:t>
      </w:r>
      <w:r>
        <w:t>Dies gilt entsprechend</w:t>
      </w:r>
    </w:p>
    <w:p>
      <w:pPr>
        <w:tabs>
          <w:tab w:pos="1134" w:val="left"/>
        </w:tabs>
        <w:ind w:left="1134" w:hanging="567"/>
      </w:pPr>
      <w:r>
        <w:t>a)</w:t>
      </w:r>
      <w:r>
        <w:tab/>
      </w:r>
      <w:r>
        <w:t>wenn Anwartschaften aus einer betrieblichen Altersversorgung, die über einen Pensionsfonds, eine Pensionskasse oder ein Unternehmen der Lebensversicherung (Direktversicherung) durchgeführt wird, lediglich auf einen anderen Träger einer betrieblichen Altersversorgung in Form eines Pensionsfonds, einer Pensionskasse oder eines Unternehmens der Lebensversicherung (Direktversicherung) übertragen werden, soweit keine Zahlungen unmittelbar an den Arbeitnehmer erfolgen,</w:t>
      </w:r>
    </w:p>
    <w:p>
      <w:pPr>
        <w:tabs>
          <w:tab w:pos="1134" w:val="left"/>
        </w:tabs>
        <w:ind w:left="1134" w:hanging="567"/>
      </w:pPr>
      <w:r>
        <w:t>b)</w:t>
      </w:r>
      <w:r>
        <w:tab/>
      </w:r>
      <w:r>
        <w:t>wenn Anwartschaften der betrieblichen Altersversorgung abgefunden werden, soweit das Altersvorsorgevermögen zugunsten eines auf den Namen des Steuerpflichtigen lautenden Altersvorsorgevertrages geleistet wird, und in den Fällen des § 3 Absatz 2a des Betriebsrentengesetzes,</w:t>
      </w:r>
    </w:p>
    <w:p>
      <w:pPr>
        <w:tabs>
          <w:tab w:pos="1134" w:val="left"/>
        </w:tabs>
        <w:ind w:left="1134" w:hanging="567"/>
      </w:pPr>
      <w:r>
        <w:t>c)</w:t>
      </w:r>
      <w:r>
        <w:tab/>
      </w:r>
      <w:r>
        <w:t>wenn im Fall des Todes des Steuerpflichtigen das Altersvorsorgevermögen auf einen auf den Namen des Ehegatten lautenden Altersvorsorgevertrag übertragen wird, wenn die Ehegatten im Zeitpunkt des Todes des Zulageberechtigten nicht dauernd getrennt gelebt haben (</w:t>
      </w:r>
      <w:hyperlink w:anchor="b99" w:history="1">
        <w:r>
          <w:rPr>
            <w:color w:val="0A3A8C"/>
            <w:u w:val="single"/>
          </w:rPr>
          <w:t xml:space="preserve">§ 26</w:t>
        </w:r>
      </w:hyperlink>
      <w:r>
        <w:t xml:space="preserve"> Absatz 1) und ihren Wohnsitz oder gewöhnlichen Aufenthalt in einem Mitgliedstaat der Europäischen Union oder einem Staat hatten, auf den das Abkommen über den Europäischen Wirtschaftsraum anwendbar ist; dies gilt auch, wenn die Ehegatten ihren vor dem Zeitpunkt, ab dem das Vereinigte Königreich Großbritannien und Nordirland nicht mehr Mitgliedstaat der Europäischen Union ist und auch nicht wie ein solcher zu behandeln ist, begründeten Wohnsitz oder gewöhnlichen Aufenthalt im Vereinigten Königreich Großbritannien und Nordirland hatten und der Vertrag vor dem 23. Juni 2016 abgeschlossen worden ist;</w:t>
      </w:r>
    </w:p>
    <w:p>
      <w:pPr>
        <w:tabs>
          <w:tab w:pos="567" w:val="left"/>
        </w:tabs>
        <w:ind w:left="567" w:hanging="567"/>
      </w:pPr>
      <w:r>
        <w:t>55d.</w:t>
      </w:r>
      <w:r>
        <w:tab/>
      </w:r>
      <w:r>
        <w:t>Übertragungen von Anrechten aus einem nach § 5a Altersvorsorgeverträge-Zertifizierungsgesetz zertifizierten Vertrag auf einen anderen auf den Namen des Steuerpflichtigen lautenden nach § 5a Altersvorsorgeverträge-Zertifizierungsgesetz zertifizierten Vertrag;</w:t>
      </w:r>
    </w:p>
    <w:p>
      <w:pPr>
        <w:tabs>
          <w:tab w:pos="567" w:val="left"/>
        </w:tabs>
        <w:ind w:left="567" w:hanging="567"/>
      </w:pPr>
      <w:r>
        <w:t>55e.</w:t>
      </w:r>
      <w:r>
        <w:tab/>
      </w:r>
      <w:r>
        <w:t xml:space="preserve">die auf Grund eines Abkommens mit einer zwischen- oder überstaatlichen Einrichtung übertragenen Werte von Anrechten auf Altersversorgung, soweit diese zur Begründung von Anrechten auf Altersversorgung bei einer zwischen- oder überstaatlichen Einrichtung dienen. </w:t>
      </w:r>
      <w:r>
        <w:rPr>
          <w:rStyle w:val="Satznummer"/>
        </w:rPr>
        <w:t>2</w:t>
      </w:r>
      <w:r>
        <w:t>Die Leistungen auf Grund des Betrags nach Satz 1 gehören zu den Einkünften, zu denen die Leistungen gehören, die die übernehmende Versorgungseinrichtung im Übrigen erbringt;</w:t>
      </w:r>
    </w:p>
    <w:p>
      <w:pPr>
        <w:tabs>
          <w:tab w:pos="567" w:val="left"/>
        </w:tabs>
        <w:ind w:left="567" w:hanging="567"/>
      </w:pPr>
      <w:r>
        <w:t>56.</w:t>
      </w:r>
      <w:r>
        <w:tab/>
      </w:r>
      <w:r>
        <w:t xml:space="preserve">Zuwendungen des Arbeitgebers nach § 19 Absatz 1 Satz 1 Nummer 3 Satz 1 aus dem ersten Dienstverhältnis an eine Pensionskasse zum Aufbau einer nicht kapitalgedeckten betrieblichen Altersversorgung, bei der eine Auszahlung der zugesagten Alters-, Invaliditäts- oder Hinterbliebenenversorgung entsprechend </w:t>
      </w:r>
      <w:hyperlink w:anchor="b240" w:history="1">
        <w:r>
          <w:rPr>
            <w:color w:val="0A3A8C"/>
            <w:u w:val="single"/>
          </w:rPr>
          <w:t xml:space="preserve">§ 82</w:t>
        </w:r>
      </w:hyperlink>
      <w:r>
        <w:t xml:space="preserve"> Absatz 2 Satz 2 vorgesehen ist, soweit diese Zuwendungen im Kalenderjahr 2 Prozent der Beitragsbemessungsgrenze in der allgemeinen Rentenversicherung nicht übersteigen. </w:t>
      </w:r>
      <w:r>
        <w:rPr>
          <w:rStyle w:val="Satznummer"/>
        </w:rPr>
        <w:t>2</w:t>
      </w:r>
      <w:r>
        <w:t xml:space="preserve">Der in Satz 1 genannte Höchstbetrag erhöht sich ab 1. Januar 2020 auf 3 Prozent und ab 1. Januar 2025 auf 4 Prozent der Beitragsbemessungsgrenze in der allgemeinen Rentenversicherung. </w:t>
      </w:r>
      <w:r>
        <w:rPr>
          <w:rStyle w:val="Satznummer"/>
        </w:rPr>
        <w:t>3</w:t>
      </w:r>
      <w:r>
        <w:t xml:space="preserve">Die Beträge nach den Sätzen 1 und 2 sind jeweils um die nach </w:t>
      </w:r>
      <w:hyperlink w:anchor="b8" w:history="1">
        <w:r>
          <w:rPr>
            <w:color w:val="0A3A8C"/>
            <w:u w:val="single"/>
          </w:rPr>
          <w:t xml:space="preserve">§ 3</w:t>
        </w:r>
      </w:hyperlink>
      <w:r>
        <w:t xml:space="preserve"> Nummer 63 Satz 1, 3 oder Satz 4 steuerfreien Beträge zu mindern;</w:t>
      </w:r>
    </w:p>
    <w:p>
      <w:pPr>
        <w:tabs>
          <w:tab w:pos="567" w:val="left"/>
        </w:tabs>
        <w:ind w:left="567" w:hanging="567"/>
      </w:pPr>
      <w:r>
        <w:t>57.</w:t>
      </w:r>
      <w:r>
        <w:tab/>
      </w:r>
      <w:r>
        <w:t>die Beträge, die die Künstlersozialkasse zugunsten des nach dem Künstlersozialversicherungsgesetz Versicherten aus dem Aufkommen von Künstlersozialabgabe und Bundeszuschuss an einen Träger der Sozialversicherung oder an den Versicherten zahlt;</w:t>
      </w:r>
    </w:p>
    <w:p>
      <w:pPr>
        <w:tabs>
          <w:tab w:pos="567" w:val="left"/>
        </w:tabs>
        <w:ind w:left="567" w:hanging="567"/>
      </w:pPr>
      <w:r>
        <w:t>58.</w:t>
      </w:r>
      <w:r>
        <w:tab/>
      </w:r>
      <w:r>
        <w:t>das Wohngeld nach dem Wohngeldgesetz, die sonstigen Leistungen aus öffentlichen Haushalten oder Zweckvermögen zur Senkung der Miete oder Belastung im Sinne des § 11 Absatz 2 Nummer 4 des Wohngeldgesetzes sowie öffentliche Zuschüsse zur Deckung laufender Aufwendungen und Zinsvorteile bei Darlehen, die aus öffentlichen Haushalten gewährt werden, für eine zu eigenen Wohnzwecken genutzte Wohnung im eigenen Haus oder eine zu eigenen Wohnzwecken genutzte Eigentumswohnung, soweit die Zuschüsse und Zinsvorteile die Vorteile aus einer entsprechenden Förderung mit öffentlichen Mitteln nach dem Zweiten Wohnungsbaugesetz, dem Wohnraumförderungsgesetz oder einem Landesgesetz zur Wohnraumförderung nicht überschreiten, der Zuschuss für die Wohneigentumsbildung in innerstädtischen Altbauquartieren nach den Regelungen zum Stadtumbau Ost in den Verwaltungsvereinbarungen über die Gewährung von Finanzhilfen des Bundes an die Länder nach Artikel 104a Absatz 4 des Grundgesetzes zur Förderung städtebaulicher Maßnahmen;</w:t>
      </w:r>
    </w:p>
    <w:p>
      <w:pPr>
        <w:tabs>
          <w:tab w:pos="567" w:val="left"/>
        </w:tabs>
        <w:ind w:left="567" w:hanging="567"/>
      </w:pPr>
      <w:r>
        <w:t>59.</w:t>
      </w:r>
      <w:r>
        <w:tab/>
      </w:r>
      <w:r>
        <w:t>die Zusatzförderung nach § 88e des Zweiten Wohnungsbaugesetzes und nach § 51f des Wohnungsbaugesetzes für das Saarland und Geldleistungen, die ein Mieter zum Zwecke der Wohnkostenentlastung nach dem Wohnraumförderungsgesetz oder einem Landesgesetz zur Wohnraumförderung erhält, soweit die Einkünfte dem Mieter zuzurechnen sind, und die Vorteile aus einer mietweisen Wohnungsüberlassung im Zusammenhang mit einem Arbeitsverhältnis, soweit sie die Vorteile aus einer entsprechenden Förderung nach dem Zweiten Wohnungsbaugesetz, nach dem Wohnraumförderungsgesetz oder einem Landesgesetz zur Wohnraumförderung nicht überschreiten;</w:t>
      </w:r>
    </w:p>
    <w:p>
      <w:pPr>
        <w:tabs>
          <w:tab w:pos="567" w:val="left"/>
        </w:tabs>
        <w:ind w:left="567" w:hanging="567"/>
      </w:pPr>
      <w:r>
        <w:t>60.</w:t>
      </w:r>
      <w:r>
        <w:tab/>
      </w:r>
      <w:r>
        <w:t>das Anpassungsgeld für Arbeitnehmer der Braunkohlekraftwerke und -tagebaue sowie Steinkohlekraftwerke, die aus Anlass einer Stilllegungsmaßnahme ihren Arbeitsplatz verloren haben;</w:t>
      </w:r>
    </w:p>
    <w:p>
      <w:pPr>
        <w:tabs>
          <w:tab w:pos="567" w:val="left"/>
        </w:tabs>
        <w:ind w:left="567" w:hanging="567"/>
      </w:pPr>
      <w:r>
        <w:t>61.</w:t>
      </w:r>
      <w:r>
        <w:tab/>
      </w:r>
      <w:r>
        <w:t>Leistungen nach § 4 Absatz 1 Nummer 2, § 7 Absatz 3, §§ 9, 10 Absatz 1, §§ 13, 15 des Entwicklungshelfer-Gesetzes;</w:t>
      </w:r>
    </w:p>
    <w:p>
      <w:pPr>
        <w:tabs>
          <w:tab w:pos="567" w:val="left"/>
        </w:tabs>
        <w:ind w:left="567" w:hanging="567"/>
      </w:pPr>
      <w:r>
        <w:t>62.</w:t>
      </w:r>
      <w:r>
        <w:tab/>
      </w:r>
      <w:r>
        <w:t xml:space="preserve">Ausgaben des Arbeitgebers für die Zukunftssicherung des Arbeitnehmers, soweit der Arbeitgeber dazu nach sozialversicherungsrechtlichen oder anderen gesetzlichen Vorschriften oder nach einer auf gesetzlicher Ermächtigung beruhenden Bestimmung verpflichtet ist, und es sich nicht um Zuwendungen oder Beiträge des Arbeitgebers nach den Nummern 56, 63 und 63a handelt. </w:t>
      </w:r>
      <w:r>
        <w:rPr>
          <w:rStyle w:val="Satznummer"/>
        </w:rPr>
        <w:t>2</w:t>
      </w:r>
      <w:r>
        <w:t>Den Ausgaben des Arbeitgebers für die Zukunftssicherung, die auf Grund gesetzlicher Verpflichtung geleistet werden, werden gleichgestellt Zuschüsse des Arbeitgebers zu den Aufwendungen des Arbeitnehmers</w:t>
      </w:r>
    </w:p>
    <w:p>
      <w:pPr>
        <w:tabs>
          <w:tab w:pos="1134" w:val="left"/>
        </w:tabs>
        <w:ind w:left="1134" w:hanging="567"/>
      </w:pPr>
      <w:r>
        <w:t>a)</w:t>
      </w:r>
      <w:r>
        <w:tab/>
      </w:r>
      <w:r>
        <w:t>für eine Lebensversicherung,</w:t>
      </w:r>
    </w:p>
    <w:p>
      <w:pPr>
        <w:tabs>
          <w:tab w:pos="1134" w:val="left"/>
        </w:tabs>
        <w:ind w:left="1134" w:hanging="567"/>
      </w:pPr>
      <w:r>
        <w:t>b)</w:t>
      </w:r>
      <w:r>
        <w:tab/>
      </w:r>
      <w:r>
        <w:t>für die freiwillige Versicherung in der gesetzlichen Rentenversicherung,</w:t>
      </w:r>
    </w:p>
    <w:p>
      <w:pPr>
        <w:tabs>
          <w:tab w:pos="1134" w:val="left"/>
        </w:tabs>
        <w:ind w:left="1134" w:hanging="567"/>
      </w:pPr>
      <w:r>
        <w:t>c)</w:t>
      </w:r>
      <w:r>
        <w:tab/>
      </w:r>
      <w:r>
        <w:t>für eine öffentlich-rechtliche Versicherungs- oder Versorgungseinrichtung seiner Berufsgruppe,</w:t>
      </w:r>
    </w:p>
    <w:p>
      <w:pPr>
        <w:ind w:left="567"/>
      </w:pPr>
      <w:r>
        <w:t xml:space="preserve">wenn der Arbeitnehmer von der Versicherungspflicht in der gesetzlichen Rentenversicherung befreit worden ist. </w:t>
      </w:r>
      <w:r>
        <w:rPr>
          <w:rStyle w:val="Satznummer"/>
        </w:rPr>
        <w:t>3</w:t>
      </w:r>
      <w:r>
        <w:t>Die Zuschüsse sind nur insoweit steuerfrei, als sie insgesamt bei Befreiung von der Versicherungspflicht in der allgemeinen Rentenversicherung die Hälfte und bei Befreiung von der Versicherungspflicht in der knappschaftlichen Rentenversicherung zwei Drittel der Gesamtaufwendungen des Arbeitnehmers nicht übersteigen und nicht höher sind als der Betrag, der als Arbeitgeberanteil bei Versicherungspflicht in der allgemeinen Rentenversicherung oder in der knappschaftlichen Rentenversicherung zu zahlen wäre;</w:t>
      </w:r>
    </w:p>
    <w:p>
      <w:pPr>
        <w:tabs>
          <w:tab w:pos="567" w:val="left"/>
        </w:tabs>
        <w:ind w:left="567" w:hanging="567"/>
      </w:pPr>
      <w:r>
        <w:t>63.</w:t>
      </w:r>
      <w:r>
        <w:tab/>
      </w:r>
      <w:r>
        <w:t xml:space="preserve">Beiträge des Arbeitgebers aus dem ersten Dienstverhältnis an einen Pensionsfonds, eine Pensionskasse oder für eine Direktversicherung zum Aufbau einer kapitalgedeckten betrieblichen Altersversorgung, bei der eine Auszahlung der zugesagten Alters-, Invaliditäts- oder Hinterbliebenenversorgungsleistungen entsprechend </w:t>
      </w:r>
      <w:hyperlink w:anchor="b240" w:history="1">
        <w:r>
          <w:rPr>
            <w:color w:val="0A3A8C"/>
            <w:u w:val="single"/>
          </w:rPr>
          <w:t xml:space="preserve">§ 82</w:t>
        </w:r>
      </w:hyperlink>
      <w:r>
        <w:t xml:space="preserve"> Absatz 2 Satz 2 vorgesehen ist, soweit die Beiträge im Kalenderjahr 8 Prozent der Beitragsbemessungsgrenze in der allgemeinen Rentenversicherung nicht übersteigen. </w:t>
      </w:r>
      <w:r>
        <w:rPr>
          <w:rStyle w:val="Satznummer"/>
        </w:rPr>
        <w:t>2</w:t>
      </w:r>
      <w:r>
        <w:t xml:space="preserve">Dies gilt nicht, soweit der Arbeitnehmer nach § 1a Absatz 3 des Betriebsrentengesetzes verlangt hat, dass die Voraussetzungen für eine Förderung nach </w:t>
      </w:r>
      <w:hyperlink w:anchor="b52" w:history="1">
        <w:r>
          <w:rPr>
            <w:color w:val="0A3A8C"/>
            <w:u w:val="single"/>
          </w:rPr>
          <w:t xml:space="preserve">§ 10a</w:t>
        </w:r>
      </w:hyperlink>
      <w:r>
        <w:t xml:space="preserve"> oder Abschnitt XI erfüllt werden. </w:t>
      </w:r>
      <w:r>
        <w:rPr>
          <w:rStyle w:val="Satznummer"/>
        </w:rPr>
        <w:t>3</w:t>
      </w:r>
      <w:r>
        <w:t xml:space="preserve">Aus Anlass der Beendigung des Dienstverhältnisses geleistete Beiträge im Sinne des Satzes 1 sind steuerfrei, soweit sie 4 Prozent der Beitragsbemessungsgrenze in der allgemeinen Rentenversicherung, vervielfältigt mit der Anzahl der Kalenderjahre, in denen das Dienstverhältnis des Arbeitnehmers zu dem Arbeitgeber bestanden hat, höchstens jedoch zehn Kalenderjahre, nicht übersteigen. </w:t>
      </w:r>
      <w:r>
        <w:rPr>
          <w:rStyle w:val="Satznummer"/>
        </w:rPr>
        <w:t>4</w:t>
      </w:r>
      <w:r>
        <w:t>Beiträge im Sinne des Satzes 1, die für Kalenderjahre nachgezahlt werden, in denen das erste Dienstverhältnis ruhte und vom Arbeitgeber im Inland kein steuerpflichtiger Arbeitslohn bezogen wurde, sind steuerfrei, soweit sie 8 Prozent der Beitragsbemessungsgrenze in der allgemeinen Rentenversicherung, vervielfältigt mit der Anzahl dieser Kalenderjahre, höchstens jedoch zehn Kalenderjahre, nicht übersteigen;</w:t>
      </w:r>
    </w:p>
    <w:p>
      <w:pPr>
        <w:tabs>
          <w:tab w:pos="567" w:val="left"/>
        </w:tabs>
        <w:ind w:left="567" w:hanging="567"/>
      </w:pPr>
      <w:r>
        <w:t>63a.</w:t>
      </w:r>
      <w:r>
        <w:tab/>
      </w:r>
      <w:r>
        <w:t>Sicherungsbeiträge des Arbeitgebers nach § 23 Absatz 1 des Betriebsrentengesetzes, soweit sie nicht unmittelbar dem einzelnen Arbeitnehmer gutgeschrieben oder zugerechnet werden;</w:t>
      </w:r>
    </w:p>
    <w:p>
      <w:pPr>
        <w:tabs>
          <w:tab w:pos="567" w:val="left"/>
        </w:tabs>
        <w:ind w:left="567" w:hanging="567"/>
      </w:pPr>
      <w:r>
        <w:t>64.</w:t>
      </w:r>
      <w:r>
        <w:tab/>
      </w:r>
      <w:r>
        <w:t xml:space="preserve">bei Arbeitnehmern, die zu einer inländischen juristischen Person des öffentlichen Rechts in einem Dienstverhältnis stehen und dafür Arbeitslohn aus einer inländischen öffentlichen Kasse beziehen, die Bezüge für eine Tätigkeit im Ausland insoweit, als sie den Arbeitslohn übersteigen, der dem Arbeitnehmer bei einer gleichwertigen Tätigkeit am Ort der zahlenden öffentlichen Kasse zustehen würde. </w:t>
      </w:r>
      <w:r>
        <w:rPr>
          <w:rStyle w:val="Satznummer"/>
        </w:rPr>
        <w:t>2</w:t>
      </w:r>
      <w:r>
        <w:t xml:space="preserve">Satz 1 gilt auch, wenn das Dienstverhältnis zu einer anderen Person besteht, die den Arbeitslohn entsprechend den im Sinne des Satzes 1 geltenden Vorschriften ermittelt, der Arbeitslohn aus einer öffentlichen Kasse gezahlt wird und ganz oder im Wesentlichen aus öffentlichen Mitteln aufgebracht wird. </w:t>
      </w:r>
      <w:r>
        <w:rPr>
          <w:rStyle w:val="Satznummer"/>
        </w:rPr>
        <w:t>3</w:t>
      </w:r>
      <w:r>
        <w:t>Bei anderen für einen begrenzten Zeitraum in das Ausland entsandten Arbeitnehmern, die dort einen Wohnsitz oder gewöhnlichen Aufenthalt haben, ist der ihnen von einem inländischen Arbeitgeber gewährte Kaufkraftausgleich steuerfrei, soweit er den für vergleichbare Auslandsdienstbezüge nach § 55 des Bundesbesoldungsgesetzes zulässigen Betrag nicht übersteigt;</w:t>
      </w:r>
    </w:p>
    <w:p>
      <w:pPr>
        <w:tabs>
          <w:tab w:pos="567" w:val="left"/>
        </w:tabs>
        <w:ind w:left="567" w:hanging="567"/>
      </w:pPr>
      <w:r>
        <w:t>65.</w:t>
      </w:r>
      <w:r>
        <w:tab/>
      </w:r>
    </w:p>
    <w:p>
      <w:pPr>
        <w:tabs>
          <w:tab w:pos="1134" w:val="left"/>
        </w:tabs>
        <w:ind w:left="1134" w:hanging="567"/>
      </w:pPr>
      <w:r>
        <w:t>a)</w:t>
      </w:r>
      <w:r>
        <w:tab/>
      </w:r>
      <w:r>
        <w:t>Beiträge des Trägers der Insolvenzsicherung (§ 14 des Betriebsrentengesetzes) zugunsten eines Versorgungsberechtigten und seiner Hinterbliebenen an ein Unternehmen der Lebensversicherung zur Ablösung von Verpflichtungen, die der Träger der Insolvenzsicherung im Sicherungsfall gegenüber dem Versorgungsberechtigten und seinen Hinterbliebenen hat,</w:t>
      </w:r>
    </w:p>
    <w:p>
      <w:pPr>
        <w:tabs>
          <w:tab w:pos="1134" w:val="left"/>
        </w:tabs>
        <w:ind w:left="1134" w:hanging="567"/>
      </w:pPr>
      <w:r>
        <w:t>b)</w:t>
      </w:r>
      <w:r>
        <w:tab/>
      </w:r>
      <w:r>
        <w:t>Leistungen zur Übernahme von Versorgungsleistungen oder unverfallbaren Versorgungsanwartschaften durch eine Pensionskasse oder ein Unternehmen der Lebensversicherung in den in § 4 Absatz 4 des Betriebsrentengesetzes bezeichneten Fällen,</w:t>
      </w:r>
    </w:p>
    <w:p>
      <w:pPr>
        <w:tabs>
          <w:tab w:pos="1134" w:val="left"/>
        </w:tabs>
        <w:ind w:left="1134" w:hanging="567"/>
      </w:pPr>
      <w:r>
        <w:t>c)</w:t>
      </w:r>
      <w:r>
        <w:tab/>
      </w:r>
      <w:r>
        <w:t>der Erwerb von Ansprüchen durch den Arbeitnehmer gegenüber einem Dritten im Fall der Eröffnung des Insolvenzverfahrens oder in den Fällen des § 7 Absatz 1 Satz 4 des Betriebsrentengesetzes, soweit der Dritte neben dem Arbeitgeber für die Erfüllung von Ansprüchen auf Grund bestehender Versorgungsverpflichtungen oder Versorgungsanwartschaften gegenüber dem Arbeitnehmer und dessen Hinterbliebenen einsteht; dies gilt entsprechend, wenn der Dritte für Wertguthaben aus einer Vereinbarung über die Altersteilzeit nach dem Altersteilzeitgesetz vom 23. Juli 1996 (BGBl. I S. 1078), zuletzt geändert durch Artikel 234 der Verordnung vom 31. Oktober 2006 (BGBl. I S. 2407), in der jeweils geltenden Fassung oder auf Grund von Wertguthaben aus einem Arbeitszeitkonto in den im ersten Halbsatz genannten Fällen für den Arbeitgeber einsteht und</w:t>
      </w:r>
    </w:p>
    <w:p>
      <w:pPr>
        <w:tabs>
          <w:tab w:pos="1134" w:val="left"/>
        </w:tabs>
        <w:ind w:left="1134" w:hanging="567"/>
      </w:pPr>
      <w:r>
        <w:t>d)</w:t>
      </w:r>
      <w:r>
        <w:tab/>
      </w:r>
      <w:r>
        <w:t>der Erwerb von Ansprüchen durch den Arbeitnehmer im Zusammenhang mit dem Eintritt in die Versicherung nach § 8 Absatz 2 des Betriebsrentengesetzes.</w:t>
      </w:r>
    </w:p>
    <w:p>
      <w:pPr>
        <w:ind w:left="567"/>
      </w:pPr>
      <w:r>
        <w:rPr>
          <w:rStyle w:val="Satznummer"/>
        </w:rPr>
        <w:t>2</w:t>
      </w:r>
      <w:r>
        <w:t xml:space="preserve">In den Fällen nach Buchstabe a, b und c gehören die Leistungen der Pensionskasse, des Unternehmens der Lebensversicherung oder des Dritten zu den Einkünften, zu denen jene Leistungen gehören würden, die ohne Eintritt eines Falles nach Buchstabe a, b und c zu erbringen wären. </w:t>
      </w:r>
      <w:r>
        <w:rPr>
          <w:rStyle w:val="Satznummer"/>
        </w:rPr>
        <w:t>3</w:t>
      </w:r>
      <w:r>
        <w:t xml:space="preserve">Soweit sie zu den Einkünften aus nichtselbständiger Arbeit im Sinne des </w:t>
      </w:r>
      <w:hyperlink w:anchor="b83" w:history="1">
        <w:r>
          <w:rPr>
            <w:color w:val="0A3A8C"/>
            <w:u w:val="single"/>
          </w:rPr>
          <w:t xml:space="preserve">§ 19</w:t>
        </w:r>
      </w:hyperlink>
      <w:r>
        <w:t xml:space="preserve"> gehören, ist von ihnen Lohnsteuer einzubehalten. </w:t>
      </w:r>
      <w:r>
        <w:rPr>
          <w:rStyle w:val="Satznummer"/>
        </w:rPr>
        <w:t>4</w:t>
      </w:r>
      <w:r>
        <w:t xml:space="preserve">Für die Erhebung der Lohnsteuer gelten die Pensionskasse, das Unternehmen der Lebensversicherung oder der Dritte als Arbeitgeber und der Leistungsempfänger als Arbeitnehmer. </w:t>
      </w:r>
      <w:r>
        <w:rPr>
          <w:rStyle w:val="Satznummer"/>
        </w:rPr>
        <w:t>5</w:t>
      </w:r>
      <w:r>
        <w:t xml:space="preserve">Im Fall des Buchstaben d gehören die Versorgungsleistungen des Unternehmens der Lebensversicherung oder der Pensionskasse, soweit sie auf Beiträgen beruhen, die bis zum Eintritt des Arbeitnehmers in die Versicherung geleistet wurden, zu den sonstigen Einkünften im Sinne des </w:t>
      </w:r>
      <w:hyperlink w:anchor="b90" w:history="1">
        <w:r>
          <w:rPr>
            <w:color w:val="0A3A8C"/>
            <w:u w:val="single"/>
          </w:rPr>
          <w:t xml:space="preserve">§ 22</w:t>
        </w:r>
      </w:hyperlink>
      <w:r>
        <w:t xml:space="preserve"> Nummer 5 Satz 1; soweit der Arbeitnehmer in den Fällen des § 8 Absatz 2 des Betriebsrentengesetzes die Versicherung mit eigenen Beiträgen fortgesetzt hat, sind die auf diesen Beiträgen beruhenden Versorgungsleistungen sonstige Einkünfte im Sinne des </w:t>
      </w:r>
      <w:hyperlink w:anchor="b90" w:history="1">
        <w:r>
          <w:rPr>
            <w:color w:val="0A3A8C"/>
            <w:u w:val="single"/>
          </w:rPr>
          <w:t xml:space="preserve">§ 22</w:t>
        </w:r>
      </w:hyperlink>
      <w:r>
        <w:t xml:space="preserve"> Nummer 5 Satz 1 oder Satz 2;</w:t>
      </w:r>
    </w:p>
    <w:p>
      <w:pPr>
        <w:tabs>
          <w:tab w:pos="567" w:val="left"/>
        </w:tabs>
        <w:ind w:left="567" w:hanging="567"/>
      </w:pPr>
      <w:r>
        <w:t>66.</w:t>
      </w:r>
      <w:r>
        <w:tab/>
      </w:r>
      <w:r>
        <w:t xml:space="preserve">Leistungen eines Arbeitgebers oder einer Unterstützungskasse an einen Pensionsfonds zur Übernahme bestehender Versorgungsverpflichtungen oder Versorgungsanwartschaften durch den Pensionsfonds, wenn ein Antrag nach </w:t>
      </w:r>
      <w:hyperlink w:anchor="b17" w:history="1">
        <w:r>
          <w:rPr>
            <w:color w:val="0A3A8C"/>
            <w:u w:val="single"/>
          </w:rPr>
          <w:t xml:space="preserve">§ 4d</w:t>
        </w:r>
      </w:hyperlink>
      <w:r>
        <w:t xml:space="preserve"> Absatz 3 oder </w:t>
      </w:r>
      <w:hyperlink w:anchor="b18" w:history="1">
        <w:r>
          <w:rPr>
            <w:color w:val="0A3A8C"/>
            <w:u w:val="single"/>
          </w:rPr>
          <w:t xml:space="preserve">§ 4e</w:t>
        </w:r>
      </w:hyperlink>
      <w:r>
        <w:t xml:space="preserve"> Absatz 3 gestellt worden ist;</w:t>
      </w:r>
    </w:p>
    <w:p>
      <w:pPr>
        <w:tabs>
          <w:tab w:pos="567" w:val="left"/>
        </w:tabs>
        <w:ind w:left="567" w:hanging="567"/>
      </w:pPr>
      <w:r>
        <w:t>67.</w:t>
      </w:r>
      <w:r>
        <w:tab/>
      </w:r>
    </w:p>
    <w:p>
      <w:pPr>
        <w:tabs>
          <w:tab w:pos="1134" w:val="left"/>
        </w:tabs>
        <w:ind w:left="1134" w:hanging="567"/>
      </w:pPr>
      <w:r>
        <w:t>a)</w:t>
      </w:r>
      <w:r>
        <w:tab/>
      </w:r>
      <w:r>
        <w:t>das Erziehungsgeld nach dem Bundeserziehungsgeldgesetz und vergleichbare Leistungen der Länder,</w:t>
      </w:r>
    </w:p>
    <w:p>
      <w:pPr>
        <w:tabs>
          <w:tab w:pos="1134" w:val="left"/>
        </w:tabs>
        <w:ind w:left="1134" w:hanging="567"/>
      </w:pPr>
      <w:r>
        <w:t>b)</w:t>
      </w:r>
      <w:r>
        <w:tab/>
      </w:r>
      <w:r>
        <w:t>das Elterngeld nach dem Bundeselterngeld- und Elternzeitgesetz und vergleichbare Leistungen der Länder,</w:t>
      </w:r>
    </w:p>
    <w:p>
      <w:pPr>
        <w:tabs>
          <w:tab w:pos="1134" w:val="left"/>
        </w:tabs>
        <w:ind w:left="1134" w:hanging="567"/>
      </w:pPr>
      <w:r>
        <w:t>c)</w:t>
      </w:r>
      <w:r>
        <w:tab/>
      </w:r>
      <w:r>
        <w:t>Leistungen für Kindererziehung an Mütter der Geburtsjahrgänge vor 1921 nach den §§ 294 bis 299 des Sechsten Buches Sozialgesetzbuch sowie</w:t>
      </w:r>
    </w:p>
    <w:p>
      <w:pPr>
        <w:tabs>
          <w:tab w:pos="1134" w:val="left"/>
        </w:tabs>
        <w:ind w:left="1134" w:hanging="567"/>
      </w:pPr>
      <w:r>
        <w:t>d)</w:t>
      </w:r>
      <w:r>
        <w:tab/>
      </w:r>
      <w:r>
        <w:t>Zuschläge, die nach den §§ 50a bis 50e des Beamtenversorgungsgesetzes oder nach den §§ 96 bis 100 des Soldatenversorgungsgesetzes oder nach vergleichbaren Regelungen der Länder für ein vor dem 1. Januar 2015 geborenes Kind oder für eine vor dem 1. Januar 2015 begonnene Zeit der Pflege einer pflegebedürftigen Person zu gewähren sind; im Falle des Zusammentreffens von Zeiten für mehrere Kinder nach § 50b des Beamtenversorgungsgesetzes oder § 97 des Soldatenversorgungsgesetzes oder nach vergleichbaren Regelungen der Länder gilt dies, wenn eines der Kinder vor dem 1. Januar 2015 geboren ist;</w:t>
      </w:r>
    </w:p>
    <w:p>
      <w:pPr>
        <w:tabs>
          <w:tab w:pos="567" w:val="left"/>
        </w:tabs>
        <w:ind w:left="567" w:hanging="567"/>
      </w:pPr>
      <w:r>
        <w:t>68.</w:t>
      </w:r>
      <w:r>
        <w:tab/>
      </w:r>
      <w:r>
        <w:t>die Hilfen nach dem Gesetz über die Hilfe für durch Anti-D-Immunprophylaxe mit dem Hepatitis-C-Virus infizierte Personen vom 2. August 2000 (BGBl. I S. 1270);</w:t>
      </w:r>
    </w:p>
    <w:p>
      <w:pPr>
        <w:tabs>
          <w:tab w:pos="567" w:val="left"/>
        </w:tabs>
        <w:ind w:left="567" w:hanging="567"/>
      </w:pPr>
      <w:r>
        <w:t>69.</w:t>
      </w:r>
      <w:r>
        <w:tab/>
      </w:r>
      <w:r>
        <w:t>die von der Stiftung „Humanitäre Hilfe für durch Blutprodukte HIV-infizierte Personen“ nach dem HIV-Hilfegesetz vom 24. Juli 1995 (BGBl. I S. 972) gewährten Leistungen;</w:t>
      </w:r>
    </w:p>
    <w:p>
      <w:pPr>
        <w:tabs>
          <w:tab w:pos="567" w:val="left"/>
        </w:tabs>
        <w:ind w:left="567" w:hanging="567"/>
      </w:pPr>
      <w:r>
        <w:t>70.</w:t>
      </w:r>
      <w:r>
        <w:tab/>
      </w:r>
      <w:r>
        <w:t>(weggefallen)</w:t>
      </w:r>
    </w:p>
    <w:p>
      <w:pPr>
        <w:tabs>
          <w:tab w:pos="567" w:val="left"/>
        </w:tabs>
        <w:ind w:left="567" w:hanging="567"/>
      </w:pPr>
      <w:r>
        <w:t>71.</w:t>
      </w:r>
      <w:r>
        <w:tab/>
      </w:r>
      <w:r>
        <w:t>der aus einer öffentlichen Kasse gezahlte Zuschuss</w:t>
      </w:r>
    </w:p>
    <w:p>
      <w:pPr>
        <w:tabs>
          <w:tab w:pos="1134" w:val="left"/>
        </w:tabs>
        <w:ind w:left="1134" w:hanging="567"/>
      </w:pPr>
      <w:r>
        <w:t>a)</w:t>
      </w:r>
      <w:r>
        <w:tab/>
      </w:r>
      <w:r>
        <w:t xml:space="preserve">für den Erwerb eines Anteils an einer Kapitalgesellschaft oder einer eingetragenen Genossenschaft in Höhe von bis zu 25 Prozent der Anschaffungskosten, höchstens jedoch 100 000 Euro. </w:t>
      </w:r>
      <w:r>
        <w:rPr>
          <w:rStyle w:val="Satznummer"/>
        </w:rPr>
        <w:t>2</w:t>
      </w:r>
      <w:r>
        <w:t>Voraussetzung ist, dass</w:t>
      </w:r>
    </w:p>
    <w:p>
      <w:pPr>
        <w:tabs>
          <w:tab w:pos="1701" w:val="left"/>
        </w:tabs>
        <w:ind w:left="1701" w:hanging="567"/>
      </w:pPr>
      <w:r>
        <w:t>aa)</w:t>
      </w:r>
      <w:r>
        <w:tab/>
      </w:r>
      <w:r>
        <w:t>der Anteil an der Kapitalgesellschaft oder der eingetragenen Genossenschaft länger als drei Jahre gehalten wird,</w:t>
      </w:r>
    </w:p>
    <w:p>
      <w:pPr>
        <w:tabs>
          <w:tab w:pos="1701" w:val="left"/>
        </w:tabs>
        <w:ind w:left="1701" w:hanging="567"/>
      </w:pPr>
      <w:r>
        <w:t>bb)</w:t>
      </w:r>
      <w:r>
        <w:tab/>
      </w:r>
      <w:r>
        <w:t>die Kapitalgesellschaft oder die eingetragene Genossenschaft, deren Anteil erworben wird,</w:t>
      </w:r>
    </w:p>
    <w:p>
      <w:pPr>
        <w:tabs>
          <w:tab w:pos="2268" w:val="left"/>
        </w:tabs>
        <w:ind w:left="2268" w:hanging="567"/>
      </w:pPr>
      <w:r>
        <w:t>aaa)</w:t>
      </w:r>
      <w:r>
        <w:tab/>
      </w:r>
      <w:r>
        <w:t>nicht älter ist als sieben Jahre, wobei das Datum der Eintragung der Gesellschaft in das Handelsregister oder in das Genossenschaftsregister maßgeblich ist,</w:t>
      </w:r>
    </w:p>
    <w:p>
      <w:pPr>
        <w:tabs>
          <w:tab w:pos="2268" w:val="left"/>
        </w:tabs>
        <w:ind w:left="2268" w:hanging="567"/>
      </w:pPr>
      <w:r>
        <w:t>bbb)</w:t>
      </w:r>
      <w:r>
        <w:tab/>
      </w:r>
      <w:r>
        <w:t>weniger als 50 Mitarbeiter (Vollzeitäquivalente) hat,</w:t>
      </w:r>
    </w:p>
    <w:p>
      <w:pPr>
        <w:tabs>
          <w:tab w:pos="2268" w:val="left"/>
        </w:tabs>
        <w:ind w:left="2268" w:hanging="567"/>
      </w:pPr>
      <w:r>
        <w:t>ccc)</w:t>
      </w:r>
      <w:r>
        <w:tab/>
      </w:r>
      <w:r>
        <w:t>einen Jahresumsatz oder eine Jahresbilanzsumme von höchstens 10 Millionen Euro hat und</w:t>
      </w:r>
    </w:p>
    <w:p>
      <w:pPr>
        <w:tabs>
          <w:tab w:pos="2268" w:val="left"/>
        </w:tabs>
        <w:ind w:left="2268" w:hanging="567"/>
      </w:pPr>
      <w:r>
        <w:t>ddd)</w:t>
      </w:r>
      <w:r>
        <w:tab/>
      </w:r>
      <w:r>
        <w:t>nicht an einem regulierten Markt notiert ist und keine solche Notierung vorbereitet,</w:t>
      </w:r>
    </w:p>
    <w:p>
      <w:pPr>
        <w:tabs>
          <w:tab w:pos="1701" w:val="left"/>
        </w:tabs>
        <w:ind w:left="1701" w:hanging="567"/>
      </w:pPr>
      <w:r>
        <w:t>cc)</w:t>
      </w:r>
      <w:r>
        <w:tab/>
      </w:r>
      <w:r>
        <w:t>der Zuschussempfänger das 18. Lebensjahr vollendet hat oder eine GmbH oder Unternehmergesellschaft ist, bei der mindestens ein Gesellschafter das 18. Lebensjahr vollendet hat und</w:t>
      </w:r>
    </w:p>
    <w:p>
      <w:pPr>
        <w:tabs>
          <w:tab w:pos="1701" w:val="left"/>
        </w:tabs>
        <w:ind w:left="1701" w:hanging="567"/>
      </w:pPr>
      <w:r>
        <w:t>dd)</w:t>
      </w:r>
      <w:r>
        <w:tab/>
      </w:r>
      <w:r>
        <w:t xml:space="preserve">für den Erwerb des Anteils kein Fremdkapital eingesetzt wird. </w:t>
      </w:r>
      <w:r>
        <w:rPr>
          <w:rStyle w:val="Satznummer"/>
        </w:rPr>
        <w:t>2</w:t>
      </w:r>
      <w:r>
        <w:t>Wird der Anteil von einer GmbH oder Unternehmergesellschaft im Sinne von Doppelbuchstabe cc erworben, gehören auch solche Darlehen zum Fremdkapital, die der GmbH oder Unternehmergesellschaft von ihren Anteilseignern gewährt werden und die von der GmbH oder Unternehmergesellschaft zum Erwerb des Anteils eingesetzt werden.</w:t>
      </w:r>
    </w:p>
    <w:p>
      <w:pPr>
        <w:tabs>
          <w:tab w:pos="1134" w:val="left"/>
        </w:tabs>
        <w:ind w:left="1134" w:hanging="567"/>
      </w:pPr>
      <w:r>
        <w:t>b)</w:t>
      </w:r>
      <w:r>
        <w:tab/>
      </w:r>
      <w:r>
        <w:t>anlässlich der Veräußerung eines Anteils an einer Kapitalgesellschaft oder an einer eingetragenen Genossenschaft im Sinne von Buchstabe a in Höhe von 25 Prozent des Veräußerungsgewinns, wenn</w:t>
      </w:r>
    </w:p>
    <w:p>
      <w:pPr>
        <w:tabs>
          <w:tab w:pos="1701" w:val="left"/>
        </w:tabs>
        <w:ind w:left="1701" w:hanging="567"/>
      </w:pPr>
      <w:r>
        <w:t>aa)</w:t>
      </w:r>
      <w:r>
        <w:tab/>
      </w:r>
      <w:r>
        <w:t>der Veräußerer eine natürliche Person ist,</w:t>
      </w:r>
    </w:p>
    <w:p>
      <w:pPr>
        <w:tabs>
          <w:tab w:pos="1701" w:val="left"/>
        </w:tabs>
        <w:ind w:left="1701" w:hanging="567"/>
      </w:pPr>
      <w:r>
        <w:t>bb)</w:t>
      </w:r>
      <w:r>
        <w:tab/>
      </w:r>
      <w:r>
        <w:t>bei Erwerb des veräußerten Anteils bereits ein Zuschuss im Sinne von Buchstabe a gezahlt und nicht zurückgefordert wurde,</w:t>
      </w:r>
    </w:p>
    <w:p>
      <w:pPr>
        <w:tabs>
          <w:tab w:pos="1701" w:val="left"/>
        </w:tabs>
        <w:ind w:left="1701" w:hanging="567"/>
      </w:pPr>
      <w:r>
        <w:t>cc)</w:t>
      </w:r>
      <w:r>
        <w:tab/>
      </w:r>
      <w:r>
        <w:t>der veräußerte Anteil frühestens drei Jahre (Mindesthaltedauer) und spätestens zehn Jahre (Höchsthaltedauer) nach Anteilserwerb veräußert wurde,</w:t>
      </w:r>
    </w:p>
    <w:p>
      <w:pPr>
        <w:tabs>
          <w:tab w:pos="1701" w:val="left"/>
        </w:tabs>
        <w:ind w:left="1701" w:hanging="567"/>
      </w:pPr>
      <w:r>
        <w:t>dd)</w:t>
      </w:r>
      <w:r>
        <w:tab/>
      </w:r>
      <w:r>
        <w:t>der Veräußerungsgewinn nach Satz 2 mindestens 2 000 Euro beträgt und</w:t>
      </w:r>
    </w:p>
    <w:p>
      <w:pPr>
        <w:tabs>
          <w:tab w:pos="1701" w:val="left"/>
        </w:tabs>
        <w:ind w:left="1701" w:hanging="567"/>
      </w:pPr>
      <w:r>
        <w:t>ee)</w:t>
      </w:r>
      <w:r>
        <w:tab/>
      </w:r>
      <w:r>
        <w:t>der Zuschuss auf 25 Prozent der Anschaffungskosten begrenzt ist.</w:t>
      </w:r>
    </w:p>
    <w:p>
      <w:pPr>
        <w:ind w:left="1134"/>
      </w:pPr>
      <w:r>
        <w:rPr>
          <w:rStyle w:val="Satznummer"/>
        </w:rPr>
        <w:t>2</w:t>
      </w:r>
      <w:r>
        <w:t xml:space="preserve">Veräußerungsgewinn im Sinne von Satz 1 ist der Betrag, um den der Veräußerungspreis die Anschaffungskosten einschließlich eines gezahlten Agios übersteigt. </w:t>
      </w:r>
      <w:r>
        <w:rPr>
          <w:rStyle w:val="Satznummer"/>
        </w:rPr>
        <w:t>3</w:t>
      </w:r>
      <w:r>
        <w:t>Erwerbsneben- und Veräußerungskosten sind nicht zu berücksichtigen;</w:t>
      </w:r>
    </w:p>
    <w:p>
      <w:pPr>
        <w:tabs>
          <w:tab w:pos="567" w:val="left"/>
        </w:tabs>
        <w:ind w:left="567" w:hanging="567"/>
      </w:pPr>
      <w:r>
        <w:t>72.</w:t>
      </w:r>
      <w:r>
        <w:tab/>
      </w:r>
      <w:r>
        <w:t xml:space="preserve">die Einnahmen und Entnahmen im Zusammenhang mit dem Betrieb von auf, an oder in Gebäuden (einschließlich Nebengebäuden) vorhandenen Photovoltaikanlagen, wenn die installierte Bruttoleistung laut Marktstammdatenregister bis zu 30 Kilowatt (peak) je Wohn- oder Gewerbeeinheit und insgesamt höchstens 100 Kilowatt (peak) pro Steuerpflichtigem oder Mitunternehmerschaft beträgt. </w:t>
      </w:r>
      <w:r>
        <w:rPr>
          <w:rStyle w:val="Satznummer"/>
        </w:rPr>
        <w:t>2</w:t>
      </w:r>
      <w:r>
        <w:t xml:space="preserve">Werden Einkünfte nach </w:t>
      </w:r>
      <w:hyperlink w:anchor="b5" w:history="1">
        <w:r>
          <w:rPr>
            <w:color w:val="0A3A8C"/>
            <w:u w:val="single"/>
          </w:rPr>
          <w:t xml:space="preserve">§ 2</w:t>
        </w:r>
      </w:hyperlink>
      <w:r>
        <w:t xml:space="preserve"> Absatz 1 Satz 1 Nummer 2 erzielt und sind die aus dieser Tätigkeit erzielten Einnahmen insgesamt steuerfrei nach Satz 1, ist kein Gewinn zu ermitteln. </w:t>
      </w:r>
      <w:r>
        <w:rPr>
          <w:rStyle w:val="Satznummer"/>
        </w:rPr>
        <w:t>3</w:t>
      </w:r>
      <w:r>
        <w:t xml:space="preserve">In den Fällen des Satzes 2 ist </w:t>
      </w:r>
      <w:hyperlink w:anchor="b75" w:history="1">
        <w:r>
          <w:rPr>
            <w:color w:val="0A3A8C"/>
            <w:u w:val="single"/>
          </w:rPr>
          <w:t xml:space="preserve">§ 15</w:t>
        </w:r>
      </w:hyperlink>
      <w:r>
        <w:t xml:space="preserve"> Absatz 3 Nummer 1 nicht anzuwenden;</w:t>
      </w:r>
    </w:p>
    <w:p>
      <w:pPr>
        <w:tabs>
          <w:tab w:pos="567" w:val="left"/>
        </w:tabs>
        <w:ind w:left="567" w:hanging="567"/>
      </w:pPr>
      <w:r>
        <w:t>73.</w:t>
      </w:r>
      <w:r>
        <w:tab/>
      </w:r>
      <w:r>
        <w:t>Prämienzahlungen der Stiftung Deutsche Sporthilfe sowie vergleichbarer gemeinnütziger Organisationen der Länder oder Leistungen unmittelbar aus Haushaltsmitteln der Länder, die für Platzierungen bei Olympischen oder Paralympischen Spielen gewährt werden.</w:t>
      </w:r>
    </w:p>
    <w:p>
      <w:pPr>
        <w:pStyle w:val="Heading3"/>
      </w:pPr>
      <w:bookmarkStart w:id="10" w:name="b9"/>
      <w:r>
        <w:t>§ 3a Sanierungserträge</w:t>
      </w:r>
      <w:r>
        <w:t xml:space="preserve"> </w:t>
      </w:r>
      <w:r>
        <w:rPr>
          <w:rStyle w:val="Suchmarke"/>
        </w:rPr>
        <w:t>#3a#</w:t>
      </w:r>
      <w:bookmarkEnd w:id="10"/>
    </w:p>
    <w:p>
      <w:r>
        <w:t xml:space="preserve">(1) </w:t>
      </w:r>
      <w:r>
        <w:rPr>
          <w:rStyle w:val="Satznummer"/>
        </w:rPr>
        <w:t>1</w:t>
      </w:r>
      <w:r>
        <w:t xml:space="preserve">Betriebsvermögensmehrungen oder Betriebseinnahmen aus einem Schuldenerlass zum Zwecke einer unternehmensbezogenen Sanierung im Sinne des Absatzes 2 (Sanierungsertrag) sind steuerfrei. </w:t>
      </w:r>
      <w:r>
        <w:rPr>
          <w:rStyle w:val="Satznummer"/>
        </w:rPr>
        <w:t>2</w:t>
      </w:r>
      <w:r>
        <w:t xml:space="preserve">Sind Betriebsvermögensmehrungen oder Betriebseinnahmen aus einem Schuldenerlass nach Satz 1 steuerfrei, sind steuerliche Wahlrechte in dem Jahr, in dem ein Sanierungsertrag erzielt wird (Sanierungsjahr) und im Folgejahr im zu sanierenden Unternehmen gewinnmindernd auszuüben. </w:t>
      </w:r>
      <w:r>
        <w:rPr>
          <w:rStyle w:val="Satznummer"/>
        </w:rPr>
        <w:t>3</w:t>
      </w:r>
      <w:r>
        <w:t xml:space="preserve">Insbesondere ist der niedrigere Teilwert, der nach </w:t>
      </w:r>
      <w:hyperlink w:anchor="b28" w:history="1">
        <w:r>
          <w:rPr>
            <w:color w:val="0A3A8C"/>
            <w:u w:val="single"/>
          </w:rPr>
          <w:t xml:space="preserve">§ 6</w:t>
        </w:r>
      </w:hyperlink>
      <w:r>
        <w:t xml:space="preserve"> Absatz 1 Nummer 1 Satz 2 und Nummer 2 Satz 2 angesetzt werden kann, im Sanierungsjahr und im Folgejahr anzusetzen.</w:t>
      </w:r>
    </w:p>
    <w:p>
      <w:r>
        <w:t>(2) Eine unternehmensbezogene Sanierung liegt vor, wenn der Steuerpflichtige für den Zeitpunkt des Schuldenerlasses die Sanierungsbedürftigkeit und die Sanierungsfähigkeit des Unternehmens, die Sanierungseignung des betrieblich begründeten Schuldenerlasses und die Sanierungsabsicht der Gläubiger nachweist.</w:t>
      </w:r>
    </w:p>
    <w:p>
      <w:r>
        <w:t xml:space="preserve">(3) </w:t>
      </w:r>
      <w:r>
        <w:rPr>
          <w:rStyle w:val="Satznummer"/>
        </w:rPr>
        <w:t>1</w:t>
      </w:r>
      <w:r>
        <w:t xml:space="preserve">Nicht abziehbare Beträge im Sinne des </w:t>
      </w:r>
      <w:hyperlink w:anchor="b11" w:history="1">
        <w:r>
          <w:rPr>
            <w:color w:val="0A3A8C"/>
            <w:u w:val="single"/>
          </w:rPr>
          <w:t xml:space="preserve">§ 3c</w:t>
        </w:r>
      </w:hyperlink>
      <w:r>
        <w:t xml:space="preserve"> Absatz 4, die in Veranlagungszeiträumen vor dem Sanierungsjahr und im Sanierungsjahr anzusetzen sind, mindern den Sanierungsertrag. </w:t>
      </w:r>
      <w:r>
        <w:rPr>
          <w:rStyle w:val="Satznummer"/>
        </w:rPr>
        <w:t>2</w:t>
      </w:r>
      <w:r>
        <w:t>Dieser Betrag mindert nacheinander</w:t>
      </w:r>
    </w:p>
    <w:p>
      <w:pPr>
        <w:tabs>
          <w:tab w:pos="567" w:val="left"/>
        </w:tabs>
        <w:ind w:left="567" w:hanging="567"/>
      </w:pPr>
      <w:r>
        <w:t>1.</w:t>
      </w:r>
      <w:r>
        <w:tab/>
      </w:r>
      <w:r>
        <w:t xml:space="preserve">den auf Grund einer Verpflichtungsübertragung im Sinne des § 4f Absatz 1 Satz 1 in den dem Wirtschaftsjahr der Übertragung nachfolgenden 14 Jahren verteilt abziehbaren Aufwand des zu sanierenden Unternehmens, es sei denn, der Aufwand ist gemäß </w:t>
      </w:r>
      <w:hyperlink w:anchor="b19" w:history="1">
        <w:r>
          <w:rPr>
            <w:color w:val="0A3A8C"/>
            <w:u w:val="single"/>
          </w:rPr>
          <w:t xml:space="preserve">§ 4f</w:t>
        </w:r>
      </w:hyperlink>
      <w:r>
        <w:t xml:space="preserve"> Absatz 1 Satz 7 auf einen Rechtsnachfolger übergegangen, der die Verpflichtung übernommen hat und insoweit der Regelung des </w:t>
      </w:r>
      <w:hyperlink w:anchor="b25" w:history="1">
        <w:r>
          <w:rPr>
            <w:color w:val="0A3A8C"/>
            <w:u w:val="single"/>
          </w:rPr>
          <w:t xml:space="preserve">§ 5</w:t>
        </w:r>
      </w:hyperlink>
      <w:r>
        <w:t xml:space="preserve"> Absatz 7 unterliegt. </w:t>
      </w:r>
      <w:r>
        <w:rPr>
          <w:rStyle w:val="Satznummer"/>
        </w:rPr>
        <w:t>2</w:t>
      </w:r>
      <w:r>
        <w:t xml:space="preserve">Entsprechendes gilt in Fällen des </w:t>
      </w:r>
      <w:hyperlink w:anchor="b19" w:history="1">
        <w:r>
          <w:rPr>
            <w:color w:val="0A3A8C"/>
            <w:u w:val="single"/>
          </w:rPr>
          <w:t xml:space="preserve">§ 4f</w:t>
        </w:r>
      </w:hyperlink>
      <w:r>
        <w:t xml:space="preserve"> Absatz 2;</w:t>
      </w:r>
    </w:p>
    <w:p>
      <w:pPr>
        <w:tabs>
          <w:tab w:pos="567" w:val="left"/>
        </w:tabs>
        <w:ind w:left="567" w:hanging="567"/>
      </w:pPr>
      <w:r>
        <w:t>2.</w:t>
      </w:r>
      <w:r>
        <w:tab/>
      </w:r>
      <w:r>
        <w:t xml:space="preserve">den nach </w:t>
      </w:r>
      <w:hyperlink w:anchor="b76" w:history="1">
        <w:r>
          <w:rPr>
            <w:color w:val="0A3A8C"/>
            <w:u w:val="single"/>
          </w:rPr>
          <w:t xml:space="preserve">§ 15a</w:t>
        </w:r>
      </w:hyperlink>
      <w:r>
        <w:t xml:space="preserve"> ausgleichsfähigen oder verrechenbaren Verlust des Unternehmers (Mitunternehmers) des zu sanierenden Unternehmens des Sanierungsjahrs;</w:t>
      </w:r>
    </w:p>
    <w:p>
      <w:pPr>
        <w:tabs>
          <w:tab w:pos="567" w:val="left"/>
        </w:tabs>
        <w:ind w:left="567" w:hanging="567"/>
      </w:pPr>
      <w:r>
        <w:t>3.</w:t>
      </w:r>
      <w:r>
        <w:tab/>
      </w:r>
      <w:r>
        <w:t xml:space="preserve">den zum Ende des dem Sanierungsjahr vorangegangenen Wirtschaftsjahrs nach </w:t>
      </w:r>
      <w:hyperlink w:anchor="b76" w:history="1">
        <w:r>
          <w:rPr>
            <w:color w:val="0A3A8C"/>
            <w:u w:val="single"/>
          </w:rPr>
          <w:t xml:space="preserve">§ 15a</w:t>
        </w:r>
      </w:hyperlink>
      <w:r>
        <w:t xml:space="preserve"> festgestellten verrechenbaren Verlust des Unternehmers (Mitunternehmers) des zu sanierenden Unternehmens;</w:t>
      </w:r>
    </w:p>
    <w:p>
      <w:pPr>
        <w:tabs>
          <w:tab w:pos="567" w:val="left"/>
        </w:tabs>
        <w:ind w:left="567" w:hanging="567"/>
      </w:pPr>
      <w:r>
        <w:t>4.</w:t>
      </w:r>
      <w:r>
        <w:tab/>
      </w:r>
      <w:r>
        <w:t xml:space="preserve">den nach </w:t>
      </w:r>
      <w:hyperlink w:anchor="b77" w:history="1">
        <w:r>
          <w:rPr>
            <w:color w:val="0A3A8C"/>
            <w:u w:val="single"/>
          </w:rPr>
          <w:t xml:space="preserve">§ 15b</w:t>
        </w:r>
      </w:hyperlink>
      <w:r>
        <w:t xml:space="preserve"> ausgleichsfähigen oder verrechenbaren Verlust derselben Einkunftsquelle des Unternehmers (Mitunternehmers) des Sanierungsjahrs; bei der Verlustermittlung bleibt der Sanierungsertrag unberücksichtigt;</w:t>
      </w:r>
    </w:p>
    <w:p>
      <w:pPr>
        <w:tabs>
          <w:tab w:pos="567" w:val="left"/>
        </w:tabs>
        <w:ind w:left="567" w:hanging="567"/>
      </w:pPr>
      <w:r>
        <w:t>5.</w:t>
      </w:r>
      <w:r>
        <w:tab/>
      </w:r>
      <w:r>
        <w:t xml:space="preserve">den zum Ende des dem Sanierungsjahr vorangegangenen Jahrs nach </w:t>
      </w:r>
      <w:hyperlink w:anchor="b77" w:history="1">
        <w:r>
          <w:rPr>
            <w:color w:val="0A3A8C"/>
            <w:u w:val="single"/>
          </w:rPr>
          <w:t xml:space="preserve">§ 15b</w:t>
        </w:r>
      </w:hyperlink>
      <w:r>
        <w:t xml:space="preserve"> festgestellten verrechenbaren Verlust derselben Einkunftsquelle des Unternehmers (Mitunternehmers);</w:t>
      </w:r>
    </w:p>
    <w:p>
      <w:pPr>
        <w:tabs>
          <w:tab w:pos="567" w:val="left"/>
        </w:tabs>
        <w:ind w:left="567" w:hanging="567"/>
      </w:pPr>
      <w:r>
        <w:t>6.</w:t>
      </w:r>
      <w:r>
        <w:tab/>
      </w:r>
      <w:r>
        <w:t xml:space="preserve">den nach </w:t>
      </w:r>
      <w:hyperlink w:anchor="b75" w:history="1">
        <w:r>
          <w:rPr>
            <w:color w:val="0A3A8C"/>
            <w:u w:val="single"/>
          </w:rPr>
          <w:t xml:space="preserve">§ 15</w:t>
        </w:r>
      </w:hyperlink>
      <w:r>
        <w:t xml:space="preserve"> Absatz 4 ausgleichsfähigen oder nicht abziehbaren Verlust des zu sanierenden Unternehmens des Sanierungsjahrs;</w:t>
      </w:r>
    </w:p>
    <w:p>
      <w:pPr>
        <w:tabs>
          <w:tab w:pos="567" w:val="left"/>
        </w:tabs>
        <w:ind w:left="567" w:hanging="567"/>
      </w:pPr>
      <w:r>
        <w:t>7.</w:t>
      </w:r>
      <w:r>
        <w:tab/>
      </w:r>
      <w:r>
        <w:t xml:space="preserve">den zum Ende des dem Sanierungsjahr vorangegangenen Jahrs nach </w:t>
      </w:r>
      <w:hyperlink w:anchor="b75" w:history="1">
        <w:r>
          <w:rPr>
            <w:color w:val="0A3A8C"/>
            <w:u w:val="single"/>
          </w:rPr>
          <w:t xml:space="preserve">§ 15</w:t>
        </w:r>
      </w:hyperlink>
      <w:r>
        <w:t xml:space="preserve"> Absatz 4 festgestellten in Verbindung mit </w:t>
      </w:r>
      <w:hyperlink w:anchor="b55" w:history="1">
        <w:r>
          <w:rPr>
            <w:color w:val="0A3A8C"/>
            <w:u w:val="single"/>
          </w:rPr>
          <w:t xml:space="preserve">§ 10d</w:t>
        </w:r>
      </w:hyperlink>
      <w:r>
        <w:t xml:space="preserve"> Absatz 4 verbleibenden Verlustvortrag, soweit er auf das zu sanierende Unternehmen entfällt;</w:t>
      </w:r>
    </w:p>
    <w:p>
      <w:pPr>
        <w:tabs>
          <w:tab w:pos="567" w:val="left"/>
        </w:tabs>
        <w:ind w:left="567" w:hanging="567"/>
      </w:pPr>
      <w:r>
        <w:t>8.</w:t>
      </w:r>
      <w:r>
        <w:tab/>
      </w:r>
      <w:r>
        <w:t>den Verlust des Sanierungsjahrs des zu sanierenden Unternehmens;</w:t>
      </w:r>
    </w:p>
    <w:p>
      <w:pPr>
        <w:tabs>
          <w:tab w:pos="567" w:val="left"/>
        </w:tabs>
        <w:ind w:left="567" w:hanging="567"/>
      </w:pPr>
      <w:r>
        <w:t>9.</w:t>
      </w:r>
      <w:r>
        <w:tab/>
      </w:r>
      <w:r>
        <w:t>den ausgleichsfähigen Verlust aus allen Einkunftsarten des Veranlagungszeitraums, in dem das Sanierungsjahr endet;</w:t>
      </w:r>
    </w:p>
    <w:p>
      <w:pPr>
        <w:tabs>
          <w:tab w:pos="567" w:val="left"/>
        </w:tabs>
        <w:ind w:left="567" w:hanging="567"/>
      </w:pPr>
      <w:r>
        <w:t>10.</w:t>
      </w:r>
      <w:r>
        <w:tab/>
      </w:r>
      <w:r>
        <w:t>im Sanierungsjahr ungeachtet des § 10d Absatz 2 den nach § 10d Absatz 4 zum Ende des Vorjahrs gesondert festgestellten Verlustvortrag;</w:t>
      </w:r>
    </w:p>
    <w:p>
      <w:pPr>
        <w:tabs>
          <w:tab w:pos="567" w:val="left"/>
        </w:tabs>
        <w:ind w:left="567" w:hanging="567"/>
      </w:pPr>
      <w:r>
        <w:t>11.</w:t>
      </w:r>
      <w:r>
        <w:tab/>
      </w:r>
      <w:r>
        <w:t>in der nachfolgenden Reihenfolge den zum Ende des Vorjahrs festgestellten und den im Sanierungsjahr entstehenden verrechenbaren Verlust oder die negativen Einkünfte</w:t>
      </w:r>
    </w:p>
    <w:p>
      <w:pPr>
        <w:tabs>
          <w:tab w:pos="1134" w:val="left"/>
        </w:tabs>
        <w:ind w:left="1134" w:hanging="567"/>
      </w:pPr>
      <w:r>
        <w:t>a)</w:t>
      </w:r>
      <w:r>
        <w:tab/>
      </w:r>
      <w:r>
        <w:t xml:space="preserve">nach </w:t>
      </w:r>
      <w:hyperlink w:anchor="b76" w:history="1">
        <w:r>
          <w:rPr>
            <w:color w:val="0A3A8C"/>
            <w:u w:val="single"/>
          </w:rPr>
          <w:t xml:space="preserve">§ 15a</w:t>
        </w:r>
      </w:hyperlink>
      <w:r>
        <w:t>,</w:t>
      </w:r>
    </w:p>
    <w:p>
      <w:pPr>
        <w:tabs>
          <w:tab w:pos="1134" w:val="left"/>
        </w:tabs>
        <w:ind w:left="1134" w:hanging="567"/>
      </w:pPr>
      <w:r>
        <w:t>b)</w:t>
      </w:r>
      <w:r>
        <w:tab/>
      </w:r>
      <w:r>
        <w:t xml:space="preserve">nach </w:t>
      </w:r>
      <w:hyperlink w:anchor="b77" w:history="1">
        <w:r>
          <w:rPr>
            <w:color w:val="0A3A8C"/>
            <w:u w:val="single"/>
          </w:rPr>
          <w:t xml:space="preserve">§ 15b</w:t>
        </w:r>
      </w:hyperlink>
      <w:r>
        <w:t xml:space="preserve"> anderer Einkunftsquellen,</w:t>
      </w:r>
    </w:p>
    <w:p>
      <w:pPr>
        <w:tabs>
          <w:tab w:pos="1134" w:val="left"/>
        </w:tabs>
        <w:ind w:left="1134" w:hanging="567"/>
      </w:pPr>
      <w:r>
        <w:t>c)</w:t>
      </w:r>
      <w:r>
        <w:tab/>
      </w:r>
      <w:r>
        <w:t xml:space="preserve">nach </w:t>
      </w:r>
      <w:hyperlink w:anchor="b75" w:history="1">
        <w:r>
          <w:rPr>
            <w:color w:val="0A3A8C"/>
            <w:u w:val="single"/>
          </w:rPr>
          <w:t xml:space="preserve">§ 15</w:t>
        </w:r>
      </w:hyperlink>
      <w:r>
        <w:t xml:space="preserve"> Absatz 4 anderer Betriebe und Mitunternehmeranteile,</w:t>
      </w:r>
    </w:p>
    <w:p>
      <w:pPr>
        <w:tabs>
          <w:tab w:pos="1134" w:val="left"/>
        </w:tabs>
        <w:ind w:left="1134" w:hanging="567"/>
      </w:pPr>
      <w:r>
        <w:t>d)</w:t>
      </w:r>
      <w:r>
        <w:tab/>
      </w:r>
      <w:r>
        <w:t xml:space="preserve">nach </w:t>
      </w:r>
      <w:hyperlink w:anchor="b6" w:history="1">
        <w:r>
          <w:rPr>
            <w:color w:val="0A3A8C"/>
            <w:u w:val="single"/>
          </w:rPr>
          <w:t xml:space="preserve">§ 2a</w:t>
        </w:r>
      </w:hyperlink>
      <w:r>
        <w:t>,</w:t>
      </w:r>
    </w:p>
    <w:p>
      <w:pPr>
        <w:tabs>
          <w:tab w:pos="1134" w:val="left"/>
        </w:tabs>
        <w:ind w:left="1134" w:hanging="567"/>
      </w:pPr>
      <w:r>
        <w:t>e)</w:t>
      </w:r>
      <w:r>
        <w:tab/>
      </w:r>
      <w:r>
        <w:t>nach § 2b,</w:t>
      </w:r>
    </w:p>
    <w:p>
      <w:pPr>
        <w:tabs>
          <w:tab w:pos="1134" w:val="left"/>
        </w:tabs>
        <w:ind w:left="1134" w:hanging="567"/>
      </w:pPr>
      <w:r>
        <w:t>f)</w:t>
      </w:r>
      <w:r>
        <w:tab/>
      </w:r>
      <w:r>
        <w:t xml:space="preserve">nach </w:t>
      </w:r>
      <w:hyperlink w:anchor="b92" w:history="1">
        <w:r>
          <w:rPr>
            <w:color w:val="0A3A8C"/>
            <w:u w:val="single"/>
          </w:rPr>
          <w:t xml:space="preserve">§ 23</w:t>
        </w:r>
      </w:hyperlink>
      <w:r>
        <w:t xml:space="preserve"> Absatz 3 Satz 7 und 8,</w:t>
      </w:r>
    </w:p>
    <w:p>
      <w:pPr>
        <w:tabs>
          <w:tab w:pos="1134" w:val="left"/>
        </w:tabs>
        <w:ind w:left="1134" w:hanging="567"/>
      </w:pPr>
      <w:r>
        <w:t>g)</w:t>
      </w:r>
      <w:r>
        <w:tab/>
      </w:r>
      <w:r>
        <w:t>nach sonstigen Vorschriften;</w:t>
      </w:r>
    </w:p>
    <w:p>
      <w:pPr>
        <w:tabs>
          <w:tab w:pos="567" w:val="left"/>
        </w:tabs>
        <w:ind w:left="567" w:hanging="567"/>
      </w:pPr>
      <w:r>
        <w:t>12.</w:t>
      </w:r>
      <w:r>
        <w:tab/>
      </w:r>
      <w:r>
        <w:t xml:space="preserve">ungeachtet der Beträge des </w:t>
      </w:r>
      <w:hyperlink w:anchor="b55" w:history="1">
        <w:r>
          <w:rPr>
            <w:color w:val="0A3A8C"/>
            <w:u w:val="single"/>
          </w:rPr>
          <w:t xml:space="preserve">§ 10d</w:t>
        </w:r>
      </w:hyperlink>
      <w:r>
        <w:t xml:space="preserve"> Absatz 1 Satz 1 die negativen Einkünfte nach § 10d Absatz 1 Satz 1 des Folgejahrs und die negativen Einkünfte nach § 10d Absatz 1 Satz 2 des zweiten Folgejahrs. </w:t>
      </w:r>
      <w:r>
        <w:rPr>
          <w:rStyle w:val="Satznummer"/>
        </w:rPr>
        <w:t>2</w:t>
      </w:r>
      <w:r>
        <w:t xml:space="preserve">Ein Verlustrücktrag nach </w:t>
      </w:r>
      <w:hyperlink w:anchor="b55" w:history="1">
        <w:r>
          <w:rPr>
            <w:color w:val="0A3A8C"/>
            <w:u w:val="single"/>
          </w:rPr>
          <w:t xml:space="preserve">§ 10d</w:t>
        </w:r>
      </w:hyperlink>
      <w:r>
        <w:t xml:space="preserve"> Absatz 1 Satz 1 und 2 ist nur möglich, soweit die Beträge nach </w:t>
      </w:r>
      <w:hyperlink w:anchor="b55" w:history="1">
        <w:r>
          <w:rPr>
            <w:color w:val="0A3A8C"/>
            <w:u w:val="single"/>
          </w:rPr>
          <w:t xml:space="preserve">§ 10d</w:t>
        </w:r>
      </w:hyperlink>
      <w:r>
        <w:t xml:space="preserve"> Absatz 1 Satz 1 und 2 durch den verbleibenden Sanierungsertrag im Sinne des Satzes 4 nicht überschritten werden;</w:t>
      </w:r>
    </w:p>
    <w:p>
      <w:pPr>
        <w:tabs>
          <w:tab w:pos="567" w:val="left"/>
        </w:tabs>
        <w:ind w:left="567" w:hanging="567"/>
      </w:pPr>
      <w:r>
        <w:t>13.</w:t>
      </w:r>
      <w:r>
        <w:tab/>
      </w:r>
      <w:r>
        <w:t>den zum Ende des Vorjahrs festgestellten und den im Sanierungsjahr entstehenden</w:t>
      </w:r>
    </w:p>
    <w:p>
      <w:pPr>
        <w:tabs>
          <w:tab w:pos="1134" w:val="left"/>
        </w:tabs>
        <w:ind w:left="1134" w:hanging="567"/>
      </w:pPr>
      <w:r>
        <w:t>a)</w:t>
      </w:r>
      <w:r>
        <w:tab/>
      </w:r>
      <w:r>
        <w:t xml:space="preserve">Zinsvortrag nach </w:t>
      </w:r>
      <w:hyperlink w:anchor="b21" w:history="1">
        <w:r>
          <w:rPr>
            <w:color w:val="0A3A8C"/>
            <w:u w:val="single"/>
          </w:rPr>
          <w:t xml:space="preserve">§ 4h</w:t>
        </w:r>
      </w:hyperlink>
      <w:r>
        <w:t xml:space="preserve"> Absatz 1 Satz 5,</w:t>
      </w:r>
    </w:p>
    <w:p>
      <w:pPr>
        <w:tabs>
          <w:tab w:pos="1134" w:val="left"/>
        </w:tabs>
        <w:ind w:left="1134" w:hanging="567"/>
      </w:pPr>
      <w:r>
        <w:t>b)</w:t>
      </w:r>
      <w:r>
        <w:tab/>
      </w:r>
      <w:r>
        <w:t xml:space="preserve">EBITDA-Vortrag nach </w:t>
      </w:r>
      <w:hyperlink w:anchor="b21" w:history="1">
        <w:r>
          <w:rPr>
            <w:color w:val="0A3A8C"/>
            <w:u w:val="single"/>
          </w:rPr>
          <w:t xml:space="preserve">§ 4h</w:t>
        </w:r>
      </w:hyperlink>
      <w:r>
        <w:t xml:space="preserve"> Absatz 1 Satz 3. </w:t>
      </w:r>
      <w:r>
        <w:rPr>
          <w:rStyle w:val="Satznummer"/>
        </w:rPr>
        <w:t>2</w:t>
      </w:r>
      <w:r>
        <w:t>Die Minderung des EBITDA-Vortrags des Sanierungsjahrs und der EBITDA-Vorträge aus vorangegangenen Wirtschaftsjahren erfolgt in ihrer zeitlichen Reihenfolge.</w:t>
      </w:r>
    </w:p>
    <w:p>
      <w:r>
        <w:rPr>
          <w:rStyle w:val="Satznummer"/>
        </w:rPr>
        <w:t>3</w:t>
      </w:r>
      <w:r>
        <w:t xml:space="preserve">Übersteigt der geminderte Sanierungsertrag nach Satz 1 die nach Satz 2 mindernden Beträge, mindern sich insoweit nach Maßgabe des Satzes 2 auch der verteilt abziehbare Aufwand, Verluste, negative Einkünfte, Zinsvorträge oder EBITDA-Vorträge einer dem Steuerpflichtigen nahestehenden Person, wenn diese die erlassenen Schulden innerhalb eines Zeitraums von fünf Jahren vor dem Schuldenerlass auf das zu sanierende Unternehmen übertragen hat und soweit der entsprechende verteilt abziehbare Aufwand, die Verluste, negativen Einkünfte, Zinsvorträge oder EBITDA-Vorträge zum Ablauf des Wirtschaftsjahrs der Übertragung bereits entstanden waren. </w:t>
      </w:r>
      <w:r>
        <w:rPr>
          <w:rStyle w:val="Satznummer"/>
        </w:rPr>
        <w:t>4</w:t>
      </w:r>
      <w:r>
        <w:t xml:space="preserve">Der sich nach den Sätzen 2 und 3 ergebende Betrag ist der verbleibende Sanierungsertrag. </w:t>
      </w:r>
      <w:r>
        <w:rPr>
          <w:rStyle w:val="Satznummer"/>
        </w:rPr>
        <w:t>5</w:t>
      </w:r>
      <w:r>
        <w:t>Die nach den Sätzen 2 und 3 mindernden Beträge bleiben endgültig außer Ansatz und nehmen an den entsprechenden Feststellungen der verrechenbaren Verluste, verbleibenden Verlustvorträge und sonstigen Feststellungen nicht teil.</w:t>
      </w:r>
    </w:p>
    <w:p>
      <w:r>
        <w:t>(3a) Bei Zusammenveranlagung sind auch die laufenden Beträge und Verlustvorträge des anderen Ehegatten einzubeziehen.</w:t>
      </w:r>
    </w:p>
    <w:p>
      <w:r>
        <w:t xml:space="preserve">(4) </w:t>
      </w:r>
      <w:r>
        <w:rPr>
          <w:rStyle w:val="Satznummer"/>
        </w:rPr>
        <w:t>1</w:t>
      </w:r>
      <w:r>
        <w:t xml:space="preserve">Sind Einkünfte aus Land- und Forstwirtschaft, Gewerbebetrieb oder selbständiger Arbeit nach § 180 Absatz 1 Satz 1 Nummer 2 Buchstabe a oder b der Abgabenordnung gesondert festzustellen, ist auch die Höhe des Sanierungsertrags nach Absatz 1 Satz 1 oder Absatz 5 sowie die Höhe der nach Absatz 3 Satz 2 Nummer 1 bis 6 und 13 mindernden Beträge gesondert festzustellen. </w:t>
      </w:r>
      <w:r>
        <w:rPr>
          <w:rStyle w:val="Satznummer"/>
        </w:rPr>
        <w:t>2</w:t>
      </w:r>
      <w:r>
        <w:t xml:space="preserve">Zuständig für die gesonderte Feststellung nach Satz 1 ist das Finanzamt, das für die gesonderte Feststellung nach § 180 Absatz 1 Satz 1 Nummer 2 der Abgabenordnung zuständig ist. </w:t>
      </w:r>
      <w:r>
        <w:rPr>
          <w:rStyle w:val="Satznummer"/>
        </w:rPr>
        <w:t>3</w:t>
      </w:r>
      <w:r>
        <w:t xml:space="preserve">Wurden verrechenbare Verluste und Verlustvorträge ohne Berücksichtigung des Absatzes 3 Satz 2 bereits festgestellt oder ändern sich die nach Absatz 3 Satz 2 mindernden Beträge, ist der entsprechende Feststellungsbescheid insoweit zu ändern. </w:t>
      </w:r>
      <w:r>
        <w:rPr>
          <w:rStyle w:val="Satznummer"/>
        </w:rPr>
        <w:t>4</w:t>
      </w:r>
      <w:r>
        <w:t>Das gilt auch dann, wenn der Feststellungsbescheid bereits bestandskräftig geworden ist; die Feststellungsfrist endet insoweit nicht, bevor die Festsetzungsfrist des Einkommensteuerbescheids oder Körperschaftsteuerbescheids für das Sanierungsjahr abgelaufen ist.</w:t>
      </w:r>
    </w:p>
    <w:p>
      <w:r>
        <w:t xml:space="preserve">(5) </w:t>
      </w:r>
      <w:r>
        <w:rPr>
          <w:rStyle w:val="Satznummer"/>
        </w:rPr>
        <w:t>1</w:t>
      </w:r>
      <w:r>
        <w:t xml:space="preserve">Erträge aus einer nach den §§ 286 ff. der Insolvenzordnung erteilten Restschuldbefreiung, einem Schuldenerlass auf Grund eines außergerichtlichen Schuldenbereinigungsplans zur Vermeidung eines Verbraucherinsolvenzverfahrens nach den §§ 304 ff. der Insolvenzordnung oder auf Grund eines Schuldenbereinigungsplans, dem in einem Verbraucherinsolvenzverfahren zugestimmt wurde oder wenn diese Zustimmung durch das Gericht ersetzt wurde, sind, soweit es sich um Betriebsvermögensmehrungen oder Betriebseinnahmen handelt, ebenfalls steuerfrei, auch wenn die Voraussetzungen einer unternehmensbezogenen Sanierung im Sinne des Absatzes 2 nicht vorliegen. </w:t>
      </w:r>
      <w:r>
        <w:rPr>
          <w:rStyle w:val="Satznummer"/>
        </w:rPr>
        <w:t>2</w:t>
      </w:r>
      <w:r>
        <w:t>Absatz 1 Satz 2 und die Absätze 3 und 3a gelten entsprechend.</w:t>
      </w:r>
    </w:p>
    <w:p>
      <w:pPr>
        <w:pStyle w:val="Heading3"/>
      </w:pPr>
      <w:bookmarkStart w:id="11" w:name="b10"/>
      <w:r>
        <w:t>§ 3b Steuerfreiheit von Zuschlägen für Sonntags-, Feiertags- oder Nachtarbeit</w:t>
      </w:r>
      <w:r>
        <w:t xml:space="preserve"> </w:t>
      </w:r>
      <w:r>
        <w:rPr>
          <w:rStyle w:val="Suchmarke"/>
        </w:rPr>
        <w:t>#3b#</w:t>
      </w:r>
      <w:bookmarkEnd w:id="11"/>
    </w:p>
    <w:p>
      <w:r>
        <w:t>(1) Steuerfrei sind Zuschläge, die für tatsächlich geleistete Sonntags-, Feiertags- oder Nachtarbeit neben dem Grundlohn gezahlt werden, soweit sie</w:t>
      </w:r>
    </w:p>
    <w:p>
      <w:pPr>
        <w:tabs>
          <w:tab w:pos="567" w:val="left"/>
        </w:tabs>
        <w:ind w:left="567" w:hanging="567"/>
      </w:pPr>
      <w:r>
        <w:t>1.</w:t>
      </w:r>
      <w:r>
        <w:tab/>
      </w:r>
      <w:r>
        <w:t>für Nachtarbeit 25 Prozent,</w:t>
      </w:r>
    </w:p>
    <w:p>
      <w:pPr>
        <w:tabs>
          <w:tab w:pos="567" w:val="left"/>
        </w:tabs>
        <w:ind w:left="567" w:hanging="567"/>
      </w:pPr>
      <w:r>
        <w:t>2.</w:t>
      </w:r>
      <w:r>
        <w:tab/>
      </w:r>
      <w:r>
        <w:t>vorbehaltlich der Nummern 3 und 4 für Sonntagsarbeit 50 Prozent,</w:t>
      </w:r>
    </w:p>
    <w:p>
      <w:pPr>
        <w:tabs>
          <w:tab w:pos="567" w:val="left"/>
        </w:tabs>
        <w:ind w:left="567" w:hanging="567"/>
      </w:pPr>
      <w:r>
        <w:t>3.</w:t>
      </w:r>
      <w:r>
        <w:tab/>
      </w:r>
      <w:r>
        <w:t>vorbehaltlich der Nummer 4 für Arbeit am 31. Dezember ab 14 Uhr und an den gesetzlichen Feiertagen 125 Prozent,</w:t>
      </w:r>
    </w:p>
    <w:p>
      <w:pPr>
        <w:tabs>
          <w:tab w:pos="567" w:val="left"/>
        </w:tabs>
        <w:ind w:left="567" w:hanging="567"/>
      </w:pPr>
      <w:r>
        <w:t>4.</w:t>
      </w:r>
      <w:r>
        <w:tab/>
      </w:r>
      <w:r>
        <w:t>für Arbeit am 24. Dezember ab 14 Uhr, am 25. und 26. Dezember sowie am 1. Mai 150 Prozent</w:t>
      </w:r>
    </w:p>
    <w:p>
      <w:r>
        <w:t>des Grundlohns nicht übersteigen.</w:t>
      </w:r>
    </w:p>
    <w:p>
      <w:r>
        <w:t xml:space="preserve">(2) </w:t>
      </w:r>
      <w:r>
        <w:rPr>
          <w:rStyle w:val="Satznummer"/>
        </w:rPr>
        <w:t>1</w:t>
      </w:r>
      <w:r>
        <w:t xml:space="preserve">Grundlohn ist der laufende Arbeitslohn, der dem Arbeitnehmer bei der für ihn maßgebenden regelmäßigen Arbeitszeit für den jeweiligen Lohnzahlungszeitraum zusteht; er ist in einen Stundenlohn umzurechnen und mit höchstens 50 Euro anzusetzen. </w:t>
      </w:r>
      <w:r>
        <w:rPr>
          <w:rStyle w:val="Satznummer"/>
        </w:rPr>
        <w:t>2</w:t>
      </w:r>
      <w:r>
        <w:t xml:space="preserve">Nachtarbeit ist die Arbeit in der Zeit von 20 Uhr bis 6 Uhr. </w:t>
      </w:r>
      <w:r>
        <w:rPr>
          <w:rStyle w:val="Satznummer"/>
        </w:rPr>
        <w:t>3</w:t>
      </w:r>
      <w:r>
        <w:t xml:space="preserve">Sonntagsarbeit und Feiertagsarbeit ist die Arbeit in der Zeit von 0 Uhr bis 24 Uhr des jeweiligen Tages. </w:t>
      </w:r>
      <w:r>
        <w:rPr>
          <w:rStyle w:val="Satznummer"/>
        </w:rPr>
        <w:t>4</w:t>
      </w:r>
      <w:r>
        <w:t>Die gesetzlichen Feiertage werden durch die am Ort der Arbeitsstätte geltenden Vorschriften bestimmt.</w:t>
      </w:r>
    </w:p>
    <w:p>
      <w:r>
        <w:t>(3) Wenn die Nachtarbeit vor 0 Uhr aufgenommen wird, gilt abweichend von den Absätzen 1 und 2 Folgendes:</w:t>
      </w:r>
    </w:p>
    <w:p>
      <w:pPr>
        <w:tabs>
          <w:tab w:pos="567" w:val="left"/>
        </w:tabs>
        <w:ind w:left="567" w:hanging="567"/>
      </w:pPr>
      <w:r>
        <w:t>1.</w:t>
      </w:r>
      <w:r>
        <w:tab/>
      </w:r>
      <w:r>
        <w:t>Für Nachtarbeit in der Zeit von 0 Uhr bis 4 Uhr erhöht sich der Zuschlagssatz auf 40 Prozent,</w:t>
      </w:r>
    </w:p>
    <w:p>
      <w:pPr>
        <w:tabs>
          <w:tab w:pos="567" w:val="left"/>
        </w:tabs>
        <w:ind w:left="567" w:hanging="567"/>
      </w:pPr>
      <w:r>
        <w:t>2.</w:t>
      </w:r>
      <w:r>
        <w:tab/>
      </w:r>
      <w:r>
        <w:t>als Sonntagsarbeit und Feiertagsarbeit gilt auch die Arbeit in der Zeit von 0 Uhr bis 4 Uhr des auf den Sonntag oder Feiertag folgenden Tages.</w:t>
      </w:r>
    </w:p>
    <w:p>
      <w:pPr>
        <w:pStyle w:val="Heading3"/>
      </w:pPr>
      <w:bookmarkStart w:id="12" w:name="b11"/>
      <w:r>
        <w:t>§ 3c Anteilige Abzüge</w:t>
      </w:r>
      <w:r>
        <w:t xml:space="preserve"> </w:t>
      </w:r>
      <w:r>
        <w:rPr>
          <w:rStyle w:val="Suchmarke"/>
        </w:rPr>
        <w:t>#3c#</w:t>
      </w:r>
      <w:bookmarkEnd w:id="12"/>
    </w:p>
    <w:p>
      <w:r>
        <w:t>(1) Ausgaben dürfen, soweit sie mit steuerfreien Einnahmen in unmittelbarem wirtschaftlichen Zusammenhang stehen, nicht als Betriebsausgaben oder Werbungskosten abgezogen werden; Absatz 2 bleibt unberührt.</w:t>
      </w:r>
    </w:p>
    <w:p>
      <w:r>
        <w:t xml:space="preserve">(2) </w:t>
      </w:r>
      <w:r>
        <w:rPr>
          <w:rStyle w:val="Satznummer"/>
        </w:rPr>
        <w:t>1</w:t>
      </w:r>
      <w:r>
        <w:t xml:space="preserve">Betriebsvermögensminderungen, Betriebsausgaben, Veräußerungskosten oder Werbungskosten, die mit den dem </w:t>
      </w:r>
      <w:hyperlink w:anchor="b8" w:history="1">
        <w:r>
          <w:rPr>
            <w:color w:val="0A3A8C"/>
            <w:u w:val="single"/>
          </w:rPr>
          <w:t xml:space="preserve">§ 3</w:t>
        </w:r>
      </w:hyperlink>
      <w:r>
        <w:t xml:space="preserve"> Nummer 40 zugrunde liegenden Betriebsvermögensmehrungen oder Einnahmen oder mit Vergütungen nach § 3 Nummer 40a in wirtschaftlichem Zusammenhang stehen, dürfen unabhängig davon, in welchem Veranlagungszeitraum die Betriebsvermögensmehrungen oder Einnahmen anfallen, bei der Ermittlung der Einkünfte nur zu 60 Prozent abgezogen werden; Entsprechendes gilt, wenn bei der Ermittlung der Einkünfte der Wert des Betriebsvermögens oder des Anteils am Betriebsvermögen oder die Anschaffungs- oder Herstellungskosten oder der an deren Stelle tretende Wert mindernd zu berücksichtigen sind. </w:t>
      </w:r>
      <w:r>
        <w:rPr>
          <w:rStyle w:val="Satznummer"/>
        </w:rPr>
        <w:t>2</w:t>
      </w:r>
      <w:r>
        <w:t xml:space="preserve">Satz 1 ist auch für Betriebsvermögensminderungen oder Betriebsausgaben im Zusammenhang mit einer Darlehensforderung oder aus der Inanspruchnahme von Sicherheiten anzuwenden, die für ein Darlehen hingegeben wurden, wenn das Darlehen oder die Sicherheit von einem Steuerpflichtigen gewährt wird, der zu mehr als einem Viertel unmittelbar oder mittelbar am Grund- oder Stammkapital der Körperschaft, der das Darlehen gewährt wurde, beteiligt ist oder war. </w:t>
      </w:r>
      <w:r>
        <w:rPr>
          <w:rStyle w:val="Satznummer"/>
        </w:rPr>
        <w:t>3</w:t>
      </w:r>
      <w:r>
        <w:t xml:space="preserve">Satz 2 ist insoweit nicht anzuwenden, als nachgewiesen wird, dass auch ein fremder Dritter das Darlehen bei sonst gleichen Umständen gewährt oder noch nicht zurückgefordert hätte; dabei sind nur die eigenen Sicherungsmittel der Körperschaft zu berücksichtigen. </w:t>
      </w:r>
      <w:r>
        <w:rPr>
          <w:rStyle w:val="Satznummer"/>
        </w:rPr>
        <w:t>4</w:t>
      </w:r>
      <w:r>
        <w:t xml:space="preserve">Die Sätze 2 und 3 gelten entsprechend für Forderungen aus Rechtshandlungen, die einer Darlehensgewährung wirtschaftlich vergleichbar sind. </w:t>
      </w:r>
      <w:r>
        <w:rPr>
          <w:rStyle w:val="Satznummer"/>
        </w:rPr>
        <w:t>5</w:t>
      </w:r>
      <w:r>
        <w:t xml:space="preserve">Gewinne aus dem Ansatz des nach </w:t>
      </w:r>
      <w:hyperlink w:anchor="b28" w:history="1">
        <w:r>
          <w:rPr>
            <w:color w:val="0A3A8C"/>
            <w:u w:val="single"/>
          </w:rPr>
          <w:t xml:space="preserve">§ 6</w:t>
        </w:r>
      </w:hyperlink>
      <w:r>
        <w:t xml:space="preserve"> Absatz 1 Nummer 2 Satz 3 maßgeblichen Werts bleiben bei der Ermittlung der Einkünfte außer Ansatz, soweit auf die vorangegangene Teilwertabschreibung Satz 2 angewendet worden ist. </w:t>
      </w:r>
      <w:r>
        <w:rPr>
          <w:rStyle w:val="Satznummer"/>
        </w:rPr>
        <w:t>6</w:t>
      </w:r>
      <w:r>
        <w:t xml:space="preserve">Satz 1 ist außerdem ungeachtet eines wirtschaftlichen Zusammenhangs mit den dem </w:t>
      </w:r>
      <w:hyperlink w:anchor="b8" w:history="1">
        <w:r>
          <w:rPr>
            <w:color w:val="0A3A8C"/>
            <w:u w:val="single"/>
          </w:rPr>
          <w:t xml:space="preserve">§ 3</w:t>
        </w:r>
      </w:hyperlink>
      <w:r>
        <w:t xml:space="preserve"> Nummer 40 zugrunde liegenden Betriebsvermögensmehrungen oder Einnahmen oder mit Vergütungen nach </w:t>
      </w:r>
      <w:hyperlink w:anchor="b8" w:history="1">
        <w:r>
          <w:rPr>
            <w:color w:val="0A3A8C"/>
            <w:u w:val="single"/>
          </w:rPr>
          <w:t xml:space="preserve">§ 3</w:t>
        </w:r>
      </w:hyperlink>
      <w:r>
        <w:t xml:space="preserve"> Nummer 40a auch auf Betriebsvermögensminderungen, Betriebsausgaben oder Veräußerungskosten eines Gesellschafters einer Körperschaft anzuwenden, soweit diese mit einer im Gesellschaftsverhältnis veranlassten unentgeltlichen Überlassung von Wirtschaftsgütern an diese Körperschaft oder bei einer teilentgeltlichen Überlassung von Wirtschaftsgütern mit dem unentgeltlichen Teil in Zusammenhang stehen und der Steuerpflichtige zu mehr als einem Viertel unmittelbar oder mittelbar am Grund-oder Stammkapital dieser Körperschaft beteiligt ist oder war. </w:t>
      </w:r>
      <w:r>
        <w:rPr>
          <w:rStyle w:val="Satznummer"/>
        </w:rPr>
        <w:t>7</w:t>
      </w:r>
      <w:r>
        <w:t xml:space="preserve">Für die Anwendung des Satzes 1 ist die Absicht zur Erzielung von Betriebsvermögensmehrungen oder Einnahmen im Sinne des </w:t>
      </w:r>
      <w:hyperlink w:anchor="b8" w:history="1">
        <w:r>
          <w:rPr>
            <w:color w:val="0A3A8C"/>
            <w:u w:val="single"/>
          </w:rPr>
          <w:t xml:space="preserve">§ 3</w:t>
        </w:r>
      </w:hyperlink>
      <w:r>
        <w:t xml:space="preserve"> Nummer 40 oder von Vergütungen im Sinne des </w:t>
      </w:r>
      <w:hyperlink w:anchor="b8" w:history="1">
        <w:r>
          <w:rPr>
            <w:color w:val="0A3A8C"/>
            <w:u w:val="single"/>
          </w:rPr>
          <w:t xml:space="preserve">§ 3</w:t>
        </w:r>
      </w:hyperlink>
      <w:r>
        <w:t xml:space="preserve"> Nummer 40a ausreichend. </w:t>
      </w:r>
      <w:r>
        <w:rPr>
          <w:rStyle w:val="Satznummer"/>
        </w:rPr>
        <w:t>8</w:t>
      </w:r>
      <w:r>
        <w:t xml:space="preserve">Satz 1 gilt auch für Wertminderungen des Anteils an einer Organgesellschaft, die nicht auf Gewinnausschüttungen zurückzuführen sind. </w:t>
      </w:r>
      <w:r>
        <w:rPr>
          <w:rStyle w:val="Satznummer"/>
        </w:rPr>
        <w:t>9</w:t>
      </w:r>
      <w:r>
        <w:t>§ 8b Absatz 10 des Körperschaftsteuergesetzes gilt sinngemäß.</w:t>
      </w:r>
    </w:p>
    <w:p>
      <w:r>
        <w:t>(3) Betriebsvermögensminderungen, Betriebsausgaben oder Veräußerungskosten, die mit den Betriebsvermögensmehrungen oder Einnahmen im Sinne des § 3 Nummer 70 in wirtschaftlichem Zusammenhang stehen, dürfen unabhängig davon, in welchem Veranlagungszeitraum die Betriebsvermögensmehrungen oder Einnahmen anfallen, nur zur Hälfte abgezogen werden.</w:t>
      </w:r>
    </w:p>
    <w:p>
      <w:r>
        <w:t xml:space="preserve">(4) </w:t>
      </w:r>
      <w:r>
        <w:rPr>
          <w:rStyle w:val="Satznummer"/>
        </w:rPr>
        <w:t>1</w:t>
      </w:r>
      <w:r>
        <w:t xml:space="preserve">Betriebsvermögensminderungen oder Betriebsausgaben, die mit einem steuerfreien Sanierungsertrag im Sinne des § 3a in unmittelbarem wirtschaftlichem Zusammenhang stehen, dürfen unabhängig davon, in welchem Veranlagungszeitraum der Sanierungsertrag entsteht, nicht abgezogen werden. </w:t>
      </w:r>
      <w:r>
        <w:rPr>
          <w:rStyle w:val="Satznummer"/>
        </w:rPr>
        <w:t>2</w:t>
      </w:r>
      <w:r>
        <w:t xml:space="preserve">Satz 1 gilt nicht, soweit Betriebsvermögensminderungen oder Betriebsausgaben zur Erhöhung von Verlustvorträgen geführt haben, die nach Maßgabe der in </w:t>
      </w:r>
      <w:hyperlink w:anchor="b9" w:history="1">
        <w:r>
          <w:rPr>
            <w:color w:val="0A3A8C"/>
            <w:u w:val="single"/>
          </w:rPr>
          <w:t xml:space="preserve">§ 3a</w:t>
        </w:r>
      </w:hyperlink>
      <w:r>
        <w:t xml:space="preserve"> Absatz 3 getroffenen Regelungen entfallen. </w:t>
      </w:r>
      <w:r>
        <w:rPr>
          <w:rStyle w:val="Satznummer"/>
        </w:rPr>
        <w:t>3</w:t>
      </w:r>
      <w:r>
        <w:t xml:space="preserve">Zu den Betriebsvermögensminderungen oder Betriebsausgaben im Sinne des Satzes 1 gehören auch Aufwendungen im Zusammenhang mit einem Besserungsschein und vergleichbare Aufwendungen. </w:t>
      </w:r>
      <w:r>
        <w:rPr>
          <w:rStyle w:val="Satznummer"/>
        </w:rPr>
        <w:t>4</w:t>
      </w:r>
      <w:r>
        <w:t xml:space="preserve">Satz 1 gilt für Betriebsvermögensminderungen oder Betriebsausgaben, die nach dem Sanierungsjahr entstehen, nur insoweit, als noch ein verbleibender Sanierungsertrag im Sinne von </w:t>
      </w:r>
      <w:hyperlink w:anchor="b9" w:history="1">
        <w:r>
          <w:rPr>
            <w:color w:val="0A3A8C"/>
            <w:u w:val="single"/>
          </w:rPr>
          <w:t xml:space="preserve">§ 3a</w:t>
        </w:r>
      </w:hyperlink>
      <w:r>
        <w:t xml:space="preserve"> Absatz 3 Satz 4 vorhanden ist. </w:t>
      </w:r>
      <w:r>
        <w:rPr>
          <w:rStyle w:val="Satznummer"/>
        </w:rPr>
        <w:t>5</w:t>
      </w:r>
      <w:r>
        <w:t xml:space="preserve">Wurden Betriebsvermögensminderungen oder Betriebsausgaben im Sinne des Satzes 1 bereits bei einer Steuerfestsetzung oder einer gesonderten Feststellung nach § 180 Absatz 1 Satz 1 der Abgabenordnung gewinnmindernd berücksichtigt, ist der entsprechende Steuer- oder Feststellungsbescheid insoweit zu ändern. </w:t>
      </w:r>
      <w:r>
        <w:rPr>
          <w:rStyle w:val="Satznummer"/>
        </w:rPr>
        <w:t>6</w:t>
      </w:r>
      <w:r>
        <w:t>Das gilt auch dann, wenn der Steuer- oder Feststellungsbescheid bereits bestandskräftig geworden ist; die Festsetzungsfrist endet insoweit nicht, bevor die Festsetzungsfrist für das Sanierungsjahr abgelaufen ist.</w:t>
      </w:r>
    </w:p>
    <w:p>
      <w:pPr>
        <w:pStyle w:val="Heading2"/>
      </w:pPr>
      <w:bookmarkStart w:id="13" w:name="b12"/>
      <w:r>
        <w:t>3. Gewinn</w:t>
      </w:r>
      <w:bookmarkEnd w:id="13"/>
    </w:p>
    <w:p>
      <w:pPr>
        <w:pStyle w:val="Heading3"/>
      </w:pPr>
      <w:bookmarkStart w:id="14" w:name="b13"/>
      <w:r>
        <w:t>§ 4 Gewinnbegriff im Allgemeinen</w:t>
      </w:r>
      <w:r>
        <w:t xml:space="preserve"> </w:t>
      </w:r>
      <w:r>
        <w:rPr>
          <w:rStyle w:val="Suchmarke"/>
        </w:rPr>
        <w:t>#4#</w:t>
      </w:r>
      <w:bookmarkEnd w:id="14"/>
    </w:p>
    <w:p>
      <w:r>
        <w:t xml:space="preserve">(1) </w:t>
      </w:r>
      <w:r>
        <w:rPr>
          <w:rStyle w:val="Satznummer"/>
        </w:rPr>
        <w:t>1</w:t>
      </w:r>
      <w:r>
        <w:t xml:space="preserve">Gewinn ist der Unterschiedsbetrag zwischen dem Betriebsvermögen am Schluss des Wirtschaftsjahres und dem Betriebsvermögen am Schluss des vorangegangenen Wirtschaftsjahres, vermehrt um den Wert der Entnahmen und vermindert um den Wert der Einlagen. </w:t>
      </w:r>
      <w:r>
        <w:rPr>
          <w:rStyle w:val="Satznummer"/>
        </w:rPr>
        <w:t>2</w:t>
      </w:r>
      <w:r>
        <w:t xml:space="preserve">Entnahmen sind alle Wirtschaftsgüter (Barentnahmen, Waren, Erzeugnisse, Nutzungen und Leistungen), die der Steuerpflichtige dem Betrieb für sich, für seinen Haushalt oder für andere betriebsfremde Zwecke im Laufe des Wirtschaftsjahres entnommen hat. </w:t>
      </w:r>
      <w:r>
        <w:rPr>
          <w:rStyle w:val="Satznummer"/>
        </w:rPr>
        <w:t>3</w:t>
      </w:r>
      <w:r>
        <w:t xml:space="preserve">Einer Entnahme für betriebsfremde Zwecke steht der Ausschluss oder die Beschränkung des Besteuerungsrechts der Bundesrepublik Deutschland hinsichtlich des Gewinns aus der Veräußerung oder der Nutzung eines Wirtschaftsguts gleich; dies gilt auf Antrag auch in den Fällen, in denen die Beschränkung des Besteuerungsrechts der Bundesrepublik Deutschland hinsichtlich des Gewinns aus der Veräußerung eines Wirtschaftsguts entfällt und in einem anderen Staat eine Besteuerung auf Grund des Ausschlusses oder der Beschränkung des Besteuerungsrechts dieses Staates hinsichtlich des Gewinns aus der Veräußerung des Wirtschaftsguts erfolgt. </w:t>
      </w:r>
      <w:r>
        <w:rPr>
          <w:rStyle w:val="Satznummer"/>
        </w:rPr>
        <w:t>4</w:t>
      </w:r>
      <w:r>
        <w:t xml:space="preserve">Ein Ausschluss oder eine Beschränkung des Besteuerungsrechts hinsichtlich des Gewinns aus der Veräußerung eines Wirtschaftsguts liegt insbesondere vor, wenn ein bisher einer inländischen Betriebsstätte des Steuerpflichtigen zuzuordnendes Wirtschaftsgut einer ausländischen Betriebsstätte zuzuordnen ist. </w:t>
      </w:r>
      <w:r>
        <w:rPr>
          <w:rStyle w:val="Satznummer"/>
        </w:rPr>
        <w:t>5</w:t>
      </w:r>
      <w:r>
        <w:t>Satz 3 gilt nicht für Anteile an einer Europäischen Gesellschaft oder Europäischen Genossenschaft in den Fällen</w:t>
      </w:r>
    </w:p>
    <w:p>
      <w:pPr>
        <w:tabs>
          <w:tab w:pos="567" w:val="left"/>
        </w:tabs>
        <w:ind w:left="567" w:hanging="567"/>
      </w:pPr>
      <w:r>
        <w:t>1.</w:t>
      </w:r>
      <w:r>
        <w:tab/>
      </w:r>
      <w:r>
        <w:t>einer Sitzverlegung der Europäischen Gesellschaft nach Artikel 8 der Verordnung (EG) Nr. 2157/2001 des Rates vom 8. Oktober 2001 über das Statut der Europäischen Gesellschaft (SE) (ABl. EG Nr. L 294 S. 1), zuletzt geändert durch die Verordnung (EG) Nr. 885/2004 des Rates vom 26. April 2004 (ABl. EU Nr. L 168 S. 1), und</w:t>
      </w:r>
    </w:p>
    <w:p>
      <w:pPr>
        <w:tabs>
          <w:tab w:pos="567" w:val="left"/>
        </w:tabs>
        <w:ind w:left="567" w:hanging="567"/>
      </w:pPr>
      <w:r>
        <w:t>2.</w:t>
      </w:r>
      <w:r>
        <w:tab/>
      </w:r>
      <w:r>
        <w:t>einer Sitzverlegung der Europäischen Genossenschaft nach Artikel 7 der Verordnung (EG) Nr. 1435/2003 des Rates vom 22. Juli 2003 über das Statut der Europäischen Genossenschaft (SCE) (ABl. EU Nr. L 207 S. 1).</w:t>
      </w:r>
    </w:p>
    <w:p>
      <w:r>
        <w:rPr>
          <w:rStyle w:val="Satznummer"/>
        </w:rPr>
        <w:t>6</w:t>
      </w:r>
      <w:r>
        <w:t xml:space="preserve">Ein Wirtschaftsgut wird nicht dadurch entnommen, dass der Steuerpflichtige zur Gewinnermittlung nach </w:t>
      </w:r>
      <w:hyperlink w:anchor="b70" w:history="1">
        <w:r>
          <w:rPr>
            <w:color w:val="0A3A8C"/>
            <w:u w:val="single"/>
          </w:rPr>
          <w:t xml:space="preserve">§ 13a</w:t>
        </w:r>
      </w:hyperlink>
      <w:r>
        <w:t xml:space="preserve"> übergeht. </w:t>
      </w:r>
      <w:r>
        <w:rPr>
          <w:rStyle w:val="Satznummer"/>
        </w:rPr>
        <w:t>7</w:t>
      </w:r>
      <w:r>
        <w:t xml:space="preserve">Eine Änderung der Nutzung eines Wirtschaftsguts, die bei Gewinnermittlung nach Satz 1 keine Entnahme ist, ist auch bei Gewinnermittlung nach </w:t>
      </w:r>
      <w:hyperlink w:anchor="b70" w:history="1">
        <w:r>
          <w:rPr>
            <w:color w:val="0A3A8C"/>
            <w:u w:val="single"/>
          </w:rPr>
          <w:t xml:space="preserve">§ 13a</w:t>
        </w:r>
      </w:hyperlink>
      <w:r>
        <w:t xml:space="preserve"> keine Entnahme. </w:t>
      </w:r>
      <w:r>
        <w:rPr>
          <w:rStyle w:val="Satznummer"/>
        </w:rPr>
        <w:t>8</w:t>
      </w:r>
      <w:r>
        <w:t xml:space="preserve">Einlagen sind alle Wirtschaftsgüter (Bareinzahlungen und sonstige Wirtschaftsgüter), die der Steuerpflichtige dem Betrieb im Laufe des Wirtschaftsjahres zugeführt hat; einer Einlage steht die Begründung des Besteuerungsrechts der Bundesrepublik Deutschland hinsichtlich des Gewinns aus der Veräußerung eines Wirtschaftsguts gleich. </w:t>
      </w:r>
      <w:r>
        <w:rPr>
          <w:rStyle w:val="Satznummer"/>
        </w:rPr>
        <w:t>9</w:t>
      </w:r>
      <w:r>
        <w:t xml:space="preserve">In den Fällen des Satzes 3 zweiter Halbsatz gilt das Wirtschaftsgut als unmittelbar nach der Entnahme wieder eingelegt. </w:t>
      </w:r>
      <w:r>
        <w:rPr>
          <w:rStyle w:val="Satznummer"/>
        </w:rPr>
        <w:t>10</w:t>
      </w:r>
      <w:r>
        <w:t>Bei der Ermittlung des Gewinns sind die Vorschriften über die Betriebsausgaben, über die Bewertung und über die Absetzung für Abnutzung oder Substanzverringerung zu befolgen.</w:t>
      </w:r>
    </w:p>
    <w:p>
      <w:r>
        <w:t xml:space="preserve">(2) </w:t>
      </w:r>
      <w:r>
        <w:rPr>
          <w:rStyle w:val="Satznummer"/>
        </w:rPr>
        <w:t>1</w:t>
      </w:r>
      <w:r>
        <w:t xml:space="preserve">Der Steuerpflichtige darf die Vermögensübersicht (Bilanz) auch nach ihrer Einreichung beim Finanzamt ändern, soweit sie den Grundsätzen ordnungsmäßiger Buchführung unter Befolgung der Vorschriften dieses Gesetzes nicht entspricht; diese Änderung ist nicht zulässig, wenn die Vermögensübersicht (Bilanz) einer Steuerfestsetzung zugrunde liegt, die nicht mehr aufgehoben oder geändert werden kann. </w:t>
      </w:r>
      <w:r>
        <w:rPr>
          <w:rStyle w:val="Satznummer"/>
        </w:rPr>
        <w:t>2</w:t>
      </w:r>
      <w:r>
        <w:t>Darüber hinaus ist eine Änderung der Vermögensübersicht (Bilanz) nur zulässig, wenn sie in einem engen zeitlichen und sachlichen Zusammenhang mit einer Änderung nach Satz 1 steht und soweit die Auswirkung der Änderung nach Satz 1 auf den Gewinn reicht.</w:t>
      </w:r>
    </w:p>
    <w:p>
      <w:r>
        <w:t xml:space="preserve">(3) </w:t>
      </w:r>
      <w:r>
        <w:rPr>
          <w:rStyle w:val="Satznummer"/>
        </w:rPr>
        <w:t>1</w:t>
      </w:r>
      <w:r>
        <w:t xml:space="preserve">Steuerpflichtige, die nicht auf Grund gesetzlicher Vorschriften verpflichtet sind, Bücher zu führen und regelmäßig Abschlüsse zu machen, und die auch keine Bücher führen und keine Abschlüsse machen, können als Gewinn den Überschuss der Betriebseinnahmen über die Betriebsausgaben ansetzen. </w:t>
      </w:r>
      <w:r>
        <w:rPr>
          <w:rStyle w:val="Satznummer"/>
        </w:rPr>
        <w:t>2</w:t>
      </w:r>
      <w:r>
        <w:t xml:space="preserve">Hierbei scheiden Betriebseinnahmen und Betriebsausgaben aus, die im Namen und für Rechnung eines anderen vereinnahmt und verausgabt werden (durchlaufende Posten). </w:t>
      </w:r>
      <w:r>
        <w:rPr>
          <w:rStyle w:val="Satznummer"/>
        </w:rPr>
        <w:t>3</w:t>
      </w:r>
      <w:r>
        <w:t>Die Vorschriften über die Bewertungsfreiheit für geringwertige Wirtschaftsgüter (</w:t>
      </w:r>
      <w:hyperlink w:anchor="b28" w:history="1">
        <w:r>
          <w:rPr>
            <w:color w:val="0A3A8C"/>
            <w:u w:val="single"/>
          </w:rPr>
          <w:t xml:space="preserve">§ 6</w:t>
        </w:r>
      </w:hyperlink>
      <w:r>
        <w:t xml:space="preserve"> Absatz 2), die Bildung eines Sammelpostens (</w:t>
      </w:r>
      <w:hyperlink w:anchor="b28" w:history="1">
        <w:r>
          <w:rPr>
            <w:color w:val="0A3A8C"/>
            <w:u w:val="single"/>
          </w:rPr>
          <w:t xml:space="preserve">§ 6</w:t>
        </w:r>
      </w:hyperlink>
      <w:r>
        <w:t xml:space="preserve"> Absatz 2a) und über die Absetzung für Abnutzung oder Substanzverringerung sind zu befolgen. </w:t>
      </w:r>
      <w:r>
        <w:rPr>
          <w:rStyle w:val="Satznummer"/>
        </w:rPr>
        <w:t>4</w:t>
      </w:r>
      <w:r>
        <w:t xml:space="preserve">Die Anschaffungs- oder Herstellungskosten für nicht abnutzbare Wirtschaftsgüter des Anlagevermögens, für Anteile an Kapitalgesellschaften, für Wertpapiere und vergleichbare nicht verbriefte Forderungen und Rechte, für Grund und Boden sowie Gebäude des Umlaufvermögens sind erst im Zeitpunkt des Zuflusses des Veräußerungserlöses oder bei Entnahme im Zeitpunkt der Entnahme als Betriebsausgaben zu berücksichtigen. </w:t>
      </w:r>
      <w:r>
        <w:rPr>
          <w:rStyle w:val="Satznummer"/>
        </w:rPr>
        <w:t>5</w:t>
      </w:r>
      <w:r>
        <w:t>Die Wirtschaftsgüter des Anlagevermögens und Wirtschaftsgüter des Umlaufvermögens im Sinne des Satzes 4 sind unter Angabe des Tages der Anschaffung oder Herstellung und der Anschaffungs- oder Herstellungskosten oder des an deren Stelle getretenen Werts in besondere, laufend zu führende Verzeichnisse aufzunehmen.</w:t>
      </w:r>
    </w:p>
    <w:p>
      <w:r>
        <w:t>(4) Betriebsausgaben sind die Aufwendungen, die durch den Betrieb veranlasst sind.</w:t>
      </w:r>
    </w:p>
    <w:p>
      <w:r>
        <w:t xml:space="preserve">(4a) </w:t>
      </w:r>
      <w:r>
        <w:rPr>
          <w:rStyle w:val="Satznummer"/>
        </w:rPr>
        <w:t>1</w:t>
      </w:r>
      <w:r>
        <w:t xml:space="preserve">Schuldzinsen sind nach Maßgabe der Sätze 2 bis 4 nicht abziehbar, wenn Überentnahmen getätigt worden sind. </w:t>
      </w:r>
      <w:r>
        <w:rPr>
          <w:rStyle w:val="Satznummer"/>
        </w:rPr>
        <w:t>2</w:t>
      </w:r>
      <w:r>
        <w:t xml:space="preserve">Eine Überentnahme ist der Betrag, um den die Entnahmen die Summe des Gewinns und der Einlagen des Wirtschaftsjahres übersteigen. </w:t>
      </w:r>
      <w:r>
        <w:rPr>
          <w:rStyle w:val="Satznummer"/>
        </w:rPr>
        <w:t>3</w:t>
      </w:r>
      <w:r>
        <w:t xml:space="preserve">Die nicht abziehbaren Schuldzinsen werden typisiert mit 6 Prozent der Überentnahme des Wirtschaftsjahres zuzüglich der Überentnahmen vorangegangener Wirtschaftsjahre und abzüglich der Beträge, um die in den vorangegangenen Wirtschaftsjahren der Gewinn und die Einlagen die Entnahmen überstiegen haben (Unterentnahmen), ermittelt; bei der Ermittlung der Überentnahme ist vom Gewinn ohne Berücksichtigung der nach Maßgabe dieses Absatzes nicht abziehbaren Schuldzinsen auszugehen. </w:t>
      </w:r>
      <w:r>
        <w:rPr>
          <w:rStyle w:val="Satznummer"/>
        </w:rPr>
        <w:t>4</w:t>
      </w:r>
      <w:r>
        <w:t xml:space="preserve">Der sich dabei ergebende Betrag, höchstens jedoch der um 2 050 Euro verminderte Betrag der im Wirtschaftsjahr angefallenen Schuldzinsen, ist dem Gewinn hinzuzurechnen. </w:t>
      </w:r>
      <w:r>
        <w:rPr>
          <w:rStyle w:val="Satznummer"/>
        </w:rPr>
        <w:t>5</w:t>
      </w:r>
      <w:r>
        <w:t xml:space="preserve">Der Abzug von Schuldzinsen für Darlehen zur Finanzierung von Anschaffungs- oder Herstellungskosten von Wirtschaftsgütern des Anlagevermögens bleibt unberührt. </w:t>
      </w:r>
      <w:r>
        <w:rPr>
          <w:rStyle w:val="Satznummer"/>
        </w:rPr>
        <w:t>6</w:t>
      </w:r>
      <w:r>
        <w:t xml:space="preserve">Die Sätze 1 bis 5 sind bei Gewinnermittlung nach </w:t>
      </w:r>
      <w:hyperlink w:anchor="b13" w:history="1">
        <w:r>
          <w:rPr>
            <w:color w:val="0A3A8C"/>
            <w:u w:val="single"/>
          </w:rPr>
          <w:t xml:space="preserve">§ 4</w:t>
        </w:r>
      </w:hyperlink>
      <w:r>
        <w:t xml:space="preserve"> Absatz 3 sinngemäß anzuwenden; hierzu sind Entnahmen und Einlagen gesondert aufzuzeichnen.</w:t>
      </w:r>
    </w:p>
    <w:p>
      <w:r>
        <w:t xml:space="preserve">(5) </w:t>
      </w:r>
      <w:r>
        <w:rPr>
          <w:rStyle w:val="Satznummer"/>
        </w:rPr>
        <w:t>1</w:t>
      </w:r>
      <w:r>
        <w:t>Die folgenden Betriebsausgaben dürfen den Gewinn nicht mindern:</w:t>
      </w:r>
    </w:p>
    <w:p>
      <w:pPr>
        <w:tabs>
          <w:tab w:pos="567" w:val="left"/>
        </w:tabs>
        <w:ind w:left="567" w:hanging="567"/>
      </w:pPr>
      <w:r>
        <w:t>1.</w:t>
      </w:r>
      <w:r>
        <w:tab/>
      </w:r>
      <w:r>
        <w:t xml:space="preserve">Aufwendungen für Geschenke an Personen, die nicht Arbeitnehmer des Steuerpflichtigen sind. </w:t>
      </w:r>
      <w:r>
        <w:rPr>
          <w:rStyle w:val="Satznummer"/>
        </w:rPr>
        <w:t>2</w:t>
      </w:r>
      <w:r>
        <w:t>Satz 1 gilt nicht, wenn die Anschaffungs- oder Herstellungskosten der dem Empfänger im Wirtschaftsjahr zugewendeten Gegenstände insgesamt 50 Euro nicht übersteigen;</w:t>
      </w:r>
    </w:p>
    <w:p>
      <w:pPr>
        <w:tabs>
          <w:tab w:pos="567" w:val="left"/>
        </w:tabs>
        <w:ind w:left="567" w:hanging="567"/>
      </w:pPr>
      <w:r>
        <w:t>2.</w:t>
      </w:r>
      <w:r>
        <w:tab/>
      </w:r>
      <w:r>
        <w:t xml:space="preserve">Aufwendungen für die Bewirtung von Personen aus geschäftlichem Anlass, soweit sie 70 Prozent der Aufwendungen übersteigen, die nach der allgemeinen Verkehrsauffassung als angemessen anzusehen und deren Höhe und betriebliche Veranlassung nachgewiesen sind. </w:t>
      </w:r>
      <w:r>
        <w:rPr>
          <w:rStyle w:val="Satznummer"/>
        </w:rPr>
        <w:t>2</w:t>
      </w:r>
      <w:r>
        <w:t xml:space="preserve">Zum Nachweis der Höhe und der betrieblichen Veranlassung der Aufwendungen hat der Steuerpflichtige schriftlich die folgenden Angaben zu machen: Ort, Tag, Teilnehmer und Anlass der Bewirtung sowie Höhe der Aufwendungen. </w:t>
      </w:r>
      <w:r>
        <w:rPr>
          <w:rStyle w:val="Satznummer"/>
        </w:rPr>
        <w:t>3</w:t>
      </w:r>
      <w:r>
        <w:t>Hat die Bewirtung in einer Gaststätte stattgefunden, so genügen Angaben zu dem Anlass und den Teilnehmern der Bewirtung; die Rechnung über die Bewirtung ist beizufügen;</w:t>
      </w:r>
    </w:p>
    <w:p>
      <w:pPr>
        <w:tabs>
          <w:tab w:pos="567" w:val="left"/>
        </w:tabs>
        <w:ind w:left="567" w:hanging="567"/>
      </w:pPr>
      <w:r>
        <w:t>3.</w:t>
      </w:r>
      <w:r>
        <w:tab/>
      </w:r>
      <w:r>
        <w:t>Aufwendungen für Einrichtungen des Steuerpflichtigen, soweit sie der Bewirtung, Beherbergung oder Unterhaltung von Personen, die nicht Arbeitnehmer des Steuerpflichtigen sind, dienen (Gästehäuser) und sich außerhalb des Orts eines Betriebs des Steuerpflichtigen befinden;</w:t>
      </w:r>
    </w:p>
    <w:p>
      <w:pPr>
        <w:tabs>
          <w:tab w:pos="567" w:val="left"/>
        </w:tabs>
        <w:ind w:left="567" w:hanging="567"/>
      </w:pPr>
      <w:r>
        <w:t>4.</w:t>
      </w:r>
      <w:r>
        <w:tab/>
      </w:r>
      <w:r>
        <w:t>Aufwendungen für Jagd oder Fischerei, für Segeljachten oder Motorjachten sowie für ähnliche Zwecke und für die hiermit zusammenhängenden Bewirtungen;</w:t>
      </w:r>
    </w:p>
    <w:p>
      <w:pPr>
        <w:tabs>
          <w:tab w:pos="567" w:val="left"/>
        </w:tabs>
        <w:ind w:left="567" w:hanging="567"/>
      </w:pPr>
      <w:r>
        <w:t>5.</w:t>
      </w:r>
      <w:r>
        <w:tab/>
      </w:r>
      <w:r>
        <w:t xml:space="preserve">Mehraufwendungen für die Verpflegung des Steuerpflichtigen. </w:t>
      </w:r>
      <w:r>
        <w:rPr>
          <w:rStyle w:val="Satznummer"/>
        </w:rPr>
        <w:t>2</w:t>
      </w:r>
      <w:r>
        <w:t xml:space="preserve">Wird der Steuerpflichtige vorübergehend von seiner Wohnung und dem Mittelpunkt seiner dauerhaft angelegten betrieblichen Tätigkeit entfernt betrieblich tätig, sind die Mehraufwendungen für Verpflegung nach Maßgabe des </w:t>
      </w:r>
      <w:hyperlink w:anchor="b46" w:history="1">
        <w:r>
          <w:rPr>
            <w:color w:val="0A3A8C"/>
            <w:u w:val="single"/>
          </w:rPr>
          <w:t xml:space="preserve">§ 9</w:t>
        </w:r>
      </w:hyperlink>
      <w:r>
        <w:t xml:space="preserve"> Absatz 4a abziehbar;</w:t>
      </w:r>
    </w:p>
    <w:p>
      <w:pPr>
        <w:tabs>
          <w:tab w:pos="567" w:val="left"/>
        </w:tabs>
        <w:ind w:left="567" w:hanging="567"/>
      </w:pPr>
      <w:r>
        <w:t>6.</w:t>
      </w:r>
      <w:r>
        <w:tab/>
      </w:r>
      <w:r>
        <w:t xml:space="preserve">Aufwendungen für die Wege des Steuerpflichtigen zwischen Wohnung und Betriebsstätte und für Familienheimfahrten, soweit in den folgenden Sätzen nichts anderes bestimmt ist. </w:t>
      </w:r>
      <w:r>
        <w:rPr>
          <w:rStyle w:val="Satznummer"/>
        </w:rPr>
        <w:t>2</w:t>
      </w:r>
      <w:r>
        <w:t xml:space="preserve">Zur Abgeltung dieser Aufwendungen ist </w:t>
      </w:r>
      <w:hyperlink w:anchor="b46" w:history="1">
        <w:r>
          <w:rPr>
            <w:color w:val="0A3A8C"/>
            <w:u w:val="single"/>
          </w:rPr>
          <w:t xml:space="preserve">§ 9</w:t>
        </w:r>
      </w:hyperlink>
      <w:r>
        <w:t xml:space="preserve"> Absatz 1 Satz 3 Nummer 4 Satz 2 bis 6 und Nummer 5 Satz 5 bis 7 und Absatz 2 entsprechend anzuwenden. </w:t>
      </w:r>
      <w:r>
        <w:rPr>
          <w:rStyle w:val="Satznummer"/>
        </w:rPr>
        <w:t>3</w:t>
      </w:r>
      <w:r>
        <w:t xml:space="preserve">Bei der Nutzung eines Kraftfahrzeugs dürfen die Aufwendungen in Höhe des positiven Unterschiedsbetrags zwischen 0,03 Prozent des inländischen Listenpreises im Sinne des § 6 Absatz 1 Nummer 4 Satz 2 des Kraftfahrzeugs im Zeitpunkt der Erstzulassung je Kalendermonat für jeden Entfernungskilometer und dem sich nach </w:t>
      </w:r>
      <w:hyperlink w:anchor="b46" w:history="1">
        <w:r>
          <w:rPr>
            <w:color w:val="0A3A8C"/>
            <w:u w:val="single"/>
          </w:rPr>
          <w:t xml:space="preserve">§ 9</w:t>
        </w:r>
      </w:hyperlink>
      <w:r>
        <w:t xml:space="preserve"> Absatz 1 Satz 3 Nummer 4 Satz 2 bis 6 oder Absatz 2 ergebenden Betrag sowie Aufwendungen für Familienheimfahrten in Höhe des positiven Unterschiedsbetrags zwischen 0,002 Prozent des inländischen Listenpreises im Sinne des </w:t>
      </w:r>
      <w:hyperlink w:anchor="b28" w:history="1">
        <w:r>
          <w:rPr>
            <w:color w:val="0A3A8C"/>
            <w:u w:val="single"/>
          </w:rPr>
          <w:t xml:space="preserve">§ 6</w:t>
        </w:r>
      </w:hyperlink>
      <w:r>
        <w:t xml:space="preserve"> Absatz 1 Nummer 4 Satz 2 für jeden Entfernungskilometer und dem sich nach </w:t>
      </w:r>
      <w:hyperlink w:anchor="b46" w:history="1">
        <w:r>
          <w:rPr>
            <w:color w:val="0A3A8C"/>
            <w:u w:val="single"/>
          </w:rPr>
          <w:t xml:space="preserve">§ 9</w:t>
        </w:r>
      </w:hyperlink>
      <w:r>
        <w:t xml:space="preserve"> Absatz 1 Satz 3 Nummer 5 Satz 5 bis 7 oder Absatz 2 ergebenden Betrag den Gewinn nicht mindern; ermittelt der Steuerpflichtige die private Nutzung des Kraftfahrzeugs nach </w:t>
      </w:r>
      <w:hyperlink w:anchor="b28" w:history="1">
        <w:r>
          <w:rPr>
            <w:color w:val="0A3A8C"/>
            <w:u w:val="single"/>
          </w:rPr>
          <w:t xml:space="preserve">§ 6</w:t>
        </w:r>
      </w:hyperlink>
      <w:r>
        <w:t xml:space="preserve"> Absatz 1 Nummer 4 Satz 1 oder Satz 3, treten an die Stelle des mit 0,03 oder 0,002 Prozent des inländischen Listenpreises ermittelten Betrags für Fahrten zwischen Wohnung und Betriebsstätte und für Familienheimfahrten die auf diese Fahrten entfallenden tatsächlichen Aufwendungen; </w:t>
      </w:r>
      <w:hyperlink w:anchor="b28" w:history="1">
        <w:r>
          <w:rPr>
            <w:color w:val="0A3A8C"/>
            <w:u w:val="single"/>
          </w:rPr>
          <w:t xml:space="preserve">§ 6</w:t>
        </w:r>
      </w:hyperlink>
      <w:r>
        <w:t xml:space="preserve"> Absatz 1 Nummer 4 Satz 3 zweiter Halbsatz gilt sinngemäß;</w:t>
      </w:r>
    </w:p>
    <w:p>
      <w:pPr>
        <w:tabs>
          <w:tab w:pos="567" w:val="left"/>
        </w:tabs>
        <w:ind w:left="567" w:hanging="567"/>
      </w:pPr>
      <w:r>
        <w:t>6a.</w:t>
      </w:r>
      <w:r>
        <w:tab/>
      </w:r>
      <w:r>
        <w:t xml:space="preserve">die Mehraufwendungen für eine betrieblich veranlasste doppelte Haushaltsführung, soweit sie die nach </w:t>
      </w:r>
      <w:hyperlink w:anchor="b46" w:history="1">
        <w:r>
          <w:rPr>
            <w:color w:val="0A3A8C"/>
            <w:u w:val="single"/>
          </w:rPr>
          <w:t xml:space="preserve">§ 9</w:t>
        </w:r>
      </w:hyperlink>
      <w:r>
        <w:t xml:space="preserve"> Absatz 1 Satz 3 Nummer 5 Satz 1 bis 4 abziehbaren Beträge und die Mehraufwendungen für betrieblich veranlasste Übernachtungen, soweit sie die nach </w:t>
      </w:r>
      <w:hyperlink w:anchor="b46" w:history="1">
        <w:r>
          <w:rPr>
            <w:color w:val="0A3A8C"/>
            <w:u w:val="single"/>
          </w:rPr>
          <w:t xml:space="preserve">§ 9</w:t>
        </w:r>
      </w:hyperlink>
      <w:r>
        <w:t xml:space="preserve"> Absatz 1 Satz 3 Nummer 5a abziehbaren Beträge übersteigen;</w:t>
      </w:r>
    </w:p>
    <w:p>
      <w:pPr>
        <w:tabs>
          <w:tab w:pos="567" w:val="left"/>
        </w:tabs>
        <w:ind w:left="567" w:hanging="567"/>
      </w:pPr>
      <w:r>
        <w:t>6b.</w:t>
      </w:r>
      <w:r>
        <w:tab/>
      </w:r>
      <w:r>
        <w:t xml:space="preserve">Aufwendungen für ein häusliches Arbeitszimmer sowie die Kosten der Ausstattung. </w:t>
      </w:r>
      <w:r>
        <w:rPr>
          <w:rStyle w:val="Satznummer"/>
        </w:rPr>
        <w:t>2</w:t>
      </w:r>
      <w:r>
        <w:t xml:space="preserve">Dies gilt nicht, wenn das Arbeitszimmer den Mittelpunkt der gesamten betrieblichen und beruflichen Betätigung bildet. </w:t>
      </w:r>
      <w:r>
        <w:rPr>
          <w:rStyle w:val="Satznummer"/>
        </w:rPr>
        <w:t>3</w:t>
      </w:r>
      <w:r>
        <w:t xml:space="preserve">Anstelle der Aufwendungen kann pauschal ein Betrag von 1 260 Euro (Jahrespauschale) für das Wirtschafts- oder Kalenderjahr abgezogen werden. </w:t>
      </w:r>
      <w:r>
        <w:rPr>
          <w:rStyle w:val="Satznummer"/>
        </w:rPr>
        <w:t>4</w:t>
      </w:r>
      <w:r>
        <w:t>Für jeden vollen Kalendermonat, in dem die Voraussetzungen nach Satz 2 nicht vorliegen, ermäßigt sich der Betrag von 1 260 Euro um ein Zwölftel;</w:t>
      </w:r>
    </w:p>
    <w:p>
      <w:pPr>
        <w:tabs>
          <w:tab w:pos="567" w:val="left"/>
        </w:tabs>
        <w:ind w:left="567" w:hanging="567"/>
      </w:pPr>
      <w:r>
        <w:t>6c.</w:t>
      </w:r>
      <w:r>
        <w:tab/>
      </w:r>
      <w:r>
        <w:t xml:space="preserve">für jeden Kalendertag, an dem die betriebliche oder berufliche Tätigkeit überwiegend in der häuslichen Wohnung ausgeübt und keine außerhalb der häuslichen Wohnung belegene erste Tätigkeitsstätte aufgesucht wird, kann für die gesamte betriebliche und berufliche Betätigung ein Betrag von 6 Euro (Tagespauschale), höchstens 1 260 Euro im Wirtschafts- oder Kalenderjahr, abgezogen werden. </w:t>
      </w:r>
      <w:r>
        <w:rPr>
          <w:rStyle w:val="Satznummer"/>
        </w:rPr>
        <w:t>2</w:t>
      </w:r>
      <w:r>
        <w:t xml:space="preserve">Steht für die betriebliche oder berufliche Tätigkeit dauerhaft kein anderer Arbeitsplatz zur Verfügung, ist ein Abzug der Tagespauschale zulässig, auch wenn die Tätigkeit am selben Kalendertag auswärts oder an der ersten Tätigkeitsstätte ausgeübt wird. </w:t>
      </w:r>
      <w:r>
        <w:rPr>
          <w:rStyle w:val="Satznummer"/>
        </w:rPr>
        <w:t>3</w:t>
      </w:r>
      <w:r>
        <w:t xml:space="preserve">Der Abzug der Tagespauschale ist nicht zulässig, soweit für die Wohnung Unterkunftskosten im Rahmen der Nummer 6a oder des </w:t>
      </w:r>
      <w:hyperlink w:anchor="b46" w:history="1">
        <w:r>
          <w:rPr>
            <w:color w:val="0A3A8C"/>
            <w:u w:val="single"/>
          </w:rPr>
          <w:t xml:space="preserve">§ 9</w:t>
        </w:r>
      </w:hyperlink>
      <w:r>
        <w:t xml:space="preserve"> Absatz 1 Satz 3 Nummer 5 abgezogen werden können oder soweit ein Abzug nach Nummer 6b vorgenommen wird;</w:t>
      </w:r>
    </w:p>
    <w:p>
      <w:pPr>
        <w:tabs>
          <w:tab w:pos="567" w:val="left"/>
        </w:tabs>
        <w:ind w:left="567" w:hanging="567"/>
      </w:pPr>
      <w:r>
        <w:t>7.</w:t>
      </w:r>
      <w:r>
        <w:tab/>
      </w:r>
      <w:r>
        <w:t>andere als die in den Nummern 1 bis 6 und 6b bezeichneten Aufwendungen, die die Lebensführung des Steuerpflichtigen oder anderer Personen berühren, soweit sie nach allgemeiner Verkehrsauffassung als unangemessen anzusehen sind;</w:t>
      </w:r>
    </w:p>
    <w:p>
      <w:pPr>
        <w:tabs>
          <w:tab w:pos="567" w:val="left"/>
        </w:tabs>
        <w:ind w:left="567" w:hanging="567"/>
      </w:pPr>
      <w:r>
        <w:t>8.</w:t>
      </w:r>
      <w:r>
        <w:tab/>
      </w:r>
      <w:r>
        <w:t xml:space="preserve">Geldbußen, Ordnungsgelder und Verwarnungsgelder, die von einem Gericht oder einer Behörde im Geltungsbereich dieses Gesetzes oder von einem Mitgliedstaat oder von Organen der Europäischen Union festgesetzt wurden sowie damit zusammenhängende Aufwendungen. </w:t>
      </w:r>
      <w:r>
        <w:rPr>
          <w:rStyle w:val="Satznummer"/>
        </w:rPr>
        <w:t>2</w:t>
      </w:r>
      <w:r>
        <w:t xml:space="preserve">Dasselbe gilt für Leistungen zur Erfüllung von Auflagen oder Weisungen, die in einem berufsgerichtlichen Verfahren erteilt werden, soweit die Auflagen oder Weisungen nicht lediglich der Wiedergutmachung des durch die Tat verursachten Schadens dienen. </w:t>
      </w:r>
      <w:r>
        <w:rPr>
          <w:rStyle w:val="Satznummer"/>
        </w:rPr>
        <w:t>3</w:t>
      </w:r>
      <w:r>
        <w:t xml:space="preserve">Die Rückzahlung von Ausgaben im Sinne der Sätze 1 und 2 darf den Gewinn nicht erhöhen. </w:t>
      </w:r>
      <w:r>
        <w:rPr>
          <w:rStyle w:val="Satznummer"/>
        </w:rPr>
        <w:t>4</w:t>
      </w:r>
      <w:r>
        <w:t>Das Abzugsverbot für Geldbußen gilt nicht, soweit der wirtschaftliche Vorteil, der durch den Gesetzesverstoß erlangt wurde, abgeschöpft worden ist, wenn die Steuern vom Einkommen und Ertrag, die auf den wirtschaftlichen Vorteil entfallen, nicht abgezogen worden sind; Satz 3 ist insoweit nicht anzuwenden;</w:t>
      </w:r>
    </w:p>
    <w:p>
      <w:pPr>
        <w:tabs>
          <w:tab w:pos="567" w:val="left"/>
        </w:tabs>
        <w:ind w:left="567" w:hanging="567"/>
      </w:pPr>
      <w:r>
        <w:t>8a.</w:t>
      </w:r>
      <w:r>
        <w:tab/>
      </w:r>
      <w:r>
        <w:t>Zinsen auf hinterzogene Steuern nach § 235 der Abgabenordnung und Zinsen nach § 233a der Abgabenordnung, soweit diese nach § 235 Absatz 4 der Abgabenordnung auf die Hinterziehungszinsen angerechnet werden;</w:t>
      </w:r>
    </w:p>
    <w:p>
      <w:pPr>
        <w:tabs>
          <w:tab w:pos="567" w:val="left"/>
        </w:tabs>
        <w:ind w:left="567" w:hanging="567"/>
      </w:pPr>
      <w:r>
        <w:t>9.</w:t>
      </w:r>
      <w:r>
        <w:tab/>
      </w:r>
      <w:r>
        <w:t>Ausgleichszahlungen, die in den Fällen der §§ 14 und 17 des Körperschaftsteuergesetzes an außenstehende Anteilseigner geleistet werden;</w:t>
      </w:r>
    </w:p>
    <w:p>
      <w:pPr>
        <w:tabs>
          <w:tab w:pos="567" w:val="left"/>
        </w:tabs>
        <w:ind w:left="567" w:hanging="567"/>
      </w:pPr>
      <w:r>
        <w:t>10.</w:t>
      </w:r>
      <w:r>
        <w:tab/>
      </w:r>
      <w:r>
        <w:t xml:space="preserve">die Zuwendung von Vorteilen sowie damit zusammenhängende Aufwendungen, wenn die Zuwendung der Vorteile eine rechtswidrige Handlung darstellt, die den Tatbestand eines Strafgesetzes oder eines Gesetzes verwirklicht, das die Ahndung mit einer Geldbuße zulässt. </w:t>
      </w:r>
      <w:r>
        <w:rPr>
          <w:rStyle w:val="Satznummer"/>
        </w:rPr>
        <w:t>2</w:t>
      </w:r>
      <w:r>
        <w:t xml:space="preserve">Gerichte, Staatsanwaltschaften oder Verwaltungsbehörden haben Tatsachen, die sie dienstlich erfahren und die den Verdacht einer Tat im Sinne des Satzes 1 begründen, der Finanzbehörde für Zwecke des Besteuerungsverfahrens und zur Verfolgung von Steuerstraftaten und Steuerordnungswidrigkeiten mitzuteilen. </w:t>
      </w:r>
      <w:r>
        <w:rPr>
          <w:rStyle w:val="Satznummer"/>
        </w:rPr>
        <w:t>3</w:t>
      </w:r>
      <w:r>
        <w:t xml:space="preserve">Die Finanzbehörde teilt Tatsachen, die den Verdacht einer Straftat oder einer Ordnungswidrigkeit im Sinne des Satzes 1 begründen, der Staatsanwaltschaft oder der Verwaltungsbehörde mit. </w:t>
      </w:r>
      <w:r>
        <w:rPr>
          <w:rStyle w:val="Satznummer"/>
        </w:rPr>
        <w:t>4</w:t>
      </w:r>
      <w:r>
        <w:t>Diese unterrichten die Finanzbehörde von dem Ausgang des Verfahrens und den zugrundeliegenden Tatsachen;</w:t>
      </w:r>
    </w:p>
    <w:p>
      <w:pPr>
        <w:tabs>
          <w:tab w:pos="567" w:val="left"/>
        </w:tabs>
        <w:ind w:left="567" w:hanging="567"/>
      </w:pPr>
      <w:r>
        <w:t>11.</w:t>
      </w:r>
      <w:r>
        <w:tab/>
      </w:r>
      <w:r>
        <w:t xml:space="preserve">Aufwendungen, die mit unmittelbaren oder mittelbaren Zuwendungen von nicht einlagefähigen Vorteilen an natürliche oder juristische Personen oder Personengesellschaften zur Verwendung in Betrieben in tatsächlichem oder wirtschaftlichem Zusammenhang stehen, deren Gewinn nach </w:t>
      </w:r>
      <w:hyperlink w:anchor="b26" w:history="1">
        <w:r>
          <w:rPr>
            <w:color w:val="0A3A8C"/>
            <w:u w:val="single"/>
          </w:rPr>
          <w:t xml:space="preserve">§ 5a</w:t>
        </w:r>
      </w:hyperlink>
      <w:r>
        <w:t xml:space="preserve"> Absatz 1 ermittelt wird;</w:t>
      </w:r>
    </w:p>
    <w:p>
      <w:pPr>
        <w:tabs>
          <w:tab w:pos="567" w:val="left"/>
        </w:tabs>
        <w:ind w:left="567" w:hanging="567"/>
      </w:pPr>
      <w:r>
        <w:t>12.</w:t>
      </w:r>
      <w:r>
        <w:tab/>
      </w:r>
      <w:r>
        <w:t>Zuschläge nach § 162 Absatz 4 der Abgabenordnung;</w:t>
      </w:r>
    </w:p>
    <w:p>
      <w:pPr>
        <w:tabs>
          <w:tab w:pos="567" w:val="left"/>
        </w:tabs>
        <w:ind w:left="567" w:hanging="567"/>
      </w:pPr>
      <w:r>
        <w:t>13.</w:t>
      </w:r>
      <w:r>
        <w:tab/>
      </w:r>
      <w:r>
        <w:t>Jahresbeiträge nach § 12 Absatz 2 des Restrukturierungsfondsgesetzes.</w:t>
      </w:r>
    </w:p>
    <w:p>
      <w:r>
        <w:rPr>
          <w:rStyle w:val="Satznummer"/>
        </w:rPr>
        <w:t>2</w:t>
      </w:r>
      <w:r>
        <w:t xml:space="preserve">Das Abzugsverbot gilt nicht, soweit die in den Nummern 2 bis 4 bezeichneten Zwecke Gegenstand einer mit Gewinnabsicht ausgeübten Betätigung des Steuerpflichtigen sind. </w:t>
      </w:r>
      <w:r>
        <w:rPr>
          <w:rStyle w:val="Satznummer"/>
        </w:rPr>
        <w:t>3</w:t>
      </w:r>
      <w:hyperlink w:anchor="b66" w:history="1">
        <w:r>
          <w:rPr>
            <w:color w:val="0A3A8C"/>
            <w:u w:val="single"/>
          </w:rPr>
          <w:t xml:space="preserve">§ 12</w:t>
        </w:r>
      </w:hyperlink>
      <w:r>
        <w:t xml:space="preserve"> Nummer 1 bleibt unberührt.</w:t>
      </w:r>
    </w:p>
    <w:p>
      <w:r>
        <w:t>(5a) (weggefallen)</w:t>
      </w:r>
    </w:p>
    <w:p>
      <w:r>
        <w:t>(5b) Die Gewerbesteuer und die darauf entfallenden Nebenleistungen sind keine Betriebsausgaben.</w:t>
      </w:r>
    </w:p>
    <w:p>
      <w:r>
        <w:t>(6) Aufwendungen zur Förderung staatspolitischer Zwecke (</w:t>
      </w:r>
      <w:hyperlink w:anchor="b53" w:history="1">
        <w:r>
          <w:rPr>
            <w:color w:val="0A3A8C"/>
            <w:u w:val="single"/>
          </w:rPr>
          <w:t xml:space="preserve">§ 10b</w:t>
        </w:r>
      </w:hyperlink>
      <w:r>
        <w:t xml:space="preserve"> Absatz 2) sind keine Betriebsausgaben.</w:t>
      </w:r>
    </w:p>
    <w:p>
      <w:r>
        <w:t xml:space="preserve">(7) </w:t>
      </w:r>
      <w:r>
        <w:rPr>
          <w:rStyle w:val="Satznummer"/>
        </w:rPr>
        <w:t>1</w:t>
      </w:r>
      <w:r>
        <w:t xml:space="preserve">Aufwendungen im Sinne des Absatzes 5 Satz 1 Nummer 1 bis 4, 6b und 7 sind einzeln und getrennt von den sonstigen Betriebsausgaben aufzuzeichnen. </w:t>
      </w:r>
      <w:r>
        <w:rPr>
          <w:rStyle w:val="Satznummer"/>
        </w:rPr>
        <w:t>2</w:t>
      </w:r>
      <w:r>
        <w:t>Soweit diese Aufwendungen nicht bereits nach Absatz 5 vom Abzug ausgeschlossen sind, dürfen sie bei der Gewinnermittlung nur berücksichtigt werden, wenn sie nach Satz 1 besonders aufgezeichnet sind.</w:t>
      </w:r>
    </w:p>
    <w:p>
      <w:r>
        <w:t xml:space="preserve">(8) Für Erhaltungsaufwand bei Gebäuden in Sanierungsgebieten und städtebaulichen Entwicklungsbereichen sowie bei Baudenkmalen gelten die </w:t>
      </w:r>
      <w:hyperlink w:anchor="b63" w:history="1">
        <w:r>
          <w:rPr>
            <w:color w:val="0A3A8C"/>
            <w:u w:val="single"/>
          </w:rPr>
          <w:t xml:space="preserve">§§ 11a</w:t>
        </w:r>
      </w:hyperlink>
      <w:r>
        <w:t xml:space="preserve"> und </w:t>
      </w:r>
      <w:hyperlink w:anchor="b64" w:history="1">
        <w:r>
          <w:rPr>
            <w:color w:val="0A3A8C"/>
            <w:u w:val="single"/>
          </w:rPr>
          <w:t xml:space="preserve">11b</w:t>
        </w:r>
      </w:hyperlink>
      <w:r>
        <w:t xml:space="preserve"> entsprechend.</w:t>
      </w:r>
    </w:p>
    <w:p>
      <w:r>
        <w:t xml:space="preserve">(9) </w:t>
      </w:r>
      <w:r>
        <w:rPr>
          <w:rStyle w:val="Satznummer"/>
        </w:rPr>
        <w:t>1</w:t>
      </w:r>
      <w:r>
        <w:t xml:space="preserve">Aufwendungen des Steuerpflichtigen für seine Berufsausbildung oder für sein Studium sind nur dann Betriebsausgaben, wenn der Steuerpflichtige zuvor bereits eine Erstausbildung (Berufsausbildung oder Studium) abgeschlossen hat. </w:t>
      </w:r>
      <w:r>
        <w:rPr>
          <w:rStyle w:val="Satznummer"/>
        </w:rPr>
        <w:t>2</w:t>
      </w:r>
      <w:hyperlink w:anchor="b46" w:history="1">
        <w:r>
          <w:rPr>
            <w:color w:val="0A3A8C"/>
            <w:u w:val="single"/>
          </w:rPr>
          <w:t xml:space="preserve">§ 9</w:t>
        </w:r>
      </w:hyperlink>
      <w:r>
        <w:t xml:space="preserve"> Absatz 6 Satz 2 bis 5 gilt entsprechend.</w:t>
      </w:r>
    </w:p>
    <w:p>
      <w:r>
        <w:t xml:space="preserve">(10) </w:t>
      </w:r>
      <w:hyperlink w:anchor="b46" w:history="1">
        <w:r>
          <w:rPr>
            <w:color w:val="0A3A8C"/>
            <w:u w:val="single"/>
          </w:rPr>
          <w:t xml:space="preserve">§ 9</w:t>
        </w:r>
      </w:hyperlink>
      <w:r>
        <w:t xml:space="preserve"> Absatz 1 Satz 3 Nummer 5b ist entsprechend anzuwenden.</w:t>
      </w:r>
    </w:p>
    <w:p>
      <w:pPr>
        <w:pStyle w:val="Heading3"/>
      </w:pPr>
      <w:bookmarkStart w:id="15" w:name="b14"/>
      <w:r>
        <w:t>§ 4a Gewinnermittlungszeitraum, Wirtschaftsjahr</w:t>
      </w:r>
      <w:r>
        <w:t xml:space="preserve"> </w:t>
      </w:r>
      <w:r>
        <w:rPr>
          <w:rStyle w:val="Suchmarke"/>
        </w:rPr>
        <w:t>#4a#</w:t>
      </w:r>
      <w:bookmarkEnd w:id="15"/>
    </w:p>
    <w:p>
      <w:r>
        <w:t xml:space="preserve">(1) </w:t>
      </w:r>
      <w:r>
        <w:rPr>
          <w:rStyle w:val="Satznummer"/>
        </w:rPr>
        <w:t>1</w:t>
      </w:r>
      <w:r>
        <w:t xml:space="preserve">Bei Land- und Forstwirten und bei Gewerbetreibenden ist der Gewinn nach dem Wirtschaftsjahr zu ermitteln. </w:t>
      </w:r>
      <w:r>
        <w:rPr>
          <w:rStyle w:val="Satznummer"/>
        </w:rPr>
        <w:t>2</w:t>
      </w:r>
      <w:r>
        <w:t>Wirtschaftsjahr ist</w:t>
      </w:r>
    </w:p>
    <w:p>
      <w:pPr>
        <w:tabs>
          <w:tab w:pos="567" w:val="left"/>
        </w:tabs>
        <w:ind w:left="567" w:hanging="567"/>
      </w:pPr>
      <w:r>
        <w:t>1.</w:t>
      </w:r>
      <w:r>
        <w:tab/>
      </w:r>
      <w:r>
        <w:t xml:space="preserve">bei Land- und Forstwirten der Zeitraum vom 1. Juli bis zum 30. Juni. </w:t>
      </w:r>
      <w:r>
        <w:rPr>
          <w:rStyle w:val="Satznummer"/>
        </w:rPr>
        <w:t>2</w:t>
      </w:r>
      <w:r>
        <w:t>Durch Rechtsverordnung kann für einzelne Gruppen von Land- und Forstwirten ein anderer Zeitraum bestimmt werden, wenn das aus wirtschaftlichen Gründen erforderlich ist;</w:t>
      </w:r>
    </w:p>
    <w:p>
      <w:pPr>
        <w:tabs>
          <w:tab w:pos="567" w:val="left"/>
        </w:tabs>
        <w:ind w:left="567" w:hanging="567"/>
      </w:pPr>
      <w:r>
        <w:t>2.</w:t>
      </w:r>
      <w:r>
        <w:tab/>
      </w:r>
      <w:r>
        <w:t xml:space="preserve">bei Gewerbetreibenden, deren Firma im Handelsregister eingetragen ist, der Zeitraum, für den sie regelmäßig Abschlüsse machen. </w:t>
      </w:r>
      <w:r>
        <w:rPr>
          <w:rStyle w:val="Satznummer"/>
        </w:rPr>
        <w:t>2</w:t>
      </w:r>
      <w:r>
        <w:t>Die Umstellung des Wirtschaftsjahres auf einen vom Kalenderjahr abweichenden Zeitraum ist steuerlich nur wirksam, wenn sie im Einvernehmen mit dem Finanzamt vorgenommen wird;</w:t>
      </w:r>
    </w:p>
    <w:p>
      <w:pPr>
        <w:tabs>
          <w:tab w:pos="567" w:val="left"/>
        </w:tabs>
        <w:ind w:left="567" w:hanging="567"/>
      </w:pPr>
      <w:r>
        <w:t>3.</w:t>
      </w:r>
      <w:r>
        <w:tab/>
      </w:r>
      <w:r>
        <w:t xml:space="preserve">bei anderen Gewerbetreibenden das Kalenderjahr. </w:t>
      </w:r>
      <w:r>
        <w:rPr>
          <w:rStyle w:val="Satznummer"/>
        </w:rPr>
        <w:t>2</w:t>
      </w:r>
      <w:r>
        <w:t>Sind sie gleichzeitig buchführende Land- und Forstwirte, so können sie mit Zustimmung des Finanzamts den nach Nummer 1 maßgebenden Zeitraum als Wirtschaftsjahr für den Gewerbebetrieb bestimmen, wenn sie für den Gewerbebetrieb Bücher führen und für diesen Zeitraum regelmäßig Abschlüsse machen.</w:t>
      </w:r>
    </w:p>
    <w:p>
      <w:r>
        <w:t>(2) Bei Land- und Forstwirten und bei Gewerbetreibenden, deren Wirtschaftsjahr vom Kalenderjahr abweicht, ist der Gewinn aus Land- und Forstwirtschaft oder aus Gewerbebetrieb bei der Ermittlung des Einkommens in folgender Weise zu berücksichtigen:</w:t>
      </w:r>
    </w:p>
    <w:p>
      <w:pPr>
        <w:tabs>
          <w:tab w:pos="567" w:val="left"/>
        </w:tabs>
        <w:ind w:left="567" w:hanging="567"/>
      </w:pPr>
      <w:r>
        <w:t>1.</w:t>
      </w:r>
      <w:r>
        <w:tab/>
      </w:r>
      <w:r>
        <w:t xml:space="preserve">Bei Land- und Forstwirten ist der Gewinn des Wirtschaftsjahres auf das Kalenderjahr, in dem das Wirtschaftsjahr beginnt, und auf das Kalenderjahr, in dem das Wirtschaftsjahr endet, entsprechend dem zeitlichen Anteil aufzuteilen. </w:t>
      </w:r>
      <w:r>
        <w:rPr>
          <w:rStyle w:val="Satznummer"/>
        </w:rPr>
        <w:t>2</w:t>
      </w:r>
      <w:r>
        <w:t xml:space="preserve">Bei der Aufteilung sind Veräußerungsgewinne im Sinne des </w:t>
      </w:r>
      <w:hyperlink w:anchor="b72" w:history="1">
        <w:r>
          <w:rPr>
            <w:color w:val="0A3A8C"/>
            <w:u w:val="single"/>
          </w:rPr>
          <w:t xml:space="preserve">§ 14</w:t>
        </w:r>
      </w:hyperlink>
      <w:r>
        <w:t xml:space="preserve"> auszuscheiden und dem Gewinn des Kalenderjahres hinzuzurechnen, in dem sie entstanden sind;</w:t>
      </w:r>
    </w:p>
    <w:p>
      <w:pPr>
        <w:tabs>
          <w:tab w:pos="567" w:val="left"/>
        </w:tabs>
        <w:ind w:left="567" w:hanging="567"/>
      </w:pPr>
      <w:r>
        <w:t>2.</w:t>
      </w:r>
      <w:r>
        <w:tab/>
      </w:r>
      <w:r>
        <w:t>bei Gewerbetreibenden gilt der Gewinn des Wirtschaftsjahres als in dem Kalenderjahr bezogen, in dem das Wirtschaftsjahr endet.</w:t>
      </w:r>
    </w:p>
    <w:p>
      <w:pPr>
        <w:pStyle w:val="Heading3"/>
      </w:pPr>
      <w:bookmarkStart w:id="16" w:name="b15"/>
      <w:r>
        <w:t>§ 4b Direktversicherung</w:t>
      </w:r>
      <w:r>
        <w:t xml:space="preserve"> </w:t>
      </w:r>
      <w:r>
        <w:rPr>
          <w:rStyle w:val="Suchmarke"/>
        </w:rPr>
        <w:t>#4b#</w:t>
      </w:r>
      <w:bookmarkEnd w:id="16"/>
    </w:p>
    <w:p>
      <w:r>
        <w:rPr>
          <w:rStyle w:val="Satznummer"/>
        </w:rPr>
        <w:t>1</w:t>
      </w:r>
      <w:r>
        <w:t xml:space="preserve">Der Versicherungsanspruch aus einer Direktversicherung, die von einem Steuerpflichtigen aus betrieblichem Anlass abgeschlossen wird, ist dem Betriebsvermögen des Steuerpflichtigen nicht zuzurechnen, soweit am Schluss des Wirtschaftsjahres hinsichtlich der Leistungen des Versicherers die Person, auf deren Leben die Lebensversicherung abgeschlossen ist, oder ihre Hinterbliebenen bezugsberechtigt sind. </w:t>
      </w:r>
      <w:r>
        <w:rPr>
          <w:rStyle w:val="Satznummer"/>
        </w:rPr>
        <w:t>2</w:t>
      </w:r>
      <w:r>
        <w:t>Das gilt auch, wenn der Steuerpflichtige die Ansprüche aus dem Versicherungsvertrag abgetreten oder beliehen hat, sofern er sich der bezugsberechtigten Person gegenüber schriftlich verpflichtet, sie bei Eintritt des Versicherungsfalls so zu stellen, als ob die Abtretung oder Beleihung nicht erfolgt wäre.</w:t>
      </w:r>
    </w:p>
    <w:p>
      <w:pPr>
        <w:pStyle w:val="Heading3"/>
      </w:pPr>
      <w:bookmarkStart w:id="17" w:name="b16"/>
      <w:r>
        <w:t>§ 4c Zuwendungen an Pensionskassen</w:t>
      </w:r>
      <w:r>
        <w:t xml:space="preserve"> </w:t>
      </w:r>
      <w:r>
        <w:rPr>
          <w:rStyle w:val="Suchmarke"/>
        </w:rPr>
        <w:t>#4c#</w:t>
      </w:r>
      <w:bookmarkEnd w:id="17"/>
    </w:p>
    <w:p>
      <w:r>
        <w:t xml:space="preserve">(1) </w:t>
      </w:r>
      <w:r>
        <w:rPr>
          <w:rStyle w:val="Satznummer"/>
        </w:rPr>
        <w:t>1</w:t>
      </w:r>
      <w:r>
        <w:t xml:space="preserve">Zuwendungen an eine Pensionskasse dürfen von dem Unternehmen, das die Zuwendungen leistet (Trägerunternehmen), als Betriebsausgaben abgezogen werden, soweit sie auf einer in der Satzung oder im Geschäftsplan der Kasse festgelegten Verpflichtung oder auf einer Anordnung der Versicherungsaufsichtsbehörde beruhen oder der Abdeckung von Fehlbeträgen bei der Kasse dienen. </w:t>
      </w:r>
      <w:r>
        <w:rPr>
          <w:rStyle w:val="Satznummer"/>
        </w:rPr>
        <w:t>2</w:t>
      </w:r>
      <w:r>
        <w:t>Soweit die allgemeinen Versicherungsbedingungen und die fachlichen Geschäftsunterlagen im Sinne des § 219 Absatz 3 Nummer 1 Buchstabe b des Versicherungsaufsichtsgesetzes nicht zum Geschäftsplan gehören, gelten diese als Teil des Geschäftsplans.</w:t>
      </w:r>
    </w:p>
    <w:p>
      <w:r>
        <w:t>(2) Zuwendungen im Sinne des Absatzes 1 dürfen als Betriebsausgaben nicht abgezogen werden, soweit die Leistungen der Kasse, wenn sie vom Trägerunternehmen unmittelbar erbracht würden, bei diesem nicht betrieblich veranlasst wären.</w:t>
      </w:r>
    </w:p>
    <w:p>
      <w:pPr>
        <w:pStyle w:val="Heading3"/>
      </w:pPr>
      <w:bookmarkStart w:id="18" w:name="b17"/>
      <w:r>
        <w:t>§ 4d Zuwendungen an Unterstützungskassen</w:t>
      </w:r>
      <w:r>
        <w:t xml:space="preserve"> </w:t>
      </w:r>
      <w:r>
        <w:rPr>
          <w:rStyle w:val="Suchmarke"/>
        </w:rPr>
        <w:t>#4d#</w:t>
      </w:r>
      <w:bookmarkEnd w:id="18"/>
    </w:p>
    <w:p>
      <w:r>
        <w:t xml:space="preserve">(1) </w:t>
      </w:r>
      <w:r>
        <w:rPr>
          <w:rStyle w:val="Satznummer"/>
        </w:rPr>
        <w:t>1</w:t>
      </w:r>
      <w:r>
        <w:t>Zuwendungen an eine Unterstützungskasse dürfen von dem Unternehmen, das die Zuwendungen leistet (Trägerunternehmen), als Betriebsausgaben abgezogen werden, soweit die Leistungen der Kasse, wenn sie vom Trägerunternehmen unmittelbar erbracht würden, bei diesem betrieblich veranlasst wären und sie die folgenden Beträge nicht übersteigen:</w:t>
      </w:r>
    </w:p>
    <w:p>
      <w:pPr>
        <w:tabs>
          <w:tab w:pos="567" w:val="left"/>
        </w:tabs>
        <w:ind w:left="567" w:hanging="567"/>
      </w:pPr>
      <w:r>
        <w:t>1.</w:t>
      </w:r>
      <w:r>
        <w:tab/>
      </w:r>
      <w:r>
        <w:t>bei Unterstützungskassen, die lebenslänglich laufende Leistungen gewähren:</w:t>
      </w:r>
    </w:p>
    <w:p>
      <w:pPr>
        <w:tabs>
          <w:tab w:pos="1134" w:val="left"/>
        </w:tabs>
        <w:ind w:left="1134" w:hanging="567"/>
      </w:pPr>
      <w:r>
        <w:t>a)</w:t>
      </w:r>
      <w:r>
        <w:tab/>
      </w:r>
      <w:r>
        <w:t xml:space="preserve">das Deckungskapital für die laufenden Leistungen nach der dem Gesetz als Anlage 1 beigefügten Tabelle. </w:t>
      </w:r>
      <w:r>
        <w:rPr>
          <w:rStyle w:val="Satznummer"/>
        </w:rPr>
        <w:t>2</w:t>
      </w:r>
      <w:r>
        <w:t xml:space="preserve">Leistungsempfänger ist jeder ehemalige Arbeitnehmer des Trägerunternehmens, der von der Unterstützungskasse Leistungen erhält; soweit die Kasse Hinterbliebenenversorgung gewährt, ist Leistungsempfänger der Hinterbliebene eines ehemaligen Arbeitnehmers des Trägerunternehmens, der von der Kasse Leistungen erhält. </w:t>
      </w:r>
      <w:r>
        <w:rPr>
          <w:rStyle w:val="Satznummer"/>
        </w:rPr>
        <w:t>3</w:t>
      </w:r>
      <w:r>
        <w:t>Dem ehemaligen Arbeitnehmer stehen andere Personen gleich, denen Leistungen der Alters-, Invaliditäts- oder Hinterbliebenenversorgung aus Anlass ihrer ehemaligen Tätigkeit für das Trägerunternehmen zugesagt worden sind;</w:t>
      </w:r>
    </w:p>
    <w:p>
      <w:pPr>
        <w:tabs>
          <w:tab w:pos="1134" w:val="left"/>
        </w:tabs>
        <w:ind w:left="1134" w:hanging="567"/>
      </w:pPr>
      <w:r>
        <w:t>b)</w:t>
      </w:r>
      <w:r>
        <w:tab/>
      </w:r>
      <w:r>
        <w:t>in jedem Wirtschaftsjahr für jeden Leistungsanwärter,</w:t>
      </w:r>
    </w:p>
    <w:p>
      <w:pPr>
        <w:tabs>
          <w:tab w:pos="1701" w:val="left"/>
        </w:tabs>
        <w:ind w:left="1701" w:hanging="567"/>
      </w:pPr>
      <w:r>
        <w:t>aa)</w:t>
      </w:r>
      <w:r>
        <w:tab/>
      </w:r>
      <w:r>
        <w:t>wenn die Kasse nur Invaliditätsversorgung oder nur Hinterbliebenenversorgung gewährt, jeweils 6 Prozent,</w:t>
      </w:r>
    </w:p>
    <w:p>
      <w:pPr>
        <w:tabs>
          <w:tab w:pos="1701" w:val="left"/>
        </w:tabs>
        <w:ind w:left="1701" w:hanging="567"/>
      </w:pPr>
      <w:r>
        <w:t>bb)</w:t>
      </w:r>
      <w:r>
        <w:tab/>
      </w:r>
      <w:r>
        <w:t>wenn die Kasse Altersversorgung mit oder ohne Einschluss von Invaliditätsversorgung oder Hinterbliebenenversorgung gewährt, 25 Prozent</w:t>
      </w:r>
    </w:p>
    <w:p>
      <w:pPr>
        <w:ind w:left="1134"/>
      </w:pPr>
      <w:r>
        <w:t xml:space="preserve">der jährlichen Versorgungsleistungen, die der Leistungsanwärter oder, wenn nur Hinterbliebenenversorgung gewährt wird, dessen Hinterbliebene nach den Verhältnissen am Schluss des Wirtschaftsjahres der Zuwendung im letzten Zeitpunkt der Anwartschaft, spätestens zum Zeitpunkt des Erreichens der Regelaltersgrenze der gesetzlichen Rentenversicherung erhalten können. </w:t>
      </w:r>
      <w:r>
        <w:rPr>
          <w:rStyle w:val="Satznummer"/>
        </w:rPr>
        <w:t>2</w:t>
      </w:r>
      <w:r>
        <w:t>Leistungsanwärter ist jeder Arbeitnehmer oder ehemalige Arbeitnehmer des Trägerunternehmens, der von der Unterstützungskasse schriftlich zugesagte Leistungen erhalten kann und am Schluss des Wirtschaftsjahres, in dem die Zuwendung erfolgt,</w:t>
      </w:r>
    </w:p>
    <w:p>
      <w:pPr>
        <w:tabs>
          <w:tab w:pos="1701" w:val="left"/>
        </w:tabs>
        <w:ind w:left="1701" w:hanging="567"/>
      </w:pPr>
      <w:r>
        <w:t>aa)</w:t>
      </w:r>
      <w:r>
        <w:tab/>
      </w:r>
      <w:r>
        <w:t>bei erstmals nach dem 31. Dezember 2017 zugesagten Leistungen das 23. Lebensjahr vollendet hat,</w:t>
      </w:r>
    </w:p>
    <w:p>
      <w:pPr>
        <w:tabs>
          <w:tab w:pos="1701" w:val="left"/>
        </w:tabs>
        <w:ind w:left="1701" w:hanging="567"/>
      </w:pPr>
      <w:r>
        <w:t>bb)</w:t>
      </w:r>
      <w:r>
        <w:tab/>
      </w:r>
      <w:r>
        <w:t>bei erstmals nach dem 31. Dezember 2008 und vor dem 1. Januar 2018 zugesagten Leistungen das 27. Lebensjahr vollendet hat oder</w:t>
      </w:r>
    </w:p>
    <w:p>
      <w:pPr>
        <w:tabs>
          <w:tab w:pos="1701" w:val="left"/>
        </w:tabs>
        <w:ind w:left="1701" w:hanging="567"/>
      </w:pPr>
      <w:r>
        <w:t>cc)</w:t>
      </w:r>
      <w:r>
        <w:tab/>
      </w:r>
      <w:r>
        <w:t>bei erstmals vor dem 1. Januar 2009 zugesagten Leistungen das 28. Lebensjahr vollendet hat;</w:t>
      </w:r>
    </w:p>
    <w:p>
      <w:pPr>
        <w:ind w:left="1134"/>
      </w:pPr>
      <w:r>
        <w:t xml:space="preserve">soweit die Kasse nur Hinterbliebenenversorgung gewährt, gilt als Leistungsanwärter jeder Arbeitnehmer oder ehemalige Arbeitnehmer des Trägerunternehmens, der am Schluss des Wirtschaftsjahres, in dem die Zuwendung erfolgt, das nach dem ersten Halbsatz maßgebende Lebensjahr vollendet hat und dessen Hinterbliebene die Hinterbliebenenversorgung erhalten können. </w:t>
      </w:r>
      <w:r>
        <w:rPr>
          <w:rStyle w:val="Satznummer"/>
        </w:rPr>
        <w:t>3</w:t>
      </w:r>
      <w:r>
        <w:t xml:space="preserve">Das Trägerunternehmen kann bei der Berechnung nach Satz 1 statt des dort maßgebenden Betrags den Durchschnittsbetrag der von der Kasse im Wirtschaftsjahr an Leistungsempfänger im Sinne des Buchstabens a Satz 2 gewährten Leistungen zugrunde legen. </w:t>
      </w:r>
      <w:r>
        <w:rPr>
          <w:rStyle w:val="Satznummer"/>
        </w:rPr>
        <w:t>4</w:t>
      </w:r>
      <w:r>
        <w:t xml:space="preserve">In diesem Fall sind Leistungsanwärter im Sinne des Satzes 2 nur die Arbeitnehmer oder ehemaligen Arbeitnehmer des Trägerunternehmens, die am Schluss des Wirtschaftsjahres, in dem die Zuwendung erfolgt, das 50. Lebensjahr vollendet haben. </w:t>
      </w:r>
      <w:r>
        <w:rPr>
          <w:rStyle w:val="Satznummer"/>
        </w:rPr>
        <w:t>5</w:t>
      </w:r>
      <w:r>
        <w:t>Dem Arbeitnehmer oder ehemaligen Arbeitnehmer als Leistungsanwärter stehen andere Personen gleich, denen schriftlich Leistungen der Alters-, Invaliditäts- oder Hinterbliebenenversorgung aus Anlass ihrer Tätigkeit für das Trägerunternehmen zugesagt worden sind;</w:t>
      </w:r>
    </w:p>
    <w:p>
      <w:pPr>
        <w:tabs>
          <w:tab w:pos="1134" w:val="left"/>
        </w:tabs>
        <w:ind w:left="1134" w:hanging="567"/>
      </w:pPr>
      <w:r>
        <w:t>c)</w:t>
      </w:r>
      <w:r>
        <w:tab/>
      </w:r>
      <w:r>
        <w:t xml:space="preserve">den Betrag des Beitrages, den die Kasse an einen Versicherer zahlt, soweit sie sich die Mittel für ihre Versorgungsleistungen, die der Leistungsanwärter oder Leistungsempfänger nach den Verhältnissen am Schluss des Wirtschaftsjahres der Zuwendung erhalten kann, durch Abschluss einer Versicherung verschafft. </w:t>
      </w:r>
      <w:r>
        <w:rPr>
          <w:rStyle w:val="Satznummer"/>
        </w:rPr>
        <w:t>2</w:t>
      </w:r>
      <w:r>
        <w:t xml:space="preserve">Bei Versicherungen für einen Leistungsanwärter ist der Abzug des Beitrages nur zulässig, wenn der Leistungsanwärter die in Buchstabe b Satz 2 und 5 genannten Voraussetzungen erfüllt, die Versicherung für die Dauer bis zu dem Zeitpunkt abgeschlossen ist, für den erstmals Leistungen der Altersversorgung vorgesehen sind, mindestens jedoch bis zu dem Zeitpunkt, an dem der Leistungsanwärter das 55. Lebensjahr vollendet hat, und während dieser Zeit jährlich Beiträge gezahlt werden, die der Höhe nach gleich bleiben oder steigen. </w:t>
      </w:r>
      <w:r>
        <w:rPr>
          <w:rStyle w:val="Satznummer"/>
        </w:rPr>
        <w:t>3</w:t>
      </w:r>
      <w:r>
        <w:t xml:space="preserve">Das Gleiche gilt für Leistungsanwärter, die das nach Buchstabe b Satz 2 jeweils maßgebende Lebensjahr noch nicht vollendet haben, für Leistungen der Invaliditäts- oder Hinterbliebenenversorgung, für Leistungen der Altersversorgung unter der Voraussetzung, dass die Leistungsanwartschaft bereits unverfallbar ist. </w:t>
      </w:r>
      <w:r>
        <w:rPr>
          <w:rStyle w:val="Satznummer"/>
        </w:rPr>
        <w:t>4</w:t>
      </w:r>
      <w:r>
        <w:t xml:space="preserve">Ein Abzug ist ausgeschlossen, wenn die Ansprüche aus der Versicherung der Sicherung eines Darlehens dienen. </w:t>
      </w:r>
      <w:r>
        <w:rPr>
          <w:rStyle w:val="Satznummer"/>
        </w:rPr>
        <w:t>5</w:t>
      </w:r>
      <w:r>
        <w:t>Liegen die Voraussetzungen der Sätze 1 bis 4 vor, sind die Zuwendungen nach den Buchstaben a und b in dem Verhältnis zu vermindern, in dem die Leistungen der Kasse durch die Versicherung gedeckt sind;</w:t>
      </w:r>
    </w:p>
    <w:p>
      <w:pPr>
        <w:tabs>
          <w:tab w:pos="1134" w:val="left"/>
        </w:tabs>
        <w:ind w:left="1134" w:hanging="567"/>
      </w:pPr>
      <w:r>
        <w:t>d)</w:t>
      </w:r>
      <w:r>
        <w:tab/>
      </w:r>
      <w:r>
        <w:t>den Betrag, den die Kasse einem Leistungsanwärter im Sinne des Buchstabens b Satz 2 und 5 vor Eintritt des Versorgungsfalls als Abfindung für künftige Versorgungsleistungen gewährt, den Übertragungswert nach § 4 Absatz 5 des Betriebsrentengesetzes oder den Betrag, den sie an einen anderen Versorgungsträger zahlt, der eine ihr obliegende Versorgungsverpflichtung übernommen hat.</w:t>
      </w:r>
    </w:p>
    <w:p>
      <w:pPr>
        <w:ind w:left="567"/>
      </w:pPr>
      <w:r>
        <w:rPr>
          <w:rStyle w:val="Satznummer"/>
        </w:rPr>
        <w:t>2</w:t>
      </w:r>
      <w:r>
        <w:t xml:space="preserve">Zuwendungen dürfen nicht als Betriebsausgaben abgezogen werden, wenn das Vermögen der Kasse ohne Berücksichtigung künftiger Versorgungsleistungen am Schluss des Wirtschaftsjahres das zulässige Kassenvermögen übersteigt. </w:t>
      </w:r>
      <w:r>
        <w:rPr>
          <w:rStyle w:val="Satznummer"/>
        </w:rPr>
        <w:t>3</w:t>
      </w:r>
      <w:r>
        <w:t xml:space="preserve">Bei der Ermittlung des Vermögens der Kasse ist am Schluss des Wirtschaftsjahres vorhandener Grundbesitz mit den Anschaffungs- und Herstellungskosten anzusetzen; Ansprüche aus einer Versicherung sind mit dem Wert des geschäftsplanmäßigen Deckungskapitals zuzüglich der Guthaben aus Beitragsrückerstattung am Schluss des Wirtschaftsjahres anzusetzen, und das übrige Vermögen ist mit dem gemeinen Wert am Schluss des Wirtschaftsjahres zu bewerten. </w:t>
      </w:r>
      <w:r>
        <w:rPr>
          <w:rStyle w:val="Satznummer"/>
        </w:rPr>
        <w:t>4</w:t>
      </w:r>
      <w:r>
        <w:t xml:space="preserve">Zulässiges Kassenvermögen ist die Summe aus dem Deckungskapital für alle am Schluss des Wirtschaftsjahres laufenden Leistungen nach der dem Gesetz als Anlage 1 beigefügten Tabelle für Leistungsempfänger im Sinne des Satzes 1 Buchstabe a und dem Achtfachen der nach Satz 1 Buchstabe b abzugsfähigen Zuwendungen. </w:t>
      </w:r>
      <w:r>
        <w:rPr>
          <w:rStyle w:val="Satznummer"/>
        </w:rPr>
        <w:t>5</w:t>
      </w:r>
      <w:r>
        <w:t xml:space="preserve">Soweit sich die Kasse die Mittel für ihre Leistungen durch Abschluss einer Versicherung verschafft, ist, wenn die Voraussetzungen für den Abzug des Beitrages nach Satz 1 Buchstabe c erfüllt sind, zulässiges Kassenvermögen der Wert des geschäftsplanmäßigen Deckungskapitals aus der Versicherung am Schluss des Wirtschaftsjahres; in diesem Fall ist das zulässige Kassenvermögen nach Satz 4 in dem Verhältnis zu vermindern, in dem die Leistungen der Kasse durch die Versicherung gedeckt sind. </w:t>
      </w:r>
      <w:r>
        <w:rPr>
          <w:rStyle w:val="Satznummer"/>
        </w:rPr>
        <w:t>6</w:t>
      </w:r>
      <w:r>
        <w:t xml:space="preserve">Soweit die Berechnung des Deckungskapitals nicht zum Geschäftsplan gehört, tritt an die Stelle des geschäftsplanmäßigen Deckungskapitals der nach § 169 Absatz 3 und 4 des Versicherungsvertragsgesetzes berechnete Wert, beim zulässigen Kassenvermögen ohne Berücksichtigung des Guthabens aus Beitragsrückerstattung. </w:t>
      </w:r>
      <w:r>
        <w:rPr>
          <w:rStyle w:val="Satznummer"/>
        </w:rPr>
        <w:t>7</w:t>
      </w:r>
      <w:r>
        <w:t>Gewährt eine Unterstützungskasse anstelle von lebenslänglich laufenden Leistungen eine einmalige Kapitalleistung, so gelten 10 Prozent der Kapitalleistung als Jahresbetrag einer lebenslänglich laufenden Leistung;</w:t>
      </w:r>
    </w:p>
    <w:p>
      <w:pPr>
        <w:tabs>
          <w:tab w:pos="567" w:val="left"/>
        </w:tabs>
        <w:ind w:left="567" w:hanging="567"/>
      </w:pPr>
      <w:r>
        <w:t>2.</w:t>
      </w:r>
      <w:r>
        <w:tab/>
      </w:r>
      <w:r>
        <w:t xml:space="preserve">bei Kassen, die keine lebenslänglich laufenden Leistungen gewähren, für jedes Wirtschaftsjahr 0,2 Prozent der Lohn- und Gehaltssumme des Trägerunternehmens, mindestens jedoch den Betrag der von der Kasse in einem Wirtschaftsjahr erbrachten Leistungen, soweit dieser Betrag höher ist als die in den vorangegangenen fünf Wirtschaftsjahren vorgenommenen Zuwendungen abzüglich der in dem gleichen Zeitraum erbrachten Leistungen. </w:t>
      </w:r>
      <w:r>
        <w:rPr>
          <w:rStyle w:val="Satznummer"/>
        </w:rPr>
        <w:t>2</w:t>
      </w:r>
      <w:r>
        <w:t xml:space="preserve">Diese Zuwendungen dürfen nicht als Betriebsausgaben abgezogen werden, wenn das Vermögen der Kasse am Schluss des Wirtschaftsjahres das zulässige Kassenvermögen übersteigt. </w:t>
      </w:r>
      <w:r>
        <w:rPr>
          <w:rStyle w:val="Satznummer"/>
        </w:rPr>
        <w:t>3</w:t>
      </w:r>
      <w:r>
        <w:t xml:space="preserve">Als zulässiges Kassenvermögen kann 1 Prozent der durchschnittlichen Lohn- und Gehaltssumme der letzten drei Jahre angesetzt werden. </w:t>
      </w:r>
      <w:r>
        <w:rPr>
          <w:rStyle w:val="Satznummer"/>
        </w:rPr>
        <w:t>4</w:t>
      </w:r>
      <w:r>
        <w:t xml:space="preserve">Hat die Kasse bereits 10 Wirtschaftsjahre bestanden, darf das zulässige Kassenvermögen zusätzlich die Summe der in den letzten zehn Wirtschaftsjahren gewährten Leistungen nicht übersteigen. </w:t>
      </w:r>
      <w:r>
        <w:rPr>
          <w:rStyle w:val="Satznummer"/>
        </w:rPr>
        <w:t>5</w:t>
      </w:r>
      <w:r>
        <w:t xml:space="preserve">Für die Bewertung des Vermögens der Kasse gilt Nummer 1 Satz 3 entsprechend. </w:t>
      </w:r>
      <w:r>
        <w:rPr>
          <w:rStyle w:val="Satznummer"/>
        </w:rPr>
        <w:t>6</w:t>
      </w:r>
      <w:r>
        <w:t>Bei der Berechnung der Lohn- und Gehaltssumme des Trägerunternehmens sind Löhne und Gehälter von Personen, die von der Kasse keine nicht lebenslänglich laufenden Leistungen erhalten können, auszuscheiden.</w:t>
      </w:r>
    </w:p>
    <w:p>
      <w:r>
        <w:rPr>
          <w:rStyle w:val="Satznummer"/>
        </w:rPr>
        <w:t>2</w:t>
      </w:r>
      <w:r>
        <w:t xml:space="preserve">Gewährt eine Kasse lebenslänglich laufende und nicht lebenslänglich laufende Leistungen, so gilt Satz 1 Nummer 1 und 2 nebeneinander. </w:t>
      </w:r>
      <w:r>
        <w:rPr>
          <w:rStyle w:val="Satznummer"/>
        </w:rPr>
        <w:t>3</w:t>
      </w:r>
      <w:r>
        <w:t>Leistet ein Trägerunternehmen Zuwendungen an mehrere Unterstützungskassen, so sind diese Kassen bei der Anwendung der Nummern 1 und 2 als Einheit zu behandeln.</w:t>
      </w:r>
    </w:p>
    <w:p>
      <w:r>
        <w:t xml:space="preserve">(2) </w:t>
      </w:r>
      <w:r>
        <w:rPr>
          <w:rStyle w:val="Satznummer"/>
        </w:rPr>
        <w:t>1</w:t>
      </w:r>
      <w:r>
        <w:t xml:space="preserve">Zuwendungen im Sinne des Absatzes 1 sind von dem Trägerunternehmen in dem Wirtschaftsjahr als Betriebsausgaben abzuziehen, in dem sie geleistet werden. </w:t>
      </w:r>
      <w:r>
        <w:rPr>
          <w:rStyle w:val="Satznummer"/>
        </w:rPr>
        <w:t>2</w:t>
      </w:r>
      <w:r>
        <w:t xml:space="preserve">Zuwendungen, die bis zum Ablauf eines Monats nach Aufstellung oder Feststellung der Bilanz des Trägerunternehmens für den Schluss eines Wirtschaftsjahres geleistet werden, können von dem Trägerunternehmen noch für das abgelaufene Wirtschaftsjahr durch eine Rückstellung gewinnmindernd berücksichtigt werden. </w:t>
      </w:r>
      <w:r>
        <w:rPr>
          <w:rStyle w:val="Satznummer"/>
        </w:rPr>
        <w:t>3</w:t>
      </w:r>
      <w:r>
        <w:t xml:space="preserve">Übersteigen die in einem Wirtschaftsjahr geleisteten Zuwendungen die nach Absatz 1 abzugsfähigen Beträge, so können die übersteigenden Beträge im Wege der Rechnungsabgrenzung auf die folgenden drei Wirtschaftsjahre vorgetragen und im Rahmen der für diese Wirtschaftsjahre abzugsfähigen Beträge als Betriebsausgaben behandelt werden. </w:t>
      </w:r>
      <w:r>
        <w:rPr>
          <w:rStyle w:val="Satznummer"/>
        </w:rPr>
        <w:t>4</w:t>
      </w:r>
      <w:hyperlink w:anchor="b25" w:history="1">
        <w:r>
          <w:rPr>
            <w:color w:val="0A3A8C"/>
            <w:u w:val="single"/>
          </w:rPr>
          <w:t xml:space="preserve">§ 5</w:t>
        </w:r>
      </w:hyperlink>
      <w:r>
        <w:t xml:space="preserve"> Absatz 1 Satz 2 ist nicht anzuwenden.</w:t>
      </w:r>
    </w:p>
    <w:p>
      <w:r>
        <w:t xml:space="preserve">(3) </w:t>
      </w:r>
      <w:r>
        <w:rPr>
          <w:rStyle w:val="Satznummer"/>
        </w:rPr>
        <w:t>1</w:t>
      </w:r>
      <w:r>
        <w:t xml:space="preserve">Abweichend von Absatz 1 Satz 1 Nummer 1 Satz 1 Buchstabe d und Absatz 2 können auf Antrag die insgesamt erforderlichen Zuwendungen an die Unterstützungskasse für den Betrag, den die Kasse an einen Pensionsfonds zahlt, der eine ihr obliegende Versorgungsverpflichtung ganz oder teilweise übernommen hat, nicht im Wirtschaftsjahr der Zuwendung, sondern erst in den dem Wirtschaftsjahr der Zuwendung folgenden zehn Wirtschaftsjahren gleichmäßig verteilt als Betriebsausgaben abgezogen werden. </w:t>
      </w:r>
      <w:r>
        <w:rPr>
          <w:rStyle w:val="Satznummer"/>
        </w:rPr>
        <w:t>2</w:t>
      </w:r>
      <w:r>
        <w:t>Der Antrag ist unwiderruflich; der jeweilige Rechtsnachfolger ist an den Antrag gebunden.</w:t>
      </w:r>
    </w:p>
    <w:p>
      <w:pPr>
        <w:pStyle w:val="Heading3"/>
      </w:pPr>
      <w:bookmarkStart w:id="19" w:name="b18"/>
      <w:r>
        <w:t>§ 4e Beiträge an Pensionsfonds</w:t>
      </w:r>
      <w:r>
        <w:t xml:space="preserve"> </w:t>
      </w:r>
      <w:r>
        <w:rPr>
          <w:rStyle w:val="Suchmarke"/>
        </w:rPr>
        <w:t>#4e#</w:t>
      </w:r>
      <w:bookmarkEnd w:id="19"/>
    </w:p>
    <w:p>
      <w:r>
        <w:t>(1) Beiträge an einen Pensionsfonds im Sinne des § 236 des Versicherungsaufsichtsgesetzes dürfen von dem Unternehmen, das die Beiträge leistet (Trägerunternehmen), als Betriebsausgaben abgezogen werden, soweit sie auf einer festgelegten Verpflichtung beruhen oder der Abdeckung von Fehlbeträgen bei dem Fonds dienen.</w:t>
      </w:r>
    </w:p>
    <w:p>
      <w:r>
        <w:t>(2) Beiträge im Sinne des Absatzes 1 dürfen als Betriebsausgaben nicht abgezogen werden, soweit die Leistungen des Fonds, wenn sie vom Trägerunternehmen unmittelbar erbracht würden, bei diesem nicht betrieblich veranlasst wären.</w:t>
      </w:r>
    </w:p>
    <w:p>
      <w:r>
        <w:t xml:space="preserve">(3) </w:t>
      </w:r>
      <w:r>
        <w:rPr>
          <w:rStyle w:val="Satznummer"/>
        </w:rPr>
        <w:t>1</w:t>
      </w:r>
      <w:r>
        <w:t xml:space="preserve">Der Steuerpflichtige kann auf Antrag die insgesamt erforderlichen Leistungen an einen Pensionsfonds zur teilweisen oder vollständigen Übernahme einer bestehenden Versorgungsverpflichtung oder Versorgungsanwartschaft durch den Pensionsfonds erst in den dem Wirtschaftsjahr der Übertragung folgenden zehn Wirtschaftsjahren gleichmäßig verteilt als Betriebsausgaben abziehen. </w:t>
      </w:r>
      <w:r>
        <w:rPr>
          <w:rStyle w:val="Satznummer"/>
        </w:rPr>
        <w:t>2</w:t>
      </w:r>
      <w:r>
        <w:t xml:space="preserve">Der Antrag ist unwiderruflich; der jeweilige Rechtsnachfolger ist an den Antrag gebunden. </w:t>
      </w:r>
      <w:r>
        <w:rPr>
          <w:rStyle w:val="Satznummer"/>
        </w:rPr>
        <w:t>3</w:t>
      </w:r>
      <w:r>
        <w:t xml:space="preserve">Ist eine Pensionsrückstellung nach </w:t>
      </w:r>
      <w:hyperlink w:anchor="b29" w:history="1">
        <w:r>
          <w:rPr>
            <w:color w:val="0A3A8C"/>
            <w:u w:val="single"/>
          </w:rPr>
          <w:t xml:space="preserve">§ 6a</w:t>
        </w:r>
      </w:hyperlink>
      <w:r>
        <w:t xml:space="preserve"> gewinnerhöhend aufzulösen, ist Satz 1 mit der Maßgabe anzuwenden, dass die Leistungen an den Pensionsfonds im Wirtschaftsjahr der Übertragung in Höhe der aufgelösten Rückstellung als Betriebsausgaben abgezogen werden können; der die aufgelöste Rückstellung übersteigende Betrag ist in den dem Wirtschaftsjahr der Übertragung folgenden zehn Wirtschaftsjahren gleichmäßig verteilt als Betriebsausgaben abzuziehen. </w:t>
      </w:r>
      <w:r>
        <w:rPr>
          <w:rStyle w:val="Satznummer"/>
        </w:rPr>
        <w:t>4</w:t>
      </w:r>
      <w:r>
        <w:t>Satz 3 gilt entsprechend, wenn es im Zuge der Leistungen des Arbeitgebers an den Pensionsfonds zu Vermögensübertragungen einer Unterstützungskasse an den Arbeitgeber kommt.</w:t>
      </w:r>
    </w:p>
    <w:p>
      <w:pPr>
        <w:pStyle w:val="Heading3"/>
      </w:pPr>
      <w:bookmarkStart w:id="20" w:name="b19"/>
      <w:r>
        <w:t>§ 4f Verpflichtungsübernahmen, Schuldbeitritte und Erfüllungsübernahmen</w:t>
      </w:r>
      <w:r>
        <w:t xml:space="preserve"> </w:t>
      </w:r>
      <w:r>
        <w:rPr>
          <w:rStyle w:val="Suchmarke"/>
        </w:rPr>
        <w:t>#4f#</w:t>
      </w:r>
      <w:bookmarkEnd w:id="20"/>
    </w:p>
    <w:p>
      <w:r>
        <w:t xml:space="preserve">(1) </w:t>
      </w:r>
      <w:r>
        <w:rPr>
          <w:rStyle w:val="Satznummer"/>
        </w:rPr>
        <w:t>1</w:t>
      </w:r>
      <w:r>
        <w:t xml:space="preserve">Werden Verpflichtungen übertragen, die beim ursprünglich Verpflichteten Ansatzverboten, -beschränkungen oder Bewertungsvorbehalten unterlegen haben, ist der sich aus diesem Vorgang ergebende Aufwand im Wirtschaftsjahr der Schuldübernahme und den nachfolgenden 14 Jahren gleichmäßig verteilt als Betriebsausgabe abziehbar. </w:t>
      </w:r>
      <w:r>
        <w:rPr>
          <w:rStyle w:val="Satznummer"/>
        </w:rPr>
        <w:t>2</w:t>
      </w:r>
      <w:r>
        <w:t xml:space="preserve">Ist auf Grund der Übertragung einer Verpflichtung ein Passivposten gewinnerhöhend aufzulösen, ist Satz 1 mit der Maßgabe anzuwenden, dass der sich ergebende Aufwand im Wirtschaftsjahr der Schuldübernahme in Höhe des aufgelösten Passivpostens als Betriebsausgabe abzuziehen ist; der den aufgelösten Passivposten übersteigende Betrag ist in dem Wirtschaftsjahr der Schuldübernahme und den nachfolgenden 14 Wirtschaftsjahren gleichmäßig verteilt als Betriebsausgabe abzuziehen. </w:t>
      </w:r>
      <w:r>
        <w:rPr>
          <w:rStyle w:val="Satznummer"/>
        </w:rPr>
        <w:t>3</w:t>
      </w:r>
      <w:r>
        <w:t xml:space="preserve">Eine Verteilung des sich ergebenden Aufwands unterbleibt, wenn die Schuldübernahme im Rahmen einer Veräußerung oder Aufgabe des ganzen Betriebes oder des gesamten Mitunternehmeranteils im Sinne der </w:t>
      </w:r>
      <w:hyperlink w:anchor="b72" w:history="1">
        <w:r>
          <w:rPr>
            <w:color w:val="0A3A8C"/>
            <w:u w:val="single"/>
          </w:rPr>
          <w:t xml:space="preserve">§§ 14</w:t>
        </w:r>
      </w:hyperlink>
      <w:r>
        <w:t xml:space="preserve">, </w:t>
      </w:r>
      <w:hyperlink w:anchor="b78" w:history="1">
        <w:r>
          <w:rPr>
            <w:color w:val="0A3A8C"/>
            <w:u w:val="single"/>
          </w:rPr>
          <w:t xml:space="preserve">16</w:t>
        </w:r>
      </w:hyperlink>
      <w:r>
        <w:t xml:space="preserve"> Absatz 1, 3 und 3a sowie des </w:t>
      </w:r>
      <w:hyperlink w:anchor="b81" w:history="1">
        <w:r>
          <w:rPr>
            <w:color w:val="0A3A8C"/>
            <w:u w:val="single"/>
          </w:rPr>
          <w:t xml:space="preserve">§ 18</w:t>
        </w:r>
      </w:hyperlink>
      <w:r>
        <w:t xml:space="preserve"> Absatz 3 erfolgt; dies gilt auch, wenn ein Arbeitnehmer unter Mitnahme seiner erworbenen Pensionsansprüche zu einem neuen Arbeitgeber wechselt oder wenn der Betrieb am Schluss des vorangehenden Wirtschaftsjahres die Gewinngrenze des </w:t>
      </w:r>
      <w:hyperlink w:anchor="b40" w:history="1">
        <w:r>
          <w:rPr>
            <w:color w:val="0A3A8C"/>
            <w:u w:val="single"/>
          </w:rPr>
          <w:t xml:space="preserve">§ 7g</w:t>
        </w:r>
      </w:hyperlink>
      <w:r>
        <w:t xml:space="preserve"> Absatz 1 Satz 2 Nummer 1 nicht überschreitet. </w:t>
      </w:r>
      <w:r>
        <w:rPr>
          <w:rStyle w:val="Satznummer"/>
        </w:rPr>
        <w:t>4</w:t>
      </w:r>
      <w:r>
        <w:t xml:space="preserve">Erfolgt die Schuldübernahme in dem Fall einer Teilbetriebsveräußerung oder -aufgabe im Sinne der </w:t>
      </w:r>
      <w:hyperlink w:anchor="b72" w:history="1">
        <w:r>
          <w:rPr>
            <w:color w:val="0A3A8C"/>
            <w:u w:val="single"/>
          </w:rPr>
          <w:t xml:space="preserve">§§ 14</w:t>
        </w:r>
      </w:hyperlink>
      <w:r>
        <w:t xml:space="preserve">, </w:t>
      </w:r>
      <w:hyperlink w:anchor="b78" w:history="1">
        <w:r>
          <w:rPr>
            <w:color w:val="0A3A8C"/>
            <w:u w:val="single"/>
          </w:rPr>
          <w:t xml:space="preserve">16</w:t>
        </w:r>
      </w:hyperlink>
      <w:r>
        <w:t xml:space="preserve"> Absatz 1, 3 und 3a sowie des </w:t>
      </w:r>
      <w:hyperlink w:anchor="b81" w:history="1">
        <w:r>
          <w:rPr>
            <w:color w:val="0A3A8C"/>
            <w:u w:val="single"/>
          </w:rPr>
          <w:t xml:space="preserve">§ 18</w:t>
        </w:r>
      </w:hyperlink>
      <w:r>
        <w:t xml:space="preserve"> Absatz 3, ist ein Veräußerungs- oder Aufgabeverlust um den Aufwand im Sinne des Satzes 1 zu vermindern, soweit dieser den Verlust begründet oder erhöht hat. </w:t>
      </w:r>
      <w:r>
        <w:rPr>
          <w:rStyle w:val="Satznummer"/>
        </w:rPr>
        <w:t>5</w:t>
      </w:r>
      <w:r>
        <w:t xml:space="preserve">Entsprechendes gilt für den einen aufgelösten Passivposten übersteigenden Betrag im Sinne des Satzes 2. </w:t>
      </w:r>
      <w:r>
        <w:rPr>
          <w:rStyle w:val="Satznummer"/>
        </w:rPr>
        <w:t>6</w:t>
      </w:r>
      <w:r>
        <w:t xml:space="preserve">Für den hinzugerechneten Aufwand gelten Satz 2 zweiter Halbsatz und Satz 3 entsprechend. </w:t>
      </w:r>
      <w:r>
        <w:rPr>
          <w:rStyle w:val="Satznummer"/>
        </w:rPr>
        <w:t>7</w:t>
      </w:r>
      <w:r>
        <w:t>Der jeweilige Rechtsnachfolger des ursprünglichen Verpflichteten ist an die Aufwandsverteilung nach den Sätzen 1 bis 6 gebunden.</w:t>
      </w:r>
    </w:p>
    <w:p>
      <w:r>
        <w:t>(2) Wurde für Verpflichtungen im Sinne des Absatzes 1 ein Schuldbeitritt oder eine Erfüllungsübernahme mit ganzer oder teilweiser Schuldfreistellung vereinbart, gilt für die vom Freistellungsberechtigten an den Freistellungsverpflichteten erbrachten Leistungen Absatz 1 Satz 1, 2 und 7 entsprechend.</w:t>
      </w:r>
    </w:p>
    <w:p>
      <w:pPr>
        <w:pStyle w:val="Heading3"/>
      </w:pPr>
      <w:bookmarkStart w:id="21" w:name="b20"/>
      <w:r>
        <w:t>§ 4g Bildung eines Ausgleichspostens bei Entnahme nach § 4 Absatz 1 Satz 3</w:t>
      </w:r>
      <w:r>
        <w:t xml:space="preserve"> </w:t>
      </w:r>
      <w:r>
        <w:rPr>
          <w:rStyle w:val="Suchmarke"/>
        </w:rPr>
        <w:t>#4g#</w:t>
      </w:r>
      <w:bookmarkEnd w:id="21"/>
    </w:p>
    <w:p>
      <w:r>
        <w:t xml:space="preserve">(1) </w:t>
      </w:r>
      <w:r>
        <w:rPr>
          <w:rStyle w:val="Satznummer"/>
        </w:rPr>
        <w:t>1</w:t>
      </w:r>
      <w:r>
        <w:t xml:space="preserve">Der Steuerpflichtige kann in Höhe des Unterschiedsbetrags zwischen dem Buchwert und dem nach </w:t>
      </w:r>
      <w:hyperlink w:anchor="b28" w:history="1">
        <w:r>
          <w:rPr>
            <w:color w:val="0A3A8C"/>
            <w:u w:val="single"/>
          </w:rPr>
          <w:t xml:space="preserve">§ 6</w:t>
        </w:r>
      </w:hyperlink>
      <w:r>
        <w:t xml:space="preserve"> Absatz 1 Nummer 4 Satz 1 zweiter Halbsatz anzusetzenden Wert eines Wirtschaftsguts auf Antrag einen Ausgleichsposten bilden, soweit das Besteuerungsrecht der Bundesrepublik Deutschland hinsichtlich des Gewinns aus der Veräußerung des Wirtschaftsguts zugunsten eines Staates im Sinne des </w:t>
      </w:r>
      <w:hyperlink w:anchor="b138" w:history="1">
        <w:r>
          <w:rPr>
            <w:color w:val="0A3A8C"/>
            <w:u w:val="single"/>
          </w:rPr>
          <w:t xml:space="preserve">§ 36</w:t>
        </w:r>
      </w:hyperlink>
      <w:r>
        <w:t xml:space="preserve"> Absatz 5 Satz 1 beschränkt oder ausgeschlossen wird (</w:t>
      </w:r>
      <w:hyperlink w:anchor="b13" w:history="1">
        <w:r>
          <w:rPr>
            <w:color w:val="0A3A8C"/>
            <w:u w:val="single"/>
          </w:rPr>
          <w:t xml:space="preserve">§ 4</w:t>
        </w:r>
      </w:hyperlink>
      <w:r>
        <w:t xml:space="preserve"> Absatz 1 Satz 3). </w:t>
      </w:r>
      <w:r>
        <w:rPr>
          <w:rStyle w:val="Satznummer"/>
        </w:rPr>
        <w:t>2</w:t>
      </w:r>
      <w:r>
        <w:t xml:space="preserve">Der Ausgleichsposten ist für jedes Wirtschaftsgut getrennt auszuweisen. </w:t>
      </w:r>
      <w:r>
        <w:rPr>
          <w:rStyle w:val="Satznummer"/>
        </w:rPr>
        <w:t>3</w:t>
      </w:r>
      <w:r>
        <w:t xml:space="preserve">Der Antrag ist unwiderruflich. </w:t>
      </w:r>
      <w:r>
        <w:rPr>
          <w:rStyle w:val="Satznummer"/>
        </w:rPr>
        <w:t>4</w:t>
      </w:r>
      <w:r>
        <w:t>Die Sätze 1 bis 3 gelten in den Fällen des Umwandlungssteuergesetzes entsprechend.</w:t>
      </w:r>
    </w:p>
    <w:p>
      <w:r>
        <w:t xml:space="preserve">(2) </w:t>
      </w:r>
      <w:r>
        <w:rPr>
          <w:rStyle w:val="Satznummer"/>
        </w:rPr>
        <w:t>1</w:t>
      </w:r>
      <w:r>
        <w:t xml:space="preserve">Der Ausgleichsposten ist im Wirtschaftsjahr der Bildung und in den vier folgenden Wirtschaftsjahren zu jeweils einem Fünftel gewinnerhöhend aufzulösen. </w:t>
      </w:r>
      <w:r>
        <w:rPr>
          <w:rStyle w:val="Satznummer"/>
        </w:rPr>
        <w:t>2</w:t>
      </w:r>
      <w:r>
        <w:t xml:space="preserve">Er ist in vollem Umfang gewinnerhöhend aufzulösen, wenn ein Ereignis im Sinne des </w:t>
      </w:r>
      <w:hyperlink w:anchor="b138" w:history="1">
        <w:r>
          <w:rPr>
            <w:color w:val="0A3A8C"/>
            <w:u w:val="single"/>
          </w:rPr>
          <w:t xml:space="preserve">§ 36</w:t>
        </w:r>
      </w:hyperlink>
      <w:r>
        <w:t xml:space="preserve"> Absatz 5 Satz 4 eintritt oder wenn ein künftiger Steueranspruch aus der Auflösung des Ausgleichspostens gemäß Satz 1 gefährdet erscheint und der Steuerpflichtige dem Verlangen der zuständigen Finanzbehörde auf Leistung einer Sicherheit nicht nachkommt.</w:t>
      </w:r>
    </w:p>
    <w:p>
      <w:r>
        <w:t>(3) (weggefallen)</w:t>
      </w:r>
    </w:p>
    <w:p>
      <w:r>
        <w:t xml:space="preserve">(4) </w:t>
      </w:r>
      <w:r>
        <w:rPr>
          <w:rStyle w:val="Satznummer"/>
        </w:rPr>
        <w:t>1</w:t>
      </w:r>
      <w:r>
        <w:t xml:space="preserve">Die Absätze 1 und 2 finden entsprechende Anwendung bei der Ermittlung des Überschusses der Betriebseinnahmen über die Betriebsausgaben gemäß </w:t>
      </w:r>
      <w:hyperlink w:anchor="b13" w:history="1">
        <w:r>
          <w:rPr>
            <w:color w:val="0A3A8C"/>
            <w:u w:val="single"/>
          </w:rPr>
          <w:t xml:space="preserve">§ 4</w:t>
        </w:r>
      </w:hyperlink>
      <w:r>
        <w:t xml:space="preserve"> Absatz 3. </w:t>
      </w:r>
      <w:r>
        <w:rPr>
          <w:rStyle w:val="Satznummer"/>
        </w:rPr>
        <w:t>2</w:t>
      </w:r>
      <w:r>
        <w:t xml:space="preserve">Wirtschaftsgüter, für die ein Ausgleichsposten nach Absatz 1 gebildet worden ist, sind in ein laufend zu führendes Verzeichnis aufzunehmen. </w:t>
      </w:r>
      <w:r>
        <w:rPr>
          <w:rStyle w:val="Satznummer"/>
        </w:rPr>
        <w:t>3</w:t>
      </w:r>
      <w:r>
        <w:t xml:space="preserve">Der Steuerpflichtige hat darüber hinaus Aufzeichnungen zu führen, aus denen die Bildung und Auflösung der Ausgleichsposten hervorgeht. </w:t>
      </w:r>
      <w:r>
        <w:rPr>
          <w:rStyle w:val="Satznummer"/>
        </w:rPr>
        <w:t>4</w:t>
      </w:r>
      <w:r>
        <w:t>Die Aufzeichnungen nach den Sätzen 2 und 3 sind der Steuererklärung beizufügen.</w:t>
      </w:r>
    </w:p>
    <w:p>
      <w:r>
        <w:t xml:space="preserve">(5) </w:t>
      </w:r>
      <w:r>
        <w:rPr>
          <w:rStyle w:val="Satznummer"/>
        </w:rPr>
        <w:t>1</w:t>
      </w:r>
      <w:r>
        <w:t xml:space="preserve">Der Steuerpflichtige ist verpflichtet, der zuständigen Finanzbehörde die Entnahme oder ein Ereignis im Sinne des Absatzes 2 unverzüglich anzuzeigen. </w:t>
      </w:r>
      <w:r>
        <w:rPr>
          <w:rStyle w:val="Satznummer"/>
        </w:rPr>
        <w:t>2</w:t>
      </w:r>
      <w:r>
        <w:t xml:space="preserve">Kommt der Steuerpflichtige dieser Anzeigepflicht, seinen Aufzeichnungspflichten nach Absatz 4 oder seinen sonstigen Mitwirkungspflichten im Sinne des § 90 der Abgabenordnung nicht nach, ist der Ausgleichsposten dieses Wirtschaftsguts gewinnerhöhend aufzulösen. </w:t>
      </w:r>
      <w:r>
        <w:rPr>
          <w:rStyle w:val="Satznummer"/>
        </w:rPr>
        <w:t>3</w:t>
      </w:r>
      <w:hyperlink w:anchor="b138" w:history="1">
        <w:r>
          <w:rPr>
            <w:color w:val="0A3A8C"/>
            <w:u w:val="single"/>
          </w:rPr>
          <w:t xml:space="preserve">§ 36</w:t>
        </w:r>
      </w:hyperlink>
      <w:r>
        <w:t xml:space="preserve"> Absatz 5 Satz 8 gilt entsprechend.</w:t>
      </w:r>
    </w:p>
    <w:p>
      <w:r>
        <w:t>(6) Absatz 2 Satz 2 ist mit der Maßgabe anzuwenden, dass allein der Austritt des Vereinigten Königreichs Großbritannien und Nordirland aus der Europäischen Union nicht dazu führt, dass ein als entnommen geltendes Wirtschaftsgut als aus der Besteuerungshoheit der Mitgliedstaaten der Europäischen Union ausgeschieden gilt.</w:t>
      </w:r>
    </w:p>
    <w:p>
      <w:pPr>
        <w:pStyle w:val="Heading3"/>
      </w:pPr>
      <w:bookmarkStart w:id="22" w:name="b21"/>
      <w:r>
        <w:t>§ 4h Betriebsausgabenabzug für Zinsaufwendungen (Zinsschranke)</w:t>
      </w:r>
      <w:r>
        <w:t xml:space="preserve"> </w:t>
      </w:r>
      <w:r>
        <w:rPr>
          <w:rStyle w:val="Suchmarke"/>
        </w:rPr>
        <w:t>#4h#</w:t>
      </w:r>
      <w:bookmarkEnd w:id="22"/>
    </w:p>
    <w:p>
      <w:r>
        <w:t xml:space="preserve">(1) </w:t>
      </w:r>
      <w:r>
        <w:rPr>
          <w:rStyle w:val="Satznummer"/>
        </w:rPr>
        <w:t>1</w:t>
      </w:r>
      <w:r>
        <w:t xml:space="preserve">Zinsaufwendungen eines Betriebs sind abziehbar in Höhe des Zinsertrags, darüber hinaus nur bis zur Höhe des verrechenbaren EBITDA. </w:t>
      </w:r>
      <w:r>
        <w:rPr>
          <w:rStyle w:val="Satznummer"/>
        </w:rPr>
        <w:t>2</w:t>
      </w:r>
      <w:r>
        <w:t xml:space="preserve">Das verrechenbare EBITDA ist 30 Prozent des um die Zinsaufwendungen und um die nach </w:t>
      </w:r>
      <w:hyperlink w:anchor="b28" w:history="1">
        <w:r>
          <w:rPr>
            <w:color w:val="0A3A8C"/>
            <w:u w:val="single"/>
          </w:rPr>
          <w:t xml:space="preserve">§ 6</w:t>
        </w:r>
      </w:hyperlink>
      <w:r>
        <w:t xml:space="preserve"> Absatz 2 Satz 1 abzuziehenden, nach </w:t>
      </w:r>
      <w:hyperlink w:anchor="b28" w:history="1">
        <w:r>
          <w:rPr>
            <w:color w:val="0A3A8C"/>
            <w:u w:val="single"/>
          </w:rPr>
          <w:t xml:space="preserve">§ 6</w:t>
        </w:r>
      </w:hyperlink>
      <w:r>
        <w:t xml:space="preserve"> Absatz 2a Satz 2 gewinnmindernd aufzulösenden und nach </w:t>
      </w:r>
      <w:hyperlink w:anchor="b34" w:history="1">
        <w:r>
          <w:rPr>
            <w:color w:val="0A3A8C"/>
            <w:u w:val="single"/>
          </w:rPr>
          <w:t xml:space="preserve">§ 7</w:t>
        </w:r>
      </w:hyperlink>
      <w:r>
        <w:t xml:space="preserve"> abgesetzten Beträge erhöhten und um die Zinserträge verminderten maßgeblichen Gewinns. </w:t>
      </w:r>
      <w:r>
        <w:rPr>
          <w:rStyle w:val="Satznummer"/>
        </w:rPr>
        <w:t>3</w:t>
      </w:r>
      <w:r>
        <w:t xml:space="preserve">Soweit das verrechenbare EBITDA die um die Zinserträge geminderten Zinsaufwendungen des Betriebs (Nettozinsaufwendungen) übersteigt, ist es in die folgenden fünf Wirtschaftsjahre vorzutragen (EBITDA-Vortrag); ein EBITDA-Vortrag entsteht nicht in Wirtschaftsjahren, in denen die Zinsaufwendungen die Zinserträge nicht übersteigen oder Absatz 2 die Anwendung von Satz 1 ausschließt. </w:t>
      </w:r>
      <w:r>
        <w:rPr>
          <w:rStyle w:val="Satznummer"/>
        </w:rPr>
        <w:t>4</w:t>
      </w:r>
      <w:r>
        <w:t xml:space="preserve">Zinsaufwendungen, die nach Satz 1 nicht abgezogen werden können, sind bis zur Höhe der EBITDA-Vorträge aus vorangegangenen Wirtschaftsjahren abziehbar und mindern die EBITDA-Vorträge in ihrer zeitlichen Reihenfolge. </w:t>
      </w:r>
      <w:r>
        <w:rPr>
          <w:rStyle w:val="Satznummer"/>
        </w:rPr>
        <w:t>5</w:t>
      </w:r>
      <w:r>
        <w:t xml:space="preserve">Danach verbleibende nicht abziehbare Zinsaufwendungen sind in die folgenden Wirtschaftsjahre vorzutragen (Zinsvortrag). </w:t>
      </w:r>
      <w:r>
        <w:rPr>
          <w:rStyle w:val="Satznummer"/>
        </w:rPr>
        <w:t>6</w:t>
      </w:r>
      <w:r>
        <w:t xml:space="preserve">Sie erhöhen die Zinsaufwendungen dieser Wirtschaftsjahre, nicht aber den maßgeblichen Gewinn. </w:t>
      </w:r>
      <w:r>
        <w:rPr>
          <w:rStyle w:val="Satznummer"/>
        </w:rPr>
        <w:t>7</w:t>
      </w:r>
      <w:r>
        <w:t>Absatz 2 findet keine Anwendung, soweit Zinsaufwendungen aufgrund eines Zinsvortrags erhöht wurden.</w:t>
      </w:r>
    </w:p>
    <w:p>
      <w:r>
        <w:t xml:space="preserve">(2) </w:t>
      </w:r>
      <w:r>
        <w:rPr>
          <w:rStyle w:val="Satznummer"/>
        </w:rPr>
        <w:t>1</w:t>
      </w:r>
      <w:r>
        <w:t>Absatz 1 Satz 1 ist nicht anzuwenden, wenn</w:t>
      </w:r>
    </w:p>
    <w:p>
      <w:pPr>
        <w:tabs>
          <w:tab w:pos="567" w:val="left"/>
        </w:tabs>
        <w:ind w:left="567" w:hanging="567"/>
      </w:pPr>
      <w:r>
        <w:t>a)</w:t>
      </w:r>
      <w:r>
        <w:tab/>
      </w:r>
      <w:r>
        <w:t>die Nettozinsaufwendungen des Betriebs weniger als drei Millionen Euro betragen,</w:t>
      </w:r>
    </w:p>
    <w:p>
      <w:pPr>
        <w:tabs>
          <w:tab w:pos="567" w:val="left"/>
        </w:tabs>
        <w:ind w:left="567" w:hanging="567"/>
      </w:pPr>
      <w:r>
        <w:t>b)</w:t>
      </w:r>
      <w:r>
        <w:tab/>
      </w:r>
      <w:r>
        <w:t xml:space="preserve">der Steuerpflichtige keiner Person im Sinne des § 1 Absatz 2 (gegebenenfalls in Verbindung mit </w:t>
      </w:r>
      <w:hyperlink w:anchor="b1" w:history="1">
        <w:r>
          <w:rPr>
            <w:color w:val="0A3A8C"/>
            <w:u w:val="single"/>
          </w:rPr>
          <w:t xml:space="preserve">§ 1</w:t>
        </w:r>
      </w:hyperlink>
      <w:r>
        <w:t xml:space="preserve"> Absatz 1 Satz 2) des Außensteuergesetzes nahesteht und über keine Betriebsstätte außerhalb des Staates verfügt, in dem sich sein Wohnsitz, gewöhnlicher Aufenthalt, Sitz oder seine Geschäftsleitung befindet, oder</w:t>
      </w:r>
    </w:p>
    <w:p>
      <w:pPr>
        <w:tabs>
          <w:tab w:pos="567" w:val="left"/>
        </w:tabs>
        <w:ind w:left="567" w:hanging="567"/>
      </w:pPr>
      <w:r>
        <w:t>c)</w:t>
      </w:r>
      <w:r>
        <w:tab/>
      </w:r>
      <w:r>
        <w:t xml:space="preserve">der Betrieb zu einem Konzern gehört und seine Eigenkapitalquote am Schluss des vorangegangenen Abschlussstichtages gleich hoch oder höher ist als die des Konzerns (Eigenkapitalvergleich). </w:t>
      </w:r>
      <w:r>
        <w:rPr>
          <w:rStyle w:val="Satznummer"/>
        </w:rPr>
        <w:t>2</w:t>
      </w:r>
      <w:r>
        <w:t>Ein Unterschreiten der Eigenkapitalquote des Konzerns um bis zu zwei Prozentpunkte ist unschädlich.</w:t>
      </w:r>
    </w:p>
    <w:p>
      <w:pPr>
        <w:ind w:left="567"/>
      </w:pPr>
      <w:r>
        <w:rPr>
          <w:rStyle w:val="Satznummer"/>
        </w:rPr>
        <w:t>3</w:t>
      </w:r>
      <w:r>
        <w:t xml:space="preserve">Eigenkapitalquote ist das Verhältnis des Eigenkapitals zur Bilanzsumme; sie bemisst sich nach dem Konzernabschluss, der den Betrieb umfasst, und ist für den Betrieb auf der Grundlage des Jahresabschlusses oder Einzelabschlusses zu ermitteln. </w:t>
      </w:r>
      <w:r>
        <w:rPr>
          <w:rStyle w:val="Satznummer"/>
        </w:rPr>
        <w:t>4</w:t>
      </w:r>
      <w:r>
        <w:t xml:space="preserve">Wahlrechte sind im Konzernabschluss und im Jahresabschluss oder Einzelabschluss einheitlich auszuüben; bei gesellschaftsrechtlichen Kündigungsrechten ist insoweit mindestens das Eigenkapital anzusetzen, das sich nach den Vorschriften des Handelsgesetzbuchs ergeben würde. </w:t>
      </w:r>
      <w:r>
        <w:rPr>
          <w:rStyle w:val="Satznummer"/>
        </w:rPr>
        <w:t>5</w:t>
      </w:r>
      <w:r>
        <w:t xml:space="preserve">Bei der Ermittlung der Eigenkapitalquote des Betriebs ist das Eigenkapital um einen im Konzernabschluss enthaltenen Firmenwert, soweit er auf den Betrieb entfällt, zu erhöhen sowie um das Eigenkapital, das keine Stimmrechte vermittelt – mit Ausnahme von Vorzugsaktien –, die Anteile an anderen Konzerngesellschaften und um Einlagen der letzten sechs Monate vor dem maßgeblichen Abschlussstichtag, soweit ihnen Entnahmen oder Ausschüttungen innerhalb der ersten sechs Monate nach dem maßgeblichen Abschlussstichtag gegenüberstehen, zu kürzen. </w:t>
      </w:r>
      <w:r>
        <w:rPr>
          <w:rStyle w:val="Satznummer"/>
        </w:rPr>
        <w:t>6</w:t>
      </w:r>
      <w:r>
        <w:t xml:space="preserve">Die Bilanzsumme ist um Kapitalforderungen zu kürzen, die nicht im Konzernabschluss ausgewiesen sind und denen Verbindlichkeiten im Sinne des Absatzes 3 in mindestens gleicher Höhe gegenüberstehen. </w:t>
      </w:r>
      <w:r>
        <w:rPr>
          <w:rStyle w:val="Satznummer"/>
        </w:rPr>
        <w:t>7</w:t>
      </w:r>
      <w:r>
        <w:t>Sonderbetriebsvermögen ist dem Betrieb der Mitunternehmerschaft zuzuordnen, soweit es im Konzernvermögen enthalten ist.</w:t>
      </w:r>
    </w:p>
    <w:p>
      <w:pPr>
        <w:ind w:left="567"/>
      </w:pPr>
      <w:r>
        <w:rPr>
          <w:rStyle w:val="Satznummer"/>
        </w:rPr>
        <w:t>8</w:t>
      </w:r>
      <w:r>
        <w:t xml:space="preserve">Die für den Eigenkapitalvergleich maßgeblichen Abschlüsse sind einheitlich nach den International Financial Reporting Standards (IFRS) zu erstellen. </w:t>
      </w:r>
      <w:r>
        <w:rPr>
          <w:rStyle w:val="Satznummer"/>
        </w:rPr>
        <w:t>9</w:t>
      </w:r>
      <w:r>
        <w:t xml:space="preserve">Hiervon abweichend können Abschlüsse nach dem Handelsrecht eines Mitgliedstaats der Europäischen Union verwendet werden, wenn kein Konzernabschluss nach den IFRS zu erstellen und offen zu legen ist und für keines der letzten fünf Wirtschaftsjahre ein Konzernabschluss nach den IFRS erstellt wurde; nach den Generally Accepted Accounting Principles der Vereinigten Staaten von Amerika (US-GAAP) aufzustellende und offen zu legende Abschlüsse sind zu verwenden, wenn kein Konzernabschluss nach den IFRS oder dem Handelsrecht eines Mitgliedstaats der Europäischen Union zu erstellen und offen zu legen ist. </w:t>
      </w:r>
      <w:r>
        <w:rPr>
          <w:rStyle w:val="Satznummer"/>
        </w:rPr>
        <w:t>10</w:t>
      </w:r>
      <w:r>
        <w:t xml:space="preserve">Der Konzernabschluss muss den Anforderungen an die handelsrechtliche Konzernrechnungslegung genügen oder die Voraussetzungen erfüllen, unter denen ein Abschluss nach den §§ 291 und 292 des Handelsgesetzbuchs befreiende Wirkung hätte. </w:t>
      </w:r>
      <w:r>
        <w:rPr>
          <w:rStyle w:val="Satznummer"/>
        </w:rPr>
        <w:t>11</w:t>
      </w:r>
      <w:r>
        <w:t xml:space="preserve">Wurde der Jahresabschluss oder Einzelabschluss nicht nach denselben Rechnungslegungsstandards wie der Konzernabschluss aufgestellt, ist die Eigenkapitalquote des Betriebs in einer Überleitungsrechnung nach den für den Konzernabschluss geltenden Rechnungslegungsstandards zu ermitteln. </w:t>
      </w:r>
      <w:r>
        <w:rPr>
          <w:rStyle w:val="Satznummer"/>
        </w:rPr>
        <w:t>12</w:t>
      </w:r>
      <w:r>
        <w:t xml:space="preserve">Die Überleitungsrechnung ist einer prüferischen Durchsicht zu unterziehen. </w:t>
      </w:r>
      <w:r>
        <w:rPr>
          <w:rStyle w:val="Satznummer"/>
        </w:rPr>
        <w:t>13</w:t>
      </w:r>
      <w:r>
        <w:t>Auf Verlangen der Finanzbehörde ist der Abschluss oder die Überleitungsrechnung des Betriebs durch einen Abschlussprüfer zu prüfen, der die Voraussetzungen des § 319 des Handelsgesetzbuchs erfüllt.</w:t>
      </w:r>
    </w:p>
    <w:p>
      <w:pPr>
        <w:ind w:left="567"/>
      </w:pPr>
      <w:r>
        <w:rPr>
          <w:rStyle w:val="Satznummer"/>
        </w:rPr>
        <w:t>14</w:t>
      </w:r>
      <w:r>
        <w:t xml:space="preserve">Ist ein dem Eigenkapitalvergleich zugrunde gelegter Abschluss unrichtig und führt der zutreffende Abschluss zu einer Erhöhung der nach Absatz 1 nicht abziehbaren Zinsaufwendungen, ist ein Zuschlag entsprechend § 162 Absatz 4 Satz 1 und 2 der Abgabenordnung festzusetzen. </w:t>
      </w:r>
      <w:r>
        <w:rPr>
          <w:rStyle w:val="Satznummer"/>
        </w:rPr>
        <w:t>15</w:t>
      </w:r>
      <w:r>
        <w:t xml:space="preserve">Bemessungsgrundlage für den Zuschlag sind die nach Absatz 1 nicht abziehbaren Zinsaufwendungen. </w:t>
      </w:r>
      <w:r>
        <w:rPr>
          <w:rStyle w:val="Satznummer"/>
        </w:rPr>
        <w:t>16</w:t>
      </w:r>
      <w:r>
        <w:t>§ 162 Absatz 4 Satz 5 bis 7 der Abgabenordnung gilt sinngemäß.</w:t>
      </w:r>
    </w:p>
    <w:p>
      <w:r>
        <w:rPr>
          <w:rStyle w:val="Satznummer"/>
        </w:rPr>
        <w:t>2</w:t>
      </w:r>
      <w:r>
        <w:t xml:space="preserve">Ist eine Gesellschaft, bei der der Gesellschafter als Mitunternehmer anzusehen ist, unmittelbar oder mittelbar einer Körperschaft nachgeordnet, gilt für die Gesellschaft § 8a Absatz 3 des Körperschaftsteuergesetzes entsprechend. </w:t>
      </w:r>
      <w:r>
        <w:rPr>
          <w:rStyle w:val="Satznummer"/>
        </w:rPr>
        <w:t>3</w:t>
      </w:r>
      <w:r>
        <w:t>An die Stelle des Steuerpflichtigen tritt für Zwecke des Satzes 1 Buchstabe b bei Personengesellschaften oder Mitunternehmerschaften die Personengesellschaft oder Mitunternehmerschaft.</w:t>
      </w:r>
    </w:p>
    <w:p>
      <w:r>
        <w:t xml:space="preserve">(3) </w:t>
      </w:r>
      <w:r>
        <w:rPr>
          <w:rStyle w:val="Satznummer"/>
        </w:rPr>
        <w:t>1</w:t>
      </w:r>
      <w:r>
        <w:t xml:space="preserve">Maßgeblicher Gewinn ist der nach den Vorschriften dieses Gesetzes mit Ausnahme des Absatzes 1 ermittelte steuerpflichtige Gewinn. </w:t>
      </w:r>
      <w:r>
        <w:rPr>
          <w:rStyle w:val="Satznummer"/>
        </w:rPr>
        <w:t>2</w:t>
      </w:r>
      <w:r>
        <w:t xml:space="preserve">Zinsaufwendungen sind Vergütungen für Fremdkapital, wirtschaftlich gleichwertige Aufwendungen und sonstige Aufwendungen im Zusammenhang mit der Beschaffung von Fremdkapital im Sinne des Artikels 2 Absatz 1 der Richtlinie (EU) 2016/1164 des Rates vom 12. Juli 2016 mit Vorschriften zur Bekämpfung von Steuervermeidungspraktiken mit unmittelbaren Auswirkungen auf das Funktionieren des Binnenmarkts (ABl. L 193 vom 19.7.2016, S. 1), die den maßgeblichen Gewinn gemindert haben. </w:t>
      </w:r>
      <w:r>
        <w:rPr>
          <w:rStyle w:val="Satznummer"/>
        </w:rPr>
        <w:t>3</w:t>
      </w:r>
      <w:r>
        <w:t xml:space="preserve">Zinserträge sind Erträge aus Kapitalforderungen jeder Art und wirtschaftlich gleichwertige Erträge im Zusammenhang mit Kapitalforderungen, die den maßgeblichen Gewinn erhöht haben. </w:t>
      </w:r>
      <w:r>
        <w:rPr>
          <w:rStyle w:val="Satznummer"/>
        </w:rPr>
        <w:t>4</w:t>
      </w:r>
      <w:r>
        <w:t>Ein Betrieb gehört zu einem Konzern, wenn er nach dem für die Anwendung des Absatzes 2 Satz 1 Buchstabe c zugrunde gelegten Rechnungslegungsstandard mit einem oder mehreren anderen Betrieben konsolidiert wird.</w:t>
      </w:r>
    </w:p>
    <w:p>
      <w:r>
        <w:t xml:space="preserve">(4) </w:t>
      </w:r>
      <w:r>
        <w:rPr>
          <w:rStyle w:val="Satznummer"/>
        </w:rPr>
        <w:t>1</w:t>
      </w:r>
      <w:r>
        <w:t xml:space="preserve">Der EBITDA-Vortrag und der Zinsvortrag sind gesondert festzustellen. </w:t>
      </w:r>
      <w:r>
        <w:rPr>
          <w:rStyle w:val="Satznummer"/>
        </w:rPr>
        <w:t>2</w:t>
      </w:r>
      <w:r>
        <w:t xml:space="preserve">Zuständig ist das für die gesonderte Feststellung des Gewinns und Verlusts der Gesellschaft zuständige Finanzamt, im Übrigen das für die Besteuerung zuständige Finanzamt. </w:t>
      </w:r>
      <w:r>
        <w:rPr>
          <w:rStyle w:val="Satznummer"/>
        </w:rPr>
        <w:t>3</w:t>
      </w:r>
      <w:hyperlink w:anchor="b55" w:history="1">
        <w:r>
          <w:rPr>
            <w:color w:val="0A3A8C"/>
            <w:u w:val="single"/>
          </w:rPr>
          <w:t xml:space="preserve">§ 10d</w:t>
        </w:r>
      </w:hyperlink>
      <w:r>
        <w:t xml:space="preserve"> Absatz 4 gilt sinngemäß. </w:t>
      </w:r>
      <w:r>
        <w:rPr>
          <w:rStyle w:val="Satznummer"/>
        </w:rPr>
        <w:t>4</w:t>
      </w:r>
      <w:r>
        <w:t>Feststellungsbescheide sind zu erlassen, aufzuheben oder zu ändern, soweit sich die nach Satz 1 festzustellenden Beträge ändern.</w:t>
      </w:r>
    </w:p>
    <w:p>
      <w:r>
        <w:t xml:space="preserve">(5) </w:t>
      </w:r>
      <w:r>
        <w:rPr>
          <w:rStyle w:val="Satznummer"/>
        </w:rPr>
        <w:t>1</w:t>
      </w:r>
      <w:r>
        <w:t xml:space="preserve">Bei Aufgabe oder Übertragung des Betriebs gehen ein nicht verbrauchter EBITDA-Vortrag und ein nicht verbrauchter Zinsvortrag unter. </w:t>
      </w:r>
      <w:r>
        <w:rPr>
          <w:rStyle w:val="Satznummer"/>
        </w:rPr>
        <w:t>2</w:t>
      </w:r>
      <w:r>
        <w:t xml:space="preserve">Scheidet ein Mitunternehmer aus einer Gesellschaft aus, gehen der EBITDA-Vortrag und der Zinsvortrag anteilig mit der Quote unter, mit der der ausgeschiedene Gesellschafter an der Gesellschaft beteiligt war. </w:t>
      </w:r>
      <w:r>
        <w:rPr>
          <w:rStyle w:val="Satznummer"/>
        </w:rPr>
        <w:t>3</w:t>
      </w:r>
      <w:r>
        <w:t xml:space="preserve">§ 8c des Körperschaftsteuergesetzes ist auf den Zinsvortrag einer Gesellschaft entsprechend anzuwenden, soweit an dieser unmittelbar oder mittelbar eine Körperschaft als Mitunternehmer beteiligt ist. </w:t>
      </w:r>
      <w:r>
        <w:rPr>
          <w:rStyle w:val="Satznummer"/>
        </w:rPr>
        <w:t>4</w:t>
      </w:r>
      <w:r>
        <w:t>Bei Aufgabe oder Übertragung eines Teilbetriebs gehen ein nicht verbrauchter EBITDA-Vortrag und ein nicht verbrauchter Zinsvortrag anteilig unter; § 15 Absatz 3 des Umwandlungssteuergesetzes gilt entsprechend.</w:t>
      </w:r>
    </w:p>
    <w:p>
      <w:r>
        <w:t xml:space="preserve">(6) </w:t>
      </w:r>
      <w:r>
        <w:rPr>
          <w:rStyle w:val="Satznummer"/>
        </w:rPr>
        <w:t>1</w:t>
      </w:r>
      <w:r>
        <w:t xml:space="preserve">Zinsaufwendungen oder Zinserträge aus Darlehen, die zur Finanzierung langfristiger öffentlicher Infrastrukturprojekte verwendet und auf Grund von allgemeinen Förderbedingungen vergeben werden, stellen keine Zinsaufwendungen oder Zinserträge im Sinne des Absatzes 3 Satz 2 und 3 dar, sofern es sich um mittelbar oder unmittelbar aus öffentlichen Haushalten gewährte Mittel der Europäischen Union, von Bund, Ländern, Gemeinden oder Mittel anderer öffentlich-rechtlicher Körperschaften oder einer nach § 5 Absatz 1 Nummer 2, 17 oder 18 des Körperschaftsteuergesetzes steuerbefreiten Einrichtung handelt. </w:t>
      </w:r>
      <w:r>
        <w:rPr>
          <w:rStyle w:val="Satznummer"/>
        </w:rPr>
        <w:t>2</w:t>
      </w:r>
      <w:r>
        <w:t xml:space="preserve">Satz 1 gilt nur, sofern sämtliche geschaffenen Vermögenswerte in einem Mitgliedstaat der Europäischen Union belegen sind, der Projektbetreiber in einem Mitgliedstaat der Europäischen Union ansässig ist und die Einkünfte aus dem Infrastrukturprojekt in einem Mitgliedstaat der Europäischen Union der Besteuerung unterliegen. </w:t>
      </w:r>
      <w:r>
        <w:rPr>
          <w:rStyle w:val="Satznummer"/>
        </w:rPr>
        <w:t>3</w:t>
      </w:r>
      <w:r>
        <w:t>Bei der Ermittlung des verrechenbaren EBITDA im Sinne des Absatzes 1 Satz 2 bleiben Aufwendungen und Erträge, die auf das Infrastrukturprojekt im Sinne des Satzes 1 entfallen, außer Ansatz.</w:t>
      </w:r>
    </w:p>
    <w:p>
      <w:pPr>
        <w:pStyle w:val="Heading3"/>
      </w:pPr>
      <w:bookmarkStart w:id="23" w:name="b22"/>
      <w:r>
        <w:t>§ 4i Sonderbetriebsausgabenabzug bei Vorgängen mit Auslandsbezug</w:t>
      </w:r>
      <w:r>
        <w:t xml:space="preserve"> </w:t>
      </w:r>
      <w:r>
        <w:rPr>
          <w:rStyle w:val="Suchmarke"/>
        </w:rPr>
        <w:t>#4i#</w:t>
      </w:r>
      <w:bookmarkEnd w:id="23"/>
    </w:p>
    <w:p>
      <w:r>
        <w:rPr>
          <w:rStyle w:val="Satznummer"/>
        </w:rPr>
        <w:t>1</w:t>
      </w:r>
      <w:r>
        <w:t xml:space="preserve">Aufwendungen dürfen nicht als Sonderbetriebsausgaben abgezogen werden, soweit sie auch die Steuerbemessungsgrundlage in einem anderen Staat mindern. </w:t>
      </w:r>
      <w:r>
        <w:rPr>
          <w:rStyle w:val="Satznummer"/>
        </w:rPr>
        <w:t>2</w:t>
      </w:r>
      <w:r>
        <w:t>Satz 1 gilt nicht, soweit diese Aufwendungen Erträge desselben Steuerpflichtigen mindern, die bei ihm sowohl der inländischen Besteuerung unterliegen als auch nachweislich der tatsächlichen Besteuerung in dem anderen Staat.</w:t>
      </w:r>
    </w:p>
    <w:p>
      <w:pPr>
        <w:pStyle w:val="Heading3"/>
      </w:pPr>
      <w:bookmarkStart w:id="24" w:name="b23"/>
      <w:r>
        <w:t>§ 4j (weggefallen)</w:t>
      </w:r>
      <w:r>
        <w:t xml:space="preserve"> </w:t>
      </w:r>
      <w:r>
        <w:rPr>
          <w:rStyle w:val="Suchmarke"/>
        </w:rPr>
        <w:t>#4j#</w:t>
      </w:r>
      <w:bookmarkEnd w:id="24"/>
    </w:p>
    <w:p>
      <w:pPr>
        <w:pStyle w:val="Heading3"/>
      </w:pPr>
      <w:bookmarkStart w:id="25" w:name="b24"/>
      <w:r>
        <w:t>§ 4k Betriebsausgabenabzug bei Besteuerungsinkongruenzen</w:t>
      </w:r>
      <w:r>
        <w:t xml:space="preserve"> </w:t>
      </w:r>
      <w:r>
        <w:rPr>
          <w:rStyle w:val="Suchmarke"/>
        </w:rPr>
        <w:t>#4k#</w:t>
      </w:r>
      <w:bookmarkEnd w:id="25"/>
    </w:p>
    <w:p>
      <w:r>
        <w:t xml:space="preserve">(1) </w:t>
      </w:r>
      <w:r>
        <w:rPr>
          <w:rStyle w:val="Satznummer"/>
        </w:rPr>
        <w:t>1</w:t>
      </w:r>
      <w:r>
        <w:t xml:space="preserve">Aufwendungen für die Nutzung oder im Zusammenhang mit der Übertragung von Kapitalvermögen sind insoweit nicht als Betriebsausgaben abziehbar, als die den Aufwendungen entsprechenden Erträge auf Grund einer vom deutschen Recht abweichenden steuerlichen Qualifikation oder Zurechnung des Kapitalvermögens nicht oder niedriger als bei dem deutschen Recht entsprechender Qualifikation oder Zurechnung besteuert werden. </w:t>
      </w:r>
      <w:r>
        <w:rPr>
          <w:rStyle w:val="Satznummer"/>
        </w:rPr>
        <w:t>2</w:t>
      </w:r>
      <w:r>
        <w:t>Satz 1 gilt nicht, soweit die Besteuerungsinkongruenz voraussichtlich in einem künftigen Besteuerungszeitraum beseitigt wird und die Zahlungsbedingungen einem Fremdvergleich standhalten.</w:t>
      </w:r>
    </w:p>
    <w:p>
      <w:r>
        <w:t xml:space="preserve">(2) </w:t>
      </w:r>
      <w:r>
        <w:rPr>
          <w:rStyle w:val="Satznummer"/>
        </w:rPr>
        <w:t>1</w:t>
      </w:r>
      <w:r>
        <w:t xml:space="preserve">Soweit nicht bereits die Voraussetzungen für die Versagung des Betriebsausgabenabzugs nach Absatz 1 vorliegen, sind Aufwendungen auch insoweit nicht als Betriebsausgaben abziehbar, als die den Aufwendungen entsprechenden Erträge auf Grund einer vom deutschen Recht abweichenden steuerlichen Behandlung des Steuerpflichtigen oder auf Grund einer vom deutschen Recht abweichenden steuerlichen Beurteilung von anzunehmenden schuldrechtlichen Beziehungen im Sinne des § 1 Absatz 4 Satz 1 Nummer 2 des Außensteuergesetzes in keinem Staat einer tatsächlichen Besteuerung unterliegen. </w:t>
      </w:r>
      <w:r>
        <w:rPr>
          <w:rStyle w:val="Satznummer"/>
        </w:rPr>
        <w:t>2</w:t>
      </w:r>
      <w:r>
        <w:t xml:space="preserve">Handelt es sich bei dem Gläubiger der Erträge im Sinne des Satzes 1 um einen unbeschränkt steuerpflichtigen, unmittelbaren oder mittelbaren Gesellschafter einer ausländischen vermögensverwaltenden Personengesellschaft oder um eine Personengesellschaft, an der ein solcher Gesellschafter unmittelbar oder mittelbar beteiligt ist, gilt § 39 Absatz 2 Nummer 2 der Abgabenordnung nicht, soweit die in Satz 1 genannten Aufwendungen in dem anderen Staat zum Abzug zugelassen sind und die den Aufwendungen entsprechenden Erträge durch die vom deutschen Recht abweichende Zurechnung keiner tatsächlichen Besteuerung unterliegen. </w:t>
      </w:r>
      <w:r>
        <w:rPr>
          <w:rStyle w:val="Satznummer"/>
        </w:rPr>
        <w:t>3</w:t>
      </w:r>
      <w:r>
        <w:t>Satz 1 gilt nicht, soweit den Aufwendungen Erträge desselben Steuerpflichtigen gegenüberstehen, die sowohl im Inland als auch nachweislich in dem Staat des Gläubigers oder, wenn es sich bei dem Gläubiger um eine Personengesellschaft handelt, im Staat des unmittelbaren oder mittelbaren Gesellschafters beziehungsweise des anderen Unternehmensteils im Rahmen einer anzunehmenden schuldrechtlichen Beziehung einer tatsächlichen Besteuerung unterliegen.</w:t>
      </w:r>
    </w:p>
    <w:p>
      <w:r>
        <w:t>(3) Soweit nicht bereits die Voraussetzungen für die Versagung des Betriebsausgabenabzugs nach den vorstehenden Absätzen vorliegen, sind Aufwendungen auch insoweit nicht als Betriebsausgaben abziehbar, als die den Aufwendungen entsprechenden Erträge auf Grund deren vom deutschen Recht abweichender steuerlicher Zuordnung oder Zurechnung nach den Rechtsvorschriften anderer Staaten in keinem Staat einer tatsächlichen Besteuerung unterliegen.</w:t>
      </w:r>
    </w:p>
    <w:p>
      <w:r>
        <w:t xml:space="preserve">(4) </w:t>
      </w:r>
      <w:r>
        <w:rPr>
          <w:rStyle w:val="Satznummer"/>
        </w:rPr>
        <w:t>1</w:t>
      </w:r>
      <w:r>
        <w:t xml:space="preserve">Soweit nicht bereits die Voraussetzungen für die Versagung des Betriebsausgabenabzugs nach den vorstehenden Absätzen vorliegen, sind Aufwendungen auch insoweit nicht als Betriebsausgaben abziehbar, als die Aufwendungen auch in einem anderen Staat berücksichtigt werden. </w:t>
      </w:r>
      <w:r>
        <w:rPr>
          <w:rStyle w:val="Satznummer"/>
        </w:rPr>
        <w:t>2</w:t>
      </w:r>
      <w:r>
        <w:t>Eine Berücksichtigung der Aufwendungen im Sinne des Satzes 1 liegt bei unbeschränkt Steuerpflichtigen auch vor, wenn der andere Staat den Abzug der Aufwendungen bereits nach seinen Vorschriften nicht zulässt, die diesem oder den vorstehenden Absätzen entsprechen; dies gilt nicht, wenn der Abzug der Aufwendungen in einem anderen Staat auf Grund einer diesem Absatz entsprechenden Regelung nicht zugelassen wird bei</w:t>
      </w:r>
    </w:p>
    <w:p>
      <w:pPr>
        <w:tabs>
          <w:tab w:pos="567" w:val="left"/>
        </w:tabs>
        <w:ind w:left="567" w:hanging="567"/>
      </w:pPr>
      <w:r>
        <w:t>1.</w:t>
      </w:r>
      <w:r>
        <w:tab/>
      </w:r>
      <w:r>
        <w:t>einem mittelbaren oder unmittelbaren Gesellschafter eines unbeschränkt Steuerpflichtigen im Sinne des § 1 des Körperschaftsteuergesetzes oder</w:t>
      </w:r>
    </w:p>
    <w:p>
      <w:pPr>
        <w:tabs>
          <w:tab w:pos="567" w:val="left"/>
        </w:tabs>
        <w:ind w:left="567" w:hanging="567"/>
      </w:pPr>
      <w:r>
        <w:t>2.</w:t>
      </w:r>
      <w:r>
        <w:tab/>
      </w:r>
      <w:r>
        <w:t>dem Steuerpflichtigen, sofern sich dessen Wohnsitz, Sitz oder Ort der Geschäftsleitung auch in einem anderen Mitgliedstaat der Europäischen Union befindet und dieser Staat den Steuerpflichtigen für Zwecke der Anwendung eines Abkommens zur Vermeidung der Doppelbesteuerung zwischen der Bundesrepublik Deutschland und diesem Staat als nicht in diesem Staat ansässig behandelt.</w:t>
      </w:r>
    </w:p>
    <w:p>
      <w:r>
        <w:rPr>
          <w:rStyle w:val="Satznummer"/>
        </w:rPr>
        <w:t>3</w:t>
      </w:r>
      <w:r>
        <w:t xml:space="preserve">Satz 1 gilt nicht, soweit den Aufwendungen Erträge desselben Steuerpflichtigen gegenüberstehen, die sowohl im Inland als auch nachweislich in dem anderen Staat einer tatsächlichen Besteuerung unterliegen. </w:t>
      </w:r>
      <w:r>
        <w:rPr>
          <w:rStyle w:val="Satznummer"/>
        </w:rPr>
        <w:t>4</w:t>
      </w:r>
      <w:r>
        <w:t>Bei unbeschränkt Steuerpflichtigen, bei denen eine Doppelbesteuerung durch Anrechnung oder Abzug der ausländischen Steuer vermieden wird, finden die Sätze 1 bis 3 nur Anwendung, soweit die Aufwendungen auch Erträge in einem anderen Staat mindern, die nicht der inländischen Besteuerung unterliegen.</w:t>
      </w:r>
    </w:p>
    <w:p>
      <w:r>
        <w:t xml:space="preserve">(5) </w:t>
      </w:r>
      <w:r>
        <w:rPr>
          <w:rStyle w:val="Satznummer"/>
        </w:rPr>
        <w:t>1</w:t>
      </w:r>
      <w:r>
        <w:t xml:space="preserve">Soweit nicht bereits die Voraussetzungen für die Versagung des Betriebsausgabenabzugs nach den vorstehenden Absätzen vorliegen, sind Aufwendungen auch insoweit nicht als Betriebsausgaben abziehbar, als den aus diesen Aufwendungen unmittelbar oder mittelbar resultierenden Erträgen Aufwendungen gegenüberstehen, deren Abzug beim Gläubiger, einem weiteren Gläubiger oder einer anderen Person bei entsprechender Anwendung dieses Absatzes oder der Absätze 1 bis 4 versagt würde. </w:t>
      </w:r>
      <w:r>
        <w:rPr>
          <w:rStyle w:val="Satznummer"/>
        </w:rPr>
        <w:t>2</w:t>
      </w:r>
      <w:r>
        <w:t>Satz 1 findet keine Anwendung, soweit der steuerliche Vorteil infolge einer Besteuerungsinkongruenz im Sinne dieses Absatzes oder der Absätze 1 bis 4 bereits beim Gläubiger, beim weiteren Gläubiger oder bei der anderen Person im Sinne des Satzes 1 beseitigt wird.</w:t>
      </w:r>
    </w:p>
    <w:p>
      <w:r>
        <w:t xml:space="preserve">(6) </w:t>
      </w:r>
      <w:r>
        <w:rPr>
          <w:rStyle w:val="Satznummer"/>
        </w:rPr>
        <w:t>1</w:t>
      </w:r>
      <w:r>
        <w:t xml:space="preserve">Die Absätze 1 bis 5 finden nur Anwendung, wenn der Tatbestand dieser Absätze zwischen nahestehenden Personen im Sinne des § 1 Absatz 2 des Außensteuergesetzes oder zwischen einem Unternehmen und seiner Betriebsstätte verwirklicht wird oder wenn eine strukturierte Gestaltung anzunehmen ist. </w:t>
      </w:r>
      <w:r>
        <w:rPr>
          <w:rStyle w:val="Satznummer"/>
        </w:rPr>
        <w:t>2</w:t>
      </w:r>
      <w:r>
        <w:t xml:space="preserve">Einer Person, die mit einer anderen Person durch abgestimmtes Verhalten zusammenwirkt, werden für Zwecke dieses Absatzes und der Absätze 1 bis 5 die Beteiligung, die Stimmrechte und die Gewinnbezugsrechte der anderen Person zugerechnet. </w:t>
      </w:r>
      <w:r>
        <w:rPr>
          <w:rStyle w:val="Satznummer"/>
        </w:rPr>
        <w:t>3</w:t>
      </w:r>
      <w:r>
        <w:t xml:space="preserve">Eine strukturierte Gestaltung im Sinne des Satzes 1 ist anzunehmen, wenn der steuerliche Vorteil, der sich ohne die Anwendung der vorstehenden Absätze ergeben würde, ganz oder zum Teil in die Bedingungen der vertraglichen Vereinbarungen eingerechnet wurde oder die Bedingungen der vertraglichen Vereinbarungen oder die den vertraglichen Vereinbarungen zugrunde liegenden Umstände darauf schließen lassen, dass die an der Gestaltung Beteiligten den steuerlichen Vorteil erwarten konnten. </w:t>
      </w:r>
      <w:r>
        <w:rPr>
          <w:rStyle w:val="Satznummer"/>
        </w:rPr>
        <w:t>4</w:t>
      </w:r>
      <w:r>
        <w:t>Ein Steuerpflichtiger wird nicht als Teil einer strukturierten Gestaltung behandelt, wenn nach den äußeren Umständen vernünftigerweise nicht davon auszugehen ist, dass ihm der steuerliche Vorteil bekannt war und er nachweist, dass er nicht an dem steuerlichen Vorteil beteiligt wurde.</w:t>
      </w:r>
    </w:p>
    <w:p>
      <w:r>
        <w:t>(7) Die Absätze 1 bis 6 sind ungeachtet der Vorschriften eines Abkommens zur Vermeidung der Doppelbesteuerung anzuwenden.</w:t>
      </w:r>
    </w:p>
    <w:p>
      <w:pPr>
        <w:pStyle w:val="Heading3"/>
      </w:pPr>
      <w:bookmarkStart w:id="26" w:name="b25"/>
      <w:r>
        <w:t>§ 5 Gewinn bei Kaufleuten und bei bestimmten anderen Gewerbetreibenden</w:t>
      </w:r>
      <w:r>
        <w:t xml:space="preserve"> </w:t>
      </w:r>
      <w:r>
        <w:rPr>
          <w:rStyle w:val="Suchmarke"/>
        </w:rPr>
        <w:t>#5#</w:t>
      </w:r>
      <w:bookmarkEnd w:id="26"/>
    </w:p>
    <w:p>
      <w:r>
        <w:t xml:space="preserve">(1) </w:t>
      </w:r>
      <w:r>
        <w:rPr>
          <w:rStyle w:val="Satznummer"/>
        </w:rPr>
        <w:t>1</w:t>
      </w:r>
      <w:r>
        <w:t>Bei Gewerbetreibenden, die auf Grund gesetzlicher Vorschriften verpflichtet sind, Bücher zu führen und regelmäßig Abschlüsse zu machen, oder die ohne eine solche Verpflichtung Bücher führen und regelmäßig Abschlüsse machen, ist für den Schluss des Wirtschaftsjahres das Betriebsvermögen anzusetzen (</w:t>
      </w:r>
      <w:hyperlink w:anchor="b13" w:history="1">
        <w:r>
          <w:rPr>
            <w:color w:val="0A3A8C"/>
            <w:u w:val="single"/>
          </w:rPr>
          <w:t xml:space="preserve">§ 4</w:t>
        </w:r>
      </w:hyperlink>
      <w:r>
        <w:t xml:space="preserve"> Absatz 1 Satz 1), das nach den handelsrechtlichen Grundsätzen ordnungsmäßiger Buchführung auszuweisen ist, es sei denn, im Rahmen der Ausübung eines steuerlichen Wahlrechts wird oder wurde ein anderer Ansatz gewählt. </w:t>
      </w:r>
      <w:r>
        <w:rPr>
          <w:rStyle w:val="Satznummer"/>
        </w:rPr>
        <w:t>2</w:t>
      </w:r>
      <w:r>
        <w:t xml:space="preserve">Voraussetzung für die Ausübung steuerlicher Wahlrechte ist, dass die Wirtschaftsgüter, die nicht mit dem handelsrechtlich maßgeblichen Wert in der steuerlichen Gewinnermittlung ausgewiesen werden, in besondere, laufend zu führende Verzeichnisse aufgenommen werden. </w:t>
      </w:r>
      <w:r>
        <w:rPr>
          <w:rStyle w:val="Satznummer"/>
        </w:rPr>
        <w:t>3</w:t>
      </w:r>
      <w:r>
        <w:t>In den Verzeichnissen sind der Tag der Anschaffung oder Herstellung, die Anschaffungs- oder Herstellungskosten, die Vorschrift des ausgeübten steuerlichen Wahlrechts und die vorgenommenen Abschreibungen nachzuweisen.</w:t>
      </w:r>
    </w:p>
    <w:p>
      <w:r>
        <w:t xml:space="preserve">(1a) </w:t>
      </w:r>
      <w:r>
        <w:rPr>
          <w:rStyle w:val="Satznummer"/>
        </w:rPr>
        <w:t>1</w:t>
      </w:r>
      <w:r>
        <w:t xml:space="preserve">Posten der Aktivseite dürfen nicht mit Posten der Passivseite verrechnet werden. </w:t>
      </w:r>
      <w:r>
        <w:rPr>
          <w:rStyle w:val="Satznummer"/>
        </w:rPr>
        <w:t>2</w:t>
      </w:r>
      <w:r>
        <w:t>Die Ergebnisse der in der handelsrechtlichen Rechnungslegung zur Absicherung finanzwirtschaftlicher Risiken gebildeten Bewertungseinheiten sind auch für die steuerliche Gewinnermittlung maßgeblich.</w:t>
      </w:r>
    </w:p>
    <w:p>
      <w:r>
        <w:t>(2) Für immaterielle Wirtschaftsgüter des Anlagevermögens ist ein Aktivposten nur anzusetzen, wenn sie entgeltlich erworben wurden.</w:t>
      </w:r>
    </w:p>
    <w:p>
      <w:r>
        <w:t>(2a) Für Verpflichtungen, die nur zu erfüllen sind, soweit künftig Einnahmen oder Gewinne anfallen, sind Verbindlichkeiten oder Rückstellungen erst anzusetzen, wenn die Einnahmen oder Gewinne angefallen sind.</w:t>
      </w:r>
    </w:p>
    <w:p>
      <w:r>
        <w:t xml:space="preserve">(3) </w:t>
      </w:r>
      <w:r>
        <w:rPr>
          <w:rStyle w:val="Satznummer"/>
        </w:rPr>
        <w:t>1</w:t>
      </w:r>
      <w:r>
        <w:t>Rückstellungen wegen Verletzung fremder Patent-, Urheber- oder ähnlicher Schutzrechte dürfen erst gebildet werden, wenn</w:t>
      </w:r>
    </w:p>
    <w:p>
      <w:pPr>
        <w:tabs>
          <w:tab w:pos="567" w:val="left"/>
        </w:tabs>
        <w:ind w:left="567" w:hanging="567"/>
      </w:pPr>
      <w:r>
        <w:t>1.</w:t>
      </w:r>
      <w:r>
        <w:tab/>
      </w:r>
      <w:r>
        <w:t>der Rechtsinhaber Ansprüche wegen der Rechtsverletzung geltend gemacht hat oder</w:t>
      </w:r>
    </w:p>
    <w:p>
      <w:pPr>
        <w:tabs>
          <w:tab w:pos="567" w:val="left"/>
        </w:tabs>
        <w:ind w:left="567" w:hanging="567"/>
      </w:pPr>
      <w:r>
        <w:t>2.</w:t>
      </w:r>
      <w:r>
        <w:tab/>
      </w:r>
      <w:r>
        <w:t>mit einer Inanspruchnahme wegen der Rechtsverletzung ernsthaft zu rechnen ist.</w:t>
      </w:r>
    </w:p>
    <w:p>
      <w:r>
        <w:rPr>
          <w:rStyle w:val="Satznummer"/>
        </w:rPr>
        <w:t>2</w:t>
      </w:r>
      <w:r>
        <w:t>Eine nach Satz 1 Nummer 2 gebildete Rückstellung ist spätestens in der Bilanz des dritten auf ihre erstmalige Bildung folgenden Wirtschaftsjahres gewinnerhöhend aufzulösen, wenn Ansprüche nicht geltend gemacht worden sind.</w:t>
      </w:r>
    </w:p>
    <w:p>
      <w:r>
        <w:t>(4) Rückstellungen für die Verpflichtung zu einer Zuwendung anlässlich eines Dienstjubiläums dürfen nur gebildet werden, wenn das Dienstverhältnis mindestens zehn Jahre bestanden hat, das Dienstjubiläum das Bestehen eines Dienstverhältnisses von mindestens 15 Jahren voraussetzt, die Zusage schriftlich erteilt ist und soweit der Zuwendungsberechtigte seine Anwartschaft nach dem 31. Dezember 1992 erwirbt.</w:t>
      </w:r>
    </w:p>
    <w:p>
      <w:r>
        <w:t xml:space="preserve">(4a) </w:t>
      </w:r>
      <w:r>
        <w:rPr>
          <w:rStyle w:val="Satznummer"/>
        </w:rPr>
        <w:t>1</w:t>
      </w:r>
      <w:r>
        <w:t xml:space="preserve">Rückstellungen für drohende Verluste aus schwebenden Geschäften dürfen nicht gebildet werden. </w:t>
      </w:r>
      <w:r>
        <w:rPr>
          <w:rStyle w:val="Satznummer"/>
        </w:rPr>
        <w:t>2</w:t>
      </w:r>
      <w:r>
        <w:t>Das gilt nicht für Ergebnisse nach Absatz 1a Satz 2.</w:t>
      </w:r>
    </w:p>
    <w:p>
      <w:r>
        <w:t xml:space="preserve">(4b) </w:t>
      </w:r>
      <w:r>
        <w:rPr>
          <w:rStyle w:val="Satznummer"/>
        </w:rPr>
        <w:t>1</w:t>
      </w:r>
      <w:r>
        <w:t xml:space="preserve">Rückstellungen für Aufwendungen, die in künftigen Wirtschaftsjahren als Anschaffungs- oder Herstellungskosten eines Wirtschaftsguts zu aktivieren sind, dürfen nicht gebildet werden. </w:t>
      </w:r>
      <w:r>
        <w:rPr>
          <w:rStyle w:val="Satznummer"/>
        </w:rPr>
        <w:t>2</w:t>
      </w:r>
      <w:r>
        <w:t>Rückstellungen für die Verpflichtung zur schadlosen Verwertung radioaktiver Reststoffe sowie ausgebauter oder abgebauter radioaktiver Anlagenteile dürfen nicht gebildet werden, soweit Aufwendungen im Zusammenhang mit der Bearbeitung oder Verarbeitung von Kernbrennstoffen stehen, die aus der Aufarbeitung bestrahlter Kernbrennstoffe gewonnen worden sind und keine radioaktiven Abfälle darstellen.</w:t>
      </w:r>
    </w:p>
    <w:p>
      <w:r>
        <w:t xml:space="preserve">(5) </w:t>
      </w:r>
      <w:r>
        <w:rPr>
          <w:rStyle w:val="Satznummer"/>
        </w:rPr>
        <w:t>1</w:t>
      </w:r>
      <w:r>
        <w:t>Als Rechnungsabgrenzungsposten sind nur anzusetzen</w:t>
      </w:r>
    </w:p>
    <w:p>
      <w:pPr>
        <w:tabs>
          <w:tab w:pos="567" w:val="left"/>
        </w:tabs>
        <w:ind w:left="567" w:hanging="567"/>
      </w:pPr>
      <w:r>
        <w:t>1.</w:t>
      </w:r>
      <w:r>
        <w:tab/>
      </w:r>
      <w:r>
        <w:t>auf der Aktivseite Ausgaben vor dem Abschlussstichtag, soweit sie Aufwand für eine bestimmte Zeit nach diesem Tag darstellen;</w:t>
      </w:r>
    </w:p>
    <w:p>
      <w:pPr>
        <w:tabs>
          <w:tab w:pos="567" w:val="left"/>
        </w:tabs>
        <w:ind w:left="567" w:hanging="567"/>
      </w:pPr>
      <w:r>
        <w:t>2.</w:t>
      </w:r>
      <w:r>
        <w:tab/>
      </w:r>
      <w:r>
        <w:t>auf der Passivseite Einnahmen vor dem Abschlussstichtag, soweit sie Ertrag für eine bestimmte Zeit nach diesem Tag darstellen.</w:t>
      </w:r>
    </w:p>
    <w:p>
      <w:r>
        <w:rPr>
          <w:rStyle w:val="Satznummer"/>
        </w:rPr>
        <w:t>2</w:t>
      </w:r>
      <w:r>
        <w:t xml:space="preserve">Der Ansatz eines Rechnungsabgrenzungspostens kann unterbleiben, wenn die jeweilige Ausgabe oder Einnahme im Sinne des Satzes 1 den Betrag des </w:t>
      </w:r>
      <w:hyperlink w:anchor="b28" w:history="1">
        <w:r>
          <w:rPr>
            <w:color w:val="0A3A8C"/>
            <w:u w:val="single"/>
          </w:rPr>
          <w:t xml:space="preserve">§ 6</w:t>
        </w:r>
      </w:hyperlink>
      <w:r>
        <w:t xml:space="preserve"> Absatz 2 Satz 1 nicht übersteigt; das Wahlrecht ist einheitlich für alle Ausgaben und Einnahmen im Sinne des Satzes 1 auszuüben. </w:t>
      </w:r>
      <w:r>
        <w:rPr>
          <w:rStyle w:val="Satznummer"/>
        </w:rPr>
        <w:t>3</w:t>
      </w:r>
      <w:r>
        <w:t>Auf der Aktivseite sind ferner anzusetzen</w:t>
      </w:r>
    </w:p>
    <w:p>
      <w:pPr>
        <w:tabs>
          <w:tab w:pos="567" w:val="left"/>
        </w:tabs>
        <w:ind w:left="567" w:hanging="567"/>
      </w:pPr>
      <w:r>
        <w:t>1.</w:t>
      </w:r>
      <w:r>
        <w:tab/>
      </w:r>
      <w:r>
        <w:t>als Aufwand berücksichtigte Zölle und Verbrauchsteuern, soweit sie auf am Abschlussstichtag auszuweisende Wirtschaftsgüter des Vorratsvermögens entfallen,</w:t>
      </w:r>
    </w:p>
    <w:p>
      <w:pPr>
        <w:tabs>
          <w:tab w:pos="567" w:val="left"/>
        </w:tabs>
        <w:ind w:left="567" w:hanging="567"/>
      </w:pPr>
      <w:r>
        <w:t>2.</w:t>
      </w:r>
      <w:r>
        <w:tab/>
      </w:r>
      <w:r>
        <w:t>als Aufwand berücksichtigte Umsatzsteuer auf am Abschlussstichtag auszuweisende Anzahlungen.</w:t>
      </w:r>
    </w:p>
    <w:p>
      <w:r>
        <w:t>(6) Die Vorschriften über die Entnahmen und die Einlagen, über die Zulässigkeit der Bilanzänderung, über die Betriebsausgaben, über die Bewertung und über die Absetzung für Abnutzung oder Substanzverringerung sind zu befolgen.</w:t>
      </w:r>
    </w:p>
    <w:p>
      <w:r>
        <w:t xml:space="preserve">(7) </w:t>
      </w:r>
      <w:r>
        <w:rPr>
          <w:rStyle w:val="Satznummer"/>
        </w:rPr>
        <w:t>1</w:t>
      </w:r>
      <w:r>
        <w:t xml:space="preserve">Übernommene Verpflichtungen, die beim ursprünglich Verpflichteten Ansatzverboten, -beschränkungen oder Bewertungsvorbehalten unterlegen haben, sind zu den auf die Übernahme folgenden Abschlussstichtagen bei dem Übernehmer und dessen Rechtsnachfolger so zu bilanzieren, wie sie beim ursprünglich Verpflichteten ohne Übernahme zu bilanzieren wären. </w:t>
      </w:r>
      <w:r>
        <w:rPr>
          <w:rStyle w:val="Satznummer"/>
        </w:rPr>
        <w:t>2</w:t>
      </w:r>
      <w:r>
        <w:t xml:space="preserve">Dies gilt in Fällen des Schuldbeitritts oder der Erfüllungsübernahme mit vollständiger oder teilweiser Schuldfreistellung für die sich aus diesem Rechtsgeschäft ergebenden Verpflichtungen sinngemäß. </w:t>
      </w:r>
      <w:r>
        <w:rPr>
          <w:rStyle w:val="Satznummer"/>
        </w:rPr>
        <w:t>3</w:t>
      </w:r>
      <w:r>
        <w:t xml:space="preserve">Satz 1 ist für den Erwerb eines Mitunternehmeranteils entsprechend anzuwenden. </w:t>
      </w:r>
      <w:r>
        <w:rPr>
          <w:rStyle w:val="Satznummer"/>
        </w:rPr>
        <w:t>4</w:t>
      </w:r>
      <w:r>
        <w:t xml:space="preserve">Wird eine Pensionsverpflichtung unter gleichzeitiger Übernahme von Vermögenswerten gegenüber einem Arbeitnehmer übernommen, der bisher in einem anderen Unternehmen tätig war, ist Satz 1 mit der Maßgabe anzuwenden, dass bei der Ermittlung des Teilwertes der Verpflichtung der Jahresbetrag nach </w:t>
      </w:r>
      <w:hyperlink w:anchor="b29" w:history="1">
        <w:r>
          <w:rPr>
            <w:color w:val="0A3A8C"/>
            <w:u w:val="single"/>
          </w:rPr>
          <w:t xml:space="preserve">§ 6a</w:t>
        </w:r>
      </w:hyperlink>
      <w:r>
        <w:t xml:space="preserve"> Absatz 3 Satz 2 Nummer 1 so zu bemessen ist, dass zu Beginn des Wirtschaftsjahres der Übernahme der Barwert der Jahresbeträge zusammen mit den übernommenen Vermögenswerten gleich dem Barwert der künftigen Pensionsleistungen ist; dabei darf sich kein negativer Jahresbetrag ergeben. </w:t>
      </w:r>
      <w:r>
        <w:rPr>
          <w:rStyle w:val="Satznummer"/>
        </w:rPr>
        <w:t>5</w:t>
      </w:r>
      <w:r>
        <w:t xml:space="preserve">Für einen Gewinn, der sich aus der Anwendung der Sätze 1 bis 3 ergibt, kann jeweils in Höhe von vierzehn Fünfzehntel eine gewinnmindernde Rücklage gebildet werden, die in den folgenden 14 Wirtschaftsjahren jeweils mit mindestens einem Vierzehntel gewinnerhöhend aufzulösen ist (Auflösungszeitraum). </w:t>
      </w:r>
      <w:r>
        <w:rPr>
          <w:rStyle w:val="Satznummer"/>
        </w:rPr>
        <w:t>6</w:t>
      </w:r>
      <w:r>
        <w:t>Besteht eine Verpflichtung, für die eine Rücklage gebildet wurde, bereits vor Ablauf des maßgebenden Auflösungszeitraums nicht mehr, ist die insoweit verbleibende Rücklage erhöhend aufzulösen.</w:t>
      </w:r>
    </w:p>
    <w:p>
      <w:pPr>
        <w:pStyle w:val="Heading3"/>
      </w:pPr>
      <w:bookmarkStart w:id="27" w:name="b26"/>
      <w:r>
        <w:t>§ 5a Gewinnermittlung bei Handelsschiffen im internationalen Verkehr</w:t>
      </w:r>
      <w:r>
        <w:t xml:space="preserve"> </w:t>
      </w:r>
      <w:r>
        <w:rPr>
          <w:rStyle w:val="Suchmarke"/>
        </w:rPr>
        <w:t>#5a#</w:t>
      </w:r>
      <w:bookmarkEnd w:id="27"/>
    </w:p>
    <w:p>
      <w:r>
        <w:t xml:space="preserve">(1) </w:t>
      </w:r>
      <w:r>
        <w:rPr>
          <w:rStyle w:val="Satznummer"/>
        </w:rPr>
        <w:t>1</w:t>
      </w:r>
      <w:r>
        <w:t xml:space="preserve">Anstelle der Ermittlung des Gewinns nach </w:t>
      </w:r>
      <w:hyperlink w:anchor="b13" w:history="1">
        <w:r>
          <w:rPr>
            <w:color w:val="0A3A8C"/>
            <w:u w:val="single"/>
          </w:rPr>
          <w:t xml:space="preserve">§ 4</w:t>
        </w:r>
      </w:hyperlink>
      <w:r>
        <w:t xml:space="preserve"> Absatz 1 oder </w:t>
      </w:r>
      <w:hyperlink w:anchor="b25" w:history="1">
        <w:r>
          <w:rPr>
            <w:color w:val="0A3A8C"/>
            <w:u w:val="single"/>
          </w:rPr>
          <w:t xml:space="preserve">§ 5</w:t>
        </w:r>
      </w:hyperlink>
      <w:r>
        <w:t xml:space="preserve"> ist bei einem Gewerbebetrieb mit Geschäftsleitung im Inland der Gewinn, soweit er auf den Betrieb von Handelsschiffen im internationalen Verkehr entfällt, auf unwiderruflichen Antrag des Steuerpflichtigen nach der in seinem Betrieb geführten Tonnage zu ermitteln, wenn die Bereederung dieser Handelsschiffe im Inland durchgeführt wird. </w:t>
      </w:r>
      <w:r>
        <w:rPr>
          <w:rStyle w:val="Satznummer"/>
        </w:rPr>
        <w:t>2</w:t>
      </w:r>
      <w:r>
        <w:t>Der im Wirtschaftsjahr erzielte Gewinn beträgt pro Tag des Betriebs für jedes im internationalen Verkehr betriebene Handelsschiff für jeweils volle 100 Nettotonnen (Nettoraumzahl)</w:t>
      </w:r>
    </w:p>
    <w:tbl>
      <w:tblPr>
        <w:tblStyle w:val="TableGrid"/>
        <w:tblW w:type="pct" w:w="5000"/>
        <w:tblLook w:firstColumn="1" w:firstRow="1" w:lastColumn="0" w:lastRow="0" w:noHBand="0" w:noVBand="1" w:val="04A0"/>
        <w:tblCaption w:val="Tabelle 1 zu § 5a"/>
      </w:tblPr>
      <w:tblGrid>
        <w:gridCol w:w="4703"/>
        <w:gridCol w:w="4703"/>
      </w:tblGrid>
      <w:tr>
        <w:trPr>
          <w:cantSplit/>
        </w:trPr>
        <w:tc>
          <w:tcPr>
            <w:tcW w:type="dxa" w:w="4703"/>
          </w:tcPr>
          <w:p>
            <w:r>
              <w:t>0,92 Euro</w:t>
            </w:r>
          </w:p>
        </w:tc>
        <w:tc>
          <w:tcPr>
            <w:tcW w:type="dxa" w:w="4703"/>
          </w:tcPr>
          <w:p>
            <w:r>
              <w:t>bei einer Tonnage bis zu 1 000 Nettotonnen,</w:t>
            </w:r>
          </w:p>
        </w:tc>
      </w:tr>
      <w:tr>
        <w:trPr>
          <w:cantSplit/>
        </w:trPr>
        <w:tc>
          <w:tcPr>
            <w:tcW w:type="dxa" w:w="4703"/>
          </w:tcPr>
          <w:p>
            <w:r>
              <w:t>0,69 Euro</w:t>
            </w:r>
          </w:p>
        </w:tc>
        <w:tc>
          <w:tcPr>
            <w:tcW w:type="dxa" w:w="4703"/>
          </w:tcPr>
          <w:p>
            <w:r>
              <w:t>für die 1 000 Nettotonnen übersteigende Tonnage bis zu 10 000 Nettotonnen,</w:t>
            </w:r>
          </w:p>
        </w:tc>
      </w:tr>
      <w:tr>
        <w:trPr>
          <w:cantSplit/>
        </w:trPr>
        <w:tc>
          <w:tcPr>
            <w:tcW w:type="dxa" w:w="4703"/>
          </w:tcPr>
          <w:p>
            <w:r>
              <w:t>0,46 Euro</w:t>
            </w:r>
          </w:p>
        </w:tc>
        <w:tc>
          <w:tcPr>
            <w:tcW w:type="dxa" w:w="4703"/>
          </w:tcPr>
          <w:p>
            <w:r>
              <w:t>für die 10 000 Nettotonnen übersteigende Tonnage bis zu 25 000 Nettotonnen,</w:t>
            </w:r>
          </w:p>
        </w:tc>
      </w:tr>
      <w:tr>
        <w:trPr>
          <w:cantSplit/>
        </w:trPr>
        <w:tc>
          <w:tcPr>
            <w:tcW w:type="dxa" w:w="4703"/>
          </w:tcPr>
          <w:p>
            <w:r>
              <w:t>0,23 Euro</w:t>
            </w:r>
          </w:p>
        </w:tc>
        <w:tc>
          <w:tcPr>
            <w:tcW w:type="dxa" w:w="4703"/>
          </w:tcPr>
          <w:p>
            <w:r>
              <w:t>für die 25 000 Nettotonnen übersteigende Tonnage.</w:t>
            </w:r>
          </w:p>
        </w:tc>
      </w:tr>
    </w:tbl>
    <w:p>
      <w:pPr>
        <w:spacing w:after="0"/>
      </w:pPr>
    </w:p>
    <w:p>
      <w:r>
        <w:t xml:space="preserve">(2) </w:t>
      </w:r>
      <w:r>
        <w:rPr>
          <w:rStyle w:val="Satznummer"/>
        </w:rPr>
        <w:t>1</w:t>
      </w:r>
      <w:r>
        <w:t xml:space="preserve">Handelsschiffe werden im internationalen Verkehr betrieben, wenn eigene oder gecharterte Seeschiffe, die im Wirtschaftsjahr überwiegend in einem inländischen Seeschiffsregister eingetragen sind, in diesem Wirtschaftsjahr überwiegend zur Beförderung von Personen oder Gütern im Verkehr mit oder zwischen ausländischen Häfen, innerhalb eines ausländischen Hafens oder zwischen einem ausländischen Hafen und der Hohen See eingesetzt werden. </w:t>
      </w:r>
      <w:r>
        <w:rPr>
          <w:rStyle w:val="Satznummer"/>
        </w:rPr>
        <w:t>2</w:t>
      </w:r>
      <w:r>
        <w:t xml:space="preserve">Zum Betrieb von Handelsschiffen im internationalen Verkehr gehören auch ihre Vercharterung, wenn sie vom Vercharterer ausgerüstet worden sind, und die unmittelbar mit ihrem Einsatz oder ihrer Vercharterung zusammenhängenden Neben- und Hilfsgeschäfte einschließlich der Veräußerung der Handelsschiffe und der unmittelbar ihrem Betrieb dienenden Wirtschaftsgüter. </w:t>
      </w:r>
      <w:r>
        <w:rPr>
          <w:rStyle w:val="Satznummer"/>
        </w:rPr>
        <w:t>3</w:t>
      </w:r>
      <w:r>
        <w:t xml:space="preserve">Der Einsatz und die Vercharterung von gecharterten Handelsschiffen gilt nur dann als Betrieb von Handelsschiffen im internationalen Verkehr, wenn gleichzeitig eigene oder ausgerüstete Handelsschiffe im internationalen Verkehr betrieben werden. </w:t>
      </w:r>
      <w:r>
        <w:rPr>
          <w:rStyle w:val="Satznummer"/>
        </w:rPr>
        <w:t>4</w:t>
      </w:r>
      <w:r>
        <w:t xml:space="preserve">Sind gecharterte Handelsschiffe nicht in einem inländischen Seeschiffsregister eingetragen, gilt Satz 3 unter der weiteren Voraussetzung, dass im Wirtschaftsjahr die Nettotonnage der gecharterten Handelsschiffe das Dreifache der nach den Sätzen 1 und 2 im internationalen Verkehr betriebenen Handelsschiffe nicht übersteigt; für die Berechnung der Nettotonnage sind jeweils die Nettotonnen pro Schiff mit der Anzahl der Betriebstage nach Absatz 1 zu vervielfältigen. </w:t>
      </w:r>
      <w:r>
        <w:rPr>
          <w:rStyle w:val="Satznummer"/>
        </w:rPr>
        <w:t>5</w:t>
      </w:r>
      <w:r>
        <w:t>Dem Betrieb von Handelsschiffen im internationalen Verkehr ist gleichgestellt, wenn Seeschiffe, die im Wirtschaftsjahr überwiegend in einem inländischen Seeschiffsregister eingetragen sind, in diesem Wirtschaftsjahr überwiegend außerhalb der deutschen Hoheitsgewässer zum Schleppen, Bergen oder zur Aufsuchung von Bodenschätzen eingesetzt werden; die Sätze 2 bis 4 sind sinngemäß anzuwenden.</w:t>
      </w:r>
    </w:p>
    <w:p>
      <w:r>
        <w:t xml:space="preserve">(3) </w:t>
      </w:r>
      <w:r>
        <w:rPr>
          <w:rStyle w:val="Satznummer"/>
        </w:rPr>
        <w:t>1</w:t>
      </w:r>
      <w:r>
        <w:t xml:space="preserve">Der Antrag auf Anwendung der Gewinnermittlung nach Absatz 1 ist im Wirtschaftsjahr der Anschaffung oder Herstellung des Handelsschiffs (Indienststellung) mit Wirkung ab Beginn dieses Wirtschaftsjahres zu stellen. </w:t>
      </w:r>
      <w:r>
        <w:rPr>
          <w:rStyle w:val="Satznummer"/>
        </w:rPr>
        <w:t>2</w:t>
      </w:r>
      <w:r>
        <w:t xml:space="preserve">Vor Indienststellung des Handelsschiffs durch den Betrieb von Handelsschiffen im internationalen Verkehr erwirtschaftete Gewinne sind in diesem Fall nicht zu besteuern; Verluste sind weder ausgleichsfähig noch verrechenbar. </w:t>
      </w:r>
      <w:r>
        <w:rPr>
          <w:rStyle w:val="Satznummer"/>
        </w:rPr>
        <w:t>3</w:t>
      </w:r>
      <w:r>
        <w:t xml:space="preserve">Bereits erlassene Steuerbescheide sind insoweit zu ändern. </w:t>
      </w:r>
      <w:r>
        <w:rPr>
          <w:rStyle w:val="Satznummer"/>
        </w:rPr>
        <w:t>4</w:t>
      </w:r>
      <w:r>
        <w:t xml:space="preserve">Das gilt auch dann, wenn der Steuerbescheid unanfechtbar geworden ist; die Festsetzungsfrist endet insoweit nicht, bevor die Festsetzungsfrist für den Veranlagungszeitraum abgelaufen ist, in dem der Gewinn erstmals nach Absatz 1 ermittelt wird. </w:t>
      </w:r>
      <w:r>
        <w:rPr>
          <w:rStyle w:val="Satznummer"/>
        </w:rPr>
        <w:t>5</w:t>
      </w:r>
      <w:r>
        <w:t xml:space="preserve">Wird der Antrag auf Anwendung der Gewinnermittlung nach Absatz 1 nicht nach Satz 1 im Wirtschaftsjahr der Anschaffung oder Herstellung des Handelsschiffs (Indienststellung) gestellt, kann er erstmals in dem Wirtschaftsjahr gestellt werden, das jeweils nach Ablauf eines Zeitraumes von zehn Jahren, vom Beginn des Jahres der Indienststellung gerechnet, endet. </w:t>
      </w:r>
      <w:r>
        <w:rPr>
          <w:rStyle w:val="Satznummer"/>
        </w:rPr>
        <w:t>6</w:t>
      </w:r>
      <w:r>
        <w:t xml:space="preserve">Die Sätze 2 bis 4 sind insoweit nicht anwendbar. </w:t>
      </w:r>
      <w:r>
        <w:rPr>
          <w:rStyle w:val="Satznummer"/>
        </w:rPr>
        <w:t>7</w:t>
      </w:r>
      <w:r>
        <w:t xml:space="preserve">Der Steuerpflichtige ist an die Gewinnermittlung nach Absatz 1 vom Beginn des Wirtschaftsjahres an, in dem er den Antrag stellt, zehn Jahre gebunden. </w:t>
      </w:r>
      <w:r>
        <w:rPr>
          <w:rStyle w:val="Satznummer"/>
        </w:rPr>
        <w:t>8</w:t>
      </w:r>
      <w:r>
        <w:t xml:space="preserve">Nach Ablauf dieses Zeitraumes kann er den Antrag mit Wirkung für den Beginn jedes folgenden Wirtschaftsjahres bis zum Ende des Jahres unwiderruflich zurücknehmen. </w:t>
      </w:r>
      <w:r>
        <w:rPr>
          <w:rStyle w:val="Satznummer"/>
        </w:rPr>
        <w:t>9</w:t>
      </w:r>
      <w:r>
        <w:t>An die Gewinnermittlung nach allgemeinen Vorschriften ist der Steuerpflichtige ab dem Beginn des Wirtschaftsjahres, in dem er den Antrag zurücknimmt, zehn Jahre gebunden.</w:t>
      </w:r>
    </w:p>
    <w:p>
      <w:r>
        <w:t xml:space="preserve">(4) </w:t>
      </w:r>
      <w:r>
        <w:rPr>
          <w:rStyle w:val="Satznummer"/>
        </w:rPr>
        <w:t>1</w:t>
      </w:r>
      <w:r>
        <w:t xml:space="preserve">Zum Schluss des Wirtschaftsjahres, das der erstmaligen Anwendung des Absatzes 1 vorangeht (Übergangsjahr), ist für jedes Wirtschaftsgut, das unmittelbar dem Betrieb von Handelsschiffen im internationalen Verkehr dient, der Unterschiedsbetrag zwischen Buchwert und Teilwert in ein besonderes Verzeichnis aufzunehmen. </w:t>
      </w:r>
      <w:r>
        <w:rPr>
          <w:rStyle w:val="Satznummer"/>
        </w:rPr>
        <w:t>2</w:t>
      </w:r>
      <w:r>
        <w:t xml:space="preserve">Der Unterschiedsbetrag ist gesondert und bei Gesellschaften im Sinne des </w:t>
      </w:r>
      <w:hyperlink w:anchor="b75" w:history="1">
        <w:r>
          <w:rPr>
            <w:color w:val="0A3A8C"/>
            <w:u w:val="single"/>
          </w:rPr>
          <w:t xml:space="preserve">§ 15</w:t>
        </w:r>
      </w:hyperlink>
      <w:r>
        <w:t xml:space="preserve"> Absatz 1 Satz 1 Nummer 2 einheitlich festzustellen. </w:t>
      </w:r>
      <w:r>
        <w:rPr>
          <w:rStyle w:val="Satznummer"/>
        </w:rPr>
        <w:t>3</w:t>
      </w:r>
      <w:r>
        <w:t>Der Unterschiedsbetrag nach Satz 1 ist dem Gewinn hinzuzurechnen:</w:t>
      </w:r>
    </w:p>
    <w:p>
      <w:pPr>
        <w:tabs>
          <w:tab w:pos="567" w:val="left"/>
        </w:tabs>
        <w:ind w:left="567" w:hanging="567"/>
      </w:pPr>
      <w:r>
        <w:t>1.</w:t>
      </w:r>
      <w:r>
        <w:tab/>
      </w:r>
      <w:r>
        <w:t>in den dem letzten Jahr der Anwendung des Absatzes 1 folgenden fünf Wirtschaftsjahren jeweils in Höhe von mindestens einem Fünftel,</w:t>
      </w:r>
    </w:p>
    <w:p>
      <w:pPr>
        <w:tabs>
          <w:tab w:pos="567" w:val="left"/>
        </w:tabs>
        <w:ind w:left="567" w:hanging="567"/>
      </w:pPr>
      <w:r>
        <w:t>2.</w:t>
      </w:r>
      <w:r>
        <w:tab/>
      </w:r>
      <w:r>
        <w:t>in dem Jahr, in dem das Wirtschaftsgut aus dem Betriebsvermögen ausscheidet oder in dem es nicht mehr unmittelbar dem Betrieb von Handelsschiffen im internationalen Verkehr dient,</w:t>
      </w:r>
    </w:p>
    <w:p>
      <w:pPr>
        <w:tabs>
          <w:tab w:pos="567" w:val="left"/>
        </w:tabs>
        <w:ind w:left="567" w:hanging="567"/>
      </w:pPr>
      <w:r>
        <w:t>3.</w:t>
      </w:r>
      <w:r>
        <w:tab/>
      </w:r>
      <w:r>
        <w:t>in dem Jahr des Ausscheidens eines Mitunternehmers hinsichtlich des auf ihn entfallenden Unterschiedsbetrags; mindert sich die Beteiligung des Mitunternehmers, ohne dass er aus der Mitunternehmerschaft ausscheidet, erfolgt eine Hinzurechnung entsprechend der Minderung der Beteiligung.</w:t>
      </w:r>
    </w:p>
    <w:p>
      <w:r>
        <w:rPr>
          <w:rStyle w:val="Satznummer"/>
        </w:rPr>
        <w:t>4</w:t>
      </w:r>
      <w:r>
        <w:t xml:space="preserve">Satz 3 Nummer 3 gilt auch in den Fällen der §§ 20 und 24 des Umwandlungssteuergesetzes. </w:t>
      </w:r>
      <w:r>
        <w:rPr>
          <w:rStyle w:val="Satznummer"/>
        </w:rPr>
        <w:t>5</w:t>
      </w:r>
      <w:r>
        <w:t xml:space="preserve">Wird ein Betrieb, Teilbetrieb oder Anteil eines Mitunternehmers an einem Betrieb auf einen Rechtsnachfolger zum Buchwert nach </w:t>
      </w:r>
      <w:hyperlink w:anchor="b28" w:history="1">
        <w:r>
          <w:rPr>
            <w:color w:val="0A3A8C"/>
            <w:u w:val="single"/>
          </w:rPr>
          <w:t xml:space="preserve">§ 6</w:t>
        </w:r>
      </w:hyperlink>
      <w:r>
        <w:t xml:space="preserve"> Absatz 3 übertragen, geht der Unterschiedsbetrag insoweit auf den Rechtsnachfolger über. </w:t>
      </w:r>
      <w:r>
        <w:rPr>
          <w:rStyle w:val="Satznummer"/>
        </w:rPr>
        <w:t>6</w:t>
      </w:r>
      <w:r>
        <w:t xml:space="preserve">§ 182 Absatz 2 der Abgabenordnung gilt sinngemäß. </w:t>
      </w:r>
      <w:r>
        <w:rPr>
          <w:rStyle w:val="Satznummer"/>
        </w:rPr>
        <w:t>7</w:t>
      </w:r>
      <w:r>
        <w:t>Die Sätze 1 bis 6 sind entsprechend anzuwenden, wenn der Steuerpflichtige Wirtschaftsgüter des Betriebsvermögens dem Betrieb von Handelsschiffen im internationalen Verkehr zuführt.</w:t>
      </w:r>
    </w:p>
    <w:p>
      <w:r>
        <w:t xml:space="preserve">(4a) </w:t>
      </w:r>
      <w:r>
        <w:rPr>
          <w:rStyle w:val="Satznummer"/>
        </w:rPr>
        <w:t>1</w:t>
      </w:r>
      <w:r>
        <w:t xml:space="preserve">Bei Gesellschaften im Sinne des </w:t>
      </w:r>
      <w:hyperlink w:anchor="b75" w:history="1">
        <w:r>
          <w:rPr>
            <w:color w:val="0A3A8C"/>
            <w:u w:val="single"/>
          </w:rPr>
          <w:t xml:space="preserve">§ 15</w:t>
        </w:r>
      </w:hyperlink>
      <w:r>
        <w:t xml:space="preserve"> Absatz 1 Satz 1 Nummer 2 tritt für die Zwecke dieser Vorschrift an die Stelle des Steuerpflichtigen die Gesellschaft. </w:t>
      </w:r>
      <w:r>
        <w:rPr>
          <w:rStyle w:val="Satznummer"/>
        </w:rPr>
        <w:t>2</w:t>
      </w:r>
      <w:r>
        <w:t xml:space="preserve">Der nach Absatz 1 ermittelte Gewinn ist den Gesellschaftern entsprechend ihrem Anteil am Gesellschaftsvermögen zuzurechnen. </w:t>
      </w:r>
      <w:r>
        <w:rPr>
          <w:rStyle w:val="Satznummer"/>
        </w:rPr>
        <w:t>3</w:t>
      </w:r>
      <w:r>
        <w:t xml:space="preserve">Vergütungen im Sinne des </w:t>
      </w:r>
      <w:hyperlink w:anchor="b75" w:history="1">
        <w:r>
          <w:rPr>
            <w:color w:val="0A3A8C"/>
            <w:u w:val="single"/>
          </w:rPr>
          <w:t xml:space="preserve">§ 15</w:t>
        </w:r>
      </w:hyperlink>
      <w:r>
        <w:t xml:space="preserve"> Absatz 1 Satz 1 Nummer 2 und Satz 2 sind hinzuzurechnen.</w:t>
      </w:r>
    </w:p>
    <w:p>
      <w:r>
        <w:t xml:space="preserve">(5) </w:t>
      </w:r>
      <w:r>
        <w:rPr>
          <w:rStyle w:val="Satznummer"/>
        </w:rPr>
        <w:t>1</w:t>
      </w:r>
      <w:r>
        <w:t xml:space="preserve">Gewinne nach Absatz 1 umfassen auch Einkünfte nach </w:t>
      </w:r>
      <w:hyperlink w:anchor="b78" w:history="1">
        <w:r>
          <w:rPr>
            <w:color w:val="0A3A8C"/>
            <w:u w:val="single"/>
          </w:rPr>
          <w:t xml:space="preserve">§ 16</w:t>
        </w:r>
      </w:hyperlink>
      <w:r>
        <w:t xml:space="preserve">. </w:t>
      </w:r>
      <w:r>
        <w:rPr>
          <w:rStyle w:val="Satznummer"/>
        </w:rPr>
        <w:t>2</w:t>
      </w:r>
      <w:hyperlink w:anchor="b115" w:history="1">
        <w:r>
          <w:rPr>
            <w:color w:val="0A3A8C"/>
            <w:u w:val="single"/>
          </w:rPr>
          <w:t xml:space="preserve">§§ 34</w:t>
        </w:r>
      </w:hyperlink>
      <w:r>
        <w:t xml:space="preserve">, </w:t>
      </w:r>
      <w:hyperlink w:anchor="b120" w:history="1">
        <w:r>
          <w:rPr>
            <w:color w:val="0A3A8C"/>
            <w:u w:val="single"/>
          </w:rPr>
          <w:t xml:space="preserve">34c</w:t>
        </w:r>
      </w:hyperlink>
      <w:r>
        <w:t xml:space="preserve"> Absatz 1 bis 3 und </w:t>
      </w:r>
      <w:hyperlink w:anchor="b129" w:history="1">
        <w:r>
          <w:rPr>
            <w:color w:val="0A3A8C"/>
            <w:u w:val="single"/>
          </w:rPr>
          <w:t xml:space="preserve">§ 35</w:t>
        </w:r>
      </w:hyperlink>
      <w:r>
        <w:t xml:space="preserve"> sind nicht anzuwenden. </w:t>
      </w:r>
      <w:r>
        <w:rPr>
          <w:rStyle w:val="Satznummer"/>
        </w:rPr>
        <w:t>3</w:t>
      </w:r>
      <w:r>
        <w:t xml:space="preserve">Rücklagen nach den </w:t>
      </w:r>
      <w:hyperlink w:anchor="b30" w:history="1">
        <w:r>
          <w:rPr>
            <w:color w:val="0A3A8C"/>
            <w:u w:val="single"/>
          </w:rPr>
          <w:t xml:space="preserve">§§ 6b</w:t>
        </w:r>
      </w:hyperlink>
      <w:r>
        <w:t xml:space="preserve"> und </w:t>
      </w:r>
      <w:hyperlink w:anchor="b32" w:history="1">
        <w:r>
          <w:rPr>
            <w:color w:val="0A3A8C"/>
            <w:u w:val="single"/>
          </w:rPr>
          <w:t xml:space="preserve">6d</w:t>
        </w:r>
      </w:hyperlink>
      <w:r>
        <w:t xml:space="preserve"> sind beim Übergang zur Gewinnermittlung nach Absatz 1 dem Gewinn im Erstjahr hinzuzurechnen; bis zum Übergang in Anspruch genommene Investitionsabzugsbeträge nach </w:t>
      </w:r>
      <w:hyperlink w:anchor="b40" w:history="1">
        <w:r>
          <w:rPr>
            <w:color w:val="0A3A8C"/>
            <w:u w:val="single"/>
          </w:rPr>
          <w:t xml:space="preserve">§ 7g</w:t>
        </w:r>
      </w:hyperlink>
      <w:r>
        <w:t xml:space="preserve"> Absatz 1 sind nach Maßgabe des </w:t>
      </w:r>
      <w:hyperlink w:anchor="b40" w:history="1">
        <w:r>
          <w:rPr>
            <w:color w:val="0A3A8C"/>
            <w:u w:val="single"/>
          </w:rPr>
          <w:t xml:space="preserve">§ 7g</w:t>
        </w:r>
      </w:hyperlink>
      <w:r>
        <w:t xml:space="preserve"> Absatz 3 rückgängig zu machen. </w:t>
      </w:r>
      <w:r>
        <w:rPr>
          <w:rStyle w:val="Satznummer"/>
        </w:rPr>
        <w:t>4</w:t>
      </w:r>
      <w:r>
        <w:t xml:space="preserve">Für die Anwendung des </w:t>
      </w:r>
      <w:hyperlink w:anchor="b76" w:history="1">
        <w:r>
          <w:rPr>
            <w:color w:val="0A3A8C"/>
            <w:u w:val="single"/>
          </w:rPr>
          <w:t xml:space="preserve">§ 15a</w:t>
        </w:r>
      </w:hyperlink>
      <w:r>
        <w:t xml:space="preserve"> ist der nach </w:t>
      </w:r>
      <w:hyperlink w:anchor="b13" w:history="1">
        <w:r>
          <w:rPr>
            <w:color w:val="0A3A8C"/>
            <w:u w:val="single"/>
          </w:rPr>
          <w:t xml:space="preserve">§ 4</w:t>
        </w:r>
      </w:hyperlink>
      <w:r>
        <w:t xml:space="preserve"> Absatz 1 oder </w:t>
      </w:r>
      <w:hyperlink w:anchor="b25" w:history="1">
        <w:r>
          <w:rPr>
            <w:color w:val="0A3A8C"/>
            <w:u w:val="single"/>
          </w:rPr>
          <w:t xml:space="preserve">§ 5</w:t>
        </w:r>
      </w:hyperlink>
      <w:r>
        <w:t xml:space="preserve"> ermittelte Gewinn zugrunde zu legen.</w:t>
      </w:r>
    </w:p>
    <w:p>
      <w:r>
        <w:t xml:space="preserve">(6) </w:t>
      </w:r>
      <w:r>
        <w:rPr>
          <w:rStyle w:val="Satznummer"/>
        </w:rPr>
        <w:t>1</w:t>
      </w:r>
      <w:r>
        <w:t xml:space="preserve">In der Bilanz zum Schluss des Wirtschaftsjahres, in dem Absatz 1 letztmalig angewendet wird, ist für jedes Wirtschaftsgut, das unmittelbar dem Betrieb von Handelsschiffen im internationalen Verkehr dient, der Teilwert anzusetzen. </w:t>
      </w:r>
      <w:r>
        <w:rPr>
          <w:rStyle w:val="Satznummer"/>
        </w:rPr>
        <w:t>2</w:t>
      </w:r>
      <w:r>
        <w:t>Für Wirtschaftsgüter des abnutzbaren Anlagevermögens sind den weiteren Absetzungen für Abnutzung unverändert die ursprünglichen Anschaffungs- oder Herstellungskosten zugrunde zu legen.</w:t>
      </w:r>
    </w:p>
    <w:p>
      <w:pPr>
        <w:pStyle w:val="Heading3"/>
      </w:pPr>
      <w:bookmarkStart w:id="28" w:name="b27"/>
      <w:r>
        <w:t>§ 5b Elektronische Übermittlung von Bilanzen sowie Gewinn- und Verlustrechnungen</w:t>
      </w:r>
      <w:r>
        <w:t xml:space="preserve"> </w:t>
      </w:r>
      <w:r>
        <w:rPr>
          <w:rStyle w:val="Suchmarke"/>
        </w:rPr>
        <w:t>#5b#</w:t>
      </w:r>
      <w:bookmarkEnd w:id="28"/>
    </w:p>
    <w:p>
      <w:r>
        <w:t xml:space="preserve">(1) </w:t>
      </w:r>
      <w:r>
        <w:rPr>
          <w:rStyle w:val="Satznummer"/>
        </w:rPr>
        <w:t>1</w:t>
      </w:r>
      <w:r>
        <w:t xml:space="preserve">Wird der Gewinn nach </w:t>
      </w:r>
      <w:hyperlink w:anchor="b13" w:history="1">
        <w:r>
          <w:rPr>
            <w:color w:val="0A3A8C"/>
            <w:u w:val="single"/>
          </w:rPr>
          <w:t xml:space="preserve">§ 4</w:t>
        </w:r>
      </w:hyperlink>
      <w:r>
        <w:t xml:space="preserve"> Absatz 1, </w:t>
      </w:r>
      <w:hyperlink w:anchor="b25" w:history="1">
        <w:r>
          <w:rPr>
            <w:color w:val="0A3A8C"/>
            <w:u w:val="single"/>
          </w:rPr>
          <w:t xml:space="preserve">§ 5</w:t>
        </w:r>
      </w:hyperlink>
      <w:r>
        <w:t xml:space="preserve"> oder </w:t>
      </w:r>
      <w:hyperlink w:anchor="b26" w:history="1">
        <w:r>
          <w:rPr>
            <w:color w:val="0A3A8C"/>
            <w:u w:val="single"/>
          </w:rPr>
          <w:t xml:space="preserve">§ 5a</w:t>
        </w:r>
      </w:hyperlink>
      <w:r>
        <w:t xml:space="preserve"> ermittelt, so ist der Inhalt der Bilanz, der Gewinn- und Verlustrechnung jeweils einschließlich der unverdichteten Kontennachweise mit Kontensalden sowie der Anlagenspiegel und das diesem zugrundeliegende Anlagenverzeichnis nach amtlich vorgeschriebenem Datensatz durch Datenfernübertragung zu übermitteln. </w:t>
      </w:r>
      <w:r>
        <w:rPr>
          <w:rStyle w:val="Satznummer"/>
        </w:rPr>
        <w:t>2</w:t>
      </w:r>
      <w:r>
        <w:t xml:space="preserve">Enthält die Bilanz Ansätze oder Beträge, die den steuerlichen Vorschriften nicht entsprechen, so sind diese Ansätze oder Beträge durch Zusätze oder Anmerkungen den steuerlichen Vorschriften anzupassen und nach amtlich vorgeschriebenem Datensatz durch Datenfernübertragung zu übermitteln. </w:t>
      </w:r>
      <w:r>
        <w:rPr>
          <w:rStyle w:val="Satznummer"/>
        </w:rPr>
        <w:t>3</w:t>
      </w:r>
      <w:r>
        <w:t xml:space="preserve">Der Steuerpflichtige kann auch eine den steuerlichen Vorschriften entsprechende Bilanz nach amtlich vorgeschriebenem Datensatz durch Datenfernübertragung übermitteln; Satz 1 gilt insoweit entsprechend. </w:t>
      </w:r>
      <w:r>
        <w:rPr>
          <w:rStyle w:val="Satznummer"/>
        </w:rPr>
        <w:t>4</w:t>
      </w:r>
      <w:r>
        <w:t xml:space="preserve">Im Fall der Eröffnung des Betriebs sind die Sätze 1 bis 3 entsprechend anzuwenden; dies gilt auch für solche Bilanzen, die für andere steuerliche Zwecke zu erstellen sind. </w:t>
      </w:r>
      <w:r>
        <w:rPr>
          <w:rStyle w:val="Satznummer"/>
        </w:rPr>
        <w:t>5</w:t>
      </w:r>
      <w:r>
        <w:t xml:space="preserve">Liegt ein Anhang, ein Lagebericht, ein Prüfungsbericht oder ein Verzeichnis nach </w:t>
      </w:r>
      <w:hyperlink w:anchor="b25" w:history="1">
        <w:r>
          <w:rPr>
            <w:color w:val="0A3A8C"/>
            <w:u w:val="single"/>
          </w:rPr>
          <w:t xml:space="preserve">§ 5</w:t>
        </w:r>
      </w:hyperlink>
      <w:r>
        <w:t xml:space="preserve"> Absatz 1 Satz 2 vor, so sind diese nach amtlich vorgeschriebenem Datensatz durch Datenfernübertragung zu übermitteln. </w:t>
      </w:r>
      <w:r>
        <w:rPr>
          <w:rStyle w:val="Satznummer"/>
        </w:rPr>
        <w:t>6</w:t>
      </w:r>
      <w:r>
        <w:t xml:space="preserve">Bei der Gewinnermittlung nach </w:t>
      </w:r>
      <w:hyperlink w:anchor="b26" w:history="1">
        <w:r>
          <w:rPr>
            <w:color w:val="0A3A8C"/>
            <w:u w:val="single"/>
          </w:rPr>
          <w:t xml:space="preserve">§ 5a</w:t>
        </w:r>
      </w:hyperlink>
      <w:r>
        <w:t xml:space="preserve"> ist das besondere Verzeichnis nach </w:t>
      </w:r>
      <w:hyperlink w:anchor="b26" w:history="1">
        <w:r>
          <w:rPr>
            <w:color w:val="0A3A8C"/>
            <w:u w:val="single"/>
          </w:rPr>
          <w:t xml:space="preserve">§ 5a</w:t>
        </w:r>
      </w:hyperlink>
      <w:r>
        <w:t xml:space="preserve"> Absatz 4 nach amtlich vorgeschriebenem Datensatz durch Datenfernübertragung zu übermitteln.</w:t>
      </w:r>
    </w:p>
    <w:p>
      <w:r>
        <w:t xml:space="preserve">(2) </w:t>
      </w:r>
      <w:r>
        <w:rPr>
          <w:rStyle w:val="Satznummer"/>
        </w:rPr>
        <w:t>1</w:t>
      </w:r>
      <w:r>
        <w:t xml:space="preserve">Auf Antrag kann die Finanzbehörde zur Vermeidung unbilliger Härten auf eine elektronische Übermittlung verzichten. </w:t>
      </w:r>
      <w:r>
        <w:rPr>
          <w:rStyle w:val="Satznummer"/>
        </w:rPr>
        <w:t>2</w:t>
      </w:r>
      <w:r>
        <w:t>§ 150 Absatz 8 der Abgabenordnung gilt entsprechend.</w:t>
      </w:r>
    </w:p>
    <w:p>
      <w:pPr>
        <w:pStyle w:val="Heading3"/>
      </w:pPr>
      <w:bookmarkStart w:id="29" w:name="b28"/>
      <w:r>
        <w:t>§ 6 Bewertung</w:t>
      </w:r>
      <w:r>
        <w:t xml:space="preserve"> </w:t>
      </w:r>
      <w:r>
        <w:rPr>
          <w:rStyle w:val="Suchmarke"/>
        </w:rPr>
        <w:t>#6#</w:t>
      </w:r>
      <w:bookmarkEnd w:id="29"/>
    </w:p>
    <w:p>
      <w:r>
        <w:t xml:space="preserve">(1) Für die Bewertung der einzelnen Wirtschaftsgüter, die nach </w:t>
      </w:r>
      <w:hyperlink w:anchor="b13" w:history="1">
        <w:r>
          <w:rPr>
            <w:color w:val="0A3A8C"/>
            <w:u w:val="single"/>
          </w:rPr>
          <w:t xml:space="preserve">§ 4</w:t>
        </w:r>
      </w:hyperlink>
      <w:r>
        <w:t xml:space="preserve"> Absatz 1 oder nach </w:t>
      </w:r>
      <w:hyperlink w:anchor="b25" w:history="1">
        <w:r>
          <w:rPr>
            <w:color w:val="0A3A8C"/>
            <w:u w:val="single"/>
          </w:rPr>
          <w:t xml:space="preserve">§ 5</w:t>
        </w:r>
      </w:hyperlink>
      <w:r>
        <w:t xml:space="preserve"> als Betriebsvermögen anzusetzen sind, gilt das Folgende:</w:t>
      </w:r>
    </w:p>
    <w:p>
      <w:pPr>
        <w:tabs>
          <w:tab w:pos="567" w:val="left"/>
        </w:tabs>
        <w:ind w:left="567" w:hanging="567"/>
      </w:pPr>
      <w:r>
        <w:t>1.</w:t>
      </w:r>
      <w:r>
        <w:tab/>
      </w:r>
      <w:r>
        <w:t xml:space="preserve">Wirtschaftsgüter des Anlagevermögens, die der Abnutzung unterliegen, sind mit den Anschaffungs- oder Herstellungskosten oder dem an deren Stelle tretenden Wert, vermindert um die Absetzungen für Abnutzung, erhöhte Absetzungen, Sonderabschreibungen, Abzüge nach </w:t>
      </w:r>
      <w:hyperlink w:anchor="b30" w:history="1">
        <w:r>
          <w:rPr>
            <w:color w:val="0A3A8C"/>
            <w:u w:val="single"/>
          </w:rPr>
          <w:t xml:space="preserve">§ 6b</w:t>
        </w:r>
      </w:hyperlink>
      <w:r>
        <w:t xml:space="preserve"> und ähnliche Abzüge, anzusetzen. </w:t>
      </w:r>
      <w:r>
        <w:rPr>
          <w:rStyle w:val="Satznummer"/>
        </w:rPr>
        <w:t>2</w:t>
      </w:r>
      <w:r>
        <w:t xml:space="preserve">Ist der Teilwert auf Grund einer voraussichtlich dauernden Wertminderung niedriger, so kann dieser angesetzt werden. </w:t>
      </w:r>
      <w:r>
        <w:rPr>
          <w:rStyle w:val="Satznummer"/>
        </w:rPr>
        <w:t>3</w:t>
      </w:r>
      <w:r>
        <w:t xml:space="preserve">Teilwert ist der Betrag, den ein Erwerber des ganzen Betriebs im Rahmen des Gesamtkaufpreises für das einzelne Wirtschaftsgut ansetzen würde; dabei ist davon auszugehen, dass der Erwerber den Betrieb fortführt. </w:t>
      </w:r>
      <w:r>
        <w:rPr>
          <w:rStyle w:val="Satznummer"/>
        </w:rPr>
        <w:t>4</w:t>
      </w:r>
      <w:r>
        <w:t>Wirtschaftsgüter, die bereits am Schluss des vorangegangenen Wirtschaftsjahres zum Anlagevermögen des Steuerpflichtigen gehört haben, sind in den folgenden Wirtschaftsjahren gemäß Satz 1 anzusetzen, es sei denn, der Steuerpflichtige weist nach, dass ein niedrigerer Teilwert nach Satz 2 angesetzt werden kann.</w:t>
      </w:r>
    </w:p>
    <w:p>
      <w:pPr>
        <w:tabs>
          <w:tab w:pos="567" w:val="left"/>
        </w:tabs>
        <w:ind w:left="567" w:hanging="567"/>
      </w:pPr>
      <w:r>
        <w:t>1a.</w:t>
      </w:r>
      <w:r>
        <w:tab/>
      </w:r>
      <w:r>
        <w:t xml:space="preserve">Zu den Herstellungskosten eines Gebäudes gehören auch Aufwendungen für Instandsetzungs- und Modernisierungsmaßnahmen, die innerhalb von drei Jahren nach der Anschaffung des Gebäudes durchgeführt werden, wenn die Aufwendungen ohne die Umsatzsteuer 15 Prozent der Anschaffungskosten des Gebäudes übersteigen (anschaffungsnahe Herstellungskosten). </w:t>
      </w:r>
      <w:r>
        <w:rPr>
          <w:rStyle w:val="Satznummer"/>
        </w:rPr>
        <w:t>2</w:t>
      </w:r>
      <w:r>
        <w:t>Zu diesen Aufwendungen gehören nicht die Aufwendungen für Erweiterungen im Sinne des § 255 Absatz 2 Satz 1 des Handelsgesetzbuchs sowie Aufwendungen für Erhaltungsarbeiten, die jährlich üblicherweise anfallen.</w:t>
      </w:r>
    </w:p>
    <w:p>
      <w:pPr>
        <w:tabs>
          <w:tab w:pos="567" w:val="left"/>
        </w:tabs>
        <w:ind w:left="567" w:hanging="567"/>
      </w:pPr>
      <w:r>
        <w:t>1b.</w:t>
      </w:r>
      <w:r>
        <w:tab/>
      </w:r>
      <w:r>
        <w:t xml:space="preserve">Bei der Berechnung der Herstellungskosten brauchen angemessene Teile der Kosten der allgemeinen Verwaltung sowie angemessene Aufwendungen für soziale Einrichtungen des Betriebs, für freiwillige soziale Leistungen und für die betriebliche Altersversorgung im Sinne des § 255 Absatz 2 Satz 3 des Handelsgesetzbuchs nicht einbezogen zu werden, soweit diese auf den Zeitraum der Herstellung entfallen. </w:t>
      </w:r>
      <w:r>
        <w:rPr>
          <w:rStyle w:val="Satznummer"/>
        </w:rPr>
        <w:t>2</w:t>
      </w:r>
      <w:r>
        <w:t>Das Wahlrecht ist bei Gewinnermittlung nach § 5 in Übereinstimmung mit der Handelsbilanz auszuüben.</w:t>
      </w:r>
    </w:p>
    <w:p>
      <w:pPr>
        <w:tabs>
          <w:tab w:pos="567" w:val="left"/>
        </w:tabs>
        <w:ind w:left="567" w:hanging="567"/>
      </w:pPr>
      <w:r>
        <w:t>2.</w:t>
      </w:r>
      <w:r>
        <w:tab/>
      </w:r>
      <w:r>
        <w:t xml:space="preserve">Andere als die in Nummer 1 bezeichneten Wirtschaftsgüter des Betriebs (Grund und Boden, Beteiligungen, Umlaufvermögen) sind mit den Anschaffungs- oder Herstellungskosten oder dem an deren Stelle tretenden Wert, vermindert um Abzüge nach </w:t>
      </w:r>
      <w:hyperlink w:anchor="b30" w:history="1">
        <w:r>
          <w:rPr>
            <w:color w:val="0A3A8C"/>
            <w:u w:val="single"/>
          </w:rPr>
          <w:t xml:space="preserve">§ 6b</w:t>
        </w:r>
      </w:hyperlink>
      <w:r>
        <w:t xml:space="preserve"> und ähnliche Abzüge, anzusetzen. </w:t>
      </w:r>
      <w:r>
        <w:rPr>
          <w:rStyle w:val="Satznummer"/>
        </w:rPr>
        <w:t>2</w:t>
      </w:r>
      <w:r>
        <w:t xml:space="preserve">Ist der Teilwert (Nummer 1 Satz 3) auf Grund einer voraussichtlich dauernden Wertminderung niedriger, so kann dieser angesetzt werden. </w:t>
      </w:r>
      <w:r>
        <w:rPr>
          <w:rStyle w:val="Satznummer"/>
        </w:rPr>
        <w:t>3</w:t>
      </w:r>
      <w:r>
        <w:t>Nummer 1 Satz 4 gilt entsprechend.</w:t>
      </w:r>
    </w:p>
    <w:p>
      <w:pPr>
        <w:tabs>
          <w:tab w:pos="567" w:val="left"/>
        </w:tabs>
        <w:ind w:left="567" w:hanging="567"/>
      </w:pPr>
      <w:r>
        <w:t>2a.</w:t>
      </w:r>
      <w:r>
        <w:tab/>
      </w:r>
      <w:r>
        <w:t xml:space="preserve">Steuerpflichtige, die den Gewinn nach </w:t>
      </w:r>
      <w:hyperlink w:anchor="b25" w:history="1">
        <w:r>
          <w:rPr>
            <w:color w:val="0A3A8C"/>
            <w:u w:val="single"/>
          </w:rPr>
          <w:t xml:space="preserve">§ 5</w:t>
        </w:r>
      </w:hyperlink>
      <w:r>
        <w:t xml:space="preserve"> ermitteln, können für den Wertansatz gleichartiger Wirtschaftsgüter des Vorratsvermögens unterstellen, dass die zuletzt angeschafften oder hergestellten Wirtschaftsgüter zuerst verbraucht oder veräußert worden sind, soweit dies den handelsrechtlichen Grundsätzen ordnungsmäßiger Buchführung entspricht. </w:t>
      </w:r>
      <w:r>
        <w:rPr>
          <w:rStyle w:val="Satznummer"/>
        </w:rPr>
        <w:t>2</w:t>
      </w:r>
      <w:r>
        <w:t xml:space="preserve">Der Vorratsbestand am Schluss des Wirtschaftsjahres, das der erstmaligen Anwendung der Bewertung nach Satz 1 vorangeht, gilt mit seinem Bilanzansatz als erster Zugang des neuen Wirtschaftsjahres. </w:t>
      </w:r>
      <w:r>
        <w:rPr>
          <w:rStyle w:val="Satznummer"/>
        </w:rPr>
        <w:t>3</w:t>
      </w:r>
      <w:r>
        <w:t>Von der Verbrauchs- oder Veräußerungsfolge nach Satz 1 kann in den folgenden Wirtschaftsjahren nur mit Zustimmung des Finanzamts abgewichen werden.</w:t>
      </w:r>
    </w:p>
    <w:p>
      <w:pPr>
        <w:tabs>
          <w:tab w:pos="567" w:val="left"/>
        </w:tabs>
        <w:ind w:left="567" w:hanging="567"/>
      </w:pPr>
      <w:r>
        <w:t>2b.</w:t>
      </w:r>
      <w:r>
        <w:tab/>
      </w:r>
      <w:r>
        <w:t xml:space="preserve">Steuerpflichtige, die in den Anwendungsbereich des § 340 des Handelsgesetzbuchs fallen, haben die zu Handelszwecken erworbenen Finanzinstrumente, die nicht in einer Bewertungseinheit im Sinne des </w:t>
      </w:r>
      <w:hyperlink w:anchor="b25" w:history="1">
        <w:r>
          <w:rPr>
            <w:color w:val="0A3A8C"/>
            <w:u w:val="single"/>
          </w:rPr>
          <w:t xml:space="preserve">§ 5</w:t>
        </w:r>
      </w:hyperlink>
      <w:r>
        <w:t xml:space="preserve"> Absatz 1a Satz 2 abgebildet werden, mit dem beizulegenden Zeitwert abzüglich eines Risikoabschlages (§ 340e Absatz 3 des Handelsgesetzbuchs) zu bewerten. </w:t>
      </w:r>
      <w:r>
        <w:rPr>
          <w:rStyle w:val="Satznummer"/>
        </w:rPr>
        <w:t>2</w:t>
      </w:r>
      <w:r>
        <w:t>Nummer 2 Satz 2 ist nicht anzuwenden.</w:t>
      </w:r>
    </w:p>
    <w:p>
      <w:pPr>
        <w:tabs>
          <w:tab w:pos="567" w:val="left"/>
        </w:tabs>
        <w:ind w:left="567" w:hanging="567"/>
      </w:pPr>
      <w:r>
        <w:t>3.</w:t>
      </w:r>
      <w:r>
        <w:tab/>
      </w:r>
      <w:r>
        <w:t>Verbindlichkeiten sind unter sinngemäßer Anwendung der Vorschriften der Nummer 2 anzusetzen.</w:t>
      </w:r>
    </w:p>
    <w:p>
      <w:pPr>
        <w:tabs>
          <w:tab w:pos="567" w:val="left"/>
        </w:tabs>
        <w:ind w:left="567" w:hanging="567"/>
      </w:pPr>
      <w:r>
        <w:t>3a.</w:t>
      </w:r>
      <w:r>
        <w:tab/>
      </w:r>
      <w:r>
        <w:t>Rückstellungen sind höchstens insbesondere unter Berücksichtigung folgender Grundsätze anzusetzen:</w:t>
      </w:r>
    </w:p>
    <w:p>
      <w:pPr>
        <w:tabs>
          <w:tab w:pos="1134" w:val="left"/>
        </w:tabs>
        <w:ind w:left="1134" w:hanging="567"/>
      </w:pPr>
      <w:r>
        <w:t>a)</w:t>
      </w:r>
      <w:r>
        <w:tab/>
      </w:r>
      <w:r>
        <w:t>bei Rückstellungen für gleichartige Verpflichtungen ist auf der Grundlage der Erfahrungen in der Vergangenheit aus der Abwicklung solcher Verpflichtungen die Wahrscheinlichkeit zu berücksichtigen, dass der Steuerpflichtige nur zu einem Teil der Summe dieser Verpflichtungen in Anspruch genommen wird;</w:t>
      </w:r>
    </w:p>
    <w:p>
      <w:pPr>
        <w:tabs>
          <w:tab w:pos="1134" w:val="left"/>
        </w:tabs>
        <w:ind w:left="1134" w:hanging="567"/>
      </w:pPr>
      <w:r>
        <w:t>b)</w:t>
      </w:r>
      <w:r>
        <w:tab/>
      </w:r>
      <w:r>
        <w:t>Rückstellungen für Sachleistungsverpflichtungen sind mit den Einzelkosten und den angemessenen Teilen der notwendigen Gemeinkosten zu bewerten;</w:t>
      </w:r>
    </w:p>
    <w:p>
      <w:pPr>
        <w:tabs>
          <w:tab w:pos="1134" w:val="left"/>
        </w:tabs>
        <w:ind w:left="1134" w:hanging="567"/>
      </w:pPr>
      <w:r>
        <w:t>c)</w:t>
      </w:r>
      <w:r>
        <w:tab/>
      </w:r>
      <w:r>
        <w:t>künftige Vorteile, die mit der Erfüllung der Verpflichtung voraussichtlich verbunden sein werden, sind, soweit sie nicht als Forderung zu aktivieren sind, bei ihrer Bewertung wertmindernd zu berücksichtigen;</w:t>
      </w:r>
    </w:p>
    <w:p>
      <w:pPr>
        <w:tabs>
          <w:tab w:pos="1134" w:val="left"/>
        </w:tabs>
        <w:ind w:left="1134" w:hanging="567"/>
      </w:pPr>
      <w:r>
        <w:t>d)</w:t>
      </w:r>
      <w:r>
        <w:tab/>
      </w:r>
      <w:r>
        <w:t xml:space="preserve">Rückstellungen für Verpflichtungen, für deren Entstehen im wirtschaftlichen Sinne der laufende Betrieb ursächlich ist, sind zeitanteilig in gleichen Raten anzusammeln. </w:t>
      </w:r>
      <w:r>
        <w:rPr>
          <w:rStyle w:val="Satznummer"/>
        </w:rPr>
        <w:t>2</w:t>
      </w:r>
      <w:r>
        <w:t xml:space="preserve">Rückstellungen für gesetzliche Verpflichtungen zur Rücknahme und Verwertung von Erzeugnissen, die vor Inkrafttreten entsprechender gesetzlicher Verpflichtungen in Verkehr gebracht worden sind, sind zeitanteilig in gleichen Raten bis zum Beginn der jeweiligen Erfüllung anzusammeln; Buchstabe e ist insoweit nicht anzuwenden. </w:t>
      </w:r>
      <w:r>
        <w:rPr>
          <w:rStyle w:val="Satznummer"/>
        </w:rPr>
        <w:t>3</w:t>
      </w:r>
      <w:r>
        <w:t>Rückstellungen für die Verpflichtung, ein Kernkraftwerk stillzulegen, sind ab dem Zeitpunkt der erstmaligen Nutzung bis zum Zeitpunkt, in dem mit der Stilllegung begonnen werden muss, zeitanteilig in gleichen Raten anzusammeln; steht der Zeitpunkt der Stilllegung nicht fest, beträgt der Zeitraum für die Ansammlung 25 Jahre;</w:t>
      </w:r>
    </w:p>
    <w:p>
      <w:pPr>
        <w:tabs>
          <w:tab w:pos="1134" w:val="left"/>
        </w:tabs>
        <w:ind w:left="1134" w:hanging="567"/>
      </w:pPr>
      <w:r>
        <w:t>e)</w:t>
      </w:r>
      <w:r>
        <w:tab/>
      </w:r>
      <w:r>
        <w:t xml:space="preserve">Rückstellungen für Verpflichtungen sind mit einem Zinssatz von 5,5 Prozent abzuzinsen; ausgenommen von der Abzinsung sind Rückstellungen für Verpflichtungen, deren Laufzeit am Bilanzstichtag weniger als zwölf Monate beträgt, und Rückstellungen für Verpflichtungen, die verzinslich sind oder auf einer Anzahlung oder Vorausleistung beruhen. </w:t>
      </w:r>
      <w:r>
        <w:rPr>
          <w:rStyle w:val="Satznummer"/>
        </w:rPr>
        <w:t>2</w:t>
      </w:r>
      <w:r>
        <w:t xml:space="preserve">Für die Abzinsung von Rückstellungen für Sachleistungsverpflichtungen ist der Zeitraum bis zum Beginn der Erfüllung maßgebend. </w:t>
      </w:r>
      <w:r>
        <w:rPr>
          <w:rStyle w:val="Satznummer"/>
        </w:rPr>
        <w:t>3</w:t>
      </w:r>
      <w:r>
        <w:t>Für die Abzinsung von Rückstellungen für die Verpflichtung, ein Kernkraftwerk stillzulegen, ist der sich aus Buchstabe d Satz 3 ergebende Zeitraum maßgebend; und</w:t>
      </w:r>
    </w:p>
    <w:p>
      <w:pPr>
        <w:tabs>
          <w:tab w:pos="1134" w:val="left"/>
        </w:tabs>
        <w:ind w:left="1134" w:hanging="567"/>
      </w:pPr>
      <w:r>
        <w:t>f)</w:t>
      </w:r>
      <w:r>
        <w:tab/>
      </w:r>
      <w:r>
        <w:t>bei der Bewertung sind die Wertverhältnisse am Bilanzstichtag maßgebend; künftige Preis- und Kostensteigerungen dürfen nicht berücksichtigt werden.</w:t>
      </w:r>
    </w:p>
    <w:p>
      <w:pPr>
        <w:tabs>
          <w:tab w:pos="567" w:val="left"/>
        </w:tabs>
        <w:ind w:left="567" w:hanging="567"/>
      </w:pPr>
      <w:r>
        <w:t>4.</w:t>
      </w:r>
      <w:r>
        <w:tab/>
      </w:r>
      <w:r>
        <w:t xml:space="preserve">Entnahmen des Steuerpflichtigen für sich, für seinen Haushalt oder für andere betriebsfremde Zwecke sind mit dem Teilwert anzusetzen; die Entnahme ist in den Fällen des </w:t>
      </w:r>
      <w:hyperlink w:anchor="b13" w:history="1">
        <w:r>
          <w:rPr>
            <w:color w:val="0A3A8C"/>
            <w:u w:val="single"/>
          </w:rPr>
          <w:t xml:space="preserve">§ 4</w:t>
        </w:r>
      </w:hyperlink>
      <w:r>
        <w:t xml:space="preserve"> Absatz 1 Satz 3 erster Halbsatz mit dem gemeinen Wert und in den Fällen des </w:t>
      </w:r>
      <w:hyperlink w:anchor="b13" w:history="1">
        <w:r>
          <w:rPr>
            <w:color w:val="0A3A8C"/>
            <w:u w:val="single"/>
          </w:rPr>
          <w:t xml:space="preserve">§ 4</w:t>
        </w:r>
      </w:hyperlink>
      <w:r>
        <w:t xml:space="preserve"> Absatz 1 Satz 3 zweiter Halbsatz mit dem Wert anzusetzen, den der andere Staat der Besteuerung zugrunde legt, höchstens jedoch mit dem gemeinen Wert. </w:t>
      </w:r>
      <w:r>
        <w:rPr>
          <w:rStyle w:val="Satznummer"/>
        </w:rPr>
        <w:t>2</w:t>
      </w:r>
      <w:r>
        <w:t>Die private Nutzung eines Kraftfahrzeugs, das zu mehr als 50 Prozent betrieblich genutzt wird, ist für jeden Kalendermonat mit 1 Prozent des inländischen Listenpreises im Zeitpunkt der Erstzulassung zuzüglich der Kosten für Sonderausstattung einschließlich Umsatzsteuer anzusetzen; bei der privaten Nutzung von Fahrzeugen mit Antrieb ausschließlich durch Elektromotoren, die ganz oder überwiegend aus mechanischen oder elektrochemischen Energiespeichern oder aus emissionsfrei betriebenen Energiewandlern gespeist werden (Elektrofahrzeuge), oder von extern aufladbaren Hybridelektrofahrzeugen, ist der Listenpreis dieser Kraftfahrzeuge</w:t>
      </w:r>
    </w:p>
    <w:p>
      <w:pPr>
        <w:tabs>
          <w:tab w:pos="1134" w:val="left"/>
        </w:tabs>
        <w:ind w:left="1134" w:hanging="567"/>
      </w:pPr>
      <w:r>
        <w:t>1.</w:t>
      </w:r>
      <w:r>
        <w:tab/>
      </w:r>
      <w:r>
        <w:t>soweit die Nummern 2, 3 oder 4 nicht anzuwenden sind und bei Anschaffung vor dem 1. Januar 2023 um die darin enthaltenen Kosten des Batteriesystems im Zeitpunkt der Erstzulassung des Kraftfahrzeugs wie folgt zu mindern: für bis zum 31. Dezember 2013 angeschaffte Kraftfahrzeuge um 500 Euro pro Kilowattstunde der Batteriekapazität, dieser Betrag mindert sich für in den Folgejahren angeschaffte Kraftfahrzeuge um jährlich 50 Euro pro Kilowattstunde der Batteriekapazität; die Minderung pro Kraftfahrzeug beträgt höchstens 10 000 Euro; dieser Höchstbetrag mindert sich für in den Folgejahren angeschaffte Kraftfahrzeuge um jährlich 500 Euro, oder</w:t>
      </w:r>
    </w:p>
    <w:p>
      <w:pPr>
        <w:tabs>
          <w:tab w:pos="1134" w:val="left"/>
        </w:tabs>
        <w:ind w:left="1134" w:hanging="567"/>
      </w:pPr>
      <w:r>
        <w:t>2.</w:t>
      </w:r>
      <w:r>
        <w:tab/>
      </w:r>
      <w:r>
        <w:t>soweit Nummer 3 nicht anzuwenden ist und bei Anschaffung nach dem 31. Dezember 2018 und vor dem 1. Januar 2022 nur zur Hälfte anzusetzen; bei extern aufladbaren Hybridelektrofahrzeugen muss das Fahrzeug die Voraussetzungen des § 3 Absatz 2 Nummer 1 oder 2 des Elektromobilitätsgesetzes erfüllen, oder</w:t>
      </w:r>
    </w:p>
    <w:p>
      <w:pPr>
        <w:tabs>
          <w:tab w:pos="1134" w:val="left"/>
        </w:tabs>
        <w:ind w:left="1134" w:hanging="567"/>
      </w:pPr>
      <w:r>
        <w:t>3.</w:t>
      </w:r>
      <w:r>
        <w:tab/>
      </w:r>
      <w:r>
        <w:t>bei Anschaffung nach dem 31. Dezember 2018 und vor dem 1. Januar 2031 nur zu einem Viertel anzusetzen, wenn das Kraftfahrzeug keine Kohlendioxidemission je gefahrenen Kilometer hat und der Bruttolistenpreis des Kraftfahrzeugs nicht mehr als 100 000 Euro beträgt, oder</w:t>
      </w:r>
    </w:p>
    <w:p>
      <w:pPr>
        <w:tabs>
          <w:tab w:pos="1134" w:val="left"/>
        </w:tabs>
        <w:ind w:left="1134" w:hanging="567"/>
      </w:pPr>
      <w:r>
        <w:t>4.</w:t>
      </w:r>
      <w:r>
        <w:tab/>
      </w:r>
      <w:r>
        <w:t>soweit Nummer 3 nicht anzuwenden ist und bei Anschaffung nach dem 31. Dezember 2021 und vor dem 1. Januar 2025 nur zur Hälfte anzusetzen, wenn das Kraftfahrzeug</w:t>
      </w:r>
    </w:p>
    <w:p>
      <w:pPr>
        <w:tabs>
          <w:tab w:pos="1701" w:val="left"/>
        </w:tabs>
        <w:ind w:left="1701" w:hanging="567"/>
      </w:pPr>
      <w:r>
        <w:t>a)</w:t>
      </w:r>
      <w:r>
        <w:tab/>
      </w:r>
      <w:r>
        <w:t>eine Kohlendioxidemission von höchstens 50 Gramm je gefahrenen Kilometer hat oder</w:t>
      </w:r>
    </w:p>
    <w:p>
      <w:pPr>
        <w:tabs>
          <w:tab w:pos="1701" w:val="left"/>
        </w:tabs>
        <w:ind w:left="1701" w:hanging="567"/>
      </w:pPr>
      <w:r>
        <w:t>b)</w:t>
      </w:r>
      <w:r>
        <w:tab/>
      </w:r>
      <w:r>
        <w:t>die Reichweite des Fahrzeugs unter ausschließlicher Nutzung der elektrischen Antriebsmaschine mindestens 60 Kilometer beträgt, oder</w:t>
      </w:r>
    </w:p>
    <w:p>
      <w:pPr>
        <w:tabs>
          <w:tab w:pos="1134" w:val="left"/>
        </w:tabs>
        <w:ind w:left="1134" w:hanging="567"/>
      </w:pPr>
      <w:r>
        <w:t>5.</w:t>
      </w:r>
      <w:r>
        <w:tab/>
      </w:r>
      <w:r>
        <w:t>soweit Nummer 3 nicht anzuwenden ist und bei Anschaffung nach dem 31. Dezember 2024 und vor dem 1. Januar 2031 nur zur Hälfte anzusetzen, wenn das Kraftfahrzeug</w:t>
      </w:r>
    </w:p>
    <w:p>
      <w:pPr>
        <w:tabs>
          <w:tab w:pos="1701" w:val="left"/>
        </w:tabs>
        <w:ind w:left="1701" w:hanging="567"/>
      </w:pPr>
      <w:r>
        <w:t>a)</w:t>
      </w:r>
      <w:r>
        <w:tab/>
      </w:r>
      <w:r>
        <w:t>eine Kohlendioxidemission von höchstens 50 Gramm je gefahrenen Kilometer hat oder</w:t>
      </w:r>
    </w:p>
    <w:p>
      <w:pPr>
        <w:tabs>
          <w:tab w:pos="1701" w:val="left"/>
        </w:tabs>
        <w:ind w:left="1701" w:hanging="567"/>
      </w:pPr>
      <w:r>
        <w:t>b)</w:t>
      </w:r>
      <w:r>
        <w:tab/>
      </w:r>
      <w:r>
        <w:t>die Reichweite des Fahrzeugs unter ausschließlicher Nutzung der elektrischen Antriebsmaschine mindestens 80 Kilometer beträgt,</w:t>
      </w:r>
    </w:p>
    <w:p>
      <w:pPr>
        <w:ind w:left="567"/>
      </w:pPr>
      <w:r>
        <w:t xml:space="preserve">die maßgebliche Kohlendioxidemission sowie die Reichweite des Kraftfahrzeugs unter ausschließlicher Nutzung der elektrischen Antriebsmaschine ist der Übereinstimmungsbescheinigung nach Anhang IX der Richtlinie 2007/46/EG oder aus der Übereinstimmungsbescheinigung nach Artikel 38 der Verordnung (EU) Nr. 168/2013 zu entnehmen. </w:t>
      </w:r>
      <w:r>
        <w:rPr>
          <w:rStyle w:val="Satznummer"/>
        </w:rPr>
        <w:t>3</w:t>
      </w:r>
      <w:r>
        <w:t>Die private Nutzung kann abweichend von Satz 2 mit den auf die Privatfahrten entfallenden Aufwendungen angesetzt werden, wenn die für das Kraftfahrzeug insgesamt entstehenden Aufwendungen durch Belege und das Verhältnis der privaten zu den übrigen Fahrten durch ein ordnungsgemäßes Fahrtenbuch nachgewiesen werden; bei der privaten Nutzung von Fahrzeugen mit Antrieb ausschließlich durch Elektromotoren, die ganz oder überwiegend aus mechanischen oder elektrochemischen Energiespeichern oder aus emissionsfrei betriebenen Energiewandlern gespeist werden (Elektrofahrzeuge), oder von extern aufladbaren Hybridelektrofahrzeugen, sind</w:t>
      </w:r>
    </w:p>
    <w:p>
      <w:pPr>
        <w:tabs>
          <w:tab w:pos="1134" w:val="left"/>
        </w:tabs>
        <w:ind w:left="1134" w:hanging="567"/>
      </w:pPr>
      <w:r>
        <w:t>1.</w:t>
      </w:r>
      <w:r>
        <w:tab/>
      </w:r>
      <w:r>
        <w:t>soweit die Nummern 2, 3 oder 4 nicht anzuwenden sind und bei Anschaffung vor dem 1. Januar 2023 die der Berechnung der Entnahme zugrunde zu legenden insgesamt entstandenen Aufwendungen um Aufwendungen für das Batteriesystem zu mindern; dabei ist bei zum Betriebsvermögen des Steuerpflichtigen gehörenden Elektro- und Hybridelektrofahrzeugen die der Berechnung der Absetzungen für Abnutzung zugrunde zu legende Bemessungsgrundlage um die nach Satz 2 in pauschaler Höhe festgelegten Aufwendungen zu mindern, wenn darin Kosten für ein Batteriesystem enthalten sind, oder</w:t>
      </w:r>
    </w:p>
    <w:p>
      <w:pPr>
        <w:tabs>
          <w:tab w:pos="1134" w:val="left"/>
        </w:tabs>
        <w:ind w:left="1134" w:hanging="567"/>
      </w:pPr>
      <w:r>
        <w:t>2.</w:t>
      </w:r>
      <w:r>
        <w:tab/>
      </w:r>
      <w:r>
        <w:t>soweit Nummer 3 nicht anzuwenden ist und bei Anschaffung nach dem 31. Dezember 2018 und vor dem 1. Januar 2022 bei der Ermittlung der insgesamt entstandenen Aufwendungen die Anschaffungskosten für das Kraftfahrzeug oder vergleichbare Aufwendungen nur zur Hälfte zu berücksichtigen; bei extern aufladbaren Hybridelektrofahrzeugen muss das Fahrzeug die Voraussetzungen des § 3 Absatz 2 Nummer 1 oder 2 des Elektromobilitätsgesetzes erfüllen, oder</w:t>
      </w:r>
    </w:p>
    <w:p>
      <w:pPr>
        <w:tabs>
          <w:tab w:pos="1134" w:val="left"/>
        </w:tabs>
        <w:ind w:left="1134" w:hanging="567"/>
      </w:pPr>
      <w:r>
        <w:t>3.</w:t>
      </w:r>
      <w:r>
        <w:tab/>
      </w:r>
      <w:r>
        <w:t>bei Anschaffung nach dem 31. Dezember 2018 und vor dem 1. Januar 2031 bei der Ermittlung der insgesamt entstandenen Aufwendungen die Anschaffungskosten für das Kraftfahrzeug oder vergleichbare Aufwendungen nur zu einem Viertel zu berücksichtigen, wenn das Kraftfahrzeug keine Kohlendioxidemission je gefahrenen Kilometer hat, und der Bruttolistenpreis des Kraftfahrzeugs nicht mehr als 100 000 Euro beträgt oder</w:t>
      </w:r>
    </w:p>
    <w:p>
      <w:pPr>
        <w:tabs>
          <w:tab w:pos="1134" w:val="left"/>
        </w:tabs>
        <w:ind w:left="1134" w:hanging="567"/>
      </w:pPr>
      <w:r>
        <w:t>4.</w:t>
      </w:r>
      <w:r>
        <w:tab/>
      </w:r>
      <w:r>
        <w:t>soweit Nummer 3 nicht anzuwenden ist und bei Anschaffung nach dem 31. Dezember 2021 und vor dem 1. Januar 2025 bei der Ermittlung der insgesamt entstandenen Aufwendungen die Anschaffungskosten für das Kraftfahrzeug oder vergleichbare Aufwendungen nur zur Hälfte zu berücksichtigen, wenn das Kraftfahrzeug</w:t>
      </w:r>
    </w:p>
    <w:p>
      <w:pPr>
        <w:tabs>
          <w:tab w:pos="1701" w:val="left"/>
        </w:tabs>
        <w:ind w:left="1701" w:hanging="567"/>
      </w:pPr>
      <w:r>
        <w:t>a)</w:t>
      </w:r>
      <w:r>
        <w:tab/>
      </w:r>
      <w:r>
        <w:t>eine Kohlendioxidemission von höchstens 50 Gramm je gefahrenen Kilometer hat oder</w:t>
      </w:r>
    </w:p>
    <w:p>
      <w:pPr>
        <w:tabs>
          <w:tab w:pos="1701" w:val="left"/>
        </w:tabs>
        <w:ind w:left="1701" w:hanging="567"/>
      </w:pPr>
      <w:r>
        <w:t>b)</w:t>
      </w:r>
      <w:r>
        <w:tab/>
      </w:r>
      <w:r>
        <w:t>die Reichweite des Kraftfahrzeugs unter ausschließlicher Nutzung der elektrischen Antriebsmaschine mindestens 60 Kilometer beträgt, oder</w:t>
      </w:r>
    </w:p>
    <w:p>
      <w:pPr>
        <w:tabs>
          <w:tab w:pos="1134" w:val="left"/>
        </w:tabs>
        <w:ind w:left="1134" w:hanging="567"/>
      </w:pPr>
      <w:r>
        <w:t>5.</w:t>
      </w:r>
      <w:r>
        <w:tab/>
      </w:r>
      <w:r>
        <w:t>soweit Nummer 3 nicht anzuwenden ist und bei Anschaffung nach dem 31. Dezember 2024 und vor dem 1. Januar 2031 bei der Ermittlung der insgesamt entstandenen Aufwendungen die Anschaffungskosten für das Kraftfahrzeug oder vergleichbare Aufwendungen nur zur Hälfte zu berücksichtigen, wenn das Kraftfahrzeug</w:t>
      </w:r>
    </w:p>
    <w:p>
      <w:pPr>
        <w:tabs>
          <w:tab w:pos="1701" w:val="left"/>
        </w:tabs>
        <w:ind w:left="1701" w:hanging="567"/>
      </w:pPr>
      <w:r>
        <w:t>a)</w:t>
      </w:r>
      <w:r>
        <w:tab/>
      </w:r>
      <w:r>
        <w:t>eine Kohlendioxidemission von höchstens 50 Gramm je gefahrenen Kilometer hat oder</w:t>
      </w:r>
    </w:p>
    <w:p>
      <w:pPr>
        <w:tabs>
          <w:tab w:pos="1701" w:val="left"/>
        </w:tabs>
        <w:ind w:left="1701" w:hanging="567"/>
      </w:pPr>
      <w:r>
        <w:t>b)</w:t>
      </w:r>
      <w:r>
        <w:tab/>
      </w:r>
      <w:r>
        <w:t>die Reichweite des Kraftfahrzeugs unter ausschließlicher Nutzung der elektrischen Antriebsmaschine mindestens 80 Kilometer beträgt,</w:t>
      </w:r>
    </w:p>
    <w:p>
      <w:pPr>
        <w:ind w:left="567"/>
      </w:pPr>
      <w:r>
        <w:t xml:space="preserve">die maßgebliche Kohlendioxidemission sowie die Reichweite des Kraftfahrzeugs unter ausschließlicher Nutzung der elektrischen Antriebsmaschine ist der Übereinstimmungsbescheinigung nach Anhang IX der Richtlinie 2007/46/EG oder aus der Übereinstimmungsbescheinigung nach Artikel 38 der Verordnung (EU) Nr. 168/2013 zu entnehmen. </w:t>
      </w:r>
      <w:r>
        <w:rPr>
          <w:rStyle w:val="Satznummer"/>
        </w:rPr>
        <w:t>4</w:t>
      </w:r>
      <w:r>
        <w:t xml:space="preserve">Wird ein Wirtschaftsgut unmittelbar nach seiner Entnahme einer nach § 5 Absatz 1 Nummer 9 des Körperschaftsteuergesetzes von der Körperschaftsteuer befreiten Körperschaft, Personenvereinigung oder Vermögensmasse oder einer juristischen Person des öffentlichen Rechts zur Verwendung für steuerbegünstigte Zwecke im Sinne des </w:t>
      </w:r>
      <w:hyperlink w:anchor="b53" w:history="1">
        <w:r>
          <w:rPr>
            <w:color w:val="0A3A8C"/>
            <w:u w:val="single"/>
          </w:rPr>
          <w:t xml:space="preserve">§ 10b</w:t>
        </w:r>
      </w:hyperlink>
      <w:r>
        <w:t xml:space="preserve"> Absatz 1 Satz 1 unentgeltlich überlassen, so kann die Entnahme mit dem Buchwert angesetzt werden. </w:t>
      </w:r>
      <w:r>
        <w:rPr>
          <w:rStyle w:val="Satznummer"/>
        </w:rPr>
        <w:t>5</w:t>
      </w:r>
      <w:r>
        <w:t xml:space="preserve">Satz 4 gilt nicht für die Entnahme von Nutzungen und Leistungen. </w:t>
      </w:r>
      <w:r>
        <w:rPr>
          <w:rStyle w:val="Satznummer"/>
        </w:rPr>
        <w:t>6</w:t>
      </w:r>
      <w:r>
        <w:t>Die private Nutzung eines betrieblichen Fahrrads, das kein Kraftfahrzeug im Sinne des Satzes 2 ist, bleibt außer Ansatz.</w:t>
      </w:r>
    </w:p>
    <w:p>
      <w:pPr>
        <w:tabs>
          <w:tab w:pos="567" w:val="left"/>
        </w:tabs>
        <w:ind w:left="567" w:hanging="567"/>
      </w:pPr>
      <w:r>
        <w:t>5.</w:t>
      </w:r>
      <w:r>
        <w:tab/>
      </w:r>
      <w:r>
        <w:t>Einlagen sind mit dem Teilwert für den Zeitpunkt der Zuführung anzusetzen; sie sind jedoch höchstens mit den Anschaffungs- oder Herstellungskosten anzusetzen, wenn das zugeführte Wirtschaftsgut</w:t>
      </w:r>
    </w:p>
    <w:p>
      <w:pPr>
        <w:tabs>
          <w:tab w:pos="1134" w:val="left"/>
        </w:tabs>
        <w:ind w:left="1134" w:hanging="567"/>
      </w:pPr>
      <w:r>
        <w:t>a)</w:t>
      </w:r>
      <w:r>
        <w:tab/>
      </w:r>
      <w:r>
        <w:t>innerhalb der letzten drei Jahre vor dem Zeitpunkt der Zuführung aus dem Privatvermögen angeschafft oder hergestellt worden ist,</w:t>
      </w:r>
    </w:p>
    <w:p>
      <w:pPr>
        <w:tabs>
          <w:tab w:pos="1134" w:val="left"/>
        </w:tabs>
        <w:ind w:left="1134" w:hanging="567"/>
      </w:pPr>
      <w:r>
        <w:t>b)</w:t>
      </w:r>
      <w:r>
        <w:tab/>
      </w:r>
      <w:r>
        <w:t xml:space="preserve">ein Anteil an einer Kapitalgesellschaft ist und der Steuerpflichtige an der Gesellschaft im Sinne des </w:t>
      </w:r>
      <w:hyperlink w:anchor="b79" w:history="1">
        <w:r>
          <w:rPr>
            <w:color w:val="0A3A8C"/>
            <w:u w:val="single"/>
          </w:rPr>
          <w:t xml:space="preserve">§ 17</w:t>
        </w:r>
      </w:hyperlink>
      <w:r>
        <w:t xml:space="preserve"> Absatz 1 oder Absatz 6 beteiligt ist; </w:t>
      </w:r>
      <w:hyperlink w:anchor="b79" w:history="1">
        <w:r>
          <w:rPr>
            <w:color w:val="0A3A8C"/>
            <w:u w:val="single"/>
          </w:rPr>
          <w:t xml:space="preserve">§ 17</w:t>
        </w:r>
      </w:hyperlink>
      <w:r>
        <w:t xml:space="preserve"> Absatz 2 Satz 5 gilt entsprechend, oder</w:t>
      </w:r>
    </w:p>
    <w:p>
      <w:pPr>
        <w:tabs>
          <w:tab w:pos="1134" w:val="left"/>
        </w:tabs>
        <w:ind w:left="1134" w:hanging="567"/>
      </w:pPr>
      <w:r>
        <w:t>c)</w:t>
      </w:r>
      <w:r>
        <w:tab/>
      </w:r>
      <w:r>
        <w:t xml:space="preserve">ein Wirtschaftsgut im Sinne des </w:t>
      </w:r>
      <w:hyperlink w:anchor="b86" w:history="1">
        <w:r>
          <w:rPr>
            <w:color w:val="0A3A8C"/>
            <w:u w:val="single"/>
          </w:rPr>
          <w:t xml:space="preserve">§ 20</w:t>
        </w:r>
      </w:hyperlink>
      <w:r>
        <w:t xml:space="preserve"> Absatz 2 oder im Sinne des § 2 Absatz 4 des Investmentsteuergesetzes ist.</w:t>
      </w:r>
    </w:p>
    <w:p>
      <w:pPr>
        <w:ind w:left="567"/>
      </w:pPr>
      <w:r>
        <w:rPr>
          <w:rStyle w:val="Satznummer"/>
        </w:rPr>
        <w:t>2</w:t>
      </w:r>
      <w:r>
        <w:t xml:space="preserve">Ist die Einlage ein abnutzbares Wirtschaftsgut, so sind die Anschaffungs- oder Herstellungskosten um Absetzungen für Abnutzung zu kürzen, die auf den Zeitraum zwischen der Anschaffung oder Herstellung des Wirtschaftsguts und der Einlage entfallen. </w:t>
      </w:r>
      <w:r>
        <w:rPr>
          <w:rStyle w:val="Satznummer"/>
        </w:rPr>
        <w:t>3</w:t>
      </w:r>
      <w:r>
        <w:t>Ist die Einlage ein Wirtschaftsgut, das vor der Zuführung aus einem Betriebsvermögen des Steuerpflichtigen entnommen worden ist, so tritt an die Stelle der Anschaffungs- oder Herstellungskosten der Wert, mit dem die Entnahme angesetzt worden ist, und an die Stelle des Zeitpunkts der Anschaffung oder Herstellung der Zeitpunkt der Entnahme.</w:t>
      </w:r>
    </w:p>
    <w:p>
      <w:pPr>
        <w:tabs>
          <w:tab w:pos="567" w:val="left"/>
        </w:tabs>
        <w:ind w:left="567" w:hanging="567"/>
      </w:pPr>
      <w:r>
        <w:t>5a.</w:t>
      </w:r>
      <w:r>
        <w:tab/>
      </w:r>
      <w:r>
        <w:t xml:space="preserve">In den Fällen des </w:t>
      </w:r>
      <w:hyperlink w:anchor="b13" w:history="1">
        <w:r>
          <w:rPr>
            <w:color w:val="0A3A8C"/>
            <w:u w:val="single"/>
          </w:rPr>
          <w:t xml:space="preserve">§ 4</w:t>
        </w:r>
      </w:hyperlink>
      <w:r>
        <w:t xml:space="preserve"> Absatz 1 Satz 8 zweiter Halbsatz ist das Wirtschaftsgut mit dem gemeinen Wert anzusetzen; unterliegt der Steuerpflichtige in einem anderen Staat einer Besteuerung auf Grund des Ausschlusses oder der Beschränkung des Besteuerungsrechts dieses Staates, ist das Wirtschaftsgut mit dem Wert anzusetzen, den der andere Staat der Besteuerung zugrunde legt, höchstens jedoch mit dem gemeinen Wert.</w:t>
      </w:r>
    </w:p>
    <w:p>
      <w:pPr>
        <w:tabs>
          <w:tab w:pos="567" w:val="left"/>
        </w:tabs>
        <w:ind w:left="567" w:hanging="567"/>
      </w:pPr>
      <w:r>
        <w:t>5b.</w:t>
      </w:r>
      <w:r>
        <w:tab/>
      </w:r>
      <w:r>
        <w:t xml:space="preserve">Im Fall des </w:t>
      </w:r>
      <w:hyperlink w:anchor="b13" w:history="1">
        <w:r>
          <w:rPr>
            <w:color w:val="0A3A8C"/>
            <w:u w:val="single"/>
          </w:rPr>
          <w:t xml:space="preserve">§ 4</w:t>
        </w:r>
      </w:hyperlink>
      <w:r>
        <w:t xml:space="preserve"> Absatz 1 Satz 9 ist das Wirtschaftsgut jeweils mit dem Wert anzusetzen, den der andere Staat der Besteuerung zugrunde legt, höchstens jedoch mit dem gemeinen Wert.</w:t>
      </w:r>
    </w:p>
    <w:p>
      <w:pPr>
        <w:tabs>
          <w:tab w:pos="567" w:val="left"/>
        </w:tabs>
        <w:ind w:left="567" w:hanging="567"/>
      </w:pPr>
      <w:r>
        <w:t>6.</w:t>
      </w:r>
      <w:r>
        <w:tab/>
      </w:r>
      <w:r>
        <w:t>Bei Eröffnung eines Betriebs ist Nummer 5 entsprechend anzuwenden.</w:t>
      </w:r>
    </w:p>
    <w:p>
      <w:pPr>
        <w:tabs>
          <w:tab w:pos="567" w:val="left"/>
        </w:tabs>
        <w:ind w:left="567" w:hanging="567"/>
      </w:pPr>
      <w:r>
        <w:t>7.</w:t>
      </w:r>
      <w:r>
        <w:tab/>
      </w:r>
      <w:r>
        <w:t>Bei entgeltlichem Erwerb eines Betriebs sind die Wirtschaftsgüter mit dem Teilwert, höchstens jedoch mit den Anschaffungs- oder Herstellungskosten anzusetzen.</w:t>
      </w:r>
    </w:p>
    <w:p>
      <w:r>
        <w:t xml:space="preserve">(2) </w:t>
      </w:r>
      <w:r>
        <w:rPr>
          <w:rStyle w:val="Satznummer"/>
        </w:rPr>
        <w:t>1</w:t>
      </w:r>
      <w:r>
        <w:t>Die Anschaffungs- oder Herstellungskosten oder der nach Absatz 1 Nummer 5 bis 6 an deren Stelle tretende Wert von abnutzbaren beweglichen Wirtschaftsgütern des Anlagevermögens, die einer selbständigen Nutzung fähig sind, können im Wirtschaftsjahr der Anschaffung, Herstellung oder Einlage des Wirtschaftsguts oder der Eröffnung des Betriebs in voller Höhe als Betriebsausgaben abgezogen werden, wenn die Anschaffungs- oder Herstellungskosten, vermindert um einen darin enthaltenen Vorsteuerbetrag (</w:t>
      </w:r>
      <w:hyperlink w:anchor="b49" w:history="1">
        <w:r>
          <w:rPr>
            <w:color w:val="0A3A8C"/>
            <w:u w:val="single"/>
          </w:rPr>
          <w:t xml:space="preserve">§ 9b</w:t>
        </w:r>
      </w:hyperlink>
      <w:r>
        <w:t xml:space="preserve"> Absatz 1), oder der nach Absatz 1 Nummer 5 bis 6 an deren Stelle tretende Wert für das einzelne Wirtschaftsgut 800 Euro nicht übersteigen. </w:t>
      </w:r>
      <w:r>
        <w:rPr>
          <w:rStyle w:val="Satznummer"/>
        </w:rPr>
        <w:t>2</w:t>
      </w:r>
      <w:r>
        <w:t xml:space="preserve">Ein Wirtschaftsgut ist einer selbständigen Nutzung nicht fähig, wenn es nach seiner betrieblichen Zweckbestimmung nur zusammen mit anderen Wirtschaftsgütern des Anlagevermögens genutzt werden kann und die in den Nutzungszusammenhang eingefügten Wirtschaftsgüter technisch aufeinander abgestimmt sind. </w:t>
      </w:r>
      <w:r>
        <w:rPr>
          <w:rStyle w:val="Satznummer"/>
        </w:rPr>
        <w:t>3</w:t>
      </w:r>
      <w:r>
        <w:t xml:space="preserve">Das gilt auch, wenn das Wirtschaftsgut aus dem betrieblichen Nutzungszusammenhang gelöst und in einen anderen betrieblichen Nutzungszusammenhang eingefügt werden kann. </w:t>
      </w:r>
      <w:r>
        <w:rPr>
          <w:rStyle w:val="Satznummer"/>
        </w:rPr>
        <w:t>4</w:t>
      </w:r>
      <w:r>
        <w:t xml:space="preserve">Wirtschaftsgüter im Sinne des Satzes 1, deren Wert 250 Euro übersteigt, sind unter Angabe des Tages der Anschaffung, Herstellung oder Einlage des Wirtschaftsguts oder der Eröffnung des Betriebs und der Anschaffungs- oder Herstellungskosten oder des nach Absatz 1 Nummer 5 bis 6 an deren Stelle tretenden Werts in ein besonderes, laufend zu führendes Verzeichnis aufzunehmen. </w:t>
      </w:r>
      <w:r>
        <w:rPr>
          <w:rStyle w:val="Satznummer"/>
        </w:rPr>
        <w:t>5</w:t>
      </w:r>
      <w:r>
        <w:t>Das Verzeichnis braucht nicht geführt zu werden, wenn diese Angaben aus der Buchführung ersichtlich sind.</w:t>
      </w:r>
    </w:p>
    <w:p>
      <w:r>
        <w:t xml:space="preserve">(2a) </w:t>
      </w:r>
      <w:r>
        <w:rPr>
          <w:rStyle w:val="Satznummer"/>
        </w:rPr>
        <w:t>1</w:t>
      </w:r>
      <w:r>
        <w:t>Abweichend von Absatz 2 Satz 1 kann für die abnutzbaren beweglichen Wirtschaftsgüter des Anlagevermögens, die einer selbständigen Nutzung fähig sind, im Wirtschaftsjahr der Anschaffung, Herstellung oder Einlage des Wirtschaftsguts oder der Eröffnung des Betriebs ein Sammelposten gebildet werden, wenn die Anschaffungs- oder Herstellungskosten, vermindert um einen darin enthaltenen Vorsteuerbetrag (</w:t>
      </w:r>
      <w:hyperlink w:anchor="b49" w:history="1">
        <w:r>
          <w:rPr>
            <w:color w:val="0A3A8C"/>
            <w:u w:val="single"/>
          </w:rPr>
          <w:t xml:space="preserve">§ 9b</w:t>
        </w:r>
      </w:hyperlink>
      <w:r>
        <w:t xml:space="preserve"> Absatz 1), oder der nach Absatz 1 Nummer 5 bis 6 an deren Stelle tretende Wert für das einzelne Wirtschaftsgut 250 Euro, aber nicht 1 000 Euro übersteigen. </w:t>
      </w:r>
      <w:r>
        <w:rPr>
          <w:rStyle w:val="Satznummer"/>
        </w:rPr>
        <w:t>2</w:t>
      </w:r>
      <w:r>
        <w:t xml:space="preserve">Der Sammelposten ist im Wirtschaftsjahr der Bildung und den folgenden vier Wirtschaftsjahren mit jeweils einem Fünftel gewinnmindernd aufzulösen. </w:t>
      </w:r>
      <w:r>
        <w:rPr>
          <w:rStyle w:val="Satznummer"/>
        </w:rPr>
        <w:t>3</w:t>
      </w:r>
      <w:r>
        <w:t xml:space="preserve">Scheidet ein Wirtschaftsgut im Sinne des Satzes 1 aus dem Betriebsvermögen aus, wird der Sammelposten nicht vermindert. </w:t>
      </w:r>
      <w:r>
        <w:rPr>
          <w:rStyle w:val="Satznummer"/>
        </w:rPr>
        <w:t>4</w:t>
      </w:r>
      <w:r>
        <w:t>Die Anschaffungs- oder Herstellungskosten oder der nach Absatz 1 Nummer 5 bis 6 an deren Stelle tretende Wert von abnutzbaren beweglichen Wirtschaftsgütern des Anlagevermögens, die einer selbständigen Nutzung fähig sind, können im Wirtschaftsjahr der Anschaffung, Herstellung oder Einlage des Wirtschaftsguts oder der Eröffnung des Betriebs in voller Höhe als Betriebsausgaben abgezogen werden, wenn die Anschaffungs- oder Herstellungskosten, vermindert um einen darin enthaltenen Vorsteuerbetrag (</w:t>
      </w:r>
      <w:hyperlink w:anchor="b49" w:history="1">
        <w:r>
          <w:rPr>
            <w:color w:val="0A3A8C"/>
            <w:u w:val="single"/>
          </w:rPr>
          <w:t xml:space="preserve">§ 9b</w:t>
        </w:r>
      </w:hyperlink>
      <w:r>
        <w:t xml:space="preserve"> Absatz 1), oder der nach Absatz 1 Nummer 5 bis 6 an deren Stelle tretende Wert für das einzelne Wirtschaftsgut 250 Euro nicht übersteigen. </w:t>
      </w:r>
      <w:r>
        <w:rPr>
          <w:rStyle w:val="Satznummer"/>
        </w:rPr>
        <w:t>5</w:t>
      </w:r>
      <w:r>
        <w:t>Die Sätze 1 bis 3 sind für alle in einem Wirtschaftsjahr angeschafften, hergestellten oder eingelegten Wirtschaftsgüter einheitlich anzuwenden.</w:t>
      </w:r>
    </w:p>
    <w:p>
      <w:r>
        <w:t xml:space="preserve">(3) </w:t>
      </w:r>
      <w:r>
        <w:rPr>
          <w:rStyle w:val="Satznummer"/>
        </w:rPr>
        <w:t>1</w:t>
      </w:r>
      <w:r>
        <w:t xml:space="preserve">Wird ein Betrieb, ein Teilbetrieb oder der Anteil eines Mitunternehmers an einem Betrieb unentgeltlich übertragen, so sind bei der Ermittlung des Gewinns des bisherigen Betriebsinhabers (Mitunternehmers) die Wirtschaftsgüter mit den Werten anzusetzen, die sich nach den Vorschriften über die Gewinnermittlung ergeben, sofern die Besteuerung der stillen Reserven sichergestellt ist; dies gilt auch bei der unentgeltlichen Aufnahme einer natürlichen Person in ein bestehendes Einzelunternehmen sowie bei der unentgeltlichen Übertragung eines Teils eines Mitunternehmeranteils auf eine natürliche Person. </w:t>
      </w:r>
      <w:r>
        <w:rPr>
          <w:rStyle w:val="Satznummer"/>
        </w:rPr>
        <w:t>2</w:t>
      </w:r>
      <w:r>
        <w:t xml:space="preserve">Satz 1 ist auch anzuwenden, wenn der bisherige Betriebsinhaber (Mitunternehmer) Wirtschaftsgüter, die weiterhin zum Betriebsvermögen derselben Mitunternehmerschaft gehören, nicht überträgt, sofern der Rechtsnachfolger den übernommenen Mitunternehmeranteil über einen Zeitraum von mindestens fünf Jahren nicht veräußert oder aufgibt. </w:t>
      </w:r>
      <w:r>
        <w:rPr>
          <w:rStyle w:val="Satznummer"/>
        </w:rPr>
        <w:t>3</w:t>
      </w:r>
      <w:r>
        <w:t>Der Rechtsnachfolger ist an die in Satz 1 genannten Werte gebunden.</w:t>
      </w:r>
    </w:p>
    <w:p>
      <w:r>
        <w:t>(4) Wird ein einzelnes Wirtschaftsgut außer in den Fällen der Einlage (</w:t>
      </w:r>
      <w:hyperlink w:anchor="b13" w:history="1">
        <w:r>
          <w:rPr>
            <w:color w:val="0A3A8C"/>
            <w:u w:val="single"/>
          </w:rPr>
          <w:t xml:space="preserve">§ 4</w:t>
        </w:r>
      </w:hyperlink>
      <w:r>
        <w:t xml:space="preserve"> Absatz 1 Satz 8) unentgeltlich in das Betriebsvermögen eines anderen Steuerpflichtigen übertragen, gilt sein gemeiner Wert für das aufnehmende Betriebsvermögen als Anschaffungskosten.</w:t>
      </w:r>
    </w:p>
    <w:p>
      <w:r>
        <w:t xml:space="preserve">(5) </w:t>
      </w:r>
      <w:r>
        <w:rPr>
          <w:rStyle w:val="Satznummer"/>
        </w:rPr>
        <w:t>1</w:t>
      </w:r>
      <w:r>
        <w:t xml:space="preserve">Wird ein einzelnes Wirtschaftsgut von einem Betriebsvermögen in ein anderes Betriebsvermögen desselben Steuerpflichtigen überführt, ist bei der Überführung der Wert anzusetzen, der sich nach den Vorschriften über die Gewinnermittlung ergibt, sofern die Besteuerung der stillen Reserven sichergestellt ist; </w:t>
      </w:r>
      <w:hyperlink w:anchor="b13" w:history="1">
        <w:r>
          <w:rPr>
            <w:color w:val="0A3A8C"/>
            <w:u w:val="single"/>
          </w:rPr>
          <w:t xml:space="preserve">§ 4</w:t>
        </w:r>
      </w:hyperlink>
      <w:r>
        <w:t xml:space="preserve"> Absatz 1 Satz 4 ist entsprechend anzuwenden. </w:t>
      </w:r>
      <w:r>
        <w:rPr>
          <w:rStyle w:val="Satznummer"/>
        </w:rPr>
        <w:t>2</w:t>
      </w:r>
      <w:r>
        <w:t xml:space="preserve">Satz 1 gilt auch für die Überführung aus einem eigenen Betriebsvermögen des Steuerpflichtigen in dessen Sonderbetriebsvermögen bei einer Mitunternehmerschaft und umgekehrt sowie für die Überführung zwischen verschiedenen Sonderbetriebsvermögen desselben Steuerpflichtigen bei verschiedenen Mitunternehmerschaften. </w:t>
      </w:r>
      <w:r>
        <w:rPr>
          <w:rStyle w:val="Satznummer"/>
        </w:rPr>
        <w:t>3</w:t>
      </w:r>
      <w:r>
        <w:t>Satz 1 gilt entsprechend, soweit ein Wirtschaftsgut</w:t>
      </w:r>
    </w:p>
    <w:p>
      <w:pPr>
        <w:tabs>
          <w:tab w:pos="567" w:val="left"/>
        </w:tabs>
        <w:ind w:left="567" w:hanging="567"/>
      </w:pPr>
      <w:r>
        <w:t>1.</w:t>
      </w:r>
      <w:r>
        <w:tab/>
      </w:r>
      <w:r>
        <w:t>unentgeltlich oder gegen Gewährung oder Minderung von Gesellschaftsrechten aus einem Betriebsvermögen des Mitunternehmers in das Gesamthandsvermögen einer Mitunternehmerschaft und umgekehrt,</w:t>
      </w:r>
    </w:p>
    <w:p>
      <w:pPr>
        <w:tabs>
          <w:tab w:pos="567" w:val="left"/>
        </w:tabs>
        <w:ind w:left="567" w:hanging="567"/>
      </w:pPr>
      <w:r>
        <w:t>2.</w:t>
      </w:r>
      <w:r>
        <w:tab/>
      </w:r>
      <w:r>
        <w:t>unentgeltlich oder gegen Gewährung oder Minderung von Gesellschaftsrechten aus dem Sonderbetriebsvermögen eines Mitunternehmers in das Gesamthandsvermögen derselben Mitunternehmerschaft oder einer anderen Mitunternehmerschaft, an der er beteiligt ist, und umgekehrt,</w:t>
      </w:r>
    </w:p>
    <w:p>
      <w:pPr>
        <w:tabs>
          <w:tab w:pos="567" w:val="left"/>
        </w:tabs>
        <w:ind w:left="567" w:hanging="567"/>
      </w:pPr>
      <w:r>
        <w:t>3.</w:t>
      </w:r>
      <w:r>
        <w:tab/>
      </w:r>
      <w:r>
        <w:t>unentgeltlich zwischen den jeweiligen Sonderbetriebsvermögen verschiedener Mitunternehmer derselben Mitunternehmerschaft oder</w:t>
      </w:r>
    </w:p>
    <w:p>
      <w:pPr>
        <w:tabs>
          <w:tab w:pos="567" w:val="left"/>
        </w:tabs>
        <w:ind w:left="567" w:hanging="567"/>
      </w:pPr>
      <w:r>
        <w:t>4.</w:t>
      </w:r>
      <w:r>
        <w:tab/>
      </w:r>
      <w:r>
        <w:t>unentgeltlich zwischen den Gesamthandsvermögen verschiedener Mitunternehmerschaften derselben, identisch beteiligten Mitunternehmer</w:t>
      </w:r>
    </w:p>
    <w:p>
      <w:r>
        <w:t xml:space="preserve">übertragen wird. </w:t>
      </w:r>
      <w:r>
        <w:rPr>
          <w:rStyle w:val="Satznummer"/>
        </w:rPr>
        <w:t>4</w:t>
      </w:r>
      <w:r>
        <w:t xml:space="preserve">Wird das nach Satz 3 übertragene Wirtschaftsgut innerhalb einer Sperrfrist veräußert oder entnommen, ist rückwirkend auf den Zeitpunkt der Übertragung der Teilwert anzusetzen, es sei denn, die bis zur Übertragung entstandenen stillen Reserven sind durch Erstellung einer Ergänzungsbilanz dem übertragenden Gesellschafter zugeordnet worden; diese Sperrfrist endet drei Jahre nach Abgabe der Steuererklärung des Übertragenden für den Veranlagungszeitraum, in dem die in Satz 3 bezeichnete Übertragung erfolgt ist. </w:t>
      </w:r>
      <w:r>
        <w:rPr>
          <w:rStyle w:val="Satznummer"/>
        </w:rPr>
        <w:t>5</w:t>
      </w:r>
      <w:r>
        <w:t xml:space="preserve">Der Teilwert ist auch anzusetzen, soweit in den Fällen des Satzes 3 der Anteil einer Körperschaft, Personenvereinigung oder Vermögensmasse an dem Wirtschaftsgut unmittelbar oder mittelbar begründet wird oder dieser sich erhöht. </w:t>
      </w:r>
      <w:r>
        <w:rPr>
          <w:rStyle w:val="Satznummer"/>
        </w:rPr>
        <w:t>6</w:t>
      </w:r>
      <w:r>
        <w:t xml:space="preserve">Soweit innerhalb von sieben Jahren nach der Übertragung des Wirtschaftsguts nach Satz 3 der Anteil einer Körperschaft, Personenvereinigung oder Vermögensmasse an dem übertragenen Wirtschaftsgut aus einem anderen Grund unmittelbar oder mittelbar begründet wird oder dieser sich erhöht, ist rückwirkend auf den Zeitpunkt der Übertragung ebenfalls der Teilwert anzusetzen. </w:t>
      </w:r>
      <w:r>
        <w:rPr>
          <w:rStyle w:val="Satznummer"/>
        </w:rPr>
        <w:t>7</w:t>
      </w:r>
      <w:r>
        <w:t>Eine unmittelbare oder mittelbare Begründung oder Erhöhung eines Anteils einer Körperschaft, Personenvereinigung oder Vermögensmasse an dem übertragenen Wirtschaftsgut im Sinne von Satz 5 und 6 liegt auch vor, wenn dieser Anteil an die Stelle eines unmittelbaren oder mittelbaren Anteils einer anderen Körperschaft, Personenvereinigung oder Vermögensmasse tritt.</w:t>
      </w:r>
    </w:p>
    <w:p>
      <w:r>
        <w:t xml:space="preserve">(6) </w:t>
      </w:r>
      <w:r>
        <w:rPr>
          <w:rStyle w:val="Satznummer"/>
        </w:rPr>
        <w:t>1</w:t>
      </w:r>
      <w:r>
        <w:t xml:space="preserve">Wird ein einzelnes Wirtschaftsgut im Wege des Tausches übertragen, bemessen sich die Anschaffungskosten nach dem gemeinen Wert des hingegebenen Wirtschaftsguts. </w:t>
      </w:r>
      <w:r>
        <w:rPr>
          <w:rStyle w:val="Satznummer"/>
        </w:rPr>
        <w:t>2</w:t>
      </w:r>
      <w:r>
        <w:t xml:space="preserve">Erfolgt die Übertragung im Wege der verdeckten Einlage, erhöhen sich die Anschaffungskosten der Beteiligung an der Kapitalgesellschaft um den Teilwert des eingelegten Wirtschaftsguts. </w:t>
      </w:r>
      <w:r>
        <w:rPr>
          <w:rStyle w:val="Satznummer"/>
        </w:rPr>
        <w:t>3</w:t>
      </w:r>
      <w:r>
        <w:t xml:space="preserve">In den Fällen des Absatzes 1 Nummer 5 Satz 1 Buchstabe a erhöhen sich die Anschaffungskosten im Sinne des Satzes 2 um den Einlagewert des Wirtschaftsguts. </w:t>
      </w:r>
      <w:r>
        <w:rPr>
          <w:rStyle w:val="Satznummer"/>
        </w:rPr>
        <w:t>4</w:t>
      </w:r>
      <w:r>
        <w:t>Absatz 5 bleibt unberührt.</w:t>
      </w:r>
    </w:p>
    <w:p>
      <w:r>
        <w:t xml:space="preserve">(7) Im Fall des </w:t>
      </w:r>
      <w:hyperlink w:anchor="b13" w:history="1">
        <w:r>
          <w:rPr>
            <w:color w:val="0A3A8C"/>
            <w:u w:val="single"/>
          </w:rPr>
          <w:t xml:space="preserve">§ 4</w:t>
        </w:r>
      </w:hyperlink>
      <w:r>
        <w:t xml:space="preserve"> Absatz 3 sind</w:t>
      </w:r>
    </w:p>
    <w:p>
      <w:pPr>
        <w:tabs>
          <w:tab w:pos="567" w:val="left"/>
        </w:tabs>
        <w:ind w:left="567" w:hanging="567"/>
      </w:pPr>
      <w:r>
        <w:t>1.</w:t>
      </w:r>
      <w:r>
        <w:tab/>
      </w:r>
      <w:r>
        <w:t>bei der Bemessung der Absetzungen für Abnutzung oder Substanzverringerung die sich bei der Anwendung der Absätze 3 bis 6 ergebenden Werte als Anschaffungskosten zugrunde zu legen und</w:t>
      </w:r>
    </w:p>
    <w:p>
      <w:pPr>
        <w:tabs>
          <w:tab w:pos="567" w:val="left"/>
        </w:tabs>
        <w:ind w:left="567" w:hanging="567"/>
      </w:pPr>
      <w:r>
        <w:t>2.</w:t>
      </w:r>
      <w:r>
        <w:tab/>
      </w:r>
      <w:r>
        <w:t>die Bewertungsvorschriften des Absatzes 1 Nummer 1a und der Nummern 4 bis 7 entsprechend anzuwenden.</w:t>
      </w:r>
    </w:p>
    <w:p>
      <w:pPr>
        <w:pStyle w:val="Heading3"/>
      </w:pPr>
      <w:bookmarkStart w:id="30" w:name="b29"/>
      <w:r>
        <w:t>§ 6a Pensionsrückstellung</w:t>
      </w:r>
      <w:r>
        <w:t xml:space="preserve"> </w:t>
      </w:r>
      <w:r>
        <w:rPr>
          <w:rStyle w:val="Suchmarke"/>
        </w:rPr>
        <w:t>#6a#</w:t>
      </w:r>
      <w:bookmarkEnd w:id="30"/>
    </w:p>
    <w:p>
      <w:r>
        <w:t>(1) Für eine Pensionsverpflichtung darf eine Rückstellung (Pensionsrückstellung) nur gebildet werden, wenn und soweit</w:t>
      </w:r>
    </w:p>
    <w:p>
      <w:pPr>
        <w:tabs>
          <w:tab w:pos="567" w:val="left"/>
        </w:tabs>
        <w:ind w:left="567" w:hanging="567"/>
      </w:pPr>
      <w:r>
        <w:t>1.</w:t>
      </w:r>
      <w:r>
        <w:tab/>
      </w:r>
      <w:r>
        <w:t>der Pensionsberechtigte einen Rechtsanspruch auf einmalige oder laufende Pensionsleistungen hat,</w:t>
      </w:r>
    </w:p>
    <w:p>
      <w:pPr>
        <w:tabs>
          <w:tab w:pos="567" w:val="left"/>
        </w:tabs>
        <w:ind w:left="567" w:hanging="567"/>
      </w:pPr>
      <w:r>
        <w:t>2.</w:t>
      </w:r>
      <w:r>
        <w:tab/>
      </w:r>
      <w:r>
        <w:t>die Pensionszusage keine Pensionsleistungen in Abhängigkeit von künftigen gewinnabhängigen Bezügen vorsieht und keinen Vorbehalt enthält, dass die Pensionsanwartschaft oder die Pensionsleistung gemindert oder entzogen werden kann, oder ein solcher Vorbehalt sich nur auf Tatbestände erstreckt, bei deren Vorliegen nach allgemeinen Rechtsgrundsätzen unter Beachtung billigen Ermessens eine Minderung oder ein Entzug der Pensionsanwartschaft oder der Pensionsleistung zulässig ist, und</w:t>
      </w:r>
    </w:p>
    <w:p>
      <w:pPr>
        <w:tabs>
          <w:tab w:pos="567" w:val="left"/>
        </w:tabs>
        <w:ind w:left="567" w:hanging="567"/>
      </w:pPr>
      <w:r>
        <w:t>3.</w:t>
      </w:r>
      <w:r>
        <w:tab/>
      </w:r>
      <w:r>
        <w:t>die Pensionszusage schriftlich erteilt ist; die Pensionszusage muss eindeutige Angaben zu Art, Form, Voraussetzungen und Höhe der in Aussicht gestellten künftigen Leistungen enthalten.</w:t>
      </w:r>
    </w:p>
    <w:p>
      <w:r>
        <w:t>(2) Eine Pensionsrückstellung darf erstmals gebildet werden</w:t>
      </w:r>
    </w:p>
    <w:p>
      <w:pPr>
        <w:tabs>
          <w:tab w:pos="567" w:val="left"/>
        </w:tabs>
        <w:ind w:left="567" w:hanging="567"/>
      </w:pPr>
      <w:r>
        <w:t>1.</w:t>
      </w:r>
      <w:r>
        <w:tab/>
      </w:r>
      <w:r>
        <w:t>vor Eintritt des Versorgungsfalls für das Wirtschaftsjahr, in dem die Pensionszusage erteilt wird, frühestens jedoch für das Wirtschaftsjahr, bis zu dessen Mitte der Pensionsberechtigte bei</w:t>
      </w:r>
    </w:p>
    <w:p>
      <w:pPr>
        <w:tabs>
          <w:tab w:pos="1134" w:val="left"/>
        </w:tabs>
        <w:ind w:left="1134" w:hanging="567"/>
      </w:pPr>
      <w:r>
        <w:t>a)</w:t>
      </w:r>
      <w:r>
        <w:tab/>
      </w:r>
      <w:r>
        <w:t>erstmals nach dem 31. Dezember 2017 zugesagten Pensionsleistungen das 23. Lebensjahr vollendet,</w:t>
      </w:r>
    </w:p>
    <w:p>
      <w:pPr>
        <w:tabs>
          <w:tab w:pos="1134" w:val="left"/>
        </w:tabs>
        <w:ind w:left="1134" w:hanging="567"/>
      </w:pPr>
      <w:r>
        <w:t>b)</w:t>
      </w:r>
      <w:r>
        <w:tab/>
      </w:r>
      <w:r>
        <w:t>erstmals nach dem 31. Dezember 2008 und vor dem 1. Januar 2018 zugesagten Pensionsleistungen das 27. Lebensjahr vollendet,</w:t>
      </w:r>
    </w:p>
    <w:p>
      <w:pPr>
        <w:tabs>
          <w:tab w:pos="1134" w:val="left"/>
        </w:tabs>
        <w:ind w:left="1134" w:hanging="567"/>
      </w:pPr>
      <w:r>
        <w:t>c)</w:t>
      </w:r>
      <w:r>
        <w:tab/>
      </w:r>
      <w:r>
        <w:t>erstmals nach dem 31. Dezember 2000 und vor dem 1. Januar 2009 zugesagten Pensionsleistungen das 28. Lebensjahr vollendet,</w:t>
      </w:r>
    </w:p>
    <w:p>
      <w:pPr>
        <w:tabs>
          <w:tab w:pos="1134" w:val="left"/>
        </w:tabs>
        <w:ind w:left="1134" w:hanging="567"/>
      </w:pPr>
      <w:r>
        <w:t>d)</w:t>
      </w:r>
      <w:r>
        <w:tab/>
      </w:r>
      <w:r>
        <w:t>erstmals vor dem 1. Januar 2001 zugesagten Pensionsleistungen das 30. Lebensjahr vollendet</w:t>
      </w:r>
    </w:p>
    <w:p>
      <w:pPr>
        <w:ind w:left="567"/>
      </w:pPr>
      <w:r>
        <w:t>oder bei nach dem 31. Dezember 2000 vereinbarten Entgeltumwandlungen im Sinne von § 1 Absatz 2 des Betriebsrentengesetzes für das Wirtschaftsjahr, in dessen Verlauf die Pensionsanwartschaft gemäß den Vorschriften des Betriebsrentengesetzes unverfallbar wird,</w:t>
      </w:r>
    </w:p>
    <w:p>
      <w:pPr>
        <w:tabs>
          <w:tab w:pos="567" w:val="left"/>
        </w:tabs>
        <w:ind w:left="567" w:hanging="567"/>
      </w:pPr>
      <w:r>
        <w:t>2.</w:t>
      </w:r>
      <w:r>
        <w:tab/>
      </w:r>
      <w:r>
        <w:t>nach Eintritt des Versorgungsfalls für das Wirtschaftsjahr, in dem der Versorgungsfall eintritt.</w:t>
      </w:r>
    </w:p>
    <w:p>
      <w:r>
        <w:t xml:space="preserve">(3) </w:t>
      </w:r>
      <w:r>
        <w:rPr>
          <w:rStyle w:val="Satznummer"/>
        </w:rPr>
        <w:t>1</w:t>
      </w:r>
      <w:r>
        <w:t xml:space="preserve">Eine Pensionsrückstellung darf höchstens mit dem Teilwert der Pensionsverpflichtung angesetzt werden. </w:t>
      </w:r>
      <w:r>
        <w:rPr>
          <w:rStyle w:val="Satznummer"/>
        </w:rPr>
        <w:t>2</w:t>
      </w:r>
      <w:r>
        <w:t>Als Teilwert einer Pensionsverpflichtung gilt</w:t>
      </w:r>
    </w:p>
    <w:p>
      <w:pPr>
        <w:tabs>
          <w:tab w:pos="567" w:val="left"/>
        </w:tabs>
        <w:ind w:left="567" w:hanging="567"/>
      </w:pPr>
      <w:r>
        <w:t>1.</w:t>
      </w:r>
      <w:r>
        <w:tab/>
      </w:r>
      <w:r>
        <w:t xml:space="preserve">vor Beendigung des Dienstverhältnisses des Pensionsberechtigten der Barwert der künftigen Pensionsleistungen am Schluss des Wirtschaftsjahres abzüglich des sich auf denselben Zeitpunkt ergebenden Barwerts betragsmäßig gleich bleibender Jahresbeträge, bei einer Entgeltumwandlung im Sinne von § 1 Absatz 2 des Betriebsrentengesetzes mindestens jedoch der Barwert der gemäß den Vorschriften des Betriebsrentengesetzes unverfallbaren künftigen Pensionsleistungen am Schluss des Wirtschaftsjahres. </w:t>
      </w:r>
      <w:r>
        <w:rPr>
          <w:rStyle w:val="Satznummer"/>
        </w:rPr>
        <w:t>2</w:t>
      </w:r>
      <w:r>
        <w:t xml:space="preserve">Die Jahresbeträge sind so zu bemessen, dass am Beginn des Wirtschaftsjahres, in dem das Dienstverhältnis begonnen hat, ihr Barwert gleich dem Barwert der künftigen Pensionsleistungen ist; die künftigen Pensionsleistungen sind dabei mit dem Betrag anzusetzen, der sich nach den Verhältnissen am Bilanzstichtag ergibt. </w:t>
      </w:r>
      <w:r>
        <w:rPr>
          <w:rStyle w:val="Satznummer"/>
        </w:rPr>
        <w:t>3</w:t>
      </w:r>
      <w:r>
        <w:t xml:space="preserve">Es sind die Jahresbeträge zugrunde zu legen, die vom Beginn des Wirtschaftsjahres, in dem das Dienstverhältnis begonnen hat, bis zu dem in der Pensionszusage vorgesehenen Zeitpunkt des Eintritts des Versorgungsfalls rechnungsmäßig aufzubringen sind. </w:t>
      </w:r>
      <w:r>
        <w:rPr>
          <w:rStyle w:val="Satznummer"/>
        </w:rPr>
        <w:t>4</w:t>
      </w:r>
      <w:r>
        <w:t xml:space="preserve">Erhöhungen oder Verminderungen der Pensionsleistungen nach dem Schluss des Wirtschaftsjahres, die hinsichtlich des Zeitpunktes ihres Wirksamwerdens oder ihres Umfangs ungewiss sind, sind bei der Berechnung des Barwerts der künftigen Pensionsleistungen und der Jahresbeträge erst zu berücksichtigen, wenn sie eingetreten sind. </w:t>
      </w:r>
      <w:r>
        <w:rPr>
          <w:rStyle w:val="Satznummer"/>
        </w:rPr>
        <w:t>5</w:t>
      </w:r>
      <w:r>
        <w:t xml:space="preserve">Wird die Pensionszusage erst nach dem Beginn des Dienstverhältnisses erteilt, so ist die Zwischenzeit für die Berechnung der Jahresbeträge nur insoweit als Wartezeit zu behandeln, als sie in der Pensionszusage als solche bestimmt ist. </w:t>
      </w:r>
      <w:r>
        <w:rPr>
          <w:rStyle w:val="Satznummer"/>
        </w:rPr>
        <w:t>6</w:t>
      </w:r>
      <w:r>
        <w:t>Hat das Dienstverhältnis schon vor der Vollendung des nach Absatz 2 Nummer 1 maßgebenden Lebensjahres des Pensionsberechtigten bestanden, gilt es als zu Beginn des Wirtschaftsjahres begonnen, bis zu dessen Mitte der Pensionsberechtigte das nach Absatz 2 Nummer 1 maßgebende Lebensjahr vollendet; bei nach dem 31. Dezember 2000 vereinbarten Entgeltumwandlungen im Sinne von § 1 Absatz 2 des Betriebsrentengesetzes gilt für davor liegende Wirtschaftsjahre als Teilwert der Barwert der gemäß den Vorschriften des Betriebsrentengesetzes unverfallbaren künftigen Pensionsleistungen am Schluss des Wirtschaftsjahres;</w:t>
      </w:r>
    </w:p>
    <w:p>
      <w:pPr>
        <w:tabs>
          <w:tab w:pos="567" w:val="left"/>
        </w:tabs>
        <w:ind w:left="567" w:hanging="567"/>
      </w:pPr>
      <w:r>
        <w:t>2.</w:t>
      </w:r>
      <w:r>
        <w:tab/>
      </w:r>
      <w:r>
        <w:t>nach Beendigung des Dienstverhältnisses des Pensionsberechtigten unter Aufrechterhaltung seiner Pensionsanwartschaft oder nach Eintritt des Versorgungsfalls der Barwert der künftigen Pensionsleistungen am Schluss des Wirtschaftsjahres; Nummer 1 Satz 4 gilt sinngemäß.</w:t>
      </w:r>
    </w:p>
    <w:p>
      <w:r>
        <w:rPr>
          <w:rStyle w:val="Satznummer"/>
        </w:rPr>
        <w:t>3</w:t>
      </w:r>
      <w:r>
        <w:t>Bei der Berechnung des Teilwerts der Pensionsverpflichtung sind ein Rechnungszinsfuß von 6 Prozent und die anerkannten Regeln der Versicherungsmathematik anzuwenden.</w:t>
      </w:r>
    </w:p>
    <w:p>
      <w:r>
        <w:t xml:space="preserve">(4) </w:t>
      </w:r>
      <w:r>
        <w:rPr>
          <w:rStyle w:val="Satznummer"/>
        </w:rPr>
        <w:t>1</w:t>
      </w:r>
      <w:r>
        <w:t xml:space="preserve">Eine Pensionsrückstellung darf in einem Wirtschaftsjahr höchstens um den Unterschied zwischen dem Teilwert der Pensionsverpflichtung am Schluss des Wirtschaftsjahres und am Schluss des vorangegangenen Wirtschaftsjahres erhöht werden. </w:t>
      </w:r>
      <w:r>
        <w:rPr>
          <w:rStyle w:val="Satznummer"/>
        </w:rPr>
        <w:t>2</w:t>
      </w:r>
      <w:r>
        <w:t xml:space="preserve">Soweit der Unterschiedsbetrag auf der erstmaligen Anwendung neuer oder geänderter biometrischer Rechnungsgrundlagen beruht, kann er nur auf mindestens drei Wirtschaftsjahre gleichmäßig verteilt der Pensionsrückstellung zugeführt werden; Entsprechendes gilt beim Wechsel auf andere biometrische Rechnungsgrundlagen. </w:t>
      </w:r>
      <w:r>
        <w:rPr>
          <w:rStyle w:val="Satznummer"/>
        </w:rPr>
        <w:t>3</w:t>
      </w:r>
      <w:r>
        <w:t xml:space="preserve">In dem Wirtschaftsjahr, in dem mit der Bildung einer Pensionsrückstellung frühestens begonnen werden darf (Erstjahr), darf die Rückstellung bis zur Höhe des Teilwerts der Pensionsverpflichtung am Schluss des Wirtschaftsjahres gebildet werden; diese Rückstellung kann auf das Erstjahr und die beiden folgenden Wirtschaftsjahre gleichmäßig verteilt werden. </w:t>
      </w:r>
      <w:r>
        <w:rPr>
          <w:rStyle w:val="Satznummer"/>
        </w:rPr>
        <w:t>4</w:t>
      </w:r>
      <w:r>
        <w:t xml:space="preserve">Erhöht sich in einem Wirtschaftsjahr gegenüber dem vorangegangenen Wirtschaftsjahr der Barwert der künftigen Pensionsleistungen um mehr als 25 Prozent, so kann die für dieses Wirtschaftsjahr zulässige Erhöhung der Pensionsrückstellung auf dieses Wirtschaftsjahr und die beiden folgenden Wirtschaftsjahre gleichmäßig verteilt werden. </w:t>
      </w:r>
      <w:r>
        <w:rPr>
          <w:rStyle w:val="Satznummer"/>
        </w:rPr>
        <w:t>5</w:t>
      </w:r>
      <w:r>
        <w:t xml:space="preserve">Am Schluss des Wirtschaftsjahres, in dem das Dienstverhältnis des Pensionsberechtigten unter Aufrechterhaltung seiner Pensionsanwartschaft endet oder der Versorgungsfall eintritt, darf die Pensionsrückstellung stets bis zur Höhe des Teilwerts der Pensionsverpflichtung gebildet werden; die für dieses Wirtschaftsjahr zulässige Erhöhung der Pensionsrückstellung kann auf dieses Wirtschaftsjahr und die beiden folgenden Wirtschaftsjahre gleichmäßig verteilt werden. </w:t>
      </w:r>
      <w:r>
        <w:rPr>
          <w:rStyle w:val="Satznummer"/>
        </w:rPr>
        <w:t>6</w:t>
      </w:r>
      <w:r>
        <w:t>Satz 2 gilt in den Fällen der Sätze 3 bis 5 entsprechend.</w:t>
      </w:r>
    </w:p>
    <w:p>
      <w:r>
        <w:t>(5) Die Absätze 3 und 4 gelten entsprechend, wenn der Pensionsberechtigte zu dem Pensionsverpflichteten in einem anderen Rechtsverhältnis als einem Dienstverhältnis steht.</w:t>
      </w:r>
    </w:p>
    <w:p>
      <w:pPr>
        <w:pStyle w:val="Heading3"/>
      </w:pPr>
      <w:bookmarkStart w:id="31" w:name="b30"/>
      <w:r>
        <w:t>§ 6b Übertragung stiller Reserven bei der Veräußerung bestimmter Anlagegüter</w:t>
      </w:r>
      <w:r>
        <w:t xml:space="preserve"> </w:t>
      </w:r>
      <w:r>
        <w:rPr>
          <w:rStyle w:val="Suchmarke"/>
        </w:rPr>
        <w:t>#6b#</w:t>
      </w:r>
      <w:bookmarkEnd w:id="31"/>
    </w:p>
    <w:p>
      <w:r>
        <w:t xml:space="preserve">(1) </w:t>
      </w:r>
      <w:r>
        <w:rPr>
          <w:rStyle w:val="Satznummer"/>
        </w:rPr>
        <w:t>1</w:t>
      </w:r>
      <w:r>
        <w:t>Steuerpflichtige, die</w:t>
      </w:r>
      <w:r>
        <w:br/>
      </w:r>
      <w:r>
        <w:t>Grund und Boden,</w:t>
      </w:r>
      <w:r>
        <w:br/>
      </w:r>
      <w:r>
        <w:t>Aufwuchs auf Grund und Boden mit dem dazugehörigen Grund und Boden, wenn der Aufwuchs zu einem land- und forstwirtschaftlichen Betriebsvermögen gehört,</w:t>
      </w:r>
      <w:r>
        <w:br/>
      </w:r>
      <w:r>
        <w:t>Gebäude oder Binnenschiffe</w:t>
      </w:r>
      <w:r>
        <w:br/>
      </w:r>
      <w:r>
        <w:t xml:space="preserve">veräußern, können im Wirtschaftsjahr der Veräußerung von den Anschaffungs- oder Herstellungskosten der in Satz 2 bezeichneten Wirtschaftsgüter, die im Wirtschaftsjahr der Veräußerung oder im vorangegangenen Wirtschaftsjahr angeschafft oder hergestellt worden sind, einen Betrag bis zur Höhe des bei der Veräußerung entstandenen Gewinns abziehen. </w:t>
      </w:r>
      <w:r>
        <w:rPr>
          <w:rStyle w:val="Satznummer"/>
        </w:rPr>
        <w:t>2</w:t>
      </w:r>
      <w:r>
        <w:t>Der Abzug ist zulässig bei den Anschaffungs- oder Herstellungskosten von</w:t>
      </w:r>
    </w:p>
    <w:p>
      <w:pPr>
        <w:tabs>
          <w:tab w:pos="567" w:val="left"/>
        </w:tabs>
        <w:ind w:left="567" w:hanging="567"/>
      </w:pPr>
      <w:r>
        <w:t>1.</w:t>
      </w:r>
      <w:r>
        <w:tab/>
      </w:r>
      <w:r>
        <w:t>Grund und Boden,</w:t>
      </w:r>
    </w:p>
    <w:p>
      <w:pPr>
        <w:ind w:left="567"/>
      </w:pPr>
      <w:r>
        <w:t>soweit der Gewinn bei der Veräußerung von Grund und Boden entstanden ist,</w:t>
      </w:r>
    </w:p>
    <w:p>
      <w:pPr>
        <w:tabs>
          <w:tab w:pos="567" w:val="left"/>
        </w:tabs>
        <w:ind w:left="567" w:hanging="567"/>
      </w:pPr>
      <w:r>
        <w:t>2.</w:t>
      </w:r>
      <w:r>
        <w:tab/>
      </w:r>
      <w:r>
        <w:t>Aufwuchs auf Grund und Boden mit dem dazugehörigen Grund und Boden, wenn der Aufwuchs zu einem land- und forstwirtschaftlichen Betriebsvermögen gehört,</w:t>
      </w:r>
    </w:p>
    <w:p>
      <w:pPr>
        <w:ind w:left="567"/>
      </w:pPr>
      <w:r>
        <w:t>soweit der Gewinn bei der Veräußerung von Grund und Boden oder der Veräußerung von Aufwuchs auf Grund und Boden mit dem dazugehörigen Grund und Boden entstanden ist,</w:t>
      </w:r>
    </w:p>
    <w:p>
      <w:pPr>
        <w:tabs>
          <w:tab w:pos="567" w:val="left"/>
        </w:tabs>
        <w:ind w:left="567" w:hanging="567"/>
      </w:pPr>
      <w:r>
        <w:t>3.</w:t>
      </w:r>
      <w:r>
        <w:tab/>
      </w:r>
      <w:r>
        <w:t>Gebäuden,</w:t>
      </w:r>
    </w:p>
    <w:p>
      <w:pPr>
        <w:ind w:left="567"/>
      </w:pPr>
      <w:r>
        <w:t>soweit der Gewinn bei der Veräußerung von Grund und Boden, von Aufwuchs auf Grund und Boden mit dem dazugehörigen Grund und Boden oder Gebäuden entstanden ist, oder</w:t>
      </w:r>
    </w:p>
    <w:p>
      <w:pPr>
        <w:tabs>
          <w:tab w:pos="567" w:val="left"/>
        </w:tabs>
        <w:ind w:left="567" w:hanging="567"/>
      </w:pPr>
      <w:r>
        <w:t>4.</w:t>
      </w:r>
      <w:r>
        <w:tab/>
      </w:r>
      <w:r>
        <w:t>Binnenschiffen,</w:t>
      </w:r>
    </w:p>
    <w:p>
      <w:pPr>
        <w:ind w:left="567"/>
      </w:pPr>
      <w:r>
        <w:t>soweit der Gewinn bei der Veräußerung von Binnenschiffen entstanden ist.</w:t>
      </w:r>
    </w:p>
    <w:p>
      <w:r>
        <w:rPr>
          <w:rStyle w:val="Satznummer"/>
        </w:rPr>
        <w:t>3</w:t>
      </w:r>
      <w:r>
        <w:t xml:space="preserve">Der Anschaffung oder Herstellung von Gebäuden steht ihre Erweiterung, ihr Ausbau oder ihr Umbau gleich. </w:t>
      </w:r>
      <w:r>
        <w:rPr>
          <w:rStyle w:val="Satznummer"/>
        </w:rPr>
        <w:t>4</w:t>
      </w:r>
      <w:r>
        <w:t>Der Abzug ist in diesem Fall nur von dem Aufwand für die Erweiterung, den Ausbau oder den Umbau der Gebäude zulässig.</w:t>
      </w:r>
    </w:p>
    <w:p>
      <w:r>
        <w:t xml:space="preserve">(2) </w:t>
      </w:r>
      <w:r>
        <w:rPr>
          <w:rStyle w:val="Satznummer"/>
        </w:rPr>
        <w:t>1</w:t>
      </w:r>
      <w:r>
        <w:t xml:space="preserve">Gewinn im Sinne des Absatzes 1 Satz 1 ist der Betrag, um den der Veräußerungspreis nach Abzug der Veräußerungskosten den Buchwert übersteigt, mit dem das veräußerte Wirtschaftsgut im Zeitpunkt der Veräußerung anzusetzen gewesen wäre. </w:t>
      </w:r>
      <w:r>
        <w:rPr>
          <w:rStyle w:val="Satznummer"/>
        </w:rPr>
        <w:t>2</w:t>
      </w:r>
      <w:r>
        <w:t xml:space="preserve">Buchwert ist der Wert, mit dem ein Wirtschaftsgut nach </w:t>
      </w:r>
      <w:hyperlink w:anchor="b28" w:history="1">
        <w:r>
          <w:rPr>
            <w:color w:val="0A3A8C"/>
            <w:u w:val="single"/>
          </w:rPr>
          <w:t xml:space="preserve">§ 6</w:t>
        </w:r>
      </w:hyperlink>
      <w:r>
        <w:t xml:space="preserve"> anzusetzen ist.</w:t>
      </w:r>
    </w:p>
    <w:p>
      <w:r>
        <w:t xml:space="preserve">(2a) </w:t>
      </w:r>
      <w:r>
        <w:rPr>
          <w:rStyle w:val="Satznummer"/>
        </w:rPr>
        <w:t>1</w:t>
      </w:r>
      <w:r>
        <w:t xml:space="preserve">Werden im Wirtschaftsjahr der Veräußerung der in Absatz 1 Satz 1 bezeichneten Wirtschaftsgüter oder in den folgenden vier Wirtschaftsjahren in Absatz 1 Satz 2 bezeichnete Wirtschaftsgüter angeschafft oder hergestellt oder sind sie in dem der Veräußerung vorangegangenen Wirtschaftsjahr angeschafft oder hergestellt worden, die einem Betriebsvermögen des Steuerpflichtigen in einem anderen Mitgliedstaat der Europäischen Union oder des Europäischen Wirtschaftsraums zuzuordnen sind, kann auf Antrag des Steuerpflichtigen die festgesetzte Steuer, die auf den Gewinn im Sinne des Absatzes 2 entfällt, in fünf gleichen Jahresraten entrichtet werden; die Frist von vier Jahren verlängert sich bei neu hergestellten Gebäuden auf sechs Jahre, wenn mit ihrer Herstellung vor dem Schluss des vierten auf die Veräußerung folgenden Wirtschaftsjahres begonnen worden ist. </w:t>
      </w:r>
      <w:r>
        <w:rPr>
          <w:rStyle w:val="Satznummer"/>
        </w:rPr>
        <w:t>2</w:t>
      </w:r>
      <w:r>
        <w:t xml:space="preserve">Der Antrag kann nur im Wirtschaftsjahr der Veräußerung der in Absatz 1 Satz 1 bezeichneten Wirtschaftsgüter gestellt werden. </w:t>
      </w:r>
      <w:r>
        <w:rPr>
          <w:rStyle w:val="Satznummer"/>
        </w:rPr>
        <w:t>3</w:t>
      </w:r>
      <w:hyperlink w:anchor="b138" w:history="1">
        <w:r>
          <w:rPr>
            <w:color w:val="0A3A8C"/>
            <w:u w:val="single"/>
          </w:rPr>
          <w:t xml:space="preserve">§ 36</w:t>
        </w:r>
      </w:hyperlink>
      <w:r>
        <w:t xml:space="preserve"> Absatz 5 Satz 2 bis 5 ist sinngemäß anzuwenden. </w:t>
      </w:r>
      <w:r>
        <w:rPr>
          <w:rStyle w:val="Satznummer"/>
        </w:rPr>
        <w:t>4</w:t>
      </w:r>
      <w:r>
        <w:t xml:space="preserve">Unterbleibt der Nachweis einer in Satz 1 genannten Anschaffung oder Herstellung durch den Steuerpflichtigen, sind für die Dauer des durch die Ratenzahlung gewährten Zahlungsaufschubs Zinsen in entsprechender Anwendung des § 234 der Abgabenordnung zu erheben. </w:t>
      </w:r>
      <w:r>
        <w:rPr>
          <w:rStyle w:val="Satznummer"/>
        </w:rPr>
        <w:t>5</w:t>
      </w:r>
      <w:r>
        <w:t xml:space="preserve">Unterschreiten die Anschaffungs- oder Herstellungskosten der angeschafften oder hergestellten Wirtschaftsgüter den Gewinn im Sinne des Absatzes 2, gilt Satz 4 mit der Maßgabe, dass die Zinsen nur auf den Unterschiedsbetrag erhoben werden. </w:t>
      </w:r>
      <w:r>
        <w:rPr>
          <w:rStyle w:val="Satznummer"/>
        </w:rPr>
        <w:t>6</w:t>
      </w:r>
      <w:r>
        <w:t xml:space="preserve">Bei der Zinsberechnung ist davon auszugehen, dass der Unterschiedsbetrag anteilig auf alle Jahresraten entfällt. </w:t>
      </w:r>
      <w:r>
        <w:rPr>
          <w:rStyle w:val="Satznummer"/>
        </w:rPr>
        <w:t>7</w:t>
      </w:r>
      <w:r>
        <w:t>Zu den nach Satz 1 angeschafften oder hergestellten Wirtschaftsgütern gehören auch die einem Betriebsvermögen des Steuerpflichtigen im Vereinigten Königreich Großbritannien und Nordirland zuzuordnenden Wirtschaftsgüter, soweit der Antrag nach Satz 1 vor dem Zeitpunkt gestellt worden ist, ab dem das Vereinigte Königreich Großbritannien und Nordirland nicht mehr Mitgliedstaat der Europäischen Union ist und auch nicht wie ein solcher zu behandeln ist.</w:t>
      </w:r>
    </w:p>
    <w:p>
      <w:r>
        <w:t xml:space="preserve">(3) </w:t>
      </w:r>
      <w:r>
        <w:rPr>
          <w:rStyle w:val="Satznummer"/>
        </w:rPr>
        <w:t>1</w:t>
      </w:r>
      <w:r>
        <w:t xml:space="preserve">Soweit Steuerpflichtige den Abzug nach Absatz 1 nicht vorgenommen haben, können sie im Wirtschaftsjahr der Veräußerung eine den steuerlichen Gewinn mindernde Rücklage bilden. </w:t>
      </w:r>
      <w:r>
        <w:rPr>
          <w:rStyle w:val="Satznummer"/>
        </w:rPr>
        <w:t>2</w:t>
      </w:r>
      <w:r>
        <w:t xml:space="preserve">Bis zur Höhe dieser Rücklage können sie von den Anschaffungs- oder Herstellungskosten der in Absatz 1 Satz 2 bezeichneten Wirtschaftsgüter, die in den folgenden vier Wirtschaftsjahren angeschafft oder hergestellt worden sind, im Wirtschaftsjahr ihrer Anschaffung oder Herstellung einen Betrag unter Berücksichtigung der Einschränkungen des Absatzes 1 Satz 2 bis 4 abziehen. </w:t>
      </w:r>
      <w:r>
        <w:rPr>
          <w:rStyle w:val="Satznummer"/>
        </w:rPr>
        <w:t>3</w:t>
      </w:r>
      <w:r>
        <w:t xml:space="preserve">Die Frist von vier Jahren verlängert sich bei neu hergestellten Gebäuden auf sechs Jahre, wenn mit ihrer Herstellung vor dem Schluss des vierten auf die Bildung der Rücklage folgenden Wirtschaftsjahres begonnen worden ist. </w:t>
      </w:r>
      <w:r>
        <w:rPr>
          <w:rStyle w:val="Satznummer"/>
        </w:rPr>
        <w:t>4</w:t>
      </w:r>
      <w:r>
        <w:t xml:space="preserve">Die Rücklage ist in Höhe des abgezogenen Betrags gewinnerhöhend aufzulösen. </w:t>
      </w:r>
      <w:r>
        <w:rPr>
          <w:rStyle w:val="Satznummer"/>
        </w:rPr>
        <w:t>5</w:t>
      </w:r>
      <w:r>
        <w:t>Ist eine Rücklage am Schluss des vierten auf ihre Bildung folgenden Wirtschaftsjahres noch vorhanden, so ist sie in diesem Zeitpunkt gewinnerhöhend aufzulösen, soweit nicht ein Abzug von den Herstellungskosten von Gebäuden in Betracht kommt, mit deren Herstellung bis zu diesem Zeitpunkt begonnen worden ist; ist die Rücklage am Schluss des sechsten auf ihre Bildung folgenden Wirtschaftsjahres noch vorhanden, so ist sie in diesem Zeitpunkt gewinnerhöhend aufzulösen.</w:t>
      </w:r>
    </w:p>
    <w:p>
      <w:r>
        <w:t xml:space="preserve">(4) </w:t>
      </w:r>
      <w:r>
        <w:rPr>
          <w:rStyle w:val="Satznummer"/>
        </w:rPr>
        <w:t>1</w:t>
      </w:r>
      <w:r>
        <w:t>Voraussetzung für die Anwendung der Absätze 1 und 3 ist, dass</w:t>
      </w:r>
    </w:p>
    <w:p>
      <w:pPr>
        <w:tabs>
          <w:tab w:pos="567" w:val="left"/>
        </w:tabs>
        <w:ind w:left="567" w:hanging="567"/>
      </w:pPr>
      <w:r>
        <w:t>1.</w:t>
      </w:r>
      <w:r>
        <w:tab/>
      </w:r>
      <w:r>
        <w:t xml:space="preserve">der Steuerpflichtige den Gewinn nach </w:t>
      </w:r>
      <w:hyperlink w:anchor="b13" w:history="1">
        <w:r>
          <w:rPr>
            <w:color w:val="0A3A8C"/>
            <w:u w:val="single"/>
          </w:rPr>
          <w:t xml:space="preserve">§ 4</w:t>
        </w:r>
      </w:hyperlink>
      <w:r>
        <w:t xml:space="preserve"> Absatz 1 oder </w:t>
      </w:r>
      <w:hyperlink w:anchor="b25" w:history="1">
        <w:r>
          <w:rPr>
            <w:color w:val="0A3A8C"/>
            <w:u w:val="single"/>
          </w:rPr>
          <w:t xml:space="preserve">§ 5</w:t>
        </w:r>
      </w:hyperlink>
      <w:r>
        <w:t xml:space="preserve"> ermittelt,</w:t>
      </w:r>
    </w:p>
    <w:p>
      <w:pPr>
        <w:tabs>
          <w:tab w:pos="567" w:val="left"/>
        </w:tabs>
        <w:ind w:left="567" w:hanging="567"/>
      </w:pPr>
      <w:r>
        <w:t>2.</w:t>
      </w:r>
      <w:r>
        <w:tab/>
      </w:r>
      <w:r>
        <w:t>die veräußerten Wirtschaftsgüter im Zeitpunkt der Veräußerung mindestens sechs Jahre ununterbrochen zum Anlagevermögen einer inländischen Betriebsstätte gehört haben,</w:t>
      </w:r>
    </w:p>
    <w:p>
      <w:pPr>
        <w:tabs>
          <w:tab w:pos="567" w:val="left"/>
        </w:tabs>
        <w:ind w:left="567" w:hanging="567"/>
      </w:pPr>
      <w:r>
        <w:t>3.</w:t>
      </w:r>
      <w:r>
        <w:tab/>
      </w:r>
      <w:r>
        <w:t>die angeschafften oder hergestellten Wirtschaftsgüter zum Anlagevermögen einer inländischen Betriebsstätte gehören,</w:t>
      </w:r>
    </w:p>
    <w:p>
      <w:pPr>
        <w:tabs>
          <w:tab w:pos="567" w:val="left"/>
        </w:tabs>
        <w:ind w:left="567" w:hanging="567"/>
      </w:pPr>
      <w:r>
        <w:t>4.</w:t>
      </w:r>
      <w:r>
        <w:tab/>
      </w:r>
      <w:r>
        <w:t>der bei der Veräußerung entstandene Gewinn bei der Ermittlung des im Inland steuerpflichtigen Gewinns nicht außer Ansatz bleibt und</w:t>
      </w:r>
    </w:p>
    <w:p>
      <w:pPr>
        <w:tabs>
          <w:tab w:pos="567" w:val="left"/>
        </w:tabs>
        <w:ind w:left="567" w:hanging="567"/>
      </w:pPr>
      <w:r>
        <w:t>5.</w:t>
      </w:r>
      <w:r>
        <w:tab/>
      </w:r>
      <w:r>
        <w:t>der Abzug nach Absatz 1 und die Bildung und Auflösung der Rücklage nach Absatz 3 in der Buchführung verfolgt werden können.</w:t>
      </w:r>
    </w:p>
    <w:p>
      <w:r>
        <w:rPr>
          <w:rStyle w:val="Satznummer"/>
        </w:rPr>
        <w:t>2</w:t>
      </w:r>
      <w:r>
        <w:t>Der Abzug nach den Absätzen 1 und 3 ist bei Wirtschaftsgütern, die zu einem land- und forstwirtschaftlichen Betrieb gehören oder der selbständigen Arbeit dienen, nicht zulässig, wenn der Gewinn bei der Veräußerung von Wirtschaftsgütern eines Gewerbebetriebs entstanden ist.</w:t>
      </w:r>
    </w:p>
    <w:p>
      <w:r>
        <w:t>(5) An die Stelle der Anschaffungs- oder Herstellungskosten im Sinne des Absatzes 1 tritt in den Fällen, in denen das Wirtschaftsgut im Wirtschaftsjahr vor der Veräußerung angeschafft oder hergestellt worden ist, der Buchwert am Schluss des Wirtschaftsjahres der Anschaffung oder Herstellung.</w:t>
      </w:r>
    </w:p>
    <w:p>
      <w:r>
        <w:t xml:space="preserve">(6) </w:t>
      </w:r>
      <w:r>
        <w:rPr>
          <w:rStyle w:val="Satznummer"/>
        </w:rPr>
        <w:t>1</w:t>
      </w:r>
      <w:r>
        <w:t xml:space="preserve">Ist ein Betrag nach Absatz 1 oder 3 abgezogen worden, so tritt für die Absetzungen für Abnutzung oder Substanzverringerung oder in den Fällen des § 6 Absatz 2 und Absatz 2a im Wirtschaftsjahr des Abzugs der verbleibende Betrag an die Stelle der Anschaffungs- oder Herstellungskosten. </w:t>
      </w:r>
      <w:r>
        <w:rPr>
          <w:rStyle w:val="Satznummer"/>
        </w:rPr>
        <w:t>2</w:t>
      </w:r>
      <w:r>
        <w:t xml:space="preserve">In den Fällen des </w:t>
      </w:r>
      <w:hyperlink w:anchor="b34" w:history="1">
        <w:r>
          <w:rPr>
            <w:color w:val="0A3A8C"/>
            <w:u w:val="single"/>
          </w:rPr>
          <w:t xml:space="preserve">§ 7</w:t>
        </w:r>
      </w:hyperlink>
      <w:r>
        <w:t xml:space="preserve"> Absatz 4 Satz 1, Absatz 5 und 5a sind die um den Abzugsbetrag nach Absatz 1 oder 3 geminderten Anschaffungs- oder Herstellungskosten maßgebend.</w:t>
      </w:r>
    </w:p>
    <w:p>
      <w:r>
        <w:t>(7) Soweit eine nach Absatz 3 Satz 1 gebildete Rücklage gewinnerhöhend aufgelöst wird, ohne dass ein entsprechender Betrag nach Absatz 3 abgezogen wird, ist der Gewinn des Wirtschaftsjahres, in dem die Rücklage aufgelöst wird, für jedes volle Wirtschaftsjahr, in dem die Rücklage bestanden hat, um 6 Prozent des aufgelösten Rücklagenbetrags zu erhöhen.</w:t>
      </w:r>
    </w:p>
    <w:p>
      <w:r>
        <w:t xml:space="preserve">(8) </w:t>
      </w:r>
      <w:r>
        <w:rPr>
          <w:rStyle w:val="Satznummer"/>
        </w:rPr>
        <w:t>1</w:t>
      </w:r>
      <w:r>
        <w:t>Werden Wirtschaftsgüter im Sinne des Absatzes 1 zum Zweck der Vorbereitung oder Durchführung von städtebaulichen Sanierungs- oder Entwicklungsmaßnahmen an einen der in Satz 2 bezeichneten Erwerber übertragen, sind die Absätze 1 bis 7 mit der Maßgabe anzuwenden, dass</w:t>
      </w:r>
    </w:p>
    <w:p>
      <w:pPr>
        <w:tabs>
          <w:tab w:pos="567" w:val="left"/>
        </w:tabs>
        <w:ind w:left="567" w:hanging="567"/>
      </w:pPr>
      <w:r>
        <w:t>1.</w:t>
      </w:r>
      <w:r>
        <w:tab/>
      </w:r>
      <w:r>
        <w:t>die Fristen des Absatzes 3 Satz 2, 3 und 5 sich jeweils um drei Jahre verlängern und</w:t>
      </w:r>
    </w:p>
    <w:p>
      <w:pPr>
        <w:tabs>
          <w:tab w:pos="567" w:val="left"/>
        </w:tabs>
        <w:ind w:left="567" w:hanging="567"/>
      </w:pPr>
      <w:r>
        <w:t>2.</w:t>
      </w:r>
      <w:r>
        <w:tab/>
      </w:r>
      <w:r>
        <w:t>an die Stelle der in Absatz 4 Nummer 2 bezeichneten Frist von sechs Jahren eine Frist von zwei Jahren tritt.</w:t>
      </w:r>
    </w:p>
    <w:p>
      <w:r>
        <w:rPr>
          <w:rStyle w:val="Satznummer"/>
        </w:rPr>
        <w:t>2</w:t>
      </w:r>
      <w:r>
        <w:t>Erwerber im Sinne des Satzes 1 sind Gebietskörperschaften, Gemeindeverbände, Verbände im Sinne des § 166 Absatz 4 des Baugesetzbuchs, Planungsverbände nach § 205 des Baugesetzbuchs, Sanierungsträger nach § 157 des Baugesetzbuchs, Entwicklungsträger nach § 167 des Baugesetzbuchs sowie Erwerber, die städtebauliche Sanierungsmaßnahmen als Eigentümer selbst durchführen (§ 147 Absatz 2 und § 148 Absatz 1 Baugesetzbuch).</w:t>
      </w:r>
    </w:p>
    <w:p>
      <w:r>
        <w:t>(9) Absatz 8 ist nur anzuwenden, wenn die nach Landesrecht zuständige Behörde bescheinigt, dass die Übertragung der Wirtschaftsgüter zum Zweck der Vorbereitung oder Durchführung von städtebaulichen Sanierungs- oder Entwicklungsmaßnahmen an einen der in Absatz 8 Satz 2 bezeichneten Erwerber erfolgt ist.</w:t>
      </w:r>
    </w:p>
    <w:p>
      <w:r>
        <w:t xml:space="preserve">(10) </w:t>
      </w:r>
      <w:r>
        <w:rPr>
          <w:rStyle w:val="Satznummer"/>
        </w:rPr>
        <w:t>1</w:t>
      </w:r>
      <w:r>
        <w:t xml:space="preserve">Steuerpflichtige, die keine Körperschaften, Personenvereinigungen oder Vermögensmassen sind, können Gewinne aus der Veräußerung von Anteilen an Kapitalgesellschaften bis zu einem Betrag von 2 000 000 Euro auf die im Wirtschaftsjahr der Veräußerung oder in den folgenden zwei Wirtschaftsjahren angeschafften Anteile an Kapitalgesellschaften oder angeschafften oder hergestellten abnutzbaren beweglichen Wirtschaftsgüter oder auf die im Wirtschaftsjahr der Veräußerung oder in den folgenden vier Wirtschaftsjahren angeschafften oder hergestellten Gebäude nach Maßgabe der Sätze 2 bis 10 übertragen. </w:t>
      </w:r>
      <w:r>
        <w:rPr>
          <w:rStyle w:val="Satznummer"/>
        </w:rPr>
        <w:t>2</w:t>
      </w:r>
      <w:r>
        <w:t xml:space="preserve">Wird der Gewinn im Jahr der Veräußerung auf Gebäude oder abnutzbare bewegliche Wirtschaftsgüter übertragen, so kann ein Betrag bis zur Höhe des bei der Veräußerung entstandenen und nicht nach § 3 Nummer 40 Satz 1 Buchstabe a und b in Verbindung mit </w:t>
      </w:r>
      <w:hyperlink w:anchor="b11" w:history="1">
        <w:r>
          <w:rPr>
            <w:color w:val="0A3A8C"/>
            <w:u w:val="single"/>
          </w:rPr>
          <w:t xml:space="preserve">§ 3c</w:t>
        </w:r>
      </w:hyperlink>
      <w:r>
        <w:t xml:space="preserve"> Absatz 2 steuerbefreiten Betrags von den Anschaffungs- oder Herstellungskosten für Gebäude oder abnutzbare bewegliche Wirtschaftsgüter abgezogen werden. </w:t>
      </w:r>
      <w:r>
        <w:rPr>
          <w:rStyle w:val="Satznummer"/>
        </w:rPr>
        <w:t>3</w:t>
      </w:r>
      <w:r>
        <w:t xml:space="preserve">Wird der Gewinn im Jahr der Veräußerung auf Anteile an Kapitalgesellschaften übertragen, mindern sich die Anschaffungskosten der Anteile an Kapitalgesellschaften in Höhe des Veräußerungsgewinns einschließlich des nach § 3 Nummer 40 Satz 1 Buchstabe a und b in Verbindung mit </w:t>
      </w:r>
      <w:hyperlink w:anchor="b11" w:history="1">
        <w:r>
          <w:rPr>
            <w:color w:val="0A3A8C"/>
            <w:u w:val="single"/>
          </w:rPr>
          <w:t xml:space="preserve">§ 3c</w:t>
        </w:r>
      </w:hyperlink>
      <w:r>
        <w:t xml:space="preserve"> Absatz 2 steuerbefreiten Betrags. </w:t>
      </w:r>
      <w:r>
        <w:rPr>
          <w:rStyle w:val="Satznummer"/>
        </w:rPr>
        <w:t>4</w:t>
      </w:r>
      <w:r>
        <w:t xml:space="preserve">Absatz 2, Absatz 4 Satz 1 Nummer 1, 2, 3, 5 und Satz 2 sowie Absatz 6 sind sinngemäß anzuwenden. </w:t>
      </w:r>
      <w:r>
        <w:rPr>
          <w:rStyle w:val="Satznummer"/>
        </w:rPr>
        <w:t>5</w:t>
      </w:r>
      <w:r>
        <w:t xml:space="preserve">Soweit Steuerpflichtige den Abzug nach den Sätzen 1 bis 4 nicht vorgenommen haben, können sie eine Rücklage nach Maßgabe des Satzes 1 einschließlich des nach § 3 Nummer 40 Satz 1 Buchstabe a und b in Verbindung mit </w:t>
      </w:r>
      <w:hyperlink w:anchor="b11" w:history="1">
        <w:r>
          <w:rPr>
            <w:color w:val="0A3A8C"/>
            <w:u w:val="single"/>
          </w:rPr>
          <w:t xml:space="preserve">§ 3c</w:t>
        </w:r>
      </w:hyperlink>
      <w:r>
        <w:t xml:space="preserve"> Absatz 2 steuerbefreiten Betrags bilden. </w:t>
      </w:r>
      <w:r>
        <w:rPr>
          <w:rStyle w:val="Satznummer"/>
        </w:rPr>
        <w:t>6</w:t>
      </w:r>
      <w:r>
        <w:t xml:space="preserve">Bei der Auflösung der Rücklage gelten die Sätze 2 und 3 sinngemäß. </w:t>
      </w:r>
      <w:r>
        <w:rPr>
          <w:rStyle w:val="Satznummer"/>
        </w:rPr>
        <w:t>7</w:t>
      </w:r>
      <w:r>
        <w:t xml:space="preserve">Im Fall des Satzes 2 ist die Rücklage in gleicher Höhe um den nach § 3 Nummer 40 Satz 1 Buchstabe a und b in Verbindung mit </w:t>
      </w:r>
      <w:hyperlink w:anchor="b11" w:history="1">
        <w:r>
          <w:rPr>
            <w:color w:val="0A3A8C"/>
            <w:u w:val="single"/>
          </w:rPr>
          <w:t xml:space="preserve">§ 3c</w:t>
        </w:r>
      </w:hyperlink>
      <w:r>
        <w:t xml:space="preserve"> Absatz 2 steuerbefreiten Betrag aufzulösen. </w:t>
      </w:r>
      <w:r>
        <w:rPr>
          <w:rStyle w:val="Satznummer"/>
        </w:rPr>
        <w:t>8</w:t>
      </w:r>
      <w:r>
        <w:t xml:space="preserve">Ist eine Rücklage am Schluss des vierten auf ihre Bildung folgenden Wirtschaftsjahres noch vorhanden, so ist sie in diesem Zeitpunkt gewinnerhöhend aufzulösen. </w:t>
      </w:r>
      <w:r>
        <w:rPr>
          <w:rStyle w:val="Satznummer"/>
        </w:rPr>
        <w:t>9</w:t>
      </w:r>
      <w:r>
        <w:t xml:space="preserve">Soweit der Abzug nach Satz 6 nicht vorgenommen wurde, ist der Gewinn des Wirtschaftsjahres, in dem die Rücklage aufgelöst wird, für jedes volle Wirtschaftsjahr, in dem die Rücklage bestanden hat, um 6 Prozent des nicht nach § 3 Nummer 40 Satz 1 Buchstabe a und b in Verbindung mit </w:t>
      </w:r>
      <w:hyperlink w:anchor="b11" w:history="1">
        <w:r>
          <w:rPr>
            <w:color w:val="0A3A8C"/>
            <w:u w:val="single"/>
          </w:rPr>
          <w:t xml:space="preserve">§ 3c</w:t>
        </w:r>
      </w:hyperlink>
      <w:r>
        <w:t xml:space="preserve"> Absatz 2 steuerbefreiten aufgelösten Rücklagenbetrags zu erhöhen. </w:t>
      </w:r>
      <w:r>
        <w:rPr>
          <w:rStyle w:val="Satznummer"/>
        </w:rPr>
        <w:t>10</w:t>
      </w:r>
      <w:r>
        <w:t>Für die zum Gesamthandsvermögen von Personengesellschaften oder Gemeinschaften gehörenden Anteile an Kapitalgesellschaften gelten die Sätze 1 bis 9 nur, soweit an den Personengesellschaften und Gemeinschaften keine Körperschaften, Personenvereinigungen oder Vermögensmassen beteiligt sind.</w:t>
      </w:r>
    </w:p>
    <w:p>
      <w:pPr>
        <w:pStyle w:val="Heading3"/>
      </w:pPr>
      <w:bookmarkStart w:id="32" w:name="b31"/>
      <w:r>
        <w:t>§ 6c Übertragung stiller Reserven bei der Veräußerung bestimmter Anlagegüter bei der Ermittlung des Gewinns nach § 4 Absatz 3 oder nach Durchschnittssätzen</w:t>
      </w:r>
      <w:r>
        <w:t xml:space="preserve"> </w:t>
      </w:r>
      <w:r>
        <w:rPr>
          <w:rStyle w:val="Suchmarke"/>
        </w:rPr>
        <w:t>#6c#</w:t>
      </w:r>
      <w:bookmarkEnd w:id="32"/>
    </w:p>
    <w:p>
      <w:r>
        <w:t xml:space="preserve">(1) </w:t>
      </w:r>
      <w:r>
        <w:rPr>
          <w:rStyle w:val="Satznummer"/>
        </w:rPr>
        <w:t>1</w:t>
      </w:r>
      <w:hyperlink w:anchor="b30" w:history="1">
        <w:r>
          <w:rPr>
            <w:color w:val="0A3A8C"/>
            <w:u w:val="single"/>
          </w:rPr>
          <w:t xml:space="preserve">§ 6b</w:t>
        </w:r>
      </w:hyperlink>
      <w:r>
        <w:t xml:space="preserve"> mit Ausnahme des </w:t>
      </w:r>
      <w:hyperlink w:anchor="b30" w:history="1">
        <w:r>
          <w:rPr>
            <w:color w:val="0A3A8C"/>
            <w:u w:val="single"/>
          </w:rPr>
          <w:t xml:space="preserve">§ 6b</w:t>
        </w:r>
      </w:hyperlink>
      <w:r>
        <w:t xml:space="preserve"> Absatz 4 Nummer 1 ist entsprechend anzuwenden, wenn der Gewinn nach </w:t>
      </w:r>
      <w:hyperlink w:anchor="b13" w:history="1">
        <w:r>
          <w:rPr>
            <w:color w:val="0A3A8C"/>
            <w:u w:val="single"/>
          </w:rPr>
          <w:t xml:space="preserve">§ 4</w:t>
        </w:r>
      </w:hyperlink>
      <w:r>
        <w:t xml:space="preserve"> Absatz 3 oder die Einkünfte aus Land- und Forstwirtschaft nach Durchschnittssätzen ermittelt werden. </w:t>
      </w:r>
      <w:r>
        <w:rPr>
          <w:rStyle w:val="Satznummer"/>
        </w:rPr>
        <w:t>2</w:t>
      </w:r>
      <w:r>
        <w:t xml:space="preserve">Soweit nach </w:t>
      </w:r>
      <w:hyperlink w:anchor="b30" w:history="1">
        <w:r>
          <w:rPr>
            <w:color w:val="0A3A8C"/>
            <w:u w:val="single"/>
          </w:rPr>
          <w:t xml:space="preserve">§ 6b</w:t>
        </w:r>
      </w:hyperlink>
      <w:r>
        <w:t xml:space="preserve"> Absatz 3 eine Rücklage gebildet werden kann, ist ihre Bildung als Betriebsausgabe (Abzug) und ihre Auflösung als Betriebseinnahme (Zuschlag) zu behandeln; der Zeitraum zwischen Abzug und Zuschlag gilt als Zeitraum, in dem die Rücklage bestanden hat.</w:t>
      </w:r>
    </w:p>
    <w:p>
      <w:r>
        <w:t xml:space="preserve">(2) </w:t>
      </w:r>
      <w:r>
        <w:rPr>
          <w:rStyle w:val="Satznummer"/>
        </w:rPr>
        <w:t>1</w:t>
      </w:r>
      <w:r>
        <w:t xml:space="preserve">Voraussetzung für die Anwendung des Absatzes 1 ist, dass die Wirtschaftsgüter, bei denen ein Abzug von den Anschaffungs- oder Herstellungskosten oder von dem Wert nach </w:t>
      </w:r>
      <w:hyperlink w:anchor="b30" w:history="1">
        <w:r>
          <w:rPr>
            <w:color w:val="0A3A8C"/>
            <w:u w:val="single"/>
          </w:rPr>
          <w:t xml:space="preserve">§ 6b</w:t>
        </w:r>
      </w:hyperlink>
      <w:r>
        <w:t xml:space="preserve"> Absatz 5 vorgenommen worden ist, in besondere, laufend zu führende Verzeichnisse aufgenommen werden. </w:t>
      </w:r>
      <w:r>
        <w:rPr>
          <w:rStyle w:val="Satznummer"/>
        </w:rPr>
        <w:t>2</w:t>
      </w:r>
      <w:r>
        <w:t xml:space="preserve">In den Verzeichnissen sind der Tag der Anschaffung oder Herstellung, die Anschaffungs- oder Herstellungskosten, der Abzug nach </w:t>
      </w:r>
      <w:hyperlink w:anchor="b30" w:history="1">
        <w:r>
          <w:rPr>
            <w:color w:val="0A3A8C"/>
            <w:u w:val="single"/>
          </w:rPr>
          <w:t xml:space="preserve">§ 6b</w:t>
        </w:r>
      </w:hyperlink>
      <w:r>
        <w:t xml:space="preserve"> Absatz 1 und 3 in Verbindung mit Absatz 1, die Absetzungen für Abnutzung, die Abschreibungen sowie die Beträge nachzuweisen, die nach </w:t>
      </w:r>
      <w:hyperlink w:anchor="b30" w:history="1">
        <w:r>
          <w:rPr>
            <w:color w:val="0A3A8C"/>
            <w:u w:val="single"/>
          </w:rPr>
          <w:t xml:space="preserve">§ 6b</w:t>
        </w:r>
      </w:hyperlink>
      <w:r>
        <w:t xml:space="preserve"> Absatz 3 in Verbindung mit Absatz 1 als Betriebsausgaben (Abzug) oder Betriebseinnahmen (Zuschlag) behandelt worden sind.</w:t>
      </w:r>
    </w:p>
    <w:p>
      <w:pPr>
        <w:pStyle w:val="Heading3"/>
      </w:pPr>
      <w:bookmarkStart w:id="33" w:name="b32"/>
      <w:r>
        <w:t>§ 6d Euroumrechnungsrücklage</w:t>
      </w:r>
      <w:r>
        <w:t xml:space="preserve"> </w:t>
      </w:r>
      <w:r>
        <w:rPr>
          <w:rStyle w:val="Suchmarke"/>
        </w:rPr>
        <w:t>#6d#</w:t>
      </w:r>
      <w:bookmarkEnd w:id="33"/>
    </w:p>
    <w:p>
      <w:r>
        <w:t xml:space="preserve">(1) </w:t>
      </w:r>
      <w:r>
        <w:rPr>
          <w:rStyle w:val="Satznummer"/>
        </w:rPr>
        <w:t>1</w:t>
      </w:r>
      <w:r>
        <w:t xml:space="preserve">Ausleihungen, Forderungen und Verbindlichkeiten im Sinne des Artikels 43 des Einführungsgesetzes zum Handelsgesetzbuch, die auf Währungseinheiten der an der europäischen Währungsunion teilnehmenden anderen Mitgliedstaaten oder auf die ECU im Sinne des Artikels 2 der Verordnung (EG) Nr. 1103/97 des Rates vom 17. Juni 1997 (ABl. EG Nr. L 162 S. 1) lauten, sind am Schluss des ersten nach dem 31. Dezember 1998 endenden Wirtschaftsjahres mit dem vom Rat der Europäischen Union gemäß Artikel 109l Absatz 4 Satz 1 des EG-Vertrages unwiderruflich festgelegten Umrechnungskurs umzurechnen und mit dem sich danach ergebenden Wert anzusetzen. </w:t>
      </w:r>
      <w:r>
        <w:rPr>
          <w:rStyle w:val="Satznummer"/>
        </w:rPr>
        <w:t>2</w:t>
      </w:r>
      <w:r>
        <w:t xml:space="preserve">Der Gewinn, der sich aus diesem jeweiligen Ansatz für das einzelne Wirtschaftsgut ergibt, kann in eine den steuerlichen Gewinn mindernde Rücklage eingestellt werden. </w:t>
      </w:r>
      <w:r>
        <w:rPr>
          <w:rStyle w:val="Satznummer"/>
        </w:rPr>
        <w:t>3</w:t>
      </w:r>
      <w:r>
        <w:t xml:space="preserve">Die Rücklage ist gewinnerhöhend aufzulösen, soweit das Wirtschaftsgut, aus dessen Bewertung sich der in die Rücklage eingestellte Gewinn ergeben hat, aus dem Betriebsvermögen ausscheidet. </w:t>
      </w:r>
      <w:r>
        <w:rPr>
          <w:rStyle w:val="Satznummer"/>
        </w:rPr>
        <w:t>4</w:t>
      </w:r>
      <w:r>
        <w:t>Die Rücklage ist spätestens am Schluss des fünften nach dem 31. Dezember 1998 endenden Wirtschaftsjahres gewinnerhöhend aufzulösen.</w:t>
      </w:r>
    </w:p>
    <w:p>
      <w:r>
        <w:t xml:space="preserve">(2) </w:t>
      </w:r>
      <w:r>
        <w:rPr>
          <w:rStyle w:val="Satznummer"/>
        </w:rPr>
        <w:t>1</w:t>
      </w:r>
      <w:r>
        <w:t xml:space="preserve">In die Euroumrechnungsrücklage gemäß Absatz 1 Satz 2 können auch Erträge eingestellt werden, die sich aus der Aktivierung von Wirtschaftsgütern auf Grund der unwiderruflichen Festlegung der Umrechnungskurse ergeben. </w:t>
      </w:r>
      <w:r>
        <w:rPr>
          <w:rStyle w:val="Satznummer"/>
        </w:rPr>
        <w:t>2</w:t>
      </w:r>
      <w:r>
        <w:t>Absatz 1 Satz 3 gilt entsprechend.</w:t>
      </w:r>
    </w:p>
    <w:p>
      <w:r>
        <w:t>(3) Die Bildung und Auflösung der jeweiligen Rücklage müssen in der Buchführung verfolgt werden können.</w:t>
      </w:r>
    </w:p>
    <w:p>
      <w:pPr>
        <w:pStyle w:val="Heading3"/>
      </w:pPr>
      <w:bookmarkStart w:id="34" w:name="b33"/>
      <w:r>
        <w:t>§ 6e Fondsetablierungskosten als Anschaffungskosten</w:t>
      </w:r>
      <w:r>
        <w:t xml:space="preserve"> </w:t>
      </w:r>
      <w:r>
        <w:rPr>
          <w:rStyle w:val="Suchmarke"/>
        </w:rPr>
        <w:t>#6e#</w:t>
      </w:r>
      <w:bookmarkEnd w:id="34"/>
    </w:p>
    <w:p>
      <w:r>
        <w:t xml:space="preserve">(1) </w:t>
      </w:r>
      <w:r>
        <w:rPr>
          <w:rStyle w:val="Satznummer"/>
        </w:rPr>
        <w:t>1</w:t>
      </w:r>
      <w:r>
        <w:t xml:space="preserve">Zu den Anschaffungskosten von Wirtschaftsgütern, die ein Steuerpflichtiger gemeinschaftlich mit weiteren Anlegern gemäß einem von einem Projektanbieter vorformulierten Vertragswerk anschafft, gehören auch die Fondsetablierungskosten im Sinne der Absätze 2 und 3. </w:t>
      </w:r>
      <w:r>
        <w:rPr>
          <w:rStyle w:val="Satznummer"/>
        </w:rPr>
        <w:t>2</w:t>
      </w:r>
      <w:r>
        <w:t>Haben die Anleger in ihrer gesellschaftsrechtlichen Verbundenheit keine wesentlichen Möglichkeiten zur Einflussnahme auf das Vertragswerk, gelten die Wirtschaftsgüter im Sinne von Satz 1 als angeschafft.</w:t>
      </w:r>
    </w:p>
    <w:p>
      <w:r>
        <w:t xml:space="preserve">(2) </w:t>
      </w:r>
      <w:r>
        <w:rPr>
          <w:rStyle w:val="Satznummer"/>
        </w:rPr>
        <w:t>1</w:t>
      </w:r>
      <w:r>
        <w:t xml:space="preserve">Fondsetablierungskosten sind alle auf Grund des vorformulierten Vertragswerks neben den Anschaffungskosten im Sinne von § 255 des Handelsgesetzbuchs vom Anleger an den Projektanbieter oder an Dritte zu zahlenden Aufwendungen, die auf den Erwerb der Wirtschaftsgüter im Sinne des Absatzes 1 Satz 1 gerichtet sind. </w:t>
      </w:r>
      <w:r>
        <w:rPr>
          <w:rStyle w:val="Satznummer"/>
        </w:rPr>
        <w:t>2</w:t>
      </w:r>
      <w:r>
        <w:t xml:space="preserve">Zu den Anschaffungskosten der Anleger im Sinne des Absatzes 1 Satz 2 gehören darüber hinaus alle an den Projektanbieter oder an Dritte geleisteten Aufwendungen in wirtschaftlichem Zusammenhang mit der Abwicklung des Projekts in der Investitionsphase. </w:t>
      </w:r>
      <w:r>
        <w:rPr>
          <w:rStyle w:val="Satznummer"/>
        </w:rPr>
        <w:t>3</w:t>
      </w:r>
      <w:r>
        <w:t>Zu den Anschaffungskosten zählen auch die Haftungs- und Geschäftsführungsvergütungen für Komplementäre, Geschäftsführungsvergütungen bei schuldrechtlichem Leistungsaustausch und Vergütungen für Treuhandkommanditisten, soweit sie auf die Investitionsphase entfallen.</w:t>
      </w:r>
    </w:p>
    <w:p>
      <w:r>
        <w:t>(3) Absatz 1 Satz 1 und Absatz 2 sind sinngemäß in den Fällen anzuwenden, in denen Fondsetablierungskosten vergleichbare Kosten außerhalb einer gemeinschaftlichen Anschaffung zu zahlen sind.</w:t>
      </w:r>
    </w:p>
    <w:p>
      <w:r>
        <w:t xml:space="preserve">(4) Im Fall des </w:t>
      </w:r>
      <w:hyperlink w:anchor="b13" w:history="1">
        <w:r>
          <w:rPr>
            <w:color w:val="0A3A8C"/>
            <w:u w:val="single"/>
          </w:rPr>
          <w:t xml:space="preserve">§ 4</w:t>
        </w:r>
      </w:hyperlink>
      <w:r>
        <w:t xml:space="preserve"> Absatz 3 sind die Absätze 1 bis 3 entsprechend anzuwenden.</w:t>
      </w:r>
    </w:p>
    <w:p>
      <w:r>
        <w:t xml:space="preserve">(5) </w:t>
      </w:r>
      <w:hyperlink w:anchor="b77" w:history="1">
        <w:r>
          <w:rPr>
            <w:color w:val="0A3A8C"/>
            <w:u w:val="single"/>
          </w:rPr>
          <w:t xml:space="preserve">§ 15b</w:t>
        </w:r>
      </w:hyperlink>
      <w:r>
        <w:t xml:space="preserve"> bleibt unberührt.</w:t>
      </w:r>
    </w:p>
    <w:p>
      <w:pPr>
        <w:pStyle w:val="Heading3"/>
      </w:pPr>
      <w:bookmarkStart w:id="35" w:name="b34"/>
      <w:r>
        <w:t>§ 7 Absetzung für Abnutzung oder Substanzverringerung</w:t>
      </w:r>
      <w:r>
        <w:t xml:space="preserve"> </w:t>
      </w:r>
      <w:r>
        <w:rPr>
          <w:rStyle w:val="Suchmarke"/>
        </w:rPr>
        <w:t>#7#</w:t>
      </w:r>
      <w:bookmarkEnd w:id="35"/>
    </w:p>
    <w:p>
      <w:r>
        <w:t xml:space="preserve">(1) </w:t>
      </w:r>
      <w:r>
        <w:rPr>
          <w:rStyle w:val="Satznummer"/>
        </w:rPr>
        <w:t>1</w:t>
      </w:r>
      <w:r>
        <w:t xml:space="preserve">Bei Wirtschaftsgütern, deren Verwendung oder Nutzung durch den Steuerpflichtigen zur Erzielung von Einkünften sich erfahrungsgemäß auf einen Zeitraum von mehr als einem Jahr erstreckt, ist jeweils für ein Jahr der Teil der Anschaffungs- oder Herstellungskosten abzusetzen, der bei gleichmäßiger Verteilung dieser Kosten auf die Gesamtdauer der Verwendung oder Nutzung auf ein Jahr entfällt (Absetzung für Abnutzung in gleichen Jahresbeträgen). </w:t>
      </w:r>
      <w:r>
        <w:rPr>
          <w:rStyle w:val="Satznummer"/>
        </w:rPr>
        <w:t>2</w:t>
      </w:r>
      <w:r>
        <w:t xml:space="preserve">Die Absetzung bemisst sich hierbei nach der betriebsgewöhnlichen Nutzungsdauer des Wirtschaftsguts. </w:t>
      </w:r>
      <w:r>
        <w:rPr>
          <w:rStyle w:val="Satznummer"/>
        </w:rPr>
        <w:t>3</w:t>
      </w:r>
      <w:r>
        <w:t xml:space="preserve">Als betriebsgewöhnliche Nutzungsdauer des Geschäfts- oder Firmenwerts eines Gewerbebetriebs oder eines Betriebs der Land- und Forstwirtschaft gilt ein Zeitraum von 15 Jahren. </w:t>
      </w:r>
      <w:r>
        <w:rPr>
          <w:rStyle w:val="Satznummer"/>
        </w:rPr>
        <w:t>4</w:t>
      </w:r>
      <w:r>
        <w:t xml:space="preserve">Im Jahr der Anschaffung oder Herstellung des Wirtschaftsguts vermindert sich für dieses Jahr der Absetzungsbetrag nach Satz 1 um jeweils ein Zwölftel für jeden vollen Monat, der dem Monat der Anschaffung oder Herstellung vorangeht. </w:t>
      </w:r>
      <w:r>
        <w:rPr>
          <w:rStyle w:val="Satznummer"/>
        </w:rPr>
        <w:t>5</w:t>
      </w:r>
      <w:r>
        <w:t xml:space="preserve">Bei Wirtschaftsgütern, die nach einer Verwendung zur Erzielung von Einkünften im Sinne des § 2 Absatz 1 Satz 1 Nummer 4 bis 7 in ein Betriebsvermögen eingelegt worden sind, mindert sich der Einlagewert um die Absetzungen für Abnutzung oder Substanzverringerung, Sonderabschreibungen oder erhöhte Absetzungen, die bis zum Zeitpunkt der Einlage vorgenommen worden sind, höchstens jedoch bis zu den fortgeführten Anschaffungs- oder Herstellungskosten; ist der Einlagewert niedriger als dieser Wert, bemisst sich die weitere Absetzung für Abnutzung vom Einlagewert. </w:t>
      </w:r>
      <w:r>
        <w:rPr>
          <w:rStyle w:val="Satznummer"/>
        </w:rPr>
        <w:t>6</w:t>
      </w:r>
      <w:r>
        <w:t xml:space="preserve">Bei beweglichen Wirtschaftsgütern des Anlagevermögens, bei denen es wirtschaftlich begründet ist, die Absetzung für Abnutzung nach Maßgabe der Leistung des Wirtschaftsguts vorzunehmen, kann der Steuerpflichtige dieses Verfahren statt der Absetzung für Abnutzung in gleichen Jahresbeträgen anwenden, wenn er den auf das einzelne Jahr entfallenden Umfang der Leistung nachweist. </w:t>
      </w:r>
      <w:r>
        <w:rPr>
          <w:rStyle w:val="Satznummer"/>
        </w:rPr>
        <w:t>7</w:t>
      </w:r>
      <w:r>
        <w:t xml:space="preserve">Absetzungen für außergewöhnliche technische oder wirtschaftliche Abnutzung sind zulässig; soweit der Grund hierfür in späteren Wirtschaftsjahren entfällt, ist in den Fällen der Gewinnermittlung nach </w:t>
      </w:r>
      <w:hyperlink w:anchor="b13" w:history="1">
        <w:r>
          <w:rPr>
            <w:color w:val="0A3A8C"/>
            <w:u w:val="single"/>
          </w:rPr>
          <w:t xml:space="preserve">§ 4</w:t>
        </w:r>
      </w:hyperlink>
      <w:r>
        <w:t xml:space="preserve"> Absatz 1 oder nach </w:t>
      </w:r>
      <w:hyperlink w:anchor="b25" w:history="1">
        <w:r>
          <w:rPr>
            <w:color w:val="0A3A8C"/>
            <w:u w:val="single"/>
          </w:rPr>
          <w:t xml:space="preserve">§ 5</w:t>
        </w:r>
      </w:hyperlink>
      <w:r>
        <w:t xml:space="preserve"> eine entsprechende Zuschreibung vorzunehmen.</w:t>
      </w:r>
    </w:p>
    <w:p>
      <w:r>
        <w:t xml:space="preserve">(2) </w:t>
      </w:r>
      <w:r>
        <w:rPr>
          <w:rStyle w:val="Satznummer"/>
        </w:rPr>
        <w:t>1</w:t>
      </w:r>
      <w:r>
        <w:t xml:space="preserve">Bei beweglichen Wirtschaftsgütern des Anlagevermögens, die nach dem 30. Juni 2025 und vor dem 1. Januar 2028 angeschafft oder hergestellt worden sind, kann der Steuerpflichtige statt der Absetzung für Abnutzung in gleichen Jahresbeträgen die Absetzung für Abnutzung in fallenden Jahresbeträgen bemessen. </w:t>
      </w:r>
      <w:r>
        <w:rPr>
          <w:rStyle w:val="Satznummer"/>
        </w:rPr>
        <w:t>2</w:t>
      </w:r>
      <w:r>
        <w:t xml:space="preserve">Die Absetzung für Abnutzung in fallenden Jahresbeträgen kann nach einem unveränderlichen Prozentsatz vom jeweiligen Buchwert (Restwert) vorgenommen werden; der dabei anzuwendende Prozentsatz darf höchstens das Dreifache des bei der Absetzung für Abnutzung in gleichen Jahresbeträgen in Betracht kommenden Prozentsatzes betragen und 30 Prozent nicht übersteigen. </w:t>
      </w:r>
      <w:r>
        <w:rPr>
          <w:rStyle w:val="Satznummer"/>
        </w:rPr>
        <w:t>3</w:t>
      </w:r>
      <w:r>
        <w:t xml:space="preserve">Absatz 1 Satz 4 und </w:t>
      </w:r>
      <w:hyperlink w:anchor="b35" w:history="1">
        <w:r>
          <w:rPr>
            <w:color w:val="0A3A8C"/>
            <w:u w:val="single"/>
          </w:rPr>
          <w:t xml:space="preserve">§ 7a</w:t>
        </w:r>
      </w:hyperlink>
      <w:r>
        <w:t xml:space="preserve"> Absatz 8 gelten entsprechend. </w:t>
      </w:r>
      <w:r>
        <w:rPr>
          <w:rStyle w:val="Satznummer"/>
        </w:rPr>
        <w:t>4</w:t>
      </w:r>
      <w:r>
        <w:t>Bei Wirtschaftsgütern, bei denen die Absetzung für Abnutzung in fallenden Jahresbeträgen bemessen wird, sind Absetzungen für außergewöhnliche technische oder wirtschaftliche Abnutzung nicht zulässig.</w:t>
      </w:r>
    </w:p>
    <w:p>
      <w:r>
        <w:t xml:space="preserve">(2a) </w:t>
      </w:r>
      <w:r>
        <w:rPr>
          <w:rStyle w:val="Satznummer"/>
        </w:rPr>
        <w:t>1</w:t>
      </w:r>
      <w:r>
        <w:t xml:space="preserve">Bei Elektrofahrzeugen nach § 9 Absatz 2 des Kraftfahrzeugsteuergesetzes, die zum Anlagevermögen gehören und nach dem 30. Juni 2025 und vor dem 1. Januar 2028 angeschafft worden sind, können abweichend von Absatz 1 oder 2 als Absetzung für Abnutzung die folgenden Beträge in Prozent der Anschaffungskosten abgezogen werden: im Jahr der Anschaffung 75 Prozent, im ersten darauf folgenden Jahr zehn Prozent, im zweiten und dritten darauf folgenden Jahr jeweils fünf Prozent, im vierten darauf folgenden Jahr drei Prozent und im fünften darauf folgenden Jahr zwei Prozent. </w:t>
      </w:r>
      <w:r>
        <w:rPr>
          <w:rStyle w:val="Satznummer"/>
        </w:rPr>
        <w:t>2</w:t>
      </w:r>
      <w:r>
        <w:t xml:space="preserve">Satz 1 kann nur angewendet werden, wenn der Steuerpflichtige keine Sonderabschreibungen für das Wirtschaftsgut in Anspruch genommen hat. </w:t>
      </w:r>
      <w:r>
        <w:rPr>
          <w:rStyle w:val="Satznummer"/>
        </w:rPr>
        <w:t>3</w:t>
      </w:r>
      <w:r>
        <w:t>Absatz 1 Satz 4 gilt nicht.</w:t>
      </w:r>
    </w:p>
    <w:p>
      <w:r>
        <w:t xml:space="preserve">(3) </w:t>
      </w:r>
      <w:r>
        <w:rPr>
          <w:rStyle w:val="Satznummer"/>
        </w:rPr>
        <w:t>1</w:t>
      </w:r>
      <w:r>
        <w:t xml:space="preserve">Der Übergang von der Absetzung für Abnutzung in fallenden Jahresbeträgen zur Absetzung für Abnutzung in gleichen Jahresbeträgen ist zulässig. </w:t>
      </w:r>
      <w:r>
        <w:rPr>
          <w:rStyle w:val="Satznummer"/>
        </w:rPr>
        <w:t>2</w:t>
      </w:r>
      <w:r>
        <w:t xml:space="preserve">In diesem Fall bemisst sich die Absetzung für Abnutzung vom Zeitpunkt des Übergangs an nach dem dann noch vorhandenen Restwert und der Restnutzungsdauer des einzelnen Wirtschaftsguts. </w:t>
      </w:r>
      <w:r>
        <w:rPr>
          <w:rStyle w:val="Satznummer"/>
        </w:rPr>
        <w:t>3</w:t>
      </w:r>
      <w:r>
        <w:t>Der Übergang von der Absetzung für Abnutzung in gleichen Jahresbeträgen zur Absetzung für Abnutzung in fallenden Jahresbeträgen ist nicht zulässig.</w:t>
      </w:r>
    </w:p>
    <w:p>
      <w:r>
        <w:t xml:space="preserve">(4) </w:t>
      </w:r>
      <w:r>
        <w:rPr>
          <w:rStyle w:val="Satznummer"/>
        </w:rPr>
        <w:t>1</w:t>
      </w:r>
      <w:r>
        <w:t>Bei Gebäuden sind abweichend von Absatz 1 als Absetzung für Abnutzung die folgenden Beträge bis zur vollen Absetzung abzuziehen:</w:t>
      </w:r>
    </w:p>
    <w:p>
      <w:pPr>
        <w:tabs>
          <w:tab w:pos="567" w:val="left"/>
        </w:tabs>
        <w:ind w:left="567" w:hanging="567"/>
      </w:pPr>
      <w:r>
        <w:t>1.</w:t>
      </w:r>
      <w:r>
        <w:tab/>
      </w:r>
      <w:r>
        <w:t>bei Gebäuden, soweit sie zu einem Betriebsvermögen gehören und nicht Wohnzwecken dienen und für die der Bauantrag nach dem 31. März 1985 gestellt worden ist, jährlich 3 Prozent,</w:t>
      </w:r>
    </w:p>
    <w:p>
      <w:pPr>
        <w:tabs>
          <w:tab w:pos="567" w:val="left"/>
        </w:tabs>
        <w:ind w:left="567" w:hanging="567"/>
      </w:pPr>
      <w:r>
        <w:t>2.</w:t>
      </w:r>
      <w:r>
        <w:tab/>
      </w:r>
      <w:r>
        <w:t>bei Gebäuden, soweit sie die Voraussetzungen der Nummer 1 nicht erfüllen und die</w:t>
      </w:r>
    </w:p>
    <w:p>
      <w:pPr>
        <w:tabs>
          <w:tab w:pos="1134" w:val="left"/>
        </w:tabs>
        <w:ind w:left="1134" w:hanging="567"/>
      </w:pPr>
      <w:r>
        <w:t>a)</w:t>
      </w:r>
      <w:r>
        <w:tab/>
      </w:r>
      <w:r>
        <w:t>nach dem 31. Dezember 2022 fertiggestellt worden sind, jährlich 3 Prozent,</w:t>
      </w:r>
    </w:p>
    <w:p>
      <w:pPr>
        <w:tabs>
          <w:tab w:pos="1134" w:val="left"/>
        </w:tabs>
        <w:ind w:left="1134" w:hanging="567"/>
      </w:pPr>
      <w:r>
        <w:t>b)</w:t>
      </w:r>
      <w:r>
        <w:tab/>
      </w:r>
      <w:r>
        <w:t>vor dem 1. Januar 2023 und nach dem 31. Dezember 1924 fertiggestellt worden sind, jährlich 2 Prozent,</w:t>
      </w:r>
    </w:p>
    <w:p>
      <w:pPr>
        <w:tabs>
          <w:tab w:pos="1134" w:val="left"/>
        </w:tabs>
        <w:ind w:left="1134" w:hanging="567"/>
      </w:pPr>
      <w:r>
        <w:t>c)</w:t>
      </w:r>
      <w:r>
        <w:tab/>
      </w:r>
      <w:r>
        <w:t>vor dem 1. Januar 1925 fertiggestellt worden sind, jährlich 2,5 Prozent</w:t>
      </w:r>
    </w:p>
    <w:p>
      <w:r>
        <w:t xml:space="preserve">der Anschaffungs- oder Herstellungskosten; Absatz 1 Satz 5 gilt entsprechend. </w:t>
      </w:r>
      <w:r>
        <w:rPr>
          <w:rStyle w:val="Satznummer"/>
        </w:rPr>
        <w:t>2</w:t>
      </w:r>
      <w:r>
        <w:t xml:space="preserve">Beträgt die tatsächliche Nutzungsdauer eines Gebäudes in den Fällen des Satzes 1 Nummer 1 und 2 Buchstabe a weniger als 33 Jahre, in den Fällen des Satzes 1 Nummer 2 Buchstabe b weniger als 50 Jahre, in den Fällen des Satzes 1 Nummer 2 Buchstabe c weniger als 40 Jahre, so können anstelle der Absetzungen nach Satz 1 die der tatsächlichen Nutzungsdauer entsprechenden Absetzungen für Abnutzung vorgenommen werden. </w:t>
      </w:r>
      <w:r>
        <w:rPr>
          <w:rStyle w:val="Satznummer"/>
        </w:rPr>
        <w:t>3</w:t>
      </w:r>
      <w:r>
        <w:t xml:space="preserve">Absatz 1 letzter Satz bleibt unberührt. </w:t>
      </w:r>
      <w:r>
        <w:rPr>
          <w:rStyle w:val="Satznummer"/>
        </w:rPr>
        <w:t>4</w:t>
      </w:r>
      <w:r>
        <w:t>Bei Gebäuden im Sinne der Nummer 2 rechtfertigt die für Gebäude im Sinne der Nummer 1 geltende Regelung weder die Anwendung des Absatzes 1 letzter Satz noch den Ansatz des niedrigeren Teilwerts (</w:t>
      </w:r>
      <w:hyperlink w:anchor="b28" w:history="1">
        <w:r>
          <w:rPr>
            <w:color w:val="0A3A8C"/>
            <w:u w:val="single"/>
          </w:rPr>
          <w:t xml:space="preserve">§ 6</w:t>
        </w:r>
      </w:hyperlink>
      <w:r>
        <w:t xml:space="preserve"> Absatz 1 Nummer 1 Satz 2).</w:t>
      </w:r>
    </w:p>
    <w:p>
      <w:r>
        <w:t xml:space="preserve">(5) </w:t>
      </w:r>
      <w:r>
        <w:rPr>
          <w:rStyle w:val="Satznummer"/>
        </w:rPr>
        <w:t>1</w:t>
      </w:r>
      <w:r>
        <w:t>Bei Gebäuden, die in einem Mitgliedstaat der Europäischen Union oder einem anderen Staat belegen sind, auf den das Abkommen über den Europäischen Wirtschaftsraum (EWR-Abkommen) angewendet wird, und die vom Steuerpflichtigen hergestellt oder bis zum Ende des Jahres der Fertigstellung angeschafft worden sind, können abweichend von Absatz 4 als Absetzung für Abnutzung die folgenden Beträge abgezogen werden:</w:t>
      </w:r>
    </w:p>
    <w:p>
      <w:pPr>
        <w:tabs>
          <w:tab w:pos="567" w:val="left"/>
        </w:tabs>
        <w:ind w:left="567" w:hanging="567"/>
      </w:pPr>
      <w:r>
        <w:t>1.</w:t>
      </w:r>
      <w:r>
        <w:tab/>
      </w:r>
      <w:r>
        <w:t>bei Gebäuden im Sinne des Absatzes 4 Satz 1 Nummer 1, die vom Steuerpflichtigen auf Grund eines vor dem 1. Januar 1994 gestellten Bauantrags hergestellt oder auf Grund eines vor diesem Zeitpunkt rechtswirksam abgeschlossenen obligatorischen Vertrags angeschafft worden sind,</w:t>
      </w:r>
    </w:p>
    <w:tbl>
      <w:tblPr>
        <w:tblStyle w:val="TableGrid"/>
        <w:tblW w:type="pct" w:w="5000"/>
        <w:tblLook w:firstColumn="1" w:firstRow="1" w:lastColumn="0" w:lastRow="0" w:noHBand="0" w:noVBand="1" w:val="04A0"/>
        <w:tblCaption w:val="Tabelle 1 zu § 7"/>
      </w:tblPr>
      <w:tblGrid>
        <w:gridCol w:w="3135"/>
        <w:gridCol w:w="3135"/>
        <w:gridCol w:w="3135"/>
      </w:tblGrid>
      <w:tr>
        <w:trPr>
          <w:cantSplit/>
        </w:trPr>
        <w:tc>
          <w:tcPr>
            <w:tcW w:type="dxa" w:w="3135"/>
          </w:tcPr>
          <w:p>
            <w:r>
              <w:t>–</w:t>
            </w:r>
          </w:p>
        </w:tc>
        <w:tc>
          <w:tcPr>
            <w:tcW w:type="dxa" w:w="3135"/>
          </w:tcPr>
          <w:p>
            <w:r>
              <w:t>im Jahr der Fertigstellung und</w:t>
            </w:r>
            <w:r>
              <w:br/>
            </w:r>
            <w:r>
              <w:t>in den folgenden 3 Jahren</w:t>
            </w:r>
          </w:p>
        </w:tc>
        <w:tc>
          <w:tcPr>
            <w:tcW w:type="dxa" w:w="3135"/>
          </w:tcPr>
          <w:p>
            <w:r>
              <w:t>jeweils 10 Prozent,</w:t>
            </w:r>
          </w:p>
        </w:tc>
      </w:tr>
      <w:tr>
        <w:trPr>
          <w:cantSplit/>
        </w:trPr>
        <w:tc>
          <w:tcPr>
            <w:tcW w:type="dxa" w:w="3135"/>
          </w:tcPr>
          <w:p>
            <w:r>
              <w:t>–</w:t>
            </w:r>
          </w:p>
        </w:tc>
        <w:tc>
          <w:tcPr>
            <w:tcW w:type="dxa" w:w="3135"/>
          </w:tcPr>
          <w:p>
            <w:r>
              <w:t>in den darauf folgenden</w:t>
            </w:r>
            <w:r>
              <w:br/>
            </w:r>
            <w:r>
              <w:t>3 Jahren</w:t>
            </w:r>
          </w:p>
        </w:tc>
        <w:tc>
          <w:tcPr>
            <w:tcW w:type="dxa" w:w="3135"/>
          </w:tcPr>
          <w:p>
            <w:r>
              <w:t>jeweils 5 Prozent,</w:t>
            </w:r>
          </w:p>
        </w:tc>
      </w:tr>
      <w:tr>
        <w:trPr>
          <w:cantSplit/>
        </w:trPr>
        <w:tc>
          <w:tcPr>
            <w:tcW w:type="dxa" w:w="3135"/>
          </w:tcPr>
          <w:p>
            <w:r>
              <w:t>–</w:t>
            </w:r>
          </w:p>
        </w:tc>
        <w:tc>
          <w:tcPr>
            <w:tcW w:type="dxa" w:w="3135"/>
          </w:tcPr>
          <w:p>
            <w:r>
              <w:t>in den darauf folgenden</w:t>
            </w:r>
            <w:r>
              <w:br/>
            </w:r>
            <w:r>
              <w:t>18 Jahren</w:t>
            </w:r>
          </w:p>
        </w:tc>
        <w:tc>
          <w:tcPr>
            <w:tcW w:type="dxa" w:w="3135"/>
          </w:tcPr>
          <w:p>
            <w:r>
              <w:t>jeweils 2,5 Prozent,</w:t>
            </w:r>
          </w:p>
        </w:tc>
      </w:tr>
    </w:tbl>
    <w:p>
      <w:pPr>
        <w:spacing w:after="0"/>
      </w:pPr>
    </w:p>
    <w:p>
      <w:pPr>
        <w:tabs>
          <w:tab w:pos="567" w:val="left"/>
        </w:tabs>
        <w:ind w:left="567" w:hanging="567"/>
      </w:pPr>
      <w:r>
        <w:t>2.</w:t>
      </w:r>
      <w:r>
        <w:tab/>
      </w:r>
      <w:r>
        <w:t>bei Gebäuden im Sinne des Absatzes 4 Satz 1 Nummer 2, die vom Steuerpflichtigen auf Grund eines vor dem 1. Januar 1995 gestellten Bauantrags hergestellt oder auf Grund eines vor diesem Zeitpunkt rechtswirksam abgeschlossenen obligatorischen Vertrags angeschafft worden sind,</w:t>
      </w:r>
    </w:p>
    <w:tbl>
      <w:tblPr>
        <w:tblStyle w:val="TableGrid"/>
        <w:tblW w:type="pct" w:w="5000"/>
        <w:tblLook w:firstColumn="1" w:firstRow="1" w:lastColumn="0" w:lastRow="0" w:noHBand="0" w:noVBand="1" w:val="04A0"/>
        <w:tblCaption w:val="Tabelle 2 zu § 7"/>
      </w:tblPr>
      <w:tblGrid>
        <w:gridCol w:w="3135"/>
        <w:gridCol w:w="3135"/>
        <w:gridCol w:w="3135"/>
      </w:tblGrid>
      <w:tr>
        <w:trPr>
          <w:cantSplit/>
        </w:trPr>
        <w:tc>
          <w:tcPr>
            <w:tcW w:type="dxa" w:w="3135"/>
          </w:tcPr>
          <w:p>
            <w:r>
              <w:t>–</w:t>
            </w:r>
          </w:p>
        </w:tc>
        <w:tc>
          <w:tcPr>
            <w:tcW w:type="dxa" w:w="3135"/>
          </w:tcPr>
          <w:p>
            <w:r>
              <w:t>im Jahr der Fertigstellung</w:t>
            </w:r>
            <w:r>
              <w:br/>
            </w:r>
            <w:r>
              <w:t>und in den folgenden</w:t>
            </w:r>
            <w:r>
              <w:br/>
            </w:r>
            <w:r>
              <w:t>7 Jahren</w:t>
            </w:r>
          </w:p>
        </w:tc>
        <w:tc>
          <w:tcPr>
            <w:tcW w:type="dxa" w:w="3135"/>
          </w:tcPr>
          <w:p>
            <w:r>
              <w:t>jeweils 5 Prozent,</w:t>
            </w:r>
          </w:p>
        </w:tc>
      </w:tr>
      <w:tr>
        <w:trPr>
          <w:cantSplit/>
        </w:trPr>
        <w:tc>
          <w:tcPr>
            <w:tcW w:type="dxa" w:w="3135"/>
          </w:tcPr>
          <w:p>
            <w:r>
              <w:t>–</w:t>
            </w:r>
          </w:p>
        </w:tc>
        <w:tc>
          <w:tcPr>
            <w:tcW w:type="dxa" w:w="3135"/>
          </w:tcPr>
          <w:p>
            <w:r>
              <w:t>in den darauf folgenden</w:t>
            </w:r>
            <w:r>
              <w:br/>
            </w:r>
            <w:r>
              <w:t>6 Jahren</w:t>
            </w:r>
          </w:p>
        </w:tc>
        <w:tc>
          <w:tcPr>
            <w:tcW w:type="dxa" w:w="3135"/>
          </w:tcPr>
          <w:p>
            <w:r>
              <w:t>jeweils 2,5 Prozent,</w:t>
            </w:r>
          </w:p>
        </w:tc>
      </w:tr>
      <w:tr>
        <w:trPr>
          <w:cantSplit/>
        </w:trPr>
        <w:tc>
          <w:tcPr>
            <w:tcW w:type="dxa" w:w="3135"/>
          </w:tcPr>
          <w:p>
            <w:r>
              <w:t>–</w:t>
            </w:r>
          </w:p>
        </w:tc>
        <w:tc>
          <w:tcPr>
            <w:tcW w:type="dxa" w:w="3135"/>
          </w:tcPr>
          <w:p>
            <w:r>
              <w:t>in den darauf folgenden</w:t>
            </w:r>
            <w:r>
              <w:br/>
            </w:r>
            <w:r>
              <w:t>36 Jahren</w:t>
            </w:r>
          </w:p>
        </w:tc>
        <w:tc>
          <w:tcPr>
            <w:tcW w:type="dxa" w:w="3135"/>
          </w:tcPr>
          <w:p>
            <w:r>
              <w:t>jeweils 1,25 Prozent,</w:t>
            </w:r>
          </w:p>
        </w:tc>
      </w:tr>
    </w:tbl>
    <w:p>
      <w:pPr>
        <w:spacing w:after="0"/>
      </w:pPr>
    </w:p>
    <w:p>
      <w:pPr>
        <w:tabs>
          <w:tab w:pos="567" w:val="left"/>
        </w:tabs>
        <w:ind w:left="567" w:hanging="567"/>
      </w:pPr>
      <w:r>
        <w:t>3.</w:t>
      </w:r>
      <w:r>
        <w:tab/>
      </w:r>
      <w:r>
        <w:t>bei Gebäuden im Sinne des Absatzes 4 Satz 1 Nummer 2, soweit sie Wohnzwecken dienen, die vom Steuerpflichtigen</w:t>
      </w:r>
    </w:p>
    <w:p>
      <w:pPr>
        <w:tabs>
          <w:tab w:pos="1134" w:val="left"/>
        </w:tabs>
        <w:ind w:left="1134" w:hanging="567"/>
      </w:pPr>
      <w:r>
        <w:t>a)</w:t>
      </w:r>
      <w:r>
        <w:tab/>
      </w:r>
      <w:r>
        <w:t>auf Grund eines nach dem 28. Februar 1989 und vor dem 1. Januar 1996 gestellten Bauantrags hergestellt oder nach dem 28. Februar 1989 auf Grund eines nach dem 28. Februar 1989 und vor dem 1. Januar 1996 rechtswirksam abgeschlossenen obligatorischen Vertrags angeschafft worden sind,</w:t>
      </w:r>
    </w:p>
    <w:tbl>
      <w:tblPr>
        <w:tblStyle w:val="TableGrid"/>
        <w:tblW w:type="pct" w:w="5000"/>
        <w:tblLook w:firstColumn="1" w:firstRow="1" w:lastColumn="0" w:lastRow="0" w:noHBand="0" w:noVBand="1" w:val="04A0"/>
        <w:tblCaption w:val="Tabelle 3 zu § 7"/>
      </w:tblPr>
      <w:tblGrid>
        <w:gridCol w:w="3135"/>
        <w:gridCol w:w="3135"/>
        <w:gridCol w:w="3135"/>
      </w:tblGrid>
      <w:tr>
        <w:trPr>
          <w:cantSplit/>
        </w:trPr>
        <w:tc>
          <w:tcPr>
            <w:tcW w:type="dxa" w:w="3135"/>
          </w:tcPr>
          <w:p>
            <w:r>
              <w:t>–</w:t>
            </w:r>
          </w:p>
        </w:tc>
        <w:tc>
          <w:tcPr>
            <w:tcW w:type="dxa" w:w="3135"/>
          </w:tcPr>
          <w:p>
            <w:r>
              <w:t>im Jahr der Fertigstellung und</w:t>
            </w:r>
            <w:r>
              <w:br/>
            </w:r>
            <w:r>
              <w:t>in den folgenden 3 Jahren</w:t>
            </w:r>
          </w:p>
        </w:tc>
        <w:tc>
          <w:tcPr>
            <w:tcW w:type="dxa" w:w="3135"/>
          </w:tcPr>
          <w:p>
            <w:r>
              <w:t>jeweils 7 Prozent,</w:t>
            </w:r>
          </w:p>
        </w:tc>
      </w:tr>
      <w:tr>
        <w:trPr>
          <w:cantSplit/>
        </w:trPr>
        <w:tc>
          <w:tcPr>
            <w:tcW w:type="dxa" w:w="3135"/>
          </w:tcPr>
          <w:p>
            <w:r>
              <w:t>–</w:t>
            </w:r>
          </w:p>
        </w:tc>
        <w:tc>
          <w:tcPr>
            <w:tcW w:type="dxa" w:w="3135"/>
          </w:tcPr>
          <w:p>
            <w:r>
              <w:t>in den darauf folgenden</w:t>
            </w:r>
            <w:r>
              <w:br/>
            </w:r>
            <w:r>
              <w:t>6 Jahren</w:t>
            </w:r>
          </w:p>
        </w:tc>
        <w:tc>
          <w:tcPr>
            <w:tcW w:type="dxa" w:w="3135"/>
          </w:tcPr>
          <w:p>
            <w:r>
              <w:t>jeweils 5 Prozent,</w:t>
            </w:r>
          </w:p>
        </w:tc>
      </w:tr>
      <w:tr>
        <w:trPr>
          <w:cantSplit/>
        </w:trPr>
        <w:tc>
          <w:tcPr>
            <w:tcW w:type="dxa" w:w="3135"/>
          </w:tcPr>
          <w:p>
            <w:r>
              <w:t>–</w:t>
            </w:r>
          </w:p>
        </w:tc>
        <w:tc>
          <w:tcPr>
            <w:tcW w:type="dxa" w:w="3135"/>
          </w:tcPr>
          <w:p>
            <w:r>
              <w:t>in den darauf folgenden</w:t>
            </w:r>
            <w:r>
              <w:br/>
            </w:r>
            <w:r>
              <w:t>6 Jahren</w:t>
            </w:r>
          </w:p>
        </w:tc>
        <w:tc>
          <w:tcPr>
            <w:tcW w:type="dxa" w:w="3135"/>
          </w:tcPr>
          <w:p>
            <w:r>
              <w:t>jeweils 2 Prozent,</w:t>
            </w:r>
          </w:p>
        </w:tc>
      </w:tr>
      <w:tr>
        <w:trPr>
          <w:cantSplit/>
        </w:trPr>
        <w:tc>
          <w:tcPr>
            <w:tcW w:type="dxa" w:w="3135"/>
          </w:tcPr>
          <w:p>
            <w:r>
              <w:t>–</w:t>
            </w:r>
          </w:p>
        </w:tc>
        <w:tc>
          <w:tcPr>
            <w:tcW w:type="dxa" w:w="3135"/>
          </w:tcPr>
          <w:p>
            <w:r>
              <w:t>in den darauf folgenden</w:t>
            </w:r>
            <w:r>
              <w:br/>
            </w:r>
            <w:r>
              <w:t>24 Jahren</w:t>
            </w:r>
          </w:p>
        </w:tc>
        <w:tc>
          <w:tcPr>
            <w:tcW w:type="dxa" w:w="3135"/>
          </w:tcPr>
          <w:p>
            <w:r>
              <w:t>jeweils 1,25 Prozent,</w:t>
            </w:r>
          </w:p>
        </w:tc>
      </w:tr>
    </w:tbl>
    <w:p>
      <w:pPr>
        <w:spacing w:after="0"/>
      </w:pPr>
    </w:p>
    <w:p>
      <w:pPr>
        <w:tabs>
          <w:tab w:pos="1134" w:val="left"/>
        </w:tabs>
        <w:ind w:left="1134" w:hanging="567"/>
      </w:pPr>
      <w:r>
        <w:t>b)</w:t>
      </w:r>
      <w:r>
        <w:tab/>
      </w:r>
      <w:r>
        <w:t>auf Grund eines nach dem 31. Dezember 1995 und vor dem 1. Januar 2004 gestellten Bauantrags hergestellt oder auf Grund eines nach dem 31. Dezember 1995 und vor dem 1. Januar 2004 rechtswirksam abgeschlossenen obligatorischen Vertrags angeschafft worden sind,</w:t>
      </w:r>
    </w:p>
    <w:tbl>
      <w:tblPr>
        <w:tblStyle w:val="TableGrid"/>
        <w:tblW w:type="pct" w:w="5000"/>
        <w:tblLook w:firstColumn="1" w:firstRow="1" w:lastColumn="0" w:lastRow="0" w:noHBand="0" w:noVBand="1" w:val="04A0"/>
        <w:tblCaption w:val="Tabelle 4 zu § 7"/>
      </w:tblPr>
      <w:tblGrid>
        <w:gridCol w:w="3135"/>
        <w:gridCol w:w="3135"/>
        <w:gridCol w:w="3135"/>
      </w:tblGrid>
      <w:tr>
        <w:trPr>
          <w:cantSplit/>
        </w:trPr>
        <w:tc>
          <w:tcPr>
            <w:tcW w:type="dxa" w:w="3135"/>
          </w:tcPr>
          <w:p>
            <w:r>
              <w:t>–</w:t>
            </w:r>
          </w:p>
        </w:tc>
        <w:tc>
          <w:tcPr>
            <w:tcW w:type="dxa" w:w="3135"/>
          </w:tcPr>
          <w:p>
            <w:r>
              <w:t>im Jahr der Fertigstellung</w:t>
            </w:r>
            <w:r>
              <w:br/>
            </w:r>
            <w:r>
              <w:t>und in den folgenden</w:t>
            </w:r>
            <w:r>
              <w:br/>
            </w:r>
            <w:r>
              <w:t>7 Jahren</w:t>
            </w:r>
          </w:p>
        </w:tc>
        <w:tc>
          <w:tcPr>
            <w:tcW w:type="dxa" w:w="3135"/>
          </w:tcPr>
          <w:p>
            <w:r>
              <w:t>jeweils 5 Prozent,</w:t>
            </w:r>
          </w:p>
        </w:tc>
      </w:tr>
      <w:tr>
        <w:trPr>
          <w:cantSplit/>
        </w:trPr>
        <w:tc>
          <w:tcPr>
            <w:tcW w:type="dxa" w:w="3135"/>
          </w:tcPr>
          <w:p>
            <w:r>
              <w:t>–</w:t>
            </w:r>
          </w:p>
        </w:tc>
        <w:tc>
          <w:tcPr>
            <w:tcW w:type="dxa" w:w="3135"/>
          </w:tcPr>
          <w:p>
            <w:r>
              <w:t>in den darauf folgenden</w:t>
            </w:r>
            <w:r>
              <w:br/>
            </w:r>
            <w:r>
              <w:t>6 Jahren</w:t>
            </w:r>
          </w:p>
        </w:tc>
        <w:tc>
          <w:tcPr>
            <w:tcW w:type="dxa" w:w="3135"/>
          </w:tcPr>
          <w:p>
            <w:r>
              <w:t>jeweils 2,5 Prozent,</w:t>
            </w:r>
          </w:p>
        </w:tc>
      </w:tr>
      <w:tr>
        <w:trPr>
          <w:cantSplit/>
        </w:trPr>
        <w:tc>
          <w:tcPr>
            <w:tcW w:type="dxa" w:w="3135"/>
          </w:tcPr>
          <w:p>
            <w:r>
              <w:t>–</w:t>
            </w:r>
          </w:p>
        </w:tc>
        <w:tc>
          <w:tcPr>
            <w:tcW w:type="dxa" w:w="3135"/>
          </w:tcPr>
          <w:p>
            <w:r>
              <w:t>in den darauf folgenden</w:t>
            </w:r>
            <w:r>
              <w:br/>
            </w:r>
            <w:r>
              <w:t>36 Jahren</w:t>
            </w:r>
          </w:p>
        </w:tc>
        <w:tc>
          <w:tcPr>
            <w:tcW w:type="dxa" w:w="3135"/>
          </w:tcPr>
          <w:p>
            <w:r>
              <w:t>jeweils 1,25 Prozent,</w:t>
            </w:r>
          </w:p>
        </w:tc>
      </w:tr>
    </w:tbl>
    <w:p>
      <w:pPr>
        <w:spacing w:after="0"/>
      </w:pPr>
    </w:p>
    <w:p>
      <w:pPr>
        <w:tabs>
          <w:tab w:pos="1134" w:val="left"/>
        </w:tabs>
        <w:ind w:left="1134" w:hanging="567"/>
      </w:pPr>
      <w:r>
        <w:t>c)</w:t>
      </w:r>
      <w:r>
        <w:tab/>
      </w:r>
      <w:r>
        <w:t>auf Grund eines nach dem 31. Dezember 2003 und vor dem 1. Januar 2006 gestellten Bauantrags hergestellt oder auf Grund eines nach dem 31. Dezember 2003 und vor dem 1. Januar 2006 rechtswirksam abgeschlossenen obligatorischen Vertrags angeschafft worden sind,</w:t>
      </w:r>
    </w:p>
    <w:tbl>
      <w:tblPr>
        <w:tblStyle w:val="TableGrid"/>
        <w:tblW w:type="pct" w:w="5000"/>
        <w:tblLook w:firstColumn="1" w:firstRow="1" w:lastColumn="0" w:lastRow="0" w:noHBand="0" w:noVBand="1" w:val="04A0"/>
        <w:tblCaption w:val="Tabelle 5 zu § 7"/>
      </w:tblPr>
      <w:tblGrid>
        <w:gridCol w:w="3135"/>
        <w:gridCol w:w="3135"/>
        <w:gridCol w:w="3135"/>
      </w:tblGrid>
      <w:tr>
        <w:trPr>
          <w:cantSplit/>
        </w:trPr>
        <w:tc>
          <w:tcPr>
            <w:tcW w:type="dxa" w:w="3135"/>
          </w:tcPr>
          <w:p>
            <w:r>
              <w:t>–</w:t>
            </w:r>
          </w:p>
        </w:tc>
        <w:tc>
          <w:tcPr>
            <w:tcW w:type="dxa" w:w="3135"/>
          </w:tcPr>
          <w:p>
            <w:r>
              <w:t>im Jahr der Fertigstellung und</w:t>
            </w:r>
            <w:r>
              <w:br/>
            </w:r>
            <w:r>
              <w:t>in den folgenden 9 Jahren</w:t>
            </w:r>
          </w:p>
        </w:tc>
        <w:tc>
          <w:tcPr>
            <w:tcW w:type="dxa" w:w="3135"/>
          </w:tcPr>
          <w:p>
            <w:r>
              <w:t>jeweils 4 Prozent,</w:t>
            </w:r>
          </w:p>
        </w:tc>
      </w:tr>
      <w:tr>
        <w:trPr>
          <w:cantSplit/>
        </w:trPr>
        <w:tc>
          <w:tcPr>
            <w:tcW w:type="dxa" w:w="3135"/>
          </w:tcPr>
          <w:p>
            <w:r>
              <w:t>–</w:t>
            </w:r>
          </w:p>
        </w:tc>
        <w:tc>
          <w:tcPr>
            <w:tcW w:type="dxa" w:w="3135"/>
          </w:tcPr>
          <w:p>
            <w:r>
              <w:t>in den darauf folgenden</w:t>
            </w:r>
            <w:r>
              <w:br/>
            </w:r>
            <w:r>
              <w:t>8 Jahren</w:t>
            </w:r>
          </w:p>
        </w:tc>
        <w:tc>
          <w:tcPr>
            <w:tcW w:type="dxa" w:w="3135"/>
          </w:tcPr>
          <w:p>
            <w:r>
              <w:t>jeweils 2,5 Prozent,</w:t>
            </w:r>
          </w:p>
        </w:tc>
      </w:tr>
      <w:tr>
        <w:trPr>
          <w:cantSplit/>
        </w:trPr>
        <w:tc>
          <w:tcPr>
            <w:tcW w:type="dxa" w:w="3135"/>
          </w:tcPr>
          <w:p>
            <w:r>
              <w:t>–</w:t>
            </w:r>
          </w:p>
        </w:tc>
        <w:tc>
          <w:tcPr>
            <w:tcW w:type="dxa" w:w="3135"/>
          </w:tcPr>
          <w:p>
            <w:r>
              <w:t>in den darauf folgenden</w:t>
            </w:r>
            <w:r>
              <w:br/>
            </w:r>
            <w:r>
              <w:t>32 Jahren</w:t>
            </w:r>
          </w:p>
        </w:tc>
        <w:tc>
          <w:tcPr>
            <w:tcW w:type="dxa" w:w="3135"/>
          </w:tcPr>
          <w:p>
            <w:r>
              <w:t>jeweils 1,25 Prozent,</w:t>
            </w:r>
          </w:p>
        </w:tc>
      </w:tr>
    </w:tbl>
    <w:p>
      <w:pPr>
        <w:spacing w:after="0"/>
      </w:pPr>
    </w:p>
    <w:p>
      <w:r>
        <w:t xml:space="preserve">der Anschaffungs- oder Herstellungskosten. </w:t>
      </w:r>
      <w:r>
        <w:rPr>
          <w:rStyle w:val="Satznummer"/>
        </w:rPr>
        <w:t>2</w:t>
      </w:r>
      <w:r>
        <w:t xml:space="preserve">Im Fall der Anschaffung kann Satz 1 nur angewendet werden, wenn der Hersteller für das veräußerte Gebäude weder Absetzungen für Abnutzung nach Satz 1 vorgenommen noch erhöhte Absetzungen oder Sonderabschreibungen in Anspruch genommen hat. </w:t>
      </w:r>
      <w:r>
        <w:rPr>
          <w:rStyle w:val="Satznummer"/>
        </w:rPr>
        <w:t>3</w:t>
      </w:r>
      <w:r>
        <w:t>Absatz 1 Satz 4 gilt nicht.</w:t>
      </w:r>
    </w:p>
    <w:p>
      <w:r>
        <w:t xml:space="preserve">(5a) </w:t>
      </w:r>
      <w:r>
        <w:rPr>
          <w:rStyle w:val="Satznummer"/>
        </w:rPr>
        <w:t>1</w:t>
      </w:r>
      <w:r>
        <w:t xml:space="preserve">Bei Gebäuden, die in einem Mitgliedstaat der Europäischen Union oder einem anderen Staat belegen sind, auf den das Abkommen über den Europäischen Wirtschaftsraum (EWR-Abkommen) angewendet wird, soweit sie Wohnzwecken dienen und vom Steuerpflichtigen hergestellt oder bis zum Ende des Jahres der Fertigstellung angeschafft worden sind, kann statt der Absetzung für Abnutzung in gleichen Jahresbeträgen nach Absatz 4 Nummer 2 Buchstabe a die Absetzung für Abnutzung in fallenden Jahresbeträgen erfolgen, wenn mit der Herstellung nach dem 30. September 2023 und vor dem 1. Oktober 2029 begonnen wurde oder die Anschaffung auf Grund eines nach dem 30. September 2023 und vor dem 1. Oktober 2029 rechtswirksam abgeschlossenen obligatorischen Vertrags erfolgt. </w:t>
      </w:r>
      <w:r>
        <w:rPr>
          <w:rStyle w:val="Satznummer"/>
        </w:rPr>
        <w:t>2</w:t>
      </w:r>
      <w:r>
        <w:t xml:space="preserve">Als Beginn der Herstellung gilt das Datum in der nach den jeweiligen landesrechtlichen Vorschriften einzureichenden Baubeginnsanzeige. </w:t>
      </w:r>
      <w:r>
        <w:rPr>
          <w:rStyle w:val="Satznummer"/>
        </w:rPr>
        <w:t>3</w:t>
      </w:r>
      <w:r>
        <w:t xml:space="preserve">Sollten landesrechtlich im Einzelfall keine Baubeginnsanzeigen vorgeschrieben sein, hat der Steuerpflichtige zu erklären, dass er den Baubeginn gegenüber der zuständigen Baubehörde freiwillig angezeigt hat. </w:t>
      </w:r>
      <w:r>
        <w:rPr>
          <w:rStyle w:val="Satznummer"/>
        </w:rPr>
        <w:t>4</w:t>
      </w:r>
      <w:r>
        <w:t xml:space="preserve">Die Absetzung für Abnutzung in fallenden Jahresbeträgen kann nach einem unveränderlichen Prozentsatz in Höhe von 5 Prozent vom jeweiligen Buchwert (Restwert) vorgenommen werden. </w:t>
      </w:r>
      <w:r>
        <w:rPr>
          <w:rStyle w:val="Satznummer"/>
        </w:rPr>
        <w:t>5</w:t>
      </w:r>
      <w:r>
        <w:t xml:space="preserve">Absatz 1 Satz 4 gilt entsprechend. </w:t>
      </w:r>
      <w:r>
        <w:rPr>
          <w:rStyle w:val="Satznummer"/>
        </w:rPr>
        <w:t>6</w:t>
      </w:r>
      <w:r>
        <w:t xml:space="preserve">Bei Gebäuden, bei denen die Absetzung für Abnutzung in fallenden Jahresbeträgen bemessen wird, sind Absetzungen für außergewöhnliche technische oder wirtschaftliche Abnutzung nicht zulässig. </w:t>
      </w:r>
      <w:r>
        <w:rPr>
          <w:rStyle w:val="Satznummer"/>
        </w:rPr>
        <w:t>7</w:t>
      </w:r>
      <w:r>
        <w:t xml:space="preserve">Der Übergang von der Absetzung für Abnutzung in fallenden Jahresbeträgen zur Absetzung für Abnutzung in gleichen Jahresbeträgen ist zulässig. </w:t>
      </w:r>
      <w:r>
        <w:rPr>
          <w:rStyle w:val="Satznummer"/>
        </w:rPr>
        <w:t>8</w:t>
      </w:r>
      <w:r>
        <w:t>Die weitere Absetzung für Abnutzung bemisst sich nach dem Übergang zur Absetzung für Abnutzung im Sinne des Absatzes 4 vom Restwert und dem nach Absatz 4 unter Berücksichtigung der Restnutzungsdauer maßgebenden Prozentsatz.</w:t>
      </w:r>
    </w:p>
    <w:p>
      <w:r>
        <w:t>(5b) Die Absätze 4 bis 5a sind auf Gebäudeteile, die selbständige unbewegliche Wirtschaftsgüter sind, sowie auf Eigentumswohnungen und auf im Teileigentum stehende Räume entsprechend anzuwenden.</w:t>
      </w:r>
    </w:p>
    <w:p>
      <w:r>
        <w:t>(6) Bei Bergbauunternehmen, Steinbrüchen und anderen Betrieben, die einen Verbrauch der Substanz mit sich bringen, ist Absatz 1 entsprechend anzuwenden; dabei sind Absetzungen nach Maßgabe des Substanzverzehrs zulässig (Absetzung für Substanzverringerung).</w:t>
      </w:r>
    </w:p>
    <w:p>
      <w:pPr>
        <w:pStyle w:val="Heading3"/>
      </w:pPr>
      <w:bookmarkStart w:id="36" w:name="b35"/>
      <w:r>
        <w:t>§ 7a Gemeinsame Vorschriften für erhöhte Absetzungen und Sonderabschreibungen</w:t>
      </w:r>
      <w:r>
        <w:t xml:space="preserve"> </w:t>
      </w:r>
      <w:r>
        <w:rPr>
          <w:rStyle w:val="Suchmarke"/>
        </w:rPr>
        <w:t>#7a#</w:t>
      </w:r>
      <w:bookmarkEnd w:id="36"/>
    </w:p>
    <w:p>
      <w:r>
        <w:t xml:space="preserve">(1) </w:t>
      </w:r>
      <w:r>
        <w:rPr>
          <w:rStyle w:val="Satznummer"/>
        </w:rPr>
        <w:t>1</w:t>
      </w:r>
      <w:r>
        <w:t xml:space="preserve">Werden in dem Zeitraum, in dem bei einem Wirtschaftsgut erhöhte Absetzungen oder Sonderabschreibungen in Anspruch genommen werden können (Begünstigungszeitraum), nachträgliche Herstellungskosten aufgewendet, so bemessen sich vom Jahr der Entstehung der nachträglichen Herstellungskosten an bis zum Ende des Begünstigungszeitraums die Absetzungen für Abnutzung, erhöhten Absetzungen und Sonderabschreibungen nach den um die nachträglichen Herstellungskosten erhöhten Anschaffungs- oder Herstellungskosten. </w:t>
      </w:r>
      <w:r>
        <w:rPr>
          <w:rStyle w:val="Satznummer"/>
        </w:rPr>
        <w:t>2</w:t>
      </w:r>
      <w:r>
        <w:t xml:space="preserve">Entsprechendes gilt für nachträgliche Anschaffungskosten. </w:t>
      </w:r>
      <w:r>
        <w:rPr>
          <w:rStyle w:val="Satznummer"/>
        </w:rPr>
        <w:t>3</w:t>
      </w:r>
      <w:r>
        <w:t>Werden im Begünstigungszeitraum die Anschaffungs- oder Herstellungskosten eines Wirtschaftsguts nachträglich gemindert, so bemessen sich vom Jahr der Minderung an bis zum Ende des Begünstigungszeitraums die Absetzungen für Abnutzung, erhöhten Absetzungen und Sonderabschreibungen nach den geminderten Anschaffungs- oder Herstellungskosten.</w:t>
      </w:r>
    </w:p>
    <w:p>
      <w:r>
        <w:t xml:space="preserve">(2) </w:t>
      </w:r>
      <w:r>
        <w:rPr>
          <w:rStyle w:val="Satznummer"/>
        </w:rPr>
        <w:t>1</w:t>
      </w:r>
      <w:r>
        <w:t xml:space="preserve">Können bei einem Wirtschaftsgut erhöhte Absetzungen oder Sonderabschreibungen bereits für Anzahlungen auf Anschaffungskosten oder für Teilherstellungskosten in Anspruch genommen werden, so sind die Vorschriften über erhöhte Absetzungen und Sonderabschreibungen mit der Maßgabe anzuwenden, dass an die Stelle der Anschaffungs- oder Herstellungskosten die Anzahlungen auf Anschaffungskosten oder die Teilherstellungskosten und an die Stelle des Jahres der Anschaffung oder Herstellung das Jahr der Anzahlung oder Teilherstellung treten. </w:t>
      </w:r>
      <w:r>
        <w:rPr>
          <w:rStyle w:val="Satznummer"/>
        </w:rPr>
        <w:t>2</w:t>
      </w:r>
      <w:r>
        <w:t xml:space="preserve">Nach Anschaffung oder Herstellung des Wirtschaftsguts sind erhöhte Absetzungen oder Sonderabschreibungen nur zulässig, soweit sie nicht bereits für Anzahlungen auf Anschaffungskosten oder für Teilherstellungskosten in Anspruch genommen worden sind. </w:t>
      </w:r>
      <w:r>
        <w:rPr>
          <w:rStyle w:val="Satznummer"/>
        </w:rPr>
        <w:t>3</w:t>
      </w:r>
      <w:r>
        <w:t xml:space="preserve">Anzahlungen auf Anschaffungskosten sind im Zeitpunkt der tatsächlichen Zahlung aufgewendet. </w:t>
      </w:r>
      <w:r>
        <w:rPr>
          <w:rStyle w:val="Satznummer"/>
        </w:rPr>
        <w:t>4</w:t>
      </w:r>
      <w:r>
        <w:t xml:space="preserve">Werden Anzahlungen auf Anschaffungskosten durch Hingabe eines Wechsels geleistet, so sind sie in dem Zeitpunkt aufgewendet, in dem dem Lieferanten durch Diskontierung oder Einlösung des Wechsels das Geld tatsächlich zufließt. </w:t>
      </w:r>
      <w:r>
        <w:rPr>
          <w:rStyle w:val="Satznummer"/>
        </w:rPr>
        <w:t>5</w:t>
      </w:r>
      <w:r>
        <w:t>Entsprechendes gilt, wenn anstelle von Geld ein Scheck hingegeben wird.</w:t>
      </w:r>
    </w:p>
    <w:p>
      <w:r>
        <w:t xml:space="preserve">(3) Bei Wirtschaftsgütern, bei denen erhöhte Absetzungen in Anspruch genommen werden, müssen in jedem Jahr des Begünstigungszeitraums mindestens Absetzungen in Höhe der Absetzungen für Abnutzung nach </w:t>
      </w:r>
      <w:hyperlink w:anchor="b34" w:history="1">
        <w:r>
          <w:rPr>
            <w:color w:val="0A3A8C"/>
            <w:u w:val="single"/>
          </w:rPr>
          <w:t xml:space="preserve">§ 7</w:t>
        </w:r>
      </w:hyperlink>
      <w:r>
        <w:t xml:space="preserve"> Absatz 1 oder 4 berücksichtigt werden.</w:t>
      </w:r>
    </w:p>
    <w:p>
      <w:r>
        <w:t xml:space="preserve">(4) Bei Wirtschaftsgütern, bei denen Sonderabschreibungen in Anspruch genommen werden, sind die Absetzungen für Abnutzung nach </w:t>
      </w:r>
      <w:hyperlink w:anchor="b34" w:history="1">
        <w:r>
          <w:rPr>
            <w:color w:val="0A3A8C"/>
            <w:u w:val="single"/>
          </w:rPr>
          <w:t xml:space="preserve">§ 7</w:t>
        </w:r>
      </w:hyperlink>
      <w:r>
        <w:t xml:space="preserve"> Absatz 1 oder 4 vorzunehmen.</w:t>
      </w:r>
    </w:p>
    <w:p>
      <w:r>
        <w:t>(5) Liegen bei einem Wirtschaftsgut die Voraussetzungen für die Inanspruchnahme von erhöhten Absetzungen oder Sonderabschreibungen auf Grund mehrerer Vorschriften vor, so dürfen erhöhte Absetzungen oder Sonderabschreibungen nur auf Grund einer dieser Vorschriften in Anspruch genommen werden.</w:t>
      </w:r>
    </w:p>
    <w:p>
      <w:r>
        <w:t>(6) Erhöhte Absetzungen oder Sonderabschreibungen sind bei der Prüfung, ob die in § 141 Absatz 1 Nummer 4 und 5 der Abgabenordnung bezeichneten Buchführungsgrenzen überschritten sind, nicht zu berücksichtigen.</w:t>
      </w:r>
    </w:p>
    <w:p>
      <w:r>
        <w:t xml:space="preserve">(7) </w:t>
      </w:r>
      <w:r>
        <w:rPr>
          <w:rStyle w:val="Satznummer"/>
        </w:rPr>
        <w:t>1</w:t>
      </w:r>
      <w:r>
        <w:t xml:space="preserve">Ist ein Wirtschaftsgut mehreren Beteiligten zuzurechnen und sind die Voraussetzungen für erhöhte Absetzungen oder Sonderabschreibungen nur bei einzelnen Beteiligten erfüllt, so dürfen die erhöhten Absetzungen und Sonderabschreibungen nur anteilig für diese Beteiligten vorgenommen werden. </w:t>
      </w:r>
      <w:r>
        <w:rPr>
          <w:rStyle w:val="Satznummer"/>
        </w:rPr>
        <w:t>2</w:t>
      </w:r>
      <w:r>
        <w:t>Die erhöhten Absetzungen oder Sonderabschreibungen dürfen von den Beteiligten, bei denen die Voraussetzungen dafür erfüllt sind, nur einheitlich vorgenommen werden.</w:t>
      </w:r>
    </w:p>
    <w:p>
      <w:r>
        <w:t xml:space="preserve">(8) </w:t>
      </w:r>
      <w:r>
        <w:rPr>
          <w:rStyle w:val="Satznummer"/>
        </w:rPr>
        <w:t>1</w:t>
      </w:r>
      <w:r>
        <w:t xml:space="preserve">Erhöhte Absetzungen oder Sonderabschreibungen sind bei Wirtschaftsgütern, die zu einem Betriebsvermögen gehören, nur zulässig, wenn sie in ein besonderes, laufend zu führendes Verzeichnis aufgenommen werden, das den Tag der Anschaffung oder Herstellung, die Anschaffungs- oder Herstellungskosten, die betriebsgewöhnliche Nutzungsdauer und die Höhe der jährlichen Absetzungen für Abnutzung, erhöhten Absetzungen und Sonderabschreibungen enthält. </w:t>
      </w:r>
      <w:r>
        <w:rPr>
          <w:rStyle w:val="Satznummer"/>
        </w:rPr>
        <w:t>2</w:t>
      </w:r>
      <w:r>
        <w:t>Das Verzeichnis braucht nicht geführt zu werden, wenn diese Angaben aus der Buchführung ersichtlich sind.</w:t>
      </w:r>
    </w:p>
    <w:p>
      <w:r>
        <w:t xml:space="preserve">(9) Sind für ein Wirtschaftsgut Sonderabschreibungen vorgenommen worden, so bemessen sich nach Ablauf des maßgebenden Begünstigungszeitraums die Absetzungen für Abnutzung bei Gebäuden und bei Wirtschaftsgütern im Sinne des </w:t>
      </w:r>
      <w:hyperlink w:anchor="b34" w:history="1">
        <w:r>
          <w:rPr>
            <w:color w:val="0A3A8C"/>
            <w:u w:val="single"/>
          </w:rPr>
          <w:t xml:space="preserve">§ 7</w:t>
        </w:r>
      </w:hyperlink>
      <w:r>
        <w:t xml:space="preserve"> Absatz 5b nach dem Restwert und dem nach </w:t>
      </w:r>
      <w:hyperlink w:anchor="b34" w:history="1">
        <w:r>
          <w:rPr>
            <w:color w:val="0A3A8C"/>
            <w:u w:val="single"/>
          </w:rPr>
          <w:t xml:space="preserve">§ 7</w:t>
        </w:r>
      </w:hyperlink>
      <w:r>
        <w:t xml:space="preserve"> Absatz 4 unter Berücksichtigung der Restnutzungsdauer maßgebenden Prozentsatz oder dem nach </w:t>
      </w:r>
      <w:hyperlink w:anchor="b34" w:history="1">
        <w:r>
          <w:rPr>
            <w:color w:val="0A3A8C"/>
            <w:u w:val="single"/>
          </w:rPr>
          <w:t xml:space="preserve">§ 7</w:t>
        </w:r>
      </w:hyperlink>
      <w:r>
        <w:t xml:space="preserve"> Absatz 5a maßgebenden Prozentsatz, bei anderen Wirtschaftsgütern nach dem Restwert und der Restnutzungsdauer.</w:t>
      </w:r>
    </w:p>
    <w:p>
      <w:pPr>
        <w:pStyle w:val="Heading3"/>
      </w:pPr>
      <w:bookmarkStart w:id="37" w:name="b36"/>
      <w:r>
        <w:t>§ 7b Sonderabschreibung für Mietwohnungsneubau</w:t>
      </w:r>
      <w:r>
        <w:t xml:space="preserve"> </w:t>
      </w:r>
      <w:r>
        <w:rPr>
          <w:rStyle w:val="Suchmarke"/>
        </w:rPr>
        <w:t>#7b#</w:t>
      </w:r>
      <w:bookmarkEnd w:id="37"/>
    </w:p>
    <w:p>
      <w:r>
        <w:t xml:space="preserve">(1) </w:t>
      </w:r>
      <w:r>
        <w:rPr>
          <w:rStyle w:val="Satznummer"/>
        </w:rPr>
        <w:t>1</w:t>
      </w:r>
      <w:r>
        <w:t xml:space="preserve">Für die Anschaffung oder Herstellung neuer Wohnungen, die in einem Mitgliedstaat der Europäischen Union belegen sind, können nach Maßgabe der nachfolgenden Absätze im Jahr der Anschaffung oder Herstellung und in den folgenden drei Jahren Sonderabschreibungen bis zu jährlich 5 Prozent der Bemessungsgrundlage neben der Absetzung für Abnutzung nach § 7 Absatz 4 oder 5a in Anspruch genommen werden. </w:t>
      </w:r>
      <w:r>
        <w:rPr>
          <w:rStyle w:val="Satznummer"/>
        </w:rPr>
        <w:t>2</w:t>
      </w:r>
      <w:r>
        <w:t xml:space="preserve">Im Fall der Anschaffung ist eine Wohnung neu, wenn sie bis zum Ende des Jahres der Fertigstellung angeschafft wird. </w:t>
      </w:r>
      <w:r>
        <w:rPr>
          <w:rStyle w:val="Satznummer"/>
        </w:rPr>
        <w:t>3</w:t>
      </w:r>
      <w:r>
        <w:t xml:space="preserve">In diesem Fall können die Sonderabschreibungen nach Satz 1 nur vom Anschaffenden in Anspruch genommen werden. </w:t>
      </w:r>
      <w:r>
        <w:rPr>
          <w:rStyle w:val="Satznummer"/>
        </w:rPr>
        <w:t>4</w:t>
      </w:r>
      <w:r>
        <w:t>Bei der Anwendung des Satzes 1 sind den Mitgliedstaaten der Europäischen Union Staaten gleichgestellt, die auf Grund vertraglicher Verpflichtung Amtshilfe entsprechend dem EU-Amtshilfegesetz in einem Umfang leisten, der für die Überprüfung der Voraussetzungen dieser Vorschrift erforderlich ist.</w:t>
      </w:r>
    </w:p>
    <w:p>
      <w:r>
        <w:t xml:space="preserve">(2) </w:t>
      </w:r>
      <w:r>
        <w:rPr>
          <w:rStyle w:val="Satznummer"/>
        </w:rPr>
        <w:t>1</w:t>
      </w:r>
      <w:r>
        <w:t>Die Sonderabschreibungen können nur in Anspruch genommen werden, wenn</w:t>
      </w:r>
    </w:p>
    <w:p>
      <w:pPr>
        <w:tabs>
          <w:tab w:pos="567" w:val="left"/>
        </w:tabs>
        <w:ind w:left="567" w:hanging="567"/>
      </w:pPr>
      <w:r>
        <w:t>1.</w:t>
      </w:r>
      <w:r>
        <w:tab/>
      </w:r>
      <w:r>
        <w:t>durch Baumaßnahmen auf Grund eines nach dem 31. August 2018 und vor dem 1. Januar 2022 oder nach dem 31. Dezember 2022 und vor dem 1. Oktober 2029 gestellten Bauantrags oder einer in diesem Zeitraum getätigten Bauanzeige neue, bisher nicht vorhandene, Wohnungen hergestellt werden, die die Voraussetzungen des § 181 Absatz 9 des Bewertungsgesetzes erfüllen; hierzu gehören auch die zu einer Wohnung gehörenden Nebenräume,</w:t>
      </w:r>
    </w:p>
    <w:p>
      <w:pPr>
        <w:tabs>
          <w:tab w:pos="567" w:val="left"/>
        </w:tabs>
        <w:ind w:left="567" w:hanging="567"/>
      </w:pPr>
      <w:r>
        <w:t>2.</w:t>
      </w:r>
      <w:r>
        <w:tab/>
      </w:r>
      <w:r>
        <w:t>Wohnungen, die aufgrund eines nach dem 31. Dezember 2022 und vor dem 1. Oktober 2029 gestellten Bauantrags oder einer in diesem Zeitraum getätigten Bauanzeige hergestellt werden, in einem Gebäude liegen, das die Kriterien eines „Effizienzhaus 40“ mit Nachhaltigkeits-Klasse erfüllt und dies durch Qualitätssiegel Nachhaltiges Gebäude nachgewiesen wird,</w:t>
      </w:r>
    </w:p>
    <w:p>
      <w:pPr>
        <w:tabs>
          <w:tab w:pos="567" w:val="left"/>
        </w:tabs>
        <w:ind w:left="567" w:hanging="567"/>
      </w:pPr>
      <w:r>
        <w:t>3.</w:t>
      </w:r>
      <w:r>
        <w:tab/>
      </w:r>
      <w:r>
        <w:t>die Wohnung im Jahr der Anschaffung oder Herstellung und in den folgenden neun Jahren der entgeltlichen Überlassung zu Wohnzwecken dient; Wohnungen dienen nicht Wohnzwecken, soweit sie zur vorübergehenden Beherbergung von Personen genutzt werden.</w:t>
      </w:r>
    </w:p>
    <w:p>
      <w:r>
        <w:rPr>
          <w:rStyle w:val="Satznummer"/>
        </w:rPr>
        <w:t>2</w:t>
      </w:r>
      <w:r>
        <w:t>Die Anschaffungs- oder Herstellungskosten dürfen für Wohnungen,</w:t>
      </w:r>
    </w:p>
    <w:p>
      <w:pPr>
        <w:tabs>
          <w:tab w:pos="567" w:val="left"/>
        </w:tabs>
        <w:ind w:left="567" w:hanging="567"/>
      </w:pPr>
      <w:r>
        <w:t>1.</w:t>
      </w:r>
      <w:r>
        <w:tab/>
      </w:r>
      <w:r>
        <w:t>die aufgrund eines nach dem 31. August 2018 und vor dem 1. Januar 2022 gestellten Bauantrags oder einer in diesem Zeitraum getätigten Bauanzeige hergestellt werden, 3 000 Euro je Quadratmeter Wohnfläche nicht übersteigen,</w:t>
      </w:r>
    </w:p>
    <w:p>
      <w:pPr>
        <w:tabs>
          <w:tab w:pos="567" w:val="left"/>
        </w:tabs>
        <w:ind w:left="567" w:hanging="567"/>
      </w:pPr>
      <w:r>
        <w:t>2.</w:t>
      </w:r>
      <w:r>
        <w:tab/>
      </w:r>
      <w:r>
        <w:t>die aufgrund eines nach dem 31. Dezember 2022 und vor dem 1. Oktober 2029 gestellten Bauantrags oder einer in diesem Zeitraum getätigten Bauanzeige hergestellt werden, 5 200 Euro je Quadratmeter Wohnfläche nicht übersteigen.</w:t>
      </w:r>
    </w:p>
    <w:p>
      <w:r>
        <w:t>(3) Bemessungsgrundlage für die Sonderabschreibungen nach Absatz 1 sind die Anschaffungs- oder Herstellungskosten der nach Absatz 2 begünstigten Wohnung, jedoch</w:t>
      </w:r>
    </w:p>
    <w:p>
      <w:pPr>
        <w:tabs>
          <w:tab w:pos="567" w:val="left"/>
        </w:tabs>
        <w:ind w:left="567" w:hanging="567"/>
      </w:pPr>
      <w:r>
        <w:t>1.</w:t>
      </w:r>
      <w:r>
        <w:tab/>
      </w:r>
      <w:r>
        <w:t>maximal 2 000 Euro je Quadratmeter Wohnfläche für Wohnungen im Sinne des Absatzes 2 Satz 2 Nummer 1 und</w:t>
      </w:r>
    </w:p>
    <w:p>
      <w:pPr>
        <w:tabs>
          <w:tab w:pos="567" w:val="left"/>
        </w:tabs>
        <w:ind w:left="567" w:hanging="567"/>
      </w:pPr>
      <w:r>
        <w:t>2.</w:t>
      </w:r>
      <w:r>
        <w:tab/>
      </w:r>
      <w:r>
        <w:t>maximal 4 000 Euro je Quadratmeter Wohnfläche für Wohnungen im Sinne des Absatzes 2 Satz 2 Nummer 2.</w:t>
      </w:r>
    </w:p>
    <w:p>
      <w:r>
        <w:t xml:space="preserve">(4) </w:t>
      </w:r>
      <w:r>
        <w:rPr>
          <w:rStyle w:val="Satznummer"/>
        </w:rPr>
        <w:t>1</w:t>
      </w:r>
      <w:r>
        <w:t>Die nach Absatz 1 in Anspruch genommenen Sonderabschreibungen sind rückgängig zu machen, wenn</w:t>
      </w:r>
    </w:p>
    <w:p>
      <w:pPr>
        <w:tabs>
          <w:tab w:pos="567" w:val="left"/>
        </w:tabs>
        <w:ind w:left="567" w:hanging="567"/>
      </w:pPr>
      <w:r>
        <w:t>1.</w:t>
      </w:r>
      <w:r>
        <w:tab/>
      </w:r>
      <w:r>
        <w:t>die begünstigte Wohnung im Jahr der Anschaffung oder Herstellung und in den folgenden neun Jahren nicht der entgeltlichen Überlassung zu Wohnzwecken dient,</w:t>
      </w:r>
    </w:p>
    <w:p>
      <w:pPr>
        <w:tabs>
          <w:tab w:pos="567" w:val="left"/>
        </w:tabs>
        <w:ind w:left="567" w:hanging="567"/>
      </w:pPr>
      <w:r>
        <w:t>2.</w:t>
      </w:r>
      <w:r>
        <w:tab/>
      </w:r>
      <w:r>
        <w:t>die begünstigte Wohnung oder ein Gebäude mit begünstigten Wohnungen im Jahr der Anschaffung oder der Herstellung oder in den folgenden neun Jahren veräußert wird und der Veräußerungsgewinn nicht der Einkommen- oder Körperschaftsteuer unterliegt oder</w:t>
      </w:r>
    </w:p>
    <w:p>
      <w:pPr>
        <w:tabs>
          <w:tab w:pos="567" w:val="left"/>
        </w:tabs>
        <w:ind w:left="567" w:hanging="567"/>
      </w:pPr>
      <w:r>
        <w:t>3.</w:t>
      </w:r>
      <w:r>
        <w:tab/>
      </w:r>
      <w:r>
        <w:t>die Baukostenobergrenze nach Absatz 2 Satz 2 innerhalb der ersten drei Jahre nach Ablauf des Jahres der Anschaffung oder Herstellung der begünstigten Wohnung durch nachträgliche Anschaffungs- oder Herstellungskosten überschritten wird.</w:t>
      </w:r>
    </w:p>
    <w:p>
      <w:r>
        <w:rPr>
          <w:rStyle w:val="Satznummer"/>
        </w:rPr>
        <w:t>2</w:t>
      </w:r>
      <w:r>
        <w:t xml:space="preserve">Steuer- oder Feststellungsbescheide, in denen Sonderabschreibungen nach Absatz 1 berücksichtigt wurden, sind insoweit aufzuheben oder zu ändern. </w:t>
      </w:r>
      <w:r>
        <w:rPr>
          <w:rStyle w:val="Satznummer"/>
        </w:rPr>
        <w:t>3</w:t>
      </w:r>
      <w:r>
        <w:t xml:space="preserve">Das gilt auch dann, wenn die Steuer- oder Feststellungsbescheide bestandskräftig geworden sind; die Festsetzungsfristen für das Jahr der Anschaffung oder Herstellung und für die folgenden drei Kalenderjahre beginnen insoweit mit Ablauf des Kalenderjahres, in dem das Ereignis im Sinne des Satzes 1 eingetreten ist. </w:t>
      </w:r>
      <w:r>
        <w:rPr>
          <w:rStyle w:val="Satznummer"/>
        </w:rPr>
        <w:t>4</w:t>
      </w:r>
      <w:r>
        <w:t>§ 233a Absatz 2a der Abgabenordnung ist insoweit nicht anzuwenden.</w:t>
      </w:r>
    </w:p>
    <w:p>
      <w:r>
        <w:t xml:space="preserve">(5) </w:t>
      </w:r>
      <w:r>
        <w:rPr>
          <w:rStyle w:val="Satznummer"/>
        </w:rPr>
        <w:t>1</w:t>
      </w:r>
      <w:r>
        <w:t xml:space="preserve">Die Sonderabschreibungen nach Absatz 1 werden nur gewährt, soweit die Voraussetzungen der Verordnung (EU) 2023/2831 eingehalten sind und dies durch den Anspruchsberechtigten in geeigneter Weise nachgewiesen wird. </w:t>
      </w:r>
      <w:r>
        <w:rPr>
          <w:rStyle w:val="Satznummer"/>
        </w:rPr>
        <w:t>2</w:t>
      </w:r>
      <w:r>
        <w:t xml:space="preserve">Satz 1 ist auf Sonderabschreibungen für neue Wohnungen, die aufgrund eines nach dem 31. Dezember 2022 und vor dem 1. Oktober 2029 gestellten Bauantrags oder einer in diesem Zeitraum getätigten Bauanzeige hergestellt werden, nur bei Anspruchsberechtigten mit Einkünften im Sinne der </w:t>
      </w:r>
      <w:hyperlink w:anchor="b69" w:history="1">
        <w:r>
          <w:rPr>
            <w:color w:val="0A3A8C"/>
            <w:u w:val="single"/>
          </w:rPr>
          <w:t xml:space="preserve">§§ 13</w:t>
        </w:r>
      </w:hyperlink>
      <w:r>
        <w:t xml:space="preserve">, </w:t>
      </w:r>
      <w:hyperlink w:anchor="b75" w:history="1">
        <w:r>
          <w:rPr>
            <w:color w:val="0A3A8C"/>
            <w:u w:val="single"/>
          </w:rPr>
          <w:t xml:space="preserve">15</w:t>
        </w:r>
      </w:hyperlink>
      <w:r>
        <w:t xml:space="preserve"> und </w:t>
      </w:r>
      <w:hyperlink w:anchor="b81" w:history="1">
        <w:r>
          <w:rPr>
            <w:color w:val="0A3A8C"/>
            <w:u w:val="single"/>
          </w:rPr>
          <w:t xml:space="preserve">18</w:t>
        </w:r>
      </w:hyperlink>
      <w:r>
        <w:t xml:space="preserve"> anzuwenden.</w:t>
      </w:r>
    </w:p>
    <w:p>
      <w:pPr>
        <w:pStyle w:val="Heading3"/>
      </w:pPr>
      <w:bookmarkStart w:id="38" w:name="b37"/>
      <w:r>
        <w:t>§§ 7c bis 7d (weggefallen)</w:t>
      </w:r>
      <w:bookmarkEnd w:id="38"/>
    </w:p>
    <w:p>
      <w:pPr>
        <w:pStyle w:val="Heading3"/>
      </w:pPr>
      <w:bookmarkStart w:id="39" w:name="b38"/>
      <w:r>
        <w:t>§ 7e (weggefallen)</w:t>
      </w:r>
      <w:r>
        <w:t xml:space="preserve"> </w:t>
      </w:r>
      <w:r>
        <w:rPr>
          <w:rStyle w:val="Suchmarke"/>
        </w:rPr>
        <w:t>#7e#</w:t>
      </w:r>
      <w:bookmarkEnd w:id="39"/>
    </w:p>
    <w:p>
      <w:r>
        <w:t>-</w:t>
      </w:r>
    </w:p>
    <w:p>
      <w:pPr>
        <w:pStyle w:val="Heading3"/>
      </w:pPr>
      <w:bookmarkStart w:id="40" w:name="b39"/>
      <w:r>
        <w:t>§ 7f (weggefallen)</w:t>
      </w:r>
      <w:r>
        <w:t xml:space="preserve"> </w:t>
      </w:r>
      <w:r>
        <w:rPr>
          <w:rStyle w:val="Suchmarke"/>
        </w:rPr>
        <w:t>#7f#</w:t>
      </w:r>
      <w:bookmarkEnd w:id="40"/>
    </w:p>
    <w:p>
      <w:pPr>
        <w:pStyle w:val="Heading3"/>
      </w:pPr>
      <w:bookmarkStart w:id="41" w:name="b40"/>
      <w:r>
        <w:t>§ 7g Investitionsabzugsbeträge und Sonderabschreibungen zur Förderung kleiner und mittlerer Betriebe</w:t>
      </w:r>
      <w:r>
        <w:t xml:space="preserve"> </w:t>
      </w:r>
      <w:r>
        <w:rPr>
          <w:rStyle w:val="Suchmarke"/>
        </w:rPr>
        <w:t>#7g#</w:t>
      </w:r>
      <w:bookmarkEnd w:id="41"/>
    </w:p>
    <w:p>
      <w:r>
        <w:t xml:space="preserve">(1) </w:t>
      </w:r>
      <w:r>
        <w:rPr>
          <w:rStyle w:val="Satznummer"/>
        </w:rPr>
        <w:t>1</w:t>
      </w:r>
      <w:r>
        <w:t xml:space="preserve">Steuerpflichtige können für die künftige Anschaffung oder Herstellung von abnutzbaren beweglichen Wirtschaftsgütern des Anlagevermögens, die mindestens bis zum Ende des dem Wirtschaftsjahr der Anschaffung oder Herstellung folgenden Wirtschaftsjahres vermietet oder in einer inländischen Betriebsstätte des Betriebes ausschließlich oder fast ausschließlich betrieblich genutzt werden, bis zu 50 Prozent der voraussichtlichen Anschaffungs- oder Herstellungskosten gewinnmindernd abziehen (Investitionsabzugsbeträge). </w:t>
      </w:r>
      <w:r>
        <w:rPr>
          <w:rStyle w:val="Satznummer"/>
        </w:rPr>
        <w:t>2</w:t>
      </w:r>
      <w:r>
        <w:t>Investitionsabzugsbeträge können nur in Anspruch genommen werden, wenn</w:t>
      </w:r>
    </w:p>
    <w:p>
      <w:pPr>
        <w:tabs>
          <w:tab w:pos="567" w:val="left"/>
        </w:tabs>
        <w:ind w:left="567" w:hanging="567"/>
      </w:pPr>
      <w:r>
        <w:t>1.</w:t>
      </w:r>
      <w:r>
        <w:tab/>
      </w:r>
      <w:r>
        <w:t>der Gewinn</w:t>
      </w:r>
    </w:p>
    <w:p>
      <w:pPr>
        <w:tabs>
          <w:tab w:pos="1134" w:val="left"/>
        </w:tabs>
        <w:ind w:left="1134" w:hanging="567"/>
      </w:pPr>
      <w:r>
        <w:t>a)</w:t>
      </w:r>
      <w:r>
        <w:tab/>
      </w:r>
      <w:r>
        <w:t xml:space="preserve">nach </w:t>
      </w:r>
      <w:hyperlink w:anchor="b13" w:history="1">
        <w:r>
          <w:rPr>
            <w:color w:val="0A3A8C"/>
            <w:u w:val="single"/>
          </w:rPr>
          <w:t xml:space="preserve">§ 4</w:t>
        </w:r>
      </w:hyperlink>
      <w:r>
        <w:t xml:space="preserve"> oder </w:t>
      </w:r>
      <w:hyperlink w:anchor="b25" w:history="1">
        <w:r>
          <w:rPr>
            <w:color w:val="0A3A8C"/>
            <w:u w:val="single"/>
          </w:rPr>
          <w:t xml:space="preserve">§ 5</w:t>
        </w:r>
      </w:hyperlink>
      <w:r>
        <w:t xml:space="preserve"> ermittelt wird;</w:t>
      </w:r>
    </w:p>
    <w:p>
      <w:pPr>
        <w:tabs>
          <w:tab w:pos="1134" w:val="left"/>
        </w:tabs>
        <w:ind w:left="1134" w:hanging="567"/>
      </w:pPr>
      <w:r>
        <w:t>b)</w:t>
      </w:r>
      <w:r>
        <w:tab/>
      </w:r>
      <w:r>
        <w:t>im Wirtschaftsjahr, in dem die Abzüge vorgenommen werden sollen, ohne Berücksichtigung der Investitionsabzugsbeträge nach Satz 1 und der Hinzurechnungen nach Absatz 2 200 000 Euro nicht überschreitet und</w:t>
      </w:r>
    </w:p>
    <w:p>
      <w:pPr>
        <w:tabs>
          <w:tab w:pos="567" w:val="left"/>
        </w:tabs>
        <w:ind w:left="567" w:hanging="567"/>
      </w:pPr>
      <w:r>
        <w:t>2.</w:t>
      </w:r>
      <w:r>
        <w:tab/>
      </w:r>
      <w:r>
        <w:t xml:space="preserve">der Steuerpflichtige die Summen der Abzugsbeträge und der nach den Absätzen 2 bis 4 hinzuzurechnenden oder rückgängig zu machenden Beträge nach amtlich vorgeschriebenen Datensätzen durch Datenfernübertragung übermittelt. </w:t>
      </w:r>
      <w:r>
        <w:rPr>
          <w:rStyle w:val="Satznummer"/>
        </w:rPr>
        <w:t>2</w:t>
      </w:r>
      <w:r>
        <w:t xml:space="preserve">Auf Antrag kann die Finanzbehörde zur Vermeidung unbilliger Härten auf eine elektronische Übermittlung verzichten; § 150 Absatz 8 der Abgabenordnung gilt entsprechend. </w:t>
      </w:r>
      <w:r>
        <w:rPr>
          <w:rStyle w:val="Satznummer"/>
        </w:rPr>
        <w:t>3</w:t>
      </w:r>
      <w:r>
        <w:t>In den Fällen des Satzes 2 müssen sich die Summen der Abzugsbeträge und der nach den Absätzen 2 bis 4 hinzuzurechnenden oder rückgängig zu machenden Beträge aus den beim Finanzamt einzureichenden Unterlagen ergeben.</w:t>
      </w:r>
    </w:p>
    <w:p>
      <w:r>
        <w:rPr>
          <w:rStyle w:val="Satznummer"/>
        </w:rPr>
        <w:t>3</w:t>
      </w:r>
      <w:r>
        <w:t xml:space="preserve">Abzugsbeträge können auch dann in Anspruch genommen werden, wenn dadurch ein Verlust entsteht oder sich erhöht. </w:t>
      </w:r>
      <w:r>
        <w:rPr>
          <w:rStyle w:val="Satznummer"/>
        </w:rPr>
        <w:t>4</w:t>
      </w:r>
      <w:r>
        <w:t>Die Summe der Beträge, die im Wirtschaftsjahr des Abzugs und in den drei vorangegangenen Wirtschaftsjahren nach Satz 1 insgesamt abgezogen und nicht nach Absatz 2 hinzugerechnet oder nach den Absätzen 3 oder 4 rückgängig gemacht wurden, darf je Betrieb 200 000 Euro nicht übersteigen.</w:t>
      </w:r>
    </w:p>
    <w:p>
      <w:r>
        <w:t xml:space="preserve">(2) </w:t>
      </w:r>
      <w:r>
        <w:rPr>
          <w:rStyle w:val="Satznummer"/>
        </w:rPr>
        <w:t>1</w:t>
      </w:r>
      <w:r>
        <w:t xml:space="preserve">Im Wirtschaftsjahr der Anschaffung oder Herstellung eines begünstigten Wirtschaftsguts im Sinne von Absatz 1 Satz 1 können bis zu 50 Prozent der Anschaffungs- oder Herstellungskosten gewinnerhöhend hinzugerechnet werden; die Hinzurechnung darf die Summe der nach Absatz 1 abgezogenen und noch nicht nach den Absätzen 2 bis 4 hinzugerechneten oder rückgängig gemachten Abzugsbeträge nicht übersteigen. </w:t>
      </w:r>
      <w:r>
        <w:rPr>
          <w:rStyle w:val="Satznummer"/>
        </w:rPr>
        <w:t>2</w:t>
      </w:r>
      <w:r>
        <w:t xml:space="preserve">Bei nach Eintritt der Unanfechtbarkeit der erstmaligen Steuerfestsetzung oder der erstmaligen gesonderten Feststellung nach Absatz 1 in Anspruch genommenen Investitionsabzugsbeträgen setzt die Hinzurechnung nach Satz 1 voraus, dass das begünstigte Wirtschaftsgut zum Zeitpunkt der Inanspruchnahme der Investitionsabzugsbeträge noch nicht angeschafft oder hergestellt worden ist. </w:t>
      </w:r>
      <w:r>
        <w:rPr>
          <w:rStyle w:val="Satznummer"/>
        </w:rPr>
        <w:t>3</w:t>
      </w:r>
      <w:r>
        <w:t xml:space="preserve">Die Anschaffungs- oder Herstellungskosten des Wirtschaftsguts können in dem in Satz 1 genannten Wirtschaftsjahr um bis zu 50 Prozent, höchstens jedoch um die Hinzurechnung nach Satz 1, gewinnmindernd herabgesetzt werden; die Bemessungsgrundlage für die Absetzungen für Abnutzung, erhöhten Absetzungen und Sonderabschreibungen sowie die Anschaffungs- oder Herstellungskosten im Sinne von </w:t>
      </w:r>
      <w:hyperlink w:anchor="b28" w:history="1">
        <w:r>
          <w:rPr>
            <w:color w:val="0A3A8C"/>
            <w:u w:val="single"/>
          </w:rPr>
          <w:t xml:space="preserve">§ 6</w:t>
        </w:r>
      </w:hyperlink>
      <w:r>
        <w:t xml:space="preserve"> Absatz 2 und 2a verringern sich entsprechend.</w:t>
      </w:r>
    </w:p>
    <w:p>
      <w:r>
        <w:t xml:space="preserve">(3) </w:t>
      </w:r>
      <w:r>
        <w:rPr>
          <w:rStyle w:val="Satznummer"/>
        </w:rPr>
        <w:t>1</w:t>
      </w:r>
      <w:r>
        <w:t xml:space="preserve">Soweit in Anspruch genommene Investitionsabzugsbeträge nicht bis zum Ende des dritten auf das Wirtschaftsjahr des jeweiligen Abzugs folgenden Wirtschaftsjahres nach Absatz 2 Satz 1 hinzugerechnet wurden, sind die Abzüge nach Absatz 1 rückgängig zu machen; die vorzeitige Rückgängigmachung von Investitionsabzugsbeträgen vor Ablauf der Investitionsfrist ist zulässig. </w:t>
      </w:r>
      <w:r>
        <w:rPr>
          <w:rStyle w:val="Satznummer"/>
        </w:rPr>
        <w:t>2</w:t>
      </w:r>
      <w:r>
        <w:t xml:space="preserve">Wurde der Gewinn des maßgebenden Wirtschaftsjahres bereits einer Steuerfestsetzung oder einer gesonderten Feststellung zugrunde gelegt, ist der entsprechende Steuer- oder Feststellungsbescheid insoweit zu ändern. </w:t>
      </w:r>
      <w:r>
        <w:rPr>
          <w:rStyle w:val="Satznummer"/>
        </w:rPr>
        <w:t>3</w:t>
      </w:r>
      <w:r>
        <w:t xml:space="preserve">Das gilt auch dann, wenn der Steuer- oder Feststellungsbescheid bestandskräftig geworden ist; die Festsetzungsfrist endet insoweit nicht, bevor die Festsetzungsfrist für den Veranlagungszeitraum abgelaufen ist, in dem das dritte auf das Wirtschaftsjahr des Abzugs folgende Wirtschaftsjahr endet. </w:t>
      </w:r>
      <w:r>
        <w:rPr>
          <w:rStyle w:val="Satznummer"/>
        </w:rPr>
        <w:t>4</w:t>
      </w:r>
      <w:r>
        <w:t>§ 233a Absatz 2a der Abgabenordnung ist nicht anzuwenden.</w:t>
      </w:r>
    </w:p>
    <w:p>
      <w:r>
        <w:t xml:space="preserve">(4) </w:t>
      </w:r>
      <w:r>
        <w:rPr>
          <w:rStyle w:val="Satznummer"/>
        </w:rPr>
        <w:t>1</w:t>
      </w:r>
      <w:r>
        <w:t xml:space="preserve">Wird in den Fällen des Absatzes 2 ein begünstigtes Wirtschaftsgut nicht bis zum Ende des dem Wirtschaftsjahr der Anschaffung oder Herstellung folgenden Wirtschaftsjahres vermietet oder in einer inländischen Betriebsstätte des Betriebes ausschließlich oder fast ausschließlich betrieblich genutzt, sind die Herabsetzung der Anschaffungs- oder Herstellungskosten, die Verringerung der Bemessungsgrundlage und die Hinzurechnung nach Absatz 2 rückgängig zu machen. </w:t>
      </w:r>
      <w:r>
        <w:rPr>
          <w:rStyle w:val="Satznummer"/>
        </w:rPr>
        <w:t>2</w:t>
      </w:r>
      <w:r>
        <w:t xml:space="preserve">Wurden die Gewinne der maßgebenden Wirtschaftsjahre bereits Steuerfestsetzungen oder gesonderten Feststellungen zugrunde gelegt, sind die entsprechenden Steuer- oder Feststellungsbescheide insoweit zu ändern. </w:t>
      </w:r>
      <w:r>
        <w:rPr>
          <w:rStyle w:val="Satznummer"/>
        </w:rPr>
        <w:t>3</w:t>
      </w:r>
      <w:r>
        <w:t xml:space="preserve">Das gilt auch dann, wenn die Steuer- oder Feststellungsbescheide bestandskräftig geworden sind; die Festsetzungsfristen enden insoweit nicht, bevor die Festsetzungsfrist für den Veranlagungszeitraum abgelaufen ist, in dem die Voraussetzungen des Absatzes 1 Satz 1 erstmals nicht mehr vorliegen. </w:t>
      </w:r>
      <w:r>
        <w:rPr>
          <w:rStyle w:val="Satznummer"/>
        </w:rPr>
        <w:t>4</w:t>
      </w:r>
      <w:r>
        <w:t>§ 233a Absatz 2a der Abgabenordnung ist nicht anzuwenden.</w:t>
      </w:r>
    </w:p>
    <w:p>
      <w:r>
        <w:t>(5) Bei abnutzbaren beweglichen Wirtschaftsgütern des Anlagevermögens können unter den Voraussetzungen des Absatzes 6 im Jahr der Anschaffung oder Herstellung und in den vier folgenden Jahren neben den Absetzungen für Abnutzung nach § 7 Absatz 1 oder Absatz 2 Sonderabschreibungen bis zu insgesamt 40 Prozent der Anschaffungs- oder Herstellungskosten in Anspruch genommen werden.</w:t>
      </w:r>
    </w:p>
    <w:p>
      <w:r>
        <w:t>(6) Die Sonderabschreibungen nach Absatz 5 können nur in Anspruch genommen werden, wenn</w:t>
      </w:r>
    </w:p>
    <w:p>
      <w:pPr>
        <w:tabs>
          <w:tab w:pos="567" w:val="left"/>
        </w:tabs>
        <w:ind w:left="567" w:hanging="567"/>
      </w:pPr>
      <w:r>
        <w:t>1.</w:t>
      </w:r>
      <w:r>
        <w:tab/>
      </w:r>
      <w:r>
        <w:t>der Betrieb im Wirtschaftsjahr, das der Anschaffung oder Herstellung vorangeht, die Gewinngrenze des Absatzes 1 Satz 2 Nummer 1 nicht überschreitet, und</w:t>
      </w:r>
    </w:p>
    <w:p>
      <w:pPr>
        <w:tabs>
          <w:tab w:pos="567" w:val="left"/>
        </w:tabs>
        <w:ind w:left="567" w:hanging="567"/>
      </w:pPr>
      <w:r>
        <w:t>2.</w:t>
      </w:r>
      <w:r>
        <w:tab/>
      </w:r>
      <w:r>
        <w:t>das Wirtschaftsgut im Jahr der Anschaffung oder Herstellung und im darauf folgenden Wirtschaftsjahr vermietet oder in einer inländischen Betriebsstätte des Betriebs des Steuerpflichtigen ausschließlich oder fast ausschließlich betrieblich genutzt wird; Absatz 4 gilt entsprechend.</w:t>
      </w:r>
    </w:p>
    <w:p>
      <w:r>
        <w:t xml:space="preserve">(7) </w:t>
      </w:r>
      <w:r>
        <w:rPr>
          <w:rStyle w:val="Satznummer"/>
        </w:rPr>
        <w:t>1</w:t>
      </w:r>
      <w:r>
        <w:t xml:space="preserve">Bei Personengesellschaften und Gemeinschaften sind die Absätze 1 bis 6 mit der Maßgabe anzuwenden, dass an die Stelle des Steuerpflichtigen die Gesellschaft oder die Gemeinschaft tritt. </w:t>
      </w:r>
      <w:r>
        <w:rPr>
          <w:rStyle w:val="Satznummer"/>
        </w:rPr>
        <w:t>2</w:t>
      </w:r>
      <w:r>
        <w:t xml:space="preserve">Vom Gewinn der Gesamthand oder Gemeinschaft abgezogene Investitionsabzugsbeträge können ausschließlich bei Investitionen der Personengesellschaft oder Gemeinschaft nach Absatz 2 Satz 1 gewinnerhöhend hinzugerechnet werden. </w:t>
      </w:r>
      <w:r>
        <w:rPr>
          <w:rStyle w:val="Satznummer"/>
        </w:rPr>
        <w:t>3</w:t>
      </w:r>
      <w:r>
        <w:t>Entsprechendes gilt für vom Sonderbetriebsgewinn eines Mitunternehmers abgezogene Investitionsabzugsbeträge bei Investitionen dieses Mitunternehmers oder seines Rechtsnachfolgers in seinem Sonderbetriebsvermögen.</w:t>
      </w:r>
    </w:p>
    <w:p>
      <w:pPr>
        <w:pStyle w:val="Heading3"/>
      </w:pPr>
      <w:bookmarkStart w:id="42" w:name="b41"/>
      <w:r>
        <w:t>§ 7h Erhöhte Absetzungen bei Gebäuden in Sanierungsgebieten und städtebaulichen Entwicklungsbereichen</w:t>
      </w:r>
      <w:r>
        <w:t xml:space="preserve"> </w:t>
      </w:r>
      <w:r>
        <w:rPr>
          <w:rStyle w:val="Suchmarke"/>
        </w:rPr>
        <w:t>#7h#</w:t>
      </w:r>
      <w:bookmarkEnd w:id="42"/>
    </w:p>
    <w:p>
      <w:r>
        <w:t xml:space="preserve">(1) </w:t>
      </w:r>
      <w:r>
        <w:rPr>
          <w:rStyle w:val="Satznummer"/>
        </w:rPr>
        <w:t>1</w:t>
      </w:r>
      <w:r>
        <w:t xml:space="preserve">Bei einem im Inland belegenen Gebäude in einem förmlich festgelegten Sanierungsgebiet oder städtebaulichen Entwicklungsbereich kann der Steuerpflichtige abweichend von § 7 Absatz 4 bis 5a im Jahr der Herstellung und in den folgenden sieben Jahren jeweils bis zu 9 Prozent und in den folgenden vier Jahren jeweils bis zu 7 Prozent der Herstellungskosten für Modernisierungs- und Instandsetzungsmaßnahmen im Sinne des § 177 des Baugesetzbuchs absetzen. </w:t>
      </w:r>
      <w:r>
        <w:rPr>
          <w:rStyle w:val="Satznummer"/>
        </w:rPr>
        <w:t>2</w:t>
      </w:r>
      <w:r>
        <w:t xml:space="preserve">Satz 1 ist entsprechend anzuwenden auf Herstellungskosten für Maßnahmen, die der Erhaltung, Erneuerung und funktionsgerechten Verwendung eines Gebäudes im Sinne des Satzes 1 dienen, das wegen seiner geschichtlichen, künstlerischen oder städtebaulichen Bedeutung erhalten bleiben soll, und zu deren Durchführung sich der Eigentümer neben bestimmten Modernisierungsmaßnahmen gegenüber der Gemeinde verpflichtet hat. </w:t>
      </w:r>
      <w:r>
        <w:rPr>
          <w:rStyle w:val="Satznummer"/>
        </w:rPr>
        <w:t>3</w:t>
      </w:r>
      <w:r>
        <w:t xml:space="preserve">Der Steuerpflichtige kann die erhöhten Absetzungen im Jahr des Abschlusses der Maßnahme und in den folgenden elf Jahren auch für Anschaffungskosten in Anspruch nehmen, die auf Maßnahmen im Sinne der Sätze 1 und 2 entfallen, soweit diese nach dem rechtswirksamen Abschluss eines obligatorischen Erwerbsvertrags oder eines gleichstehenden Rechtsakts durchgeführt worden sind. </w:t>
      </w:r>
      <w:r>
        <w:rPr>
          <w:rStyle w:val="Satznummer"/>
        </w:rPr>
        <w:t>4</w:t>
      </w:r>
      <w:r>
        <w:t xml:space="preserve">Die erhöhten Absetzungen können nur in Anspruch genommen werden, soweit die Herstellungs- oder Anschaffungskosten durch Zuschüsse aus Sanierungs- oder Entwicklungsförderungsmitteln nicht gedeckt sind. </w:t>
      </w:r>
      <w:r>
        <w:rPr>
          <w:rStyle w:val="Satznummer"/>
        </w:rPr>
        <w:t>5</w:t>
      </w:r>
      <w:r>
        <w:t>Nach Ablauf des Begünstigungszeitraums ist ein Restwert den Herstellungs- oder Anschaffungskosten des Gebäudes oder dem an deren Stelle tretenden Wert hinzuzurechnen; die weiteren Absetzungen für Abnutzung sind einheitlich für das gesamte Gebäude nach dem sich hiernach ergebenden Betrag und dem für das Gebäude maßgebenden Prozentsatz zu bemessen.</w:t>
      </w:r>
    </w:p>
    <w:p>
      <w:r>
        <w:t xml:space="preserve">(1a) </w:t>
      </w:r>
      <w:r>
        <w:rPr>
          <w:rStyle w:val="Satznummer"/>
        </w:rPr>
        <w:t>1</w:t>
      </w:r>
      <w:r>
        <w:t xml:space="preserve">Absatz 1 ist nicht anzuwenden, sofern Maßnahmen zur Herstellung eines neuen Gebäudes führen. </w:t>
      </w:r>
      <w:r>
        <w:rPr>
          <w:rStyle w:val="Satznummer"/>
        </w:rPr>
        <w:t>2</w:t>
      </w:r>
      <w:r>
        <w:t>Die Prüfung, ob Maßnahmen zur Herstellung eines neuen Gebäudes führen, obliegt der Finanzbehörde.</w:t>
      </w:r>
    </w:p>
    <w:p>
      <w:r>
        <w:t xml:space="preserve">(2) </w:t>
      </w:r>
      <w:r>
        <w:rPr>
          <w:rStyle w:val="Satznummer"/>
        </w:rPr>
        <w:t>1</w:t>
      </w:r>
      <w:r>
        <w:t xml:space="preserve">Der Steuerpflichtige kann die erhöhten Absetzungen nur in Anspruch nehmen, wenn er durch eine nicht offensichtlich rechtswidrige Bescheinigung der zuständigen Gemeindebehörde die Voraussetzungen des Absatzes 1 für das Gebäude und die Maßnahmen nachweist; die Bescheinigung hat die Höhe der Aufwendungen für die Maßnahmen nach Absatz 1 Satz 1 und 2 zu enthalten. </w:t>
      </w:r>
      <w:r>
        <w:rPr>
          <w:rStyle w:val="Satznummer"/>
        </w:rPr>
        <w:t>2</w:t>
      </w:r>
      <w:r>
        <w:t>Sind ihm Zuschüsse aus Sanierungs- oder Entwicklungsförderungsmitteln gewährt worden, so hat die Bescheinigung auch deren Höhe zu enthalten; werden ihm solche Zuschüsse nach Ausstellung der Bescheinigung gewährt, so ist diese entsprechend zu ändern.</w:t>
      </w:r>
    </w:p>
    <w:p>
      <w:r>
        <w:t>(3) Die Absätze 1 bis 2 sind auf Gebäudeteile, die selbständige unbewegliche Wirtschaftsgüter sind, sowie auf Eigentumswohnungen und auf im Teileigentum stehende Räume entsprechend anzuwenden.</w:t>
      </w:r>
    </w:p>
    <w:p>
      <w:pPr>
        <w:pStyle w:val="Heading3"/>
      </w:pPr>
      <w:bookmarkStart w:id="43" w:name="b42"/>
      <w:r>
        <w:t>§ 7i Erhöhte Absetzungen bei Baudenkmalen</w:t>
      </w:r>
      <w:r>
        <w:t xml:space="preserve"> </w:t>
      </w:r>
      <w:r>
        <w:rPr>
          <w:rStyle w:val="Suchmarke"/>
        </w:rPr>
        <w:t>#7i#</w:t>
      </w:r>
      <w:bookmarkEnd w:id="43"/>
    </w:p>
    <w:p>
      <w:r>
        <w:t xml:space="preserve">(1) </w:t>
      </w:r>
      <w:r>
        <w:rPr>
          <w:rStyle w:val="Satznummer"/>
        </w:rPr>
        <w:t>1</w:t>
      </w:r>
      <w:r>
        <w:t xml:space="preserve">Bei einem im Inland belegenen Gebäude, das nach den jeweiligen landesrechtlichen Vorschriften ein Baudenkmal ist, kann der Steuerpflichtige abweichend von § 7 Absatz 4 bis 5a im Jahr der Herstellung und in den folgenden sieben Jahren jeweils bis zu 9 Prozent und in den folgenden vier Jahren jeweils bis zu 7 Prozent der Herstellungskosten für Baumaßnahmen, die nach Art und Umfang zur Erhaltung des Gebäudes als Baudenkmal oder zu seiner sinnvollen Nutzung erforderlich sind, absetzen. </w:t>
      </w:r>
      <w:r>
        <w:rPr>
          <w:rStyle w:val="Satznummer"/>
        </w:rPr>
        <w:t>2</w:t>
      </w:r>
      <w:r>
        <w:t xml:space="preserve">Eine sinnvolle Nutzung ist nur anzunehmen, wenn das Gebäude in der Weise genutzt wird, dass die Erhaltung der schützenswerten Substanz des Gebäudes auf die Dauer gewährleistet ist. </w:t>
      </w:r>
      <w:r>
        <w:rPr>
          <w:rStyle w:val="Satznummer"/>
        </w:rPr>
        <w:t>3</w:t>
      </w:r>
      <w:r>
        <w:t xml:space="preserve">Bei einem im Inland belegenen Gebäudeteil, das nach den jeweiligen landesrechtlichen Vorschriften ein Baudenkmal ist, sind die Sätze 1 und 2 entsprechend anzuwenden. </w:t>
      </w:r>
      <w:r>
        <w:rPr>
          <w:rStyle w:val="Satznummer"/>
        </w:rPr>
        <w:t>4</w:t>
      </w:r>
      <w:r>
        <w:t xml:space="preserve">Bei einem im Inland belegenen Gebäude oder Gebäudeteil, das für sich allein nicht die Voraussetzungen für ein Baudenkmal erfüllt, aber Teil einer Gebäudegruppe oder Gesamtanlage ist, die nach den jeweiligen landesrechtlichen Vorschriften als Einheit geschützt ist, kann der Steuerpflichtige die erhöhten Absetzungen von den Herstellungskosten für Baumaßnahmen vornehmen, die nach Art und Umfang zur Erhaltung des schützenswerten äußeren Erscheinungsbildes der Gebäudegruppe oder Gesamtanlage erforderlich sind. </w:t>
      </w:r>
      <w:r>
        <w:rPr>
          <w:rStyle w:val="Satznummer"/>
        </w:rPr>
        <w:t>5</w:t>
      </w:r>
      <w:r>
        <w:t xml:space="preserve">Der Steuerpflichtige kann die erhöhten Absetzungen im Jahr des Abschlusses der Baumaßnahme und in den folgenden elf Jahren auch für Anschaffungskosten in Anspruch nehmen, die auf Baumaßnahmen im Sinne der Sätze 1 bis 4 entfallen, soweit diese nach dem rechtswirksamen Abschluss eines obligatorischen Erwerbsvertrags oder eines gleichstehenden Rechtsakts durchgeführt worden sind. </w:t>
      </w:r>
      <w:r>
        <w:rPr>
          <w:rStyle w:val="Satznummer"/>
        </w:rPr>
        <w:t>6</w:t>
      </w:r>
      <w:r>
        <w:t xml:space="preserve">Die Baumaßnahmen müssen in Abstimmung mit der in Absatz 2 bezeichneten Stelle durchgeführt worden sein. </w:t>
      </w:r>
      <w:r>
        <w:rPr>
          <w:rStyle w:val="Satznummer"/>
        </w:rPr>
        <w:t>7</w:t>
      </w:r>
      <w:r>
        <w:t xml:space="preserve">Die erhöhten Absetzungen können nur in Anspruch genommen werden, soweit die Herstellungs- oder Anschaffungskosten nicht durch Zuschüsse aus öffentlichen Kassen gedeckt sind. </w:t>
      </w:r>
      <w:r>
        <w:rPr>
          <w:rStyle w:val="Satznummer"/>
        </w:rPr>
        <w:t>8</w:t>
      </w:r>
      <w:hyperlink w:anchor="b41" w:history="1">
        <w:r>
          <w:rPr>
            <w:color w:val="0A3A8C"/>
            <w:u w:val="single"/>
          </w:rPr>
          <w:t xml:space="preserve">§ 7h</w:t>
        </w:r>
      </w:hyperlink>
      <w:r>
        <w:t xml:space="preserve"> Absatz 1 Satz 5 ist entsprechend anzuwenden.</w:t>
      </w:r>
    </w:p>
    <w:p>
      <w:r>
        <w:t xml:space="preserve">(2) </w:t>
      </w:r>
      <w:r>
        <w:rPr>
          <w:rStyle w:val="Satznummer"/>
        </w:rPr>
        <w:t>1</w:t>
      </w:r>
      <w:r>
        <w:t xml:space="preserve">Der Steuerpflichtige kann die erhöhten Absetzungen nur in Anspruch nehmen, wenn er durch eine nicht offensichtlich rechtswidrige Bescheinigung der nach Landesrecht zuständigen oder von der Landesregierung bestimmten Stelle die Voraussetzungen des Absatzes 1 für das Gebäude oder Gebäudeteil und für die Erforderlichkeit der Aufwendungen nachweist. </w:t>
      </w:r>
      <w:r>
        <w:rPr>
          <w:rStyle w:val="Satznummer"/>
        </w:rPr>
        <w:t>2</w:t>
      </w:r>
      <w:r>
        <w:t>Hat eine der für Denkmalschutz oder Denkmalpflege zuständigen Behörden ihm Zuschüsse gewährt, so hat die Bescheinigung auch deren Höhe zu enthalten; werden ihm solche Zuschüsse nach Ausstellung der Bescheinigung gewährt, so ist diese entsprechend zu ändern.</w:t>
      </w:r>
    </w:p>
    <w:p>
      <w:r>
        <w:t xml:space="preserve">(3) </w:t>
      </w:r>
      <w:hyperlink w:anchor="b41" w:history="1">
        <w:r>
          <w:rPr>
            <w:color w:val="0A3A8C"/>
            <w:u w:val="single"/>
          </w:rPr>
          <w:t xml:space="preserve">§ 7h</w:t>
        </w:r>
      </w:hyperlink>
      <w:r>
        <w:t xml:space="preserve"> Absatz 3 ist entsprechend anzuwenden.</w:t>
      </w:r>
    </w:p>
    <w:p>
      <w:pPr>
        <w:pStyle w:val="Heading3"/>
      </w:pPr>
      <w:bookmarkStart w:id="44" w:name="b43"/>
      <w:r>
        <w:t>§ 7k (weggefallen)</w:t>
      </w:r>
      <w:r>
        <w:t xml:space="preserve"> </w:t>
      </w:r>
      <w:r>
        <w:rPr>
          <w:rStyle w:val="Suchmarke"/>
        </w:rPr>
        <w:t>#7k#</w:t>
      </w:r>
      <w:bookmarkEnd w:id="44"/>
    </w:p>
    <w:p>
      <w:pPr>
        <w:pStyle w:val="Heading2"/>
      </w:pPr>
      <w:bookmarkStart w:id="45" w:name="b44"/>
      <w:r>
        <w:t>4. Überschuss der Einnahmen über die Werbungskosten</w:t>
      </w:r>
      <w:bookmarkEnd w:id="45"/>
    </w:p>
    <w:p>
      <w:pPr>
        <w:pStyle w:val="Heading3"/>
      </w:pPr>
      <w:bookmarkStart w:id="46" w:name="b45"/>
      <w:r>
        <w:t>§ 8 Einnahmen</w:t>
      </w:r>
      <w:r>
        <w:t xml:space="preserve"> </w:t>
      </w:r>
      <w:r>
        <w:rPr>
          <w:rStyle w:val="Suchmarke"/>
        </w:rPr>
        <w:t>#8#</w:t>
      </w:r>
      <w:bookmarkEnd w:id="46"/>
    </w:p>
    <w:p>
      <w:r>
        <w:t xml:space="preserve">(1) </w:t>
      </w:r>
      <w:r>
        <w:rPr>
          <w:rStyle w:val="Satznummer"/>
        </w:rPr>
        <w:t>1</w:t>
      </w:r>
      <w:r>
        <w:t xml:space="preserve">Einnahmen sind alle Güter, die in Geld oder Geldeswert bestehen und dem Steuerpflichtigen im Rahmen einer der Einkunftsarten des </w:t>
      </w:r>
      <w:hyperlink w:anchor="b5" w:history="1">
        <w:r>
          <w:rPr>
            <w:color w:val="0A3A8C"/>
            <w:u w:val="single"/>
          </w:rPr>
          <w:t xml:space="preserve">§ 2</w:t>
        </w:r>
      </w:hyperlink>
      <w:r>
        <w:t xml:space="preserve"> Absatz 1 Satz 1 Nummer 4 bis 7 zufließen. </w:t>
      </w:r>
      <w:r>
        <w:rPr>
          <w:rStyle w:val="Satznummer"/>
        </w:rPr>
        <w:t>2</w:t>
      </w:r>
      <w:r>
        <w:t xml:space="preserve">Zu den Einnahmen in Geld gehören auch zweckgebundene Geldleistungen, nachträgliche Kostenerstattungen, Geldsurrogate und andere Vorteile, die auf einen Geldbetrag lauten. </w:t>
      </w:r>
      <w:r>
        <w:rPr>
          <w:rStyle w:val="Satznummer"/>
        </w:rPr>
        <w:t>3</w:t>
      </w:r>
      <w:r>
        <w:t>Satz 2 gilt nicht bei Gutscheinen und Geldkarten, die ausschließlich zum Bezug von Waren oder Dienstleistungen berechtigen und die Kriterien des § 2 Absatz 1 Nummer 10 des Zahlungsdiensteaufsichtsgesetzes erfüllen.</w:t>
      </w:r>
    </w:p>
    <w:p>
      <w:r>
        <w:t xml:space="preserve">(2) </w:t>
      </w:r>
      <w:r>
        <w:rPr>
          <w:rStyle w:val="Satznummer"/>
        </w:rPr>
        <w:t>1</w:t>
      </w:r>
      <w:r>
        <w:t xml:space="preserve">Einnahmen, die nicht in Geld bestehen (Wohnung, Kost, Waren, Dienstleistungen und sonstige Sachbezüge), sind mit den um übliche Preisnachlässe geminderten üblichen Endpreisen am Abgabeort anzusetzen. </w:t>
      </w:r>
      <w:r>
        <w:rPr>
          <w:rStyle w:val="Satznummer"/>
        </w:rPr>
        <w:t>2</w:t>
      </w:r>
      <w:r>
        <w:t xml:space="preserve">Für die private Nutzung eines betrieblichen Kraftfahrzeugs zu privaten Fahrten gilt </w:t>
      </w:r>
      <w:hyperlink w:anchor="b28" w:history="1">
        <w:r>
          <w:rPr>
            <w:color w:val="0A3A8C"/>
            <w:u w:val="single"/>
          </w:rPr>
          <w:t xml:space="preserve">§ 6</w:t>
        </w:r>
      </w:hyperlink>
      <w:r>
        <w:t xml:space="preserve"> Absatz 1 Nummer 4 Satz 2 entsprechend. </w:t>
      </w:r>
      <w:r>
        <w:rPr>
          <w:rStyle w:val="Satznummer"/>
        </w:rPr>
        <w:t>3</w:t>
      </w:r>
      <w:r>
        <w:t xml:space="preserve">Kann das Kraftfahrzeug auch für Fahrten zwischen Wohnung und erster Tätigkeitsstätte sowie Fahrten nach </w:t>
      </w:r>
      <w:hyperlink w:anchor="b46" w:history="1">
        <w:r>
          <w:rPr>
            <w:color w:val="0A3A8C"/>
            <w:u w:val="single"/>
          </w:rPr>
          <w:t xml:space="preserve">§ 9</w:t>
        </w:r>
      </w:hyperlink>
      <w:r>
        <w:t xml:space="preserve"> Absatz 1 Satz 3 Nummer 4a Satz 3 genutzt werden, erhöht sich der Wert in Satz 2 für jeden Kalendermonat um 0,03 Prozent des Listenpreises im Sinne des </w:t>
      </w:r>
      <w:hyperlink w:anchor="b28" w:history="1">
        <w:r>
          <w:rPr>
            <w:color w:val="0A3A8C"/>
            <w:u w:val="single"/>
          </w:rPr>
          <w:t xml:space="preserve">§ 6</w:t>
        </w:r>
      </w:hyperlink>
      <w:r>
        <w:t xml:space="preserve"> Absatz 1 Nummer 4 Satz 2 für jeden Kilometer der Entfernung zwischen Wohnung und erster Tätigkeitsstätte sowie der Fahrten nach </w:t>
      </w:r>
      <w:hyperlink w:anchor="b46" w:history="1">
        <w:r>
          <w:rPr>
            <w:color w:val="0A3A8C"/>
            <w:u w:val="single"/>
          </w:rPr>
          <w:t xml:space="preserve">§ 9</w:t>
        </w:r>
      </w:hyperlink>
      <w:r>
        <w:t xml:space="preserve"> Absatz 1 Satz 3 Nummer 4a Satz 3. </w:t>
      </w:r>
      <w:r>
        <w:rPr>
          <w:rStyle w:val="Satznummer"/>
        </w:rPr>
        <w:t>4</w:t>
      </w:r>
      <w:r>
        <w:t xml:space="preserve">Der Wert nach den Sätzen 2 und 3 kann mit dem auf die private Nutzung und die Nutzung zu Fahrten zwischen Wohnung und erster Tätigkeitsstätte sowie Fahrten nach </w:t>
      </w:r>
      <w:hyperlink w:anchor="b46" w:history="1">
        <w:r>
          <w:rPr>
            <w:color w:val="0A3A8C"/>
            <w:u w:val="single"/>
          </w:rPr>
          <w:t xml:space="preserve">§ 9</w:t>
        </w:r>
      </w:hyperlink>
      <w:r>
        <w:t xml:space="preserve"> Absatz 1 Satz 3 Nummer 4a Satz 3 entfallenden Teil der gesamten Kraftfahrzeugaufwendungen angesetzt werden, wenn die durch das Kraftfahrzeug insgesamt entstehenden Aufwendungen durch Belege und das Verhältnis der privaten Fahrten und der Fahrten zwischen Wohnung und erster Tätigkeitsstätte sowie Fahrten nach </w:t>
      </w:r>
      <w:hyperlink w:anchor="b46" w:history="1">
        <w:r>
          <w:rPr>
            <w:color w:val="0A3A8C"/>
            <w:u w:val="single"/>
          </w:rPr>
          <w:t xml:space="preserve">§ 9</w:t>
        </w:r>
      </w:hyperlink>
      <w:r>
        <w:t xml:space="preserve"> Absatz 1 Satz 3 Nummer 4a Satz 3 zu den übrigen Fahrten durch ein ordnungsgemäßes Fahrtenbuch nachgewiesen werden; </w:t>
      </w:r>
      <w:hyperlink w:anchor="b28" w:history="1">
        <w:r>
          <w:rPr>
            <w:color w:val="0A3A8C"/>
            <w:u w:val="single"/>
          </w:rPr>
          <w:t xml:space="preserve">§ 6</w:t>
        </w:r>
      </w:hyperlink>
      <w:r>
        <w:t xml:space="preserve"> Absatz 1 Nummer 4 Satz 3 zweiter Halbsatz gilt entsprechend. </w:t>
      </w:r>
      <w:r>
        <w:rPr>
          <w:rStyle w:val="Satznummer"/>
        </w:rPr>
        <w:t>5</w:t>
      </w:r>
      <w:r>
        <w:t xml:space="preserve">Die Nutzung des Kraftfahrzeugs zu einer Familienheimfahrt im Rahmen einer doppelten Haushaltsführung ist mit 0,002 Prozent des Listenpreises im Sinne des </w:t>
      </w:r>
      <w:hyperlink w:anchor="b28" w:history="1">
        <w:r>
          <w:rPr>
            <w:color w:val="0A3A8C"/>
            <w:u w:val="single"/>
          </w:rPr>
          <w:t xml:space="preserve">§ 6</w:t>
        </w:r>
      </w:hyperlink>
      <w:r>
        <w:t xml:space="preserve"> Absatz 1 Nummer 4 Satz 2 für jeden Kilometer der Entfernung zwischen dem Ort des eigenen Hausstands und dem Beschäftigungsort anzusetzen; dies gilt nicht, wenn für diese Fahrt ein Abzug von Werbungskosten nach § 9 Absatz 1 Satz 3 Nummer 5 Satz 5 und 6 in Betracht käme; Satz 4 ist sinngemäß anzuwenden. </w:t>
      </w:r>
      <w:r>
        <w:rPr>
          <w:rStyle w:val="Satznummer"/>
        </w:rPr>
        <w:t>6</w:t>
      </w:r>
      <w:r>
        <w:t xml:space="preserve">Bei Arbeitnehmern, für deren Sachbezüge durch Rechtsverordnung nach § 17 Absatz 1 Satz 1 Nummer 4 des Vierten Buches Sozialgesetzbuch Werte bestimmt worden sind, sind diese Werte maßgebend. </w:t>
      </w:r>
      <w:r>
        <w:rPr>
          <w:rStyle w:val="Satznummer"/>
        </w:rPr>
        <w:t>7</w:t>
      </w:r>
      <w:r>
        <w:t xml:space="preserve">Die Werte nach Satz 6 sind auch bei Steuerpflichtigen anzusetzen, die nicht der gesetzlichen Rentenversicherungspflicht unterliegen. </w:t>
      </w:r>
      <w:r>
        <w:rPr>
          <w:rStyle w:val="Satznummer"/>
        </w:rPr>
        <w:t>8</w:t>
      </w:r>
      <w:r>
        <w:t xml:space="preserve">Wird dem Arbeitnehmer während einer beruflichen Tätigkeit außerhalb seiner Wohnung und ersten Tätigkeitsstätte oder im Rahmen einer beruflich veranlassten doppelten Haushaltsführung vom Arbeitgeber oder auf dessen Veranlassung von einem Dritten eine Mahlzeit zur Verfügung gestellt, ist diese Mahlzeit mit dem Wert nach Satz 6 (maßgebender amtlicher Sachbezugswert nach der Sozialversicherungsentgeltverordnung) anzusetzen, wenn der Preis für die Mahlzeit 60 Euro nicht übersteigt. </w:t>
      </w:r>
      <w:r>
        <w:rPr>
          <w:rStyle w:val="Satznummer"/>
        </w:rPr>
        <w:t>9</w:t>
      </w:r>
      <w:r>
        <w:t xml:space="preserve">Der Ansatz einer nach Satz 8 bewerteten Mahlzeit unterbleibt, wenn beim Arbeitnehmer für ihm entstehende Mehraufwendungen für Verpflegung ein Werbungskostenabzug nach § 9 Absatz 4a Satz 1 bis 7 in Betracht käme. </w:t>
      </w:r>
      <w:r>
        <w:rPr>
          <w:rStyle w:val="Satznummer"/>
        </w:rPr>
        <w:t>10</w:t>
      </w:r>
      <w:r>
        <w:t xml:space="preserve">Die oberste Finanzbehörde eines Landes kann mit Zustimmung des Bundesministeriums der Finanzen für weitere Sachbezüge der Arbeitnehmer Durchschnittswerte festsetzen. </w:t>
      </w:r>
      <w:r>
        <w:rPr>
          <w:rStyle w:val="Satznummer"/>
        </w:rPr>
        <w:t>11</w:t>
      </w:r>
      <w:r>
        <w:t xml:space="preserve">Sachbezüge, die nach Satz 1 zu bewerten sind, bleiben außer Ansatz, wenn die sich nach Anrechnung der vom Steuerpflichtigen gezahlten Entgelte ergebenden Vorteile insgesamt 50 Euro im Kalendermonat nicht übersteigen; die nach Absatz 1 Satz 3 nicht zu den Einnahmen in Geld gehörenden Gutscheine und Geldkarten bleiben nur dann außer Ansatz, wenn sie zusätzlich zum ohnehin geschuldeten Arbeitslohn gewährt werden. </w:t>
      </w:r>
      <w:r>
        <w:rPr>
          <w:rStyle w:val="Satznummer"/>
        </w:rPr>
        <w:t>12</w:t>
      </w:r>
      <w:r>
        <w:t>Der Ansatz eines Sachbezugs für eine dem Arbeitnehmer vom Arbeitgeber, auf dessen Veranlassung von einem verbundenen Unternehmen (§ 15 des Aktiengesetzes) oder bei einer juristischen Person des öffentlichen Rechts als Arbeitgeber auf dessen Veranlassung von einem entsprechend verbundenen Unternehmen zu eigenen Wohnzwecken überlassene Wohnung unterbleibt, soweit das vom Arbeitnehmer gezahlte Entgelt mindestens zwei Drittel des ortsüblichen Mietwerts und dieser nicht mehr als 25 Euro je Quadratmeter ohne umlagefähige Kosten im Sinne der Verordnung über die Aufstellung von Betriebskosten beträgt.</w:t>
      </w:r>
    </w:p>
    <w:p>
      <w:r>
        <w:t xml:space="preserve">(3) </w:t>
      </w:r>
      <w:r>
        <w:rPr>
          <w:rStyle w:val="Satznummer"/>
        </w:rPr>
        <w:t>1</w:t>
      </w:r>
      <w:r>
        <w:t xml:space="preserve">Erhält ein Arbeitnehmer auf Grund seines Dienstverhältnisses Waren oder Dienstleistungen, die vom Arbeitgeber nicht überwiegend für den Bedarf seiner Arbeitnehmer hergestellt, vertrieben oder erbracht werden und deren Bezug nicht nach </w:t>
      </w:r>
      <w:hyperlink w:anchor="b154" w:history="1">
        <w:r>
          <w:rPr>
            <w:color w:val="0A3A8C"/>
            <w:u w:val="single"/>
          </w:rPr>
          <w:t xml:space="preserve">§ 40</w:t>
        </w:r>
      </w:hyperlink>
      <w:r>
        <w:t xml:space="preserve"> pauschal versteuert wird, so gelten als deren Werte abweichend von Absatz 2 die um 4 Prozent geminderten Endpreise, zu denen der Arbeitgeber oder der dem Abgabeort nächstansässige Abnehmer die Waren oder Dienstleistungen fremden Letztverbrauchern im allgemeinen Geschäftsverkehr anbietet. </w:t>
      </w:r>
      <w:r>
        <w:rPr>
          <w:rStyle w:val="Satznummer"/>
        </w:rPr>
        <w:t>2</w:t>
      </w:r>
      <w:r>
        <w:t>Die sich nach Abzug der vom Arbeitnehmer gezahlten Entgelte ergebenden Vorteile sind steuerfrei, soweit sie aus dem Dienstverhältnis insgesamt 1 080 Euro im Kalenderjahr nicht übersteigen.</w:t>
      </w:r>
    </w:p>
    <w:p>
      <w:r>
        <w:t xml:space="preserve">(4) </w:t>
      </w:r>
      <w:r>
        <w:rPr>
          <w:rStyle w:val="Satznummer"/>
        </w:rPr>
        <w:t>1</w:t>
      </w:r>
      <w:r>
        <w:t>Im Sinne dieses Gesetzes werden Leistungen des Arbeitgebers oder auf seine Veranlassung eines Dritten (Sachbezüge oder Zuschüsse) für eine Beschäftigung nur dann zusätzlich zum ohnehin geschuldeten Arbeitslohn erbracht, wenn</w:t>
      </w:r>
    </w:p>
    <w:p>
      <w:pPr>
        <w:tabs>
          <w:tab w:pos="567" w:val="left"/>
        </w:tabs>
        <w:ind w:left="567" w:hanging="567"/>
      </w:pPr>
      <w:r>
        <w:t>1.</w:t>
      </w:r>
      <w:r>
        <w:tab/>
      </w:r>
      <w:r>
        <w:t>die Leistung nicht auf den Anspruch auf Arbeitslohn angerechnet,</w:t>
      </w:r>
    </w:p>
    <w:p>
      <w:pPr>
        <w:tabs>
          <w:tab w:pos="567" w:val="left"/>
        </w:tabs>
        <w:ind w:left="567" w:hanging="567"/>
      </w:pPr>
      <w:r>
        <w:t>2.</w:t>
      </w:r>
      <w:r>
        <w:tab/>
      </w:r>
      <w:r>
        <w:t>der Anspruch auf Arbeitslohn nicht zugunsten der Leistung herabgesetzt,</w:t>
      </w:r>
    </w:p>
    <w:p>
      <w:pPr>
        <w:tabs>
          <w:tab w:pos="567" w:val="left"/>
        </w:tabs>
        <w:ind w:left="567" w:hanging="567"/>
      </w:pPr>
      <w:r>
        <w:t>3.</w:t>
      </w:r>
      <w:r>
        <w:tab/>
      </w:r>
      <w:r>
        <w:t>die verwendungs- oder zweckgebundene Leistung nicht anstelle einer bereits vereinbarten künftigen Erhöhung des Arbeitslohns gewährt und</w:t>
      </w:r>
    </w:p>
    <w:p>
      <w:pPr>
        <w:tabs>
          <w:tab w:pos="567" w:val="left"/>
        </w:tabs>
        <w:ind w:left="567" w:hanging="567"/>
      </w:pPr>
      <w:r>
        <w:t>4.</w:t>
      </w:r>
      <w:r>
        <w:tab/>
      </w:r>
      <w:r>
        <w:t>bei Wegfall der Leistung der Arbeitslohn nicht erhöht</w:t>
      </w:r>
    </w:p>
    <w:p>
      <w:r>
        <w:t xml:space="preserve">wird. </w:t>
      </w:r>
      <w:r>
        <w:rPr>
          <w:rStyle w:val="Satznummer"/>
        </w:rPr>
        <w:t>2</w:t>
      </w:r>
      <w:r>
        <w:t>Unter den Voraussetzungen des Satzes 1 ist von einer zusätzlich zum ohnehin geschuldeten Arbeitslohn erbrachten Leistung auch dann auszugehen, wenn der Arbeitnehmer arbeitsvertraglich oder auf Grund einer anderen arbeits- oder dienstrechtlichen Rechtsgrundlage (wie Einzelvertrag, Betriebsvereinbarung, Tarifvertrag, Gesetz) einen Anspruch auf diese hat.</w:t>
      </w:r>
    </w:p>
    <w:p>
      <w:pPr>
        <w:pStyle w:val="Heading3"/>
      </w:pPr>
      <w:bookmarkStart w:id="47" w:name="b46"/>
      <w:r>
        <w:t>§ 9 Werbungskosten</w:t>
      </w:r>
      <w:r>
        <w:t xml:space="preserve"> </w:t>
      </w:r>
      <w:r>
        <w:rPr>
          <w:rStyle w:val="Suchmarke"/>
        </w:rPr>
        <w:t>#9#</w:t>
      </w:r>
      <w:bookmarkEnd w:id="47"/>
    </w:p>
    <w:p>
      <w:r>
        <w:t xml:space="preserve">(1) </w:t>
      </w:r>
      <w:r>
        <w:rPr>
          <w:rStyle w:val="Satznummer"/>
        </w:rPr>
        <w:t>1</w:t>
      </w:r>
      <w:r>
        <w:t xml:space="preserve">Werbungskosten sind Aufwendungen zur Erwerbung, Sicherung und Erhaltung der Einnahmen. </w:t>
      </w:r>
      <w:r>
        <w:rPr>
          <w:rStyle w:val="Satznummer"/>
        </w:rPr>
        <w:t>2</w:t>
      </w:r>
      <w:r>
        <w:t xml:space="preserve">Sie sind bei der Einkunftsart abzuziehen, bei der sie erwachsen sind. </w:t>
      </w:r>
      <w:r>
        <w:rPr>
          <w:rStyle w:val="Satznummer"/>
        </w:rPr>
        <w:t>3</w:t>
      </w:r>
      <w:r>
        <w:t>Werbungskosten sind auch</w:t>
      </w:r>
    </w:p>
    <w:p>
      <w:pPr>
        <w:tabs>
          <w:tab w:pos="567" w:val="left"/>
        </w:tabs>
        <w:ind w:left="567" w:hanging="567"/>
      </w:pPr>
      <w:r>
        <w:t>1.</w:t>
      </w:r>
      <w:r>
        <w:tab/>
      </w:r>
      <w:r>
        <w:t xml:space="preserve">Schuldzinsen und auf besonderen Verpflichtungsgründen beruhende Renten und dauernde Lasten, soweit sie mit einer Einkunftsart in wirtschaftlichem Zusammenhang stehen. </w:t>
      </w:r>
      <w:r>
        <w:rPr>
          <w:rStyle w:val="Satznummer"/>
        </w:rPr>
        <w:t>2</w:t>
      </w:r>
      <w:r>
        <w:t>Bei Leibrenten kann nur der Anteil abgezogen werden, der sich nach § 22 Nummer 1 Satz 3 Buchstabe a Doppelbuchstabe bb ergibt;</w:t>
      </w:r>
    </w:p>
    <w:p>
      <w:pPr>
        <w:tabs>
          <w:tab w:pos="567" w:val="left"/>
        </w:tabs>
        <w:ind w:left="567" w:hanging="567"/>
      </w:pPr>
      <w:r>
        <w:t>2.</w:t>
      </w:r>
      <w:r>
        <w:tab/>
      </w:r>
      <w:r>
        <w:t>Steuern vom Grundbesitz, sonstige öffentliche Abgaben und Versicherungsbeiträge, soweit solche Ausgaben sich auf Gebäude oder auf Gegenstände beziehen, die dem Steuerpflichtigen zur Einnahmeerzielung dienen;</w:t>
      </w:r>
    </w:p>
    <w:p>
      <w:pPr>
        <w:tabs>
          <w:tab w:pos="567" w:val="left"/>
        </w:tabs>
        <w:ind w:left="567" w:hanging="567"/>
      </w:pPr>
      <w:r>
        <w:t>3.</w:t>
      </w:r>
      <w:r>
        <w:tab/>
      </w:r>
      <w:r>
        <w:t>Beiträge zu Berufsständen und sonstigen Berufsverbänden, deren Zweck nicht auf einen wirtschaftlichen Geschäftsbetrieb gerichtet ist;</w:t>
      </w:r>
    </w:p>
    <w:p>
      <w:pPr>
        <w:tabs>
          <w:tab w:pos="567" w:val="left"/>
        </w:tabs>
        <w:ind w:left="567" w:hanging="567"/>
      </w:pPr>
      <w:r>
        <w:t>4.</w:t>
      </w:r>
      <w:r>
        <w:tab/>
      </w:r>
      <w:r>
        <w:t xml:space="preserve">Aufwendungen des Arbeitnehmers für die Wege zwischen Wohnung und erster Tätigkeitsstätte im Sinne des Absatzes 4. </w:t>
      </w:r>
      <w:r>
        <w:rPr>
          <w:rStyle w:val="Satznummer"/>
        </w:rPr>
        <w:t>2</w:t>
      </w:r>
      <w:r>
        <w:t xml:space="preserve">Zur Abgeltung dieser Aufwendungen ist für jeden Arbeitstag, an dem der Arbeitnehmer die erste Tätigkeitsstätte aufsucht eine Entfernungspauschale für jeden vollen Kilometer der Entfernung zwischen Wohnung und erster Tätigkeitsstätte von 0,38 Euro anzusetzen, höchstens jedoch 4 500 Euro im Kalenderjahr; ein höherer Betrag als 4 500 Euro ist anzusetzen, soweit der Arbeitnehmer einen eigenen oder ihm zur Nutzung überlassenen Kraftwagen benutzt. </w:t>
      </w:r>
      <w:r>
        <w:rPr>
          <w:rStyle w:val="Satznummer"/>
        </w:rPr>
        <w:t>3</w:t>
      </w:r>
      <w:r>
        <w:t xml:space="preserve">Die Entfernungspauschale gilt nicht für Flugstrecken und Strecken mit steuerfreier Sammelbeförderung nach </w:t>
      </w:r>
      <w:hyperlink w:anchor="b8" w:history="1">
        <w:r>
          <w:rPr>
            <w:color w:val="0A3A8C"/>
            <w:u w:val="single"/>
          </w:rPr>
          <w:t xml:space="preserve">§ 3</w:t>
        </w:r>
      </w:hyperlink>
      <w:r>
        <w:t xml:space="preserve"> Nummer 32. </w:t>
      </w:r>
      <w:r>
        <w:rPr>
          <w:rStyle w:val="Satznummer"/>
        </w:rPr>
        <w:t>4</w:t>
      </w:r>
      <w:r>
        <w:t xml:space="preserve">Für die Bestimmung der Entfernung ist die kürzeste Straßenverbindung zwischen Wohnung und erster Tätigkeitsstätte maßgebend; eine andere als die kürzeste Straßenverbindung kann zugrunde gelegt werden, wenn diese offensichtlich verkehrsgünstiger ist und vom Arbeitnehmer regelmäßig für die Wege zwischen Wohnung und erster Tätigkeitsstätte benutzt wird. </w:t>
      </w:r>
      <w:r>
        <w:rPr>
          <w:rStyle w:val="Satznummer"/>
        </w:rPr>
        <w:t>5</w:t>
      </w:r>
      <w:r>
        <w:t xml:space="preserve">Nach </w:t>
      </w:r>
      <w:hyperlink w:anchor="b45" w:history="1">
        <w:r>
          <w:rPr>
            <w:color w:val="0A3A8C"/>
            <w:u w:val="single"/>
          </w:rPr>
          <w:t xml:space="preserve">§ 8</w:t>
        </w:r>
      </w:hyperlink>
      <w:r>
        <w:t xml:space="preserve"> Absatz 2 Satz 11 oder Absatz 3 steuerfreie Sachbezüge für Fahrten zwischen Wohnung und erster Tätigkeitsstätte mindern den nach Satz 2 abziehbaren Betrag; ist der Arbeitgeber selbst der Verkehrsträger, ist der Preis anzusetzen, den ein dritter Arbeitgeber an den Verkehrsträger zu entrichten hätte. </w:t>
      </w:r>
      <w:r>
        <w:rPr>
          <w:rStyle w:val="Satznummer"/>
        </w:rPr>
        <w:t>6</w:t>
      </w:r>
      <w:r>
        <w:t xml:space="preserve">Hat ein Arbeitnehmer mehrere Wohnungen, so sind die Wege von einer Wohnung, die nicht der ersten Tätigkeitsstätte am nächsten liegt, nur zu berücksichtigen, wenn sie den Mittelpunkt der Lebensinteressen des Arbeitnehmers bildet und nicht nur gelegentlich aufgesucht wird. </w:t>
      </w:r>
      <w:r>
        <w:rPr>
          <w:rStyle w:val="Satznummer"/>
        </w:rPr>
        <w:t>7</w:t>
      </w:r>
      <w:r>
        <w:t xml:space="preserve">Nach </w:t>
      </w:r>
      <w:hyperlink w:anchor="b8" w:history="1">
        <w:r>
          <w:rPr>
            <w:color w:val="0A3A8C"/>
            <w:u w:val="single"/>
          </w:rPr>
          <w:t xml:space="preserve">§ 3</w:t>
        </w:r>
      </w:hyperlink>
      <w:r>
        <w:t xml:space="preserve"> Nummer 37 steuerfreie Sachbezüge mindern den nach Satz 2 abziehbaren Betrag nicht; </w:t>
      </w:r>
      <w:hyperlink w:anchor="b11" w:history="1">
        <w:r>
          <w:rPr>
            <w:color w:val="0A3A8C"/>
            <w:u w:val="single"/>
          </w:rPr>
          <w:t xml:space="preserve">§ 3c</w:t>
        </w:r>
      </w:hyperlink>
      <w:r>
        <w:t xml:space="preserve"> Absatz 1 ist nicht anzuwenden.</w:t>
      </w:r>
    </w:p>
    <w:p>
      <w:pPr>
        <w:tabs>
          <w:tab w:pos="567" w:val="left"/>
        </w:tabs>
        <w:ind w:left="567" w:hanging="567"/>
      </w:pPr>
      <w:r>
        <w:t>4a.</w:t>
      </w:r>
      <w:r>
        <w:tab/>
      </w:r>
      <w:r>
        <w:t xml:space="preserve">Aufwendungen des Arbeitnehmers für beruflich veranlasste Fahrten, die nicht Fahrten zwischen Wohnung und erster Tätigkeitsstätte im Sinne des Absatzes 4 sowie keine Familienheimfahrten sind. </w:t>
      </w:r>
      <w:r>
        <w:rPr>
          <w:rStyle w:val="Satznummer"/>
        </w:rPr>
        <w:t>2</w:t>
      </w:r>
      <w:r>
        <w:t xml:space="preserve">Anstelle der tatsächlichen Aufwendungen, die dem Arbeitnehmer durch die persönliche Benutzung eines Beförderungsmittels entstehen, können die Fahrtkosten mit den pauschalen Kilometersätzen angesetzt werden, die für das jeweils benutzte Beförderungsmittel (Fahrzeug) als höchste Wegstreckenentschädigung nach dem Bundesreisekostengesetz festgesetzt sind. </w:t>
      </w:r>
      <w:r>
        <w:rPr>
          <w:rStyle w:val="Satznummer"/>
        </w:rPr>
        <w:t>3</w:t>
      </w:r>
      <w:r>
        <w:t>Hat ein Arbeitnehmer keine erste Tätigkeitsstätte (</w:t>
      </w:r>
      <w:hyperlink w:anchor="b46" w:history="1">
        <w:r>
          <w:rPr>
            <w:color w:val="0A3A8C"/>
            <w:u w:val="single"/>
          </w:rPr>
          <w:t xml:space="preserve">§ 9</w:t>
        </w:r>
      </w:hyperlink>
      <w:r>
        <w:t xml:space="preserve"> Absatz 4) und hat er nach den dienst- oder arbeitsrechtlichen Festlegungen sowie den diese ausfüllenden Absprachen und Weisungen zur Aufnahme seiner beruflichen Tätigkeit dauerhaft denselben Ort oder dasselbe weiträumige Tätigkeitsgebiet typischerweise arbeitstäglich aufzusuchen, gilt Absatz 1 Satz 3 Nummer 4 und Absatz 2 für die Fahrten von der Wohnung zu diesem Ort oder dem zur Wohnung nächstgelegenen Zugang zum Tätigkeitsgebiet entsprechend. </w:t>
      </w:r>
      <w:r>
        <w:rPr>
          <w:rStyle w:val="Satznummer"/>
        </w:rPr>
        <w:t>4</w:t>
      </w:r>
      <w:r>
        <w:t>Für die Fahrten innerhalb des weiträumigen Tätigkeitsgebietes gelten die Sätze 1 und 2 entsprechend.</w:t>
      </w:r>
    </w:p>
    <w:p>
      <w:pPr>
        <w:tabs>
          <w:tab w:pos="567" w:val="left"/>
        </w:tabs>
        <w:ind w:left="567" w:hanging="567"/>
      </w:pPr>
      <w:r>
        <w:t>5.</w:t>
      </w:r>
      <w:r>
        <w:tab/>
      </w:r>
      <w:r>
        <w:t xml:space="preserve">notwendige Mehraufwendungen, die einem Arbeitnehmer wegen einer beruflich veranlassten doppelten Haushaltsführung entstehen. </w:t>
      </w:r>
      <w:r>
        <w:rPr>
          <w:rStyle w:val="Satznummer"/>
        </w:rPr>
        <w:t>2</w:t>
      </w:r>
      <w:r>
        <w:t xml:space="preserve">Eine doppelte Haushaltsführung liegt nur vor, wenn der Arbeitnehmer außerhalb des Ortes seiner ersten Tätigkeitsstätte einen eigenen Hausstand unterhält und auch am Ort der ersten Tätigkeitsstätte wohnt. </w:t>
      </w:r>
      <w:r>
        <w:rPr>
          <w:rStyle w:val="Satznummer"/>
        </w:rPr>
        <w:t>3</w:t>
      </w:r>
      <w:r>
        <w:t xml:space="preserve">Das Vorliegen eines eigenen Hausstandes setzt das Innehaben einer Wohnung sowie eine finanzielle Beteiligung an den Kosten der Lebensführung voraus. </w:t>
      </w:r>
      <w:r>
        <w:rPr>
          <w:rStyle w:val="Satznummer"/>
        </w:rPr>
        <w:t>4</w:t>
      </w:r>
      <w:r>
        <w:t xml:space="preserve">Als Unterkunftskosten für eine doppelte Haushaltsführung können die tatsächlichen Aufwendungen für die Nutzung der Unterkunft angesetzt werden, höchstens 1 000 Euro im Monat bei einer Unterkunft im Inland und höchstens 2 000 Euro im Monat bei einer Unterkunft im Ausland; die Grenze von 2 000 Euro bei einer Unterkunft im Ausland gilt nicht, wenn eine Dienst- oder Werkswohnung verpflichtend und zweckgebunden genutzt werden muss oder deren Kosten für Zwecke des Mietzuschusses nach § 54 des Bundesbesoldungsgesetzes als notwendig anerkannt worden sind. </w:t>
      </w:r>
      <w:r>
        <w:rPr>
          <w:rStyle w:val="Satznummer"/>
        </w:rPr>
        <w:t>5</w:t>
      </w:r>
      <w:r>
        <w:t xml:space="preserve">Aufwendungen für die Wege vom Ort der ersten Tätigkeitsstätte zum Ort des eigenen Hausstandes und zurück (Familienheimfahrt) können jeweils nur für eine Familienheimfahrt wöchentlich abgezogen werden. </w:t>
      </w:r>
      <w:r>
        <w:rPr>
          <w:rStyle w:val="Satznummer"/>
        </w:rPr>
        <w:t>6</w:t>
      </w:r>
      <w:r>
        <w:t xml:space="preserve">Zur Abgeltung der Aufwendungen für eine Familienheimfahrt ist eine Entfernungspauschale von 0,38 Euro für jeden vollen Kilometer der Entfernung zwischen dem Ort des eigenen Hausstandes und dem Ort der ersten Tätigkeitsstätte anzusetzen. </w:t>
      </w:r>
      <w:r>
        <w:rPr>
          <w:rStyle w:val="Satznummer"/>
        </w:rPr>
        <w:t>7</w:t>
      </w:r>
      <w:r>
        <w:t xml:space="preserve">Nummer 4 Satz 3 bis 5 ist entsprechend anzuwenden. </w:t>
      </w:r>
      <w:r>
        <w:rPr>
          <w:rStyle w:val="Satznummer"/>
        </w:rPr>
        <w:t>8</w:t>
      </w:r>
      <w:r>
        <w:t>Aufwendungen für Familienheimfahrten mit einem dem Steuerpflichtigen im Rahmen einer Einkunftsart überlassenen Kraftfahrzeug werden nicht berücksichtigt.</w:t>
      </w:r>
    </w:p>
    <w:p>
      <w:pPr>
        <w:tabs>
          <w:tab w:pos="567" w:val="left"/>
        </w:tabs>
        <w:ind w:left="567" w:hanging="567"/>
      </w:pPr>
      <w:r>
        <w:t>5a.</w:t>
      </w:r>
      <w:r>
        <w:tab/>
      </w:r>
      <w:r>
        <w:t xml:space="preserve">notwendige Mehraufwendungen eines Arbeitnehmers für beruflich veranlasste Übernachtungen an einer Tätigkeitsstätte, die nicht erste Tätigkeitsstätte ist. </w:t>
      </w:r>
      <w:r>
        <w:rPr>
          <w:rStyle w:val="Satznummer"/>
        </w:rPr>
        <w:t>2</w:t>
      </w:r>
      <w:r>
        <w:t xml:space="preserve">Übernachtungskosten sind die tatsächlichen Aufwendungen für die persönliche Inanspruchnahme einer Unterkunft zur Übernachtung. </w:t>
      </w:r>
      <w:r>
        <w:rPr>
          <w:rStyle w:val="Satznummer"/>
        </w:rPr>
        <w:t>3</w:t>
      </w:r>
      <w:r>
        <w:t xml:space="preserve">Soweit höhere Übernachtungskosten anfallen, weil der Arbeitnehmer eine Unterkunft gemeinsam mit Personen nutzt, die in keinem Dienstverhältnis zum selben Arbeitgeber stehen, sind nur diejenigen Aufwendungen anzusetzen, die bei alleiniger Nutzung durch den Arbeitnehmer angefallen wären. </w:t>
      </w:r>
      <w:r>
        <w:rPr>
          <w:rStyle w:val="Satznummer"/>
        </w:rPr>
        <w:t>4</w:t>
      </w:r>
      <w:r>
        <w:t xml:space="preserve">Nach Ablauf von 48 Monaten einer längerfristigen beruflichen Tätigkeit an derselben Tätigkeitsstätte, die nicht erste Tätigkeitsstätte ist, können Unterkunftskosten nur noch bis zur Höhe des Betrags nach Nummer 5 angesetzt werden. </w:t>
      </w:r>
      <w:r>
        <w:rPr>
          <w:rStyle w:val="Satznummer"/>
        </w:rPr>
        <w:t>5</w:t>
      </w:r>
      <w:r>
        <w:t>Eine Unterbrechung dieser beruflichen Tätigkeit an derselben Tätigkeitsstätte führt zu einem Neubeginn, wenn die Unterbrechung mindestens sechs Monate dauert.</w:t>
      </w:r>
    </w:p>
    <w:p>
      <w:pPr>
        <w:tabs>
          <w:tab w:pos="567" w:val="left"/>
        </w:tabs>
        <w:ind w:left="567" w:hanging="567"/>
      </w:pPr>
      <w:r>
        <w:t>5b.</w:t>
      </w:r>
      <w:r>
        <w:tab/>
      </w:r>
      <w:r>
        <w:t xml:space="preserve">notwendige Mehraufwendungen, die einem Arbeitnehmer während seiner auswärtigen beruflichen Tätigkeit auf einem Kraftfahrzeug des Arbeitgebers oder eines vom Arbeitgeber beauftragten Dritten im Zusammenhang mit einer Übernachtung in dem Kraftfahrzeug für Kalendertage entstehen, an denen der Arbeitnehmer eine Verpflegungspauschale nach Absatz 4a Satz 3 Nummer 1 und 2 sowie Satz 5 zur Nummer 1 und 2 beanspruchen könnte. </w:t>
      </w:r>
      <w:r>
        <w:rPr>
          <w:rStyle w:val="Satznummer"/>
        </w:rPr>
        <w:t>2</w:t>
      </w:r>
      <w:r>
        <w:t>Anstelle der tatsächlichen Aufwendungen, die dem Arbeitnehmer im Zusammenhang mit einer Übernachtung in dem Kraftfahrzeug entstehen, kann im Kalenderjahr einheitlich eine Pauschale von 9 Euro für jeden Kalendertag berücksichtigt werden, an dem der Arbeitnehmer eine Verpflegungspauschale nach Absatz 4a Satz 3 Nummer 1 und 2 sowie Satz 5 zur Nummer 1 und 2 beanspruchen könnte,</w:t>
      </w:r>
    </w:p>
    <w:p>
      <w:pPr>
        <w:tabs>
          <w:tab w:pos="567" w:val="left"/>
        </w:tabs>
        <w:ind w:left="567" w:hanging="567"/>
      </w:pPr>
      <w:r>
        <w:t>6.</w:t>
      </w:r>
      <w:r>
        <w:tab/>
      </w:r>
      <w:r>
        <w:t xml:space="preserve">Aufwendungen für Arbeitsmittel, zum Beispiel für Werkzeuge und typische Berufskleidung. </w:t>
      </w:r>
      <w:r>
        <w:rPr>
          <w:rStyle w:val="Satznummer"/>
        </w:rPr>
        <w:t>2</w:t>
      </w:r>
      <w:r>
        <w:t>Nummer 7 bleibt unberührt;</w:t>
      </w:r>
    </w:p>
    <w:p>
      <w:pPr>
        <w:tabs>
          <w:tab w:pos="567" w:val="left"/>
        </w:tabs>
        <w:ind w:left="567" w:hanging="567"/>
      </w:pPr>
      <w:r>
        <w:t>7.</w:t>
      </w:r>
      <w:r>
        <w:tab/>
      </w:r>
      <w:r>
        <w:t xml:space="preserve">Absetzungen für Abnutzung und für Substanzverringerung, Sonderabschreibungen nach </w:t>
      </w:r>
      <w:hyperlink w:anchor="b36" w:history="1">
        <w:r>
          <w:rPr>
            <w:color w:val="0A3A8C"/>
            <w:u w:val="single"/>
          </w:rPr>
          <w:t xml:space="preserve">§ 7b</w:t>
        </w:r>
      </w:hyperlink>
      <w:r>
        <w:t xml:space="preserve"> und erhöhte Absetzungen. </w:t>
      </w:r>
      <w:r>
        <w:rPr>
          <w:rStyle w:val="Satznummer"/>
        </w:rPr>
        <w:t>2</w:t>
      </w:r>
      <w:hyperlink w:anchor="b28" w:history="1">
        <w:r>
          <w:rPr>
            <w:color w:val="0A3A8C"/>
            <w:u w:val="single"/>
          </w:rPr>
          <w:t xml:space="preserve">§ 6</w:t>
        </w:r>
      </w:hyperlink>
      <w:r>
        <w:t xml:space="preserve"> Absatz 2 Satz 1 bis 3 ist in Fällen der Anschaffung oder Herstellung von Wirtschaftsgütern entsprechend anzuwenden.</w:t>
      </w:r>
    </w:p>
    <w:p>
      <w:r>
        <w:t xml:space="preserve">(2) </w:t>
      </w:r>
      <w:r>
        <w:rPr>
          <w:rStyle w:val="Satznummer"/>
        </w:rPr>
        <w:t>1</w:t>
      </w:r>
      <w:r>
        <w:t xml:space="preserve">Durch die Entfernungspauschalen sind sämtliche Aufwendungen abgegolten, die durch die Wege zwischen Wohnung und erster Tätigkeitsstätte im Sinne des Absatzes 4 und durch die Familienheimfahrten veranlasst sind. </w:t>
      </w:r>
      <w:r>
        <w:rPr>
          <w:rStyle w:val="Satznummer"/>
        </w:rPr>
        <w:t>2</w:t>
      </w:r>
      <w:r>
        <w:t xml:space="preserve">Aufwendungen für die Benutzung öffentlicher Verkehrsmittel können angesetzt werden, soweit sie den im Kalenderjahr insgesamt als Entfernungspauschale abziehbaren Betrag übersteigen. </w:t>
      </w:r>
      <w:r>
        <w:rPr>
          <w:rStyle w:val="Satznummer"/>
        </w:rPr>
        <w:t>3</w:t>
      </w:r>
      <w:r>
        <w:t>Menschen mit Behinderungen,</w:t>
      </w:r>
    </w:p>
    <w:p>
      <w:pPr>
        <w:tabs>
          <w:tab w:pos="567" w:val="left"/>
        </w:tabs>
        <w:ind w:left="567" w:hanging="567"/>
      </w:pPr>
      <w:r>
        <w:t>1.</w:t>
      </w:r>
      <w:r>
        <w:tab/>
      </w:r>
      <w:r>
        <w:t>deren Grad der Behinderung mindestens 70 beträgt,</w:t>
      </w:r>
    </w:p>
    <w:p>
      <w:pPr>
        <w:tabs>
          <w:tab w:pos="567" w:val="left"/>
        </w:tabs>
        <w:ind w:left="567" w:hanging="567"/>
      </w:pPr>
      <w:r>
        <w:t>2.</w:t>
      </w:r>
      <w:r>
        <w:tab/>
      </w:r>
      <w:r>
        <w:t>deren Grad der Behinderung weniger als 70, aber mindestens 50 beträgt und die in ihrer Bewegungsfähigkeit im Straßenverkehr erheblich beeinträchtigt sind,</w:t>
      </w:r>
    </w:p>
    <w:p>
      <w:r>
        <w:t xml:space="preserve">können anstelle der Entfernungspauschalen die tatsächlichen Aufwendungen für die Wege zwischen Wohnung und erster Tätigkeitsstätte und für Familienheimfahrten ansetzen. </w:t>
      </w:r>
      <w:r>
        <w:rPr>
          <w:rStyle w:val="Satznummer"/>
        </w:rPr>
        <w:t>4</w:t>
      </w:r>
      <w:r>
        <w:t>Die Voraussetzungen der Nummern 1 und 2 sind durch amtliche Unterlagen nachzuweisen.</w:t>
      </w:r>
    </w:p>
    <w:p>
      <w:r>
        <w:t xml:space="preserve">(3) Absatz 1 Satz 3 Nummer 4 bis 5a sowie die Absätze 2 und 4a gelten bei den Einkunftsarten im Sinne des </w:t>
      </w:r>
      <w:hyperlink w:anchor="b5" w:history="1">
        <w:r>
          <w:rPr>
            <w:color w:val="0A3A8C"/>
            <w:u w:val="single"/>
          </w:rPr>
          <w:t xml:space="preserve">§ 2</w:t>
        </w:r>
      </w:hyperlink>
      <w:r>
        <w:t xml:space="preserve"> Absatz 1 Satz 1 Nummer 5 bis 7 entsprechend.</w:t>
      </w:r>
    </w:p>
    <w:p>
      <w:r>
        <w:t xml:space="preserve">(4) </w:t>
      </w:r>
      <w:r>
        <w:rPr>
          <w:rStyle w:val="Satznummer"/>
        </w:rPr>
        <w:t>1</w:t>
      </w:r>
      <w:r>
        <w:t xml:space="preserve">Erste Tätigkeitsstätte ist die ortsfeste betriebliche Einrichtung des Arbeitgebers, eines verbundenen Unternehmens (§ 15 des Aktiengesetzes) oder eines vom Arbeitgeber bestimmten Dritten, der der Arbeitnehmer dauerhaft zugeordnet ist. </w:t>
      </w:r>
      <w:r>
        <w:rPr>
          <w:rStyle w:val="Satznummer"/>
        </w:rPr>
        <w:t>2</w:t>
      </w:r>
      <w:r>
        <w:t xml:space="preserve">Die Zuordnung im Sinne des Satzes 1 wird durch die dienst- oder arbeitsrechtlichen Festlegungen sowie die diese ausfüllenden Absprachen und Weisungen bestimmt. </w:t>
      </w:r>
      <w:r>
        <w:rPr>
          <w:rStyle w:val="Satznummer"/>
        </w:rPr>
        <w:t>3</w:t>
      </w:r>
      <w:r>
        <w:t xml:space="preserve">Von einer dauerhaften Zuordnung ist insbesondere auszugehen, wenn der Arbeitnehmer unbefristet, für die Dauer des Dienstverhältnisses oder über einen Zeitraum von 48 Monaten hinaus an einer solchen Tätigkeitsstätte tätig werden soll. </w:t>
      </w:r>
      <w:r>
        <w:rPr>
          <w:rStyle w:val="Satznummer"/>
        </w:rPr>
        <w:t>4</w:t>
      </w:r>
      <w:r>
        <w:t>Fehlt eine solche dienst- oder arbeitsrechtliche Festlegung auf eine Tätigkeitsstätte oder ist sie nicht eindeutig, ist erste Tätigkeitsstätte die betriebliche Einrichtung, an der der Arbeitnehmer dauerhaft</w:t>
      </w:r>
    </w:p>
    <w:p>
      <w:pPr>
        <w:tabs>
          <w:tab w:pos="567" w:val="left"/>
        </w:tabs>
        <w:ind w:left="567" w:hanging="567"/>
      </w:pPr>
      <w:r>
        <w:t>1.</w:t>
      </w:r>
      <w:r>
        <w:tab/>
      </w:r>
      <w:r>
        <w:t>typischerweise arbeitstäglich tätig werden soll oder</w:t>
      </w:r>
    </w:p>
    <w:p>
      <w:pPr>
        <w:tabs>
          <w:tab w:pos="567" w:val="left"/>
        </w:tabs>
        <w:ind w:left="567" w:hanging="567"/>
      </w:pPr>
      <w:r>
        <w:t>2.</w:t>
      </w:r>
      <w:r>
        <w:tab/>
      </w:r>
      <w:r>
        <w:t>je Arbeitswoche zwei volle Arbeitstage oder mindestens ein Drittel seiner vereinbarten regelmäßigen Arbeitszeit tätig werden soll.</w:t>
      </w:r>
    </w:p>
    <w:p>
      <w:r>
        <w:rPr>
          <w:rStyle w:val="Satznummer"/>
        </w:rPr>
        <w:t>5</w:t>
      </w:r>
      <w:r>
        <w:t xml:space="preserve">Je Dienstverhältnis hat der Arbeitnehmer höchstens eine erste Tätigkeitsstätte. </w:t>
      </w:r>
      <w:r>
        <w:rPr>
          <w:rStyle w:val="Satznummer"/>
        </w:rPr>
        <w:t>6</w:t>
      </w:r>
      <w:r>
        <w:t xml:space="preserve">Liegen die Voraussetzungen der Sätze 1 bis 4 für mehrere Tätigkeitsstätten vor, ist diejenige Tätigkeitsstätte erste Tätigkeitsstätte, die der Arbeitgeber bestimmt. </w:t>
      </w:r>
      <w:r>
        <w:rPr>
          <w:rStyle w:val="Satznummer"/>
        </w:rPr>
        <w:t>7</w:t>
      </w:r>
      <w:r>
        <w:t xml:space="preserve">Fehlt es an dieser Bestimmung oder ist sie nicht eindeutig, ist die der Wohnung örtlich am nächsten liegende Tätigkeitsstätte die erste Tätigkeitsstätte. </w:t>
      </w:r>
      <w:r>
        <w:rPr>
          <w:rStyle w:val="Satznummer"/>
        </w:rPr>
        <w:t>8</w:t>
      </w:r>
      <w:r>
        <w:t>Als erste Tätigkeitsstätte gilt auch eine Bildungseinrichtung, die außerhalb eines Dienstverhältnisses zum Zwecke eines Vollzeitstudiums oder einer vollzeitigen Bildungsmaßnahme aufgesucht wird; die Regelungen für Arbeitnehmer nach Absatz 1 Satz 3 Nummer 4 und 5 sowie Absatz 4a sind entsprechend anzuwenden.</w:t>
      </w:r>
    </w:p>
    <w:p>
      <w:r>
        <w:t xml:space="preserve">(4a) </w:t>
      </w:r>
      <w:r>
        <w:rPr>
          <w:rStyle w:val="Satznummer"/>
        </w:rPr>
        <w:t>1</w:t>
      </w:r>
      <w:r>
        <w:t xml:space="preserve">Mehraufwendungen des Arbeitnehmers für die Verpflegung sind nur nach Maßgabe der folgenden Sätze als Werbungskosten abziehbar. </w:t>
      </w:r>
      <w:r>
        <w:rPr>
          <w:rStyle w:val="Satznummer"/>
        </w:rPr>
        <w:t>2</w:t>
      </w:r>
      <w:r>
        <w:t xml:space="preserve">Wird der Arbeitnehmer außerhalb seiner Wohnung und ersten Tätigkeitsstätte beruflich tätig (auswärtige berufliche Tätigkeit), ist zur Abgeltung der ihm tatsächlich entstandenen, beruflich veranlassten Mehraufwendungen eine Verpflegungspauschale anzusetzen. </w:t>
      </w:r>
      <w:r>
        <w:rPr>
          <w:rStyle w:val="Satznummer"/>
        </w:rPr>
        <w:t>3</w:t>
      </w:r>
      <w:r>
        <w:t>Diese beträgt</w:t>
      </w:r>
    </w:p>
    <w:p>
      <w:pPr>
        <w:tabs>
          <w:tab w:pos="567" w:val="left"/>
        </w:tabs>
        <w:ind w:left="567" w:hanging="567"/>
      </w:pPr>
      <w:r>
        <w:t>1.</w:t>
      </w:r>
      <w:r>
        <w:tab/>
      </w:r>
      <w:r>
        <w:t>28 Euro für jeden Kalendertag, an dem der Arbeitnehmer 24 Stunden von seiner Wohnung und ersten Tätigkeitsstätte abwesend ist,</w:t>
      </w:r>
    </w:p>
    <w:p>
      <w:pPr>
        <w:tabs>
          <w:tab w:pos="567" w:val="left"/>
        </w:tabs>
        <w:ind w:left="567" w:hanging="567"/>
      </w:pPr>
      <w:r>
        <w:t>2.</w:t>
      </w:r>
      <w:r>
        <w:tab/>
      </w:r>
      <w:r>
        <w:t>jeweils 14 Euro für den An- und Abreisetag, wenn der Arbeitnehmer an diesem, einem anschließenden oder vorhergehenden Tag außerhalb seiner Wohnung übernachtet,</w:t>
      </w:r>
    </w:p>
    <w:p>
      <w:pPr>
        <w:tabs>
          <w:tab w:pos="567" w:val="left"/>
        </w:tabs>
        <w:ind w:left="567" w:hanging="567"/>
      </w:pPr>
      <w:r>
        <w:t>3.</w:t>
      </w:r>
      <w:r>
        <w:tab/>
      </w:r>
      <w:r>
        <w:t>14 Euro für den Kalendertag, an dem der Arbeitnehmer ohne Übernachtung außerhalb seiner Wohnung mehr als 8 Stunden von seiner Wohnung und der ersten Tätigkeitsstätte abwesend ist; beginnt die auswärtige berufliche Tätigkeit an einem Kalendertag und endet am nachfolgenden Kalendertag ohne Übernachtung, werden 14 Euro für den Kalendertag gewährt, an dem der Arbeitnehmer den überwiegenden Teil der insgesamt mehr als 8 Stunden von seiner Wohnung und der ersten Tätigkeitsstätte abwesend ist.</w:t>
      </w:r>
    </w:p>
    <w:p>
      <w:r>
        <w:rPr>
          <w:rStyle w:val="Satznummer"/>
        </w:rPr>
        <w:t>4</w:t>
      </w:r>
      <w:r>
        <w:t xml:space="preserve">Hat der Arbeitnehmer keine erste Tätigkeitsstätte, gelten die Sätze 2 und 3 entsprechend; Wohnung im Sinne der Sätze 2 und 3 ist der Hausstand, der den Mittelpunkt der Lebensinteressen des Arbeitnehmers bildet sowie eine Unterkunft am Ort der ersten Tätigkeitsstätte im Rahmen der doppelten Haushaltsführung. </w:t>
      </w:r>
      <w:r>
        <w:rPr>
          <w:rStyle w:val="Satznummer"/>
        </w:rPr>
        <w:t>5</w:t>
      </w:r>
      <w:r>
        <w:t xml:space="preserve">Bei einer Tätigkeit im Ausland treten an die Stelle der Pauschbeträge nach Satz 3 länderweise unterschiedliche Pauschbeträge, die für die Fälle der Nummer 1 mit 120 sowie der Nummern 2 und 3 mit 80 Prozent der Auslandstagegelder nach dem Bundesreisekostengesetz vom Bundesministerium der Finanzen im Einvernehmen mit den obersten Finanzbehörden der Länder aufgerundet auf volle Euro festgesetzt werden; dabei bestimmt sich der Pauschbetrag nach dem Ort, den der Arbeitnehmer vor 24 Uhr Ortszeit zuletzt erreicht, oder, wenn dieser Ort im Inland liegt, nach dem letzten Tätigkeitsort im Ausland. </w:t>
      </w:r>
      <w:r>
        <w:rPr>
          <w:rStyle w:val="Satznummer"/>
        </w:rPr>
        <w:t>6</w:t>
      </w:r>
      <w:r>
        <w:t xml:space="preserve">Der Abzug der Verpflegungspauschalen ist auf die ersten drei Monate einer längerfristigen beruflichen Tätigkeit an derselben Tätigkeitsstätte beschränkt. </w:t>
      </w:r>
      <w:r>
        <w:rPr>
          <w:rStyle w:val="Satznummer"/>
        </w:rPr>
        <w:t>7</w:t>
      </w:r>
      <w:r>
        <w:t xml:space="preserve">Eine Unterbrechung der beruflichen Tätigkeit an derselben Tätigkeitsstätte führt zu einem Neubeginn, wenn sie mindestens vier Wochen dauert. </w:t>
      </w:r>
      <w:r>
        <w:rPr>
          <w:rStyle w:val="Satznummer"/>
        </w:rPr>
        <w:t>8</w:t>
      </w:r>
      <w:r>
        <w:t>Wird dem Arbeitnehmer anlässlich oder während einer Tätigkeit außerhalb seiner ersten Tätigkeitsstätte vom Arbeitgeber oder auf dessen Veranlassung von einem Dritten eine Mahlzeit zur Verfügung gestellt, sind die nach den Sätzen 3 und 5 ermittelten Verpflegungspauschalen zu kürzen:</w:t>
      </w:r>
    </w:p>
    <w:p>
      <w:pPr>
        <w:tabs>
          <w:tab w:pos="567" w:val="left"/>
        </w:tabs>
        <w:ind w:left="567" w:hanging="567"/>
      </w:pPr>
      <w:r>
        <w:t>1.</w:t>
      </w:r>
      <w:r>
        <w:tab/>
      </w:r>
      <w:r>
        <w:t>für Frühstück um 20 Prozent,</w:t>
      </w:r>
    </w:p>
    <w:p>
      <w:pPr>
        <w:tabs>
          <w:tab w:pos="567" w:val="left"/>
        </w:tabs>
        <w:ind w:left="567" w:hanging="567"/>
      </w:pPr>
      <w:r>
        <w:t>2.</w:t>
      </w:r>
      <w:r>
        <w:tab/>
      </w:r>
      <w:r>
        <w:t>für Mittag- und Abendessen um jeweils 40 Prozent,</w:t>
      </w:r>
    </w:p>
    <w:p>
      <w:r>
        <w:t xml:space="preserve">der nach Satz 3 Nummer 1 gegebenenfalls in Verbindung mit Satz 5 maßgebenden Verpflegungspauschale für einen vollen Kalendertag; die Kürzung darf die ermittelte Verpflegungspauschale nicht übersteigen. </w:t>
      </w:r>
      <w:r>
        <w:rPr>
          <w:rStyle w:val="Satznummer"/>
        </w:rPr>
        <w:t>9</w:t>
      </w:r>
      <w:r>
        <w:t xml:space="preserve">Satz 8 gilt auch, wenn Reisekostenvergütungen wegen der zur Verfügung gestellten Mahlzeiten einbehalten oder gekürzt werden oder die Mahlzeiten nach </w:t>
      </w:r>
      <w:hyperlink w:anchor="b154" w:history="1">
        <w:r>
          <w:rPr>
            <w:color w:val="0A3A8C"/>
            <w:u w:val="single"/>
          </w:rPr>
          <w:t xml:space="preserve">§ 40</w:t>
        </w:r>
      </w:hyperlink>
      <w:r>
        <w:t xml:space="preserve"> Absatz 2 Satz 1 Nummer 1a pauschal besteuert werden. </w:t>
      </w:r>
      <w:r>
        <w:rPr>
          <w:rStyle w:val="Satznummer"/>
        </w:rPr>
        <w:t>10</w:t>
      </w:r>
      <w:r>
        <w:t xml:space="preserve">Hat der Arbeitnehmer für die Mahlzeit ein Entgelt gezahlt, mindert dieser Betrag den Kürzungsbetrag nach Satz 8. </w:t>
      </w:r>
      <w:r>
        <w:rPr>
          <w:rStyle w:val="Satznummer"/>
        </w:rPr>
        <w:t>11</w:t>
      </w:r>
      <w:r>
        <w:t xml:space="preserve">Erhält der Arbeitnehmer steuerfreie Erstattungen für Verpflegung, ist ein Werbungskostenabzug insoweit ausgeschlossen. </w:t>
      </w:r>
      <w:r>
        <w:rPr>
          <w:rStyle w:val="Satznummer"/>
        </w:rPr>
        <w:t>12</w:t>
      </w:r>
      <w:r>
        <w:t xml:space="preserve">Die Verpflegungspauschalen nach den Sätzen 3 und 5, die Dreimonatsfrist nach den Sätzen 6 und 7 sowie die Kürzungsregelungen nach den Sätzen 8 bis 10 gelten entsprechend auch für den Abzug von Mehraufwendungen für Verpflegung, die bei einer beruflich veranlassten doppelten Haushaltsführung entstehen, soweit der Arbeitnehmer vom eigenen Hausstand im Sinne des </w:t>
      </w:r>
      <w:hyperlink w:anchor="b46" w:history="1">
        <w:r>
          <w:rPr>
            <w:color w:val="0A3A8C"/>
            <w:u w:val="single"/>
          </w:rPr>
          <w:t xml:space="preserve">§ 9</w:t>
        </w:r>
      </w:hyperlink>
      <w:r>
        <w:t xml:space="preserve"> Absatz 1 Satz 3 Nummer 5 abwesend ist; dabei ist für jeden Kalendertag innerhalb der Dreimonatsfrist, an dem gleichzeitig eine Tätigkeit im Sinne des Satzes 2 oder des Satzes 4 ausgeübt wird, nur der jeweils höchste in Betracht kommende Pauschbetrag abziehbar. </w:t>
      </w:r>
      <w:r>
        <w:rPr>
          <w:rStyle w:val="Satznummer"/>
        </w:rPr>
        <w:t>13</w:t>
      </w:r>
      <w:r>
        <w:t>Die Dauer einer Tätigkeit im Sinne des Satzes 2 an dem Tätigkeitsort, an dem die doppelte Haushaltsführung begründet wurde, ist auf die Dreimonatsfrist anzurechnen, wenn sie ihr unmittelbar vorausgegangen ist.</w:t>
      </w:r>
    </w:p>
    <w:p>
      <w:r>
        <w:t xml:space="preserve">(5) </w:t>
      </w:r>
      <w:r>
        <w:rPr>
          <w:rStyle w:val="Satznummer"/>
        </w:rPr>
        <w:t>1</w:t>
      </w:r>
      <w:hyperlink w:anchor="b13" w:history="1">
        <w:r>
          <w:rPr>
            <w:color w:val="0A3A8C"/>
            <w:u w:val="single"/>
          </w:rPr>
          <w:t xml:space="preserve">§ 4</w:t>
        </w:r>
      </w:hyperlink>
      <w:r>
        <w:t xml:space="preserve"> Absatz 5 Satz 1 Nummer 1 bis 4, 6b bis 8a, 10, 12 und Absatz 6 gilt sinngemäß. </w:t>
      </w:r>
      <w:r>
        <w:rPr>
          <w:rStyle w:val="Satznummer"/>
        </w:rPr>
        <w:t>2</w:t>
      </w:r>
      <w:r>
        <w:t xml:space="preserve">Die </w:t>
      </w:r>
      <w:hyperlink w:anchor="b24" w:history="1">
        <w:r>
          <w:rPr>
            <w:color w:val="0A3A8C"/>
            <w:u w:val="single"/>
          </w:rPr>
          <w:t xml:space="preserve">§§ 4k</w:t>
        </w:r>
      </w:hyperlink>
      <w:r>
        <w:t xml:space="preserve">, </w:t>
      </w:r>
      <w:hyperlink w:anchor="b28" w:history="1">
        <w:r>
          <w:rPr>
            <w:color w:val="0A3A8C"/>
            <w:u w:val="single"/>
          </w:rPr>
          <w:t xml:space="preserve">6</w:t>
        </w:r>
      </w:hyperlink>
      <w:r>
        <w:t xml:space="preserve"> Absatz 1 Nummer 1a und </w:t>
      </w:r>
      <w:hyperlink w:anchor="b33" w:history="1">
        <w:r>
          <w:rPr>
            <w:color w:val="0A3A8C"/>
            <w:u w:val="single"/>
          </w:rPr>
          <w:t xml:space="preserve">§ 6e</w:t>
        </w:r>
      </w:hyperlink>
      <w:r>
        <w:t xml:space="preserve"> gelten entsprechend.</w:t>
      </w:r>
    </w:p>
    <w:p>
      <w:r>
        <w:t xml:space="preserve">(6) </w:t>
      </w:r>
      <w:r>
        <w:rPr>
          <w:rStyle w:val="Satznummer"/>
        </w:rPr>
        <w:t>1</w:t>
      </w:r>
      <w:r>
        <w:t xml:space="preserve">Aufwendungen des Steuerpflichtigen für seine Berufsausbildung oder für sein Studium sind nur dann Werbungskosten, wenn der Steuerpflichtige zuvor bereits eine Erstausbildung (Berufsausbildung oder Studium) abgeschlossen hat oder wenn die Berufsausbildung oder das Studium im Rahmen eines Dienstverhältnisses stattfindet. </w:t>
      </w:r>
      <w:r>
        <w:rPr>
          <w:rStyle w:val="Satznummer"/>
        </w:rPr>
        <w:t>2</w:t>
      </w:r>
      <w:r>
        <w:t xml:space="preserve">Eine Berufsausbildung als Erstausbildung nach Satz 1 liegt vor, wenn eine geordnete Ausbildung mit einer Mindestdauer von 12 Monaten bei vollzeitiger Ausbildung und mit einer Abschlussprüfung durchgeführt wird. </w:t>
      </w:r>
      <w:r>
        <w:rPr>
          <w:rStyle w:val="Satznummer"/>
        </w:rPr>
        <w:t>3</w:t>
      </w:r>
      <w:r>
        <w:t xml:space="preserve">Eine geordnete Ausbildung liegt vor, wenn sie auf der Grundlage von Rechts- oder Verwaltungsvorschriften oder internen Vorschriften eines Bildungsträgers durchgeführt wird. </w:t>
      </w:r>
      <w:r>
        <w:rPr>
          <w:rStyle w:val="Satznummer"/>
        </w:rPr>
        <w:t>4</w:t>
      </w:r>
      <w:r>
        <w:t xml:space="preserve">Ist eine Abschlussprüfung nach dem Ausbildungsplan nicht vorgesehen, gilt die Ausbildung mit der tatsächlichen planmäßigen Beendigung als abgeschlossen. </w:t>
      </w:r>
      <w:r>
        <w:rPr>
          <w:rStyle w:val="Satznummer"/>
        </w:rPr>
        <w:t>5</w:t>
      </w:r>
      <w:r>
        <w:t>Eine Berufsausbildung als Erstausbildung hat auch abgeschlossen, wer die Abschlussprüfung einer durch Rechts- oder Verwaltungsvorschriften geregelten Berufsausbildung mit einer Mindestdauer von 12 Monaten bestanden hat, ohne dass er zuvor die entsprechende Berufsausbildung durchlaufen hat.</w:t>
      </w:r>
    </w:p>
    <w:p>
      <w:pPr>
        <w:pStyle w:val="Heading3"/>
      </w:pPr>
      <w:bookmarkStart w:id="48" w:name="b47"/>
      <w:r>
        <w:t>§ 9a Pauschbeträge für Werbungskosten</w:t>
      </w:r>
      <w:r>
        <w:t xml:space="preserve"> </w:t>
      </w:r>
      <w:r>
        <w:rPr>
          <w:rStyle w:val="Suchmarke"/>
        </w:rPr>
        <w:t>#9a#</w:t>
      </w:r>
      <w:bookmarkEnd w:id="48"/>
    </w:p>
    <w:p>
      <w:r>
        <w:rPr>
          <w:rStyle w:val="Satznummer"/>
        </w:rPr>
        <w:t>1</w:t>
      </w:r>
      <w:r>
        <w:t>Für Werbungskosten sind bei der Ermittlung der Einkünfte die folgenden Pauschbeträge abzuziehen, wenn nicht höhere Werbungskosten nachgewiesen werden:</w:t>
      </w:r>
    </w:p>
    <w:p>
      <w:pPr>
        <w:tabs>
          <w:tab w:pos="567" w:val="left"/>
        </w:tabs>
        <w:ind w:left="567" w:hanging="567"/>
      </w:pPr>
      <w:r>
        <w:t>1.</w:t>
      </w:r>
      <w:r>
        <w:tab/>
      </w:r>
    </w:p>
    <w:p>
      <w:pPr>
        <w:tabs>
          <w:tab w:pos="1134" w:val="left"/>
        </w:tabs>
        <w:ind w:left="1134" w:hanging="567"/>
      </w:pPr>
      <w:r>
        <w:t>a)</w:t>
      </w:r>
      <w:r>
        <w:tab/>
      </w:r>
      <w:r>
        <w:t>von den Einnahmen aus nichtselbständiger Arbeit vorbehaltlich Buchstabe b:</w:t>
      </w:r>
    </w:p>
    <w:p>
      <w:pPr>
        <w:ind w:left="1134"/>
      </w:pPr>
      <w:r>
        <w:t>ein Arbeitnehmer-Pauschbetrag von 1 230 Euro;</w:t>
      </w:r>
    </w:p>
    <w:p>
      <w:pPr>
        <w:tabs>
          <w:tab w:pos="1134" w:val="left"/>
        </w:tabs>
        <w:ind w:left="1134" w:hanging="567"/>
      </w:pPr>
      <w:r>
        <w:t>b)</w:t>
      </w:r>
      <w:r>
        <w:tab/>
      </w:r>
      <w:r>
        <w:t xml:space="preserve">von den Einnahmen aus nichtselbständiger Arbeit, soweit es sich um Versorgungsbezüge im Sinne des </w:t>
      </w:r>
      <w:hyperlink w:anchor="b83" w:history="1">
        <w:r>
          <w:rPr>
            <w:color w:val="0A3A8C"/>
            <w:u w:val="single"/>
          </w:rPr>
          <w:t xml:space="preserve">§ 19</w:t>
        </w:r>
      </w:hyperlink>
      <w:r>
        <w:t xml:space="preserve"> Absatz 2 handelt:</w:t>
      </w:r>
    </w:p>
    <w:p>
      <w:pPr>
        <w:ind w:left="1134"/>
      </w:pPr>
      <w:r>
        <w:t>ein Pauschbetrag von 102 Euro;</w:t>
      </w:r>
    </w:p>
    <w:p>
      <w:pPr>
        <w:tabs>
          <w:tab w:pos="567" w:val="left"/>
        </w:tabs>
        <w:ind w:left="567" w:hanging="567"/>
      </w:pPr>
      <w:r>
        <w:t>2.</w:t>
      </w:r>
      <w:r>
        <w:tab/>
      </w:r>
      <w:r>
        <w:t>(weggefallen)</w:t>
      </w:r>
    </w:p>
    <w:p>
      <w:pPr>
        <w:tabs>
          <w:tab w:pos="567" w:val="left"/>
        </w:tabs>
        <w:ind w:left="567" w:hanging="567"/>
      </w:pPr>
      <w:r>
        <w:t>3.</w:t>
      </w:r>
      <w:r>
        <w:tab/>
      </w:r>
      <w:r>
        <w:t xml:space="preserve">von den Einnahmen im Sinne des </w:t>
      </w:r>
      <w:hyperlink w:anchor="b90" w:history="1">
        <w:r>
          <w:rPr>
            <w:color w:val="0A3A8C"/>
            <w:u w:val="single"/>
          </w:rPr>
          <w:t xml:space="preserve">§ 22</w:t>
        </w:r>
      </w:hyperlink>
      <w:r>
        <w:t xml:space="preserve"> Nummer 1, 1a und 5:</w:t>
      </w:r>
    </w:p>
    <w:p>
      <w:pPr>
        <w:ind w:left="567"/>
      </w:pPr>
      <w:r>
        <w:t>ein Pauschbetrag von insgesamt 102 Euro.</w:t>
      </w:r>
    </w:p>
    <w:p>
      <w:r>
        <w:rPr>
          <w:rStyle w:val="Satznummer"/>
        </w:rPr>
        <w:t>2</w:t>
      </w:r>
      <w:r>
        <w:t>Der Pauschbetrag nach Satz 1 Nummer 1 Buchstabe b darf nur bis zur Höhe der um den Versorgungsfreibetrag einschließlich des Zuschlags zum Versorgungsfreibetrag (</w:t>
      </w:r>
      <w:hyperlink w:anchor="b83" w:history="1">
        <w:r>
          <w:rPr>
            <w:color w:val="0A3A8C"/>
            <w:u w:val="single"/>
          </w:rPr>
          <w:t xml:space="preserve">§ 19</w:t>
        </w:r>
      </w:hyperlink>
      <w:r>
        <w:t xml:space="preserve"> Absatz 2) geminderten Einnahmen, die Pauschbeträge nach Satz 1 Nummer 1 Buchstabe a und Nummer 3 dürfen nur bis zur Höhe der Einnahmen abgezogen werden. </w:t>
      </w:r>
      <w:r>
        <w:rPr>
          <w:rStyle w:val="Satznummer"/>
        </w:rPr>
        <w:t>3</w:t>
      </w:r>
      <w:r>
        <w:t xml:space="preserve">Beitragszahlungen an Gewerkschaften als Werbungskosten im Sinne des </w:t>
      </w:r>
      <w:hyperlink w:anchor="b46" w:history="1">
        <w:r>
          <w:rPr>
            <w:color w:val="0A3A8C"/>
            <w:u w:val="single"/>
          </w:rPr>
          <w:t xml:space="preserve">§ 9</w:t>
        </w:r>
      </w:hyperlink>
      <w:r>
        <w:t xml:space="preserve"> Absatz 1 Satz 3 Nummer 3 werden neben den Pauschbeträgen im Sinne des Satzes 1 berücksichtigt.</w:t>
      </w:r>
    </w:p>
    <w:p>
      <w:pPr>
        <w:pStyle w:val="Heading2"/>
      </w:pPr>
      <w:bookmarkStart w:id="49" w:name="b48"/>
      <w:r>
        <w:t>4a. Umsatzsteuerrechtlicher Vorsteuerabzug</w:t>
      </w:r>
      <w:bookmarkEnd w:id="49"/>
    </w:p>
    <w:p>
      <w:pPr>
        <w:pStyle w:val="Heading3"/>
      </w:pPr>
      <w:bookmarkStart w:id="50" w:name="b49"/>
      <w:r>
        <w:t>§ 9b</w:t>
      </w:r>
      <w:r>
        <w:t xml:space="preserve"> </w:t>
      </w:r>
      <w:r>
        <w:rPr>
          <w:rStyle w:val="Suchmarke"/>
        </w:rPr>
        <w:t>#9b#</w:t>
      </w:r>
      <w:bookmarkEnd w:id="50"/>
    </w:p>
    <w:p>
      <w:r>
        <w:t>(1) Der Vorsteuerbetrag nach § 15 des Umsatzsteuergesetzes gehört, soweit er bei der Umsatzsteuer abgezogen werden kann, nicht zu den Anschaffungs- oder Herstellungskosten des Wirtschaftsguts, auf dessen Anschaffung oder Herstellung er entfällt.</w:t>
      </w:r>
    </w:p>
    <w:p>
      <w:r>
        <w:t xml:space="preserve">(2) </w:t>
      </w:r>
      <w:r>
        <w:rPr>
          <w:rStyle w:val="Satznummer"/>
        </w:rPr>
        <w:t>1</w:t>
      </w:r>
      <w:r>
        <w:t xml:space="preserve">Wird der Vorsteuerabzug nach § 15a des Umsatzsteuergesetzes berichtigt, so sind die Mehrbeträge als Betriebseinnahmen oder Einnahmen zu behandeln, wenn sie im Rahmen einer der Einkunftsarten des </w:t>
      </w:r>
      <w:hyperlink w:anchor="b5" w:history="1">
        <w:r>
          <w:rPr>
            <w:color w:val="0A3A8C"/>
            <w:u w:val="single"/>
          </w:rPr>
          <w:t xml:space="preserve">§ 2</w:t>
        </w:r>
      </w:hyperlink>
      <w:r>
        <w:t xml:space="preserve"> Absatz 1 Satz 1 bezogen werden; die Minderbeträge sind als Betriebsausgaben oder Werbungskosten zu behandeln, wenn sie durch den Betrieb veranlasst sind oder der Erwerbung, Sicherung und Erhaltung von Einnahmen dienen. </w:t>
      </w:r>
      <w:r>
        <w:rPr>
          <w:rStyle w:val="Satznummer"/>
        </w:rPr>
        <w:t>2</w:t>
      </w:r>
      <w:r>
        <w:t>Die Anschaffungs- oder Herstellungskosten bleiben in den Fällen des Satzes 1 unberührt.</w:t>
      </w:r>
    </w:p>
    <w:p>
      <w:pPr>
        <w:pStyle w:val="Heading2"/>
      </w:pPr>
      <w:bookmarkStart w:id="51" w:name="b50"/>
      <w:r>
        <w:t>5. Sonderausgaben</w:t>
      </w:r>
      <w:bookmarkEnd w:id="51"/>
    </w:p>
    <w:p>
      <w:pPr>
        <w:pStyle w:val="Heading3"/>
      </w:pPr>
      <w:bookmarkStart w:id="52" w:name="b51"/>
      <w:r>
        <w:t>§ 10</w:t>
      </w:r>
      <w:r>
        <w:t xml:space="preserve"> </w:t>
      </w:r>
      <w:r>
        <w:rPr>
          <w:rStyle w:val="Suchmarke"/>
        </w:rPr>
        <w:t>#10#</w:t>
      </w:r>
      <w:bookmarkEnd w:id="52"/>
    </w:p>
    <w:p>
      <w:r>
        <w:t>(1) Sonderausgaben sind die folgenden Aufwendungen, wenn sie weder Betriebsausgaben noch Werbungskosten sind oder wie Betriebsausgaben oder Werbungskosten behandelt werden:</w:t>
      </w:r>
    </w:p>
    <w:p>
      <w:pPr>
        <w:tabs>
          <w:tab w:pos="567" w:val="left"/>
        </w:tabs>
        <w:ind w:left="567" w:hanging="567"/>
      </w:pPr>
      <w:r>
        <w:t>1.</w:t>
      </w:r>
      <w:r>
        <w:tab/>
      </w:r>
      <w:r>
        <w:t>(weggefallen)</w:t>
      </w:r>
    </w:p>
    <w:p>
      <w:pPr>
        <w:tabs>
          <w:tab w:pos="567" w:val="left"/>
        </w:tabs>
        <w:ind w:left="567" w:hanging="567"/>
      </w:pPr>
      <w:r>
        <w:t>1a.</w:t>
      </w:r>
      <w:r>
        <w:tab/>
      </w:r>
      <w:r>
        <w:t>(weggefallen)</w:t>
      </w:r>
    </w:p>
    <w:p>
      <w:pPr>
        <w:tabs>
          <w:tab w:pos="567" w:val="left"/>
        </w:tabs>
        <w:ind w:left="567" w:hanging="567"/>
      </w:pPr>
      <w:r>
        <w:t>1b.</w:t>
      </w:r>
      <w:r>
        <w:tab/>
      </w:r>
      <w:r>
        <w:t>(weggefallen)</w:t>
      </w:r>
    </w:p>
    <w:p>
      <w:pPr>
        <w:tabs>
          <w:tab w:pos="567" w:val="left"/>
        </w:tabs>
        <w:ind w:left="567" w:hanging="567"/>
      </w:pPr>
      <w:r>
        <w:t>2.</w:t>
      </w:r>
      <w:r>
        <w:tab/>
      </w:r>
    </w:p>
    <w:p>
      <w:pPr>
        <w:tabs>
          <w:tab w:pos="1134" w:val="left"/>
        </w:tabs>
        <w:ind w:left="1134" w:hanging="567"/>
      </w:pPr>
      <w:r>
        <w:t>a)</w:t>
      </w:r>
      <w:r>
        <w:tab/>
      </w:r>
      <w:r>
        <w:t>Beiträge zu den gesetzlichen Rentenversicherungen oder zur landwirtschaftlichen Alterskasse sowie zu berufsständischen Versorgungseinrichtungen, die den gesetzlichen Rentenversicherungen vergleichbare Leistungen erbringen;</w:t>
      </w:r>
    </w:p>
    <w:p>
      <w:pPr>
        <w:tabs>
          <w:tab w:pos="1134" w:val="left"/>
        </w:tabs>
        <w:ind w:left="1134" w:hanging="567"/>
      </w:pPr>
      <w:r>
        <w:t>b)</w:t>
      </w:r>
      <w:r>
        <w:tab/>
      </w:r>
      <w:r>
        <w:t>Beiträge des Steuerpflichtigen</w:t>
      </w:r>
    </w:p>
    <w:p>
      <w:pPr>
        <w:tabs>
          <w:tab w:pos="1701" w:val="left"/>
        </w:tabs>
        <w:ind w:left="1701" w:hanging="567"/>
      </w:pPr>
      <w:r>
        <w:t>aa)</w:t>
      </w:r>
      <w:r>
        <w:tab/>
      </w:r>
      <w:r>
        <w:t xml:space="preserve">zum Aufbau einer eigenen kapitalgedeckten Altersversorgung, wenn der Vertrag nur die Zahlung einer monatlichen, auf das Leben des Steuerpflichtigen bezogenen lebenslangen Leibrente nicht vor Vollendung des 62. Lebensjahres oder zusätzlich die ergänzende Absicherung des Eintritts der Berufsunfähigkeit (Berufsunfähigkeitsrente), der verminderten Erwerbsfähigkeit (Erwerbsminderungsrente) oder von Hinterbliebenen (Hinterbliebenenrente) vorsieht. </w:t>
      </w:r>
      <w:r>
        <w:rPr>
          <w:rStyle w:val="Satznummer"/>
        </w:rPr>
        <w:t>2</w:t>
      </w:r>
      <w:r>
        <w:t xml:space="preserve">Hinterbliebene in diesem Sinne sind der Ehegatte des Steuerpflichtigen und die Kinder, für die er Anspruch auf Kindergeld oder auf einen Freibetrag nach </w:t>
      </w:r>
      <w:hyperlink w:anchor="b107" w:history="1">
        <w:r>
          <w:rPr>
            <w:color w:val="0A3A8C"/>
            <w:u w:val="single"/>
          </w:rPr>
          <w:t xml:space="preserve">§ 32</w:t>
        </w:r>
      </w:hyperlink>
      <w:r>
        <w:t xml:space="preserve"> Absatz 6 hat. </w:t>
      </w:r>
      <w:r>
        <w:rPr>
          <w:rStyle w:val="Satznummer"/>
        </w:rPr>
        <w:t>3</w:t>
      </w:r>
      <w:r>
        <w:t xml:space="preserve">Der Anspruch auf Waisenrente darf längstens für den Zeitraum bestehen, in dem der Rentenberechtigte die Voraussetzungen für die Berücksichtigung als Kind im Sinne des </w:t>
      </w:r>
      <w:hyperlink w:anchor="b107" w:history="1">
        <w:r>
          <w:rPr>
            <w:color w:val="0A3A8C"/>
            <w:u w:val="single"/>
          </w:rPr>
          <w:t xml:space="preserve">§ 32</w:t>
        </w:r>
      </w:hyperlink>
      <w:r>
        <w:t xml:space="preserve"> erfüllt;</w:t>
      </w:r>
    </w:p>
    <w:p>
      <w:pPr>
        <w:tabs>
          <w:tab w:pos="1701" w:val="left"/>
        </w:tabs>
        <w:ind w:left="1701" w:hanging="567"/>
      </w:pPr>
      <w:r>
        <w:t>bb)</w:t>
      </w:r>
      <w:r>
        <w:tab/>
      </w:r>
      <w:r>
        <w:t xml:space="preserve">für seine Absicherung gegen den Eintritt der Berufsunfähigkeit oder der verminderten Erwerbsfähigkeit (Versicherungsfall), wenn der Vertrag nur die Zahlung einer monatlichen, auf das Leben des Steuerpflichtigen bezogenen lebenslangen Leibrente für einen Versicherungsfall vorsieht, der bis zur Vollendung des 67. Lebensjahres eingetreten ist. </w:t>
      </w:r>
      <w:r>
        <w:rPr>
          <w:rStyle w:val="Satznummer"/>
        </w:rPr>
        <w:t>2</w:t>
      </w:r>
      <w:r>
        <w:t xml:space="preserve">Der Vertrag kann die Beendigung der Rentenzahlung wegen eines medizinisch begründeten Wegfalls der Berufsunfähigkeit oder der verminderten Erwerbsfähigkeit vorsehen. </w:t>
      </w:r>
      <w:r>
        <w:rPr>
          <w:rStyle w:val="Satznummer"/>
        </w:rPr>
        <w:t>3</w:t>
      </w:r>
      <w:r>
        <w:t>Die Höhe der zugesagten Rente kann vom Alter des Steuerpflichtigen bei Eintritt des Versicherungsfalls abhängig gemacht werden, wenn der Steuerpflichtige das 55. Lebensjahr vollendet hat.</w:t>
      </w:r>
    </w:p>
    <w:p>
      <w:pPr>
        <w:ind w:left="567"/>
      </w:pPr>
      <w:r>
        <w:rPr>
          <w:rStyle w:val="Satznummer"/>
        </w:rPr>
        <w:t>2</w:t>
      </w:r>
      <w:r>
        <w:t xml:space="preserve">Die Ansprüche nach Buchstabe b dürfen nicht vererblich, nicht übertragbar, nicht beleihbar, nicht veräußerbar und nicht kapitalisierbar sein. </w:t>
      </w:r>
      <w:r>
        <w:rPr>
          <w:rStyle w:val="Satznummer"/>
        </w:rPr>
        <w:t>3</w:t>
      </w:r>
      <w:r>
        <w:t xml:space="preserve">Anbieter und Steuerpflichtiger können vereinbaren, dass bis zu zwölf Monatsleistungen in einer Auszahlung zusammengefasst werden oder eine Kleinbetragsrente im Sinne von </w:t>
      </w:r>
      <w:hyperlink w:anchor="b253" w:history="1">
        <w:r>
          <w:rPr>
            <w:color w:val="0A3A8C"/>
            <w:u w:val="single"/>
          </w:rPr>
          <w:t xml:space="preserve">§ 93</w:t>
        </w:r>
      </w:hyperlink>
      <w:r>
        <w:t xml:space="preserve"> Absatz 3 Satz 2 oder 4 abgefunden wird. </w:t>
      </w:r>
      <w:r>
        <w:rPr>
          <w:rStyle w:val="Satznummer"/>
        </w:rPr>
        <w:t>4</w:t>
      </w:r>
      <w:r>
        <w:t xml:space="preserve">Bei der Berechnung der Kleinbetragsrente sind alle bei einem Anbieter bestehenden Verträge des Steuerpflichtigen jeweils nach Buchstabe b Doppelbuchstabe aa oder Doppelbuchstabe bb zusammenzurechnen. </w:t>
      </w:r>
      <w:r>
        <w:rPr>
          <w:rStyle w:val="Satznummer"/>
        </w:rPr>
        <w:t>5</w:t>
      </w:r>
      <w:r>
        <w:t xml:space="preserve">Neben den genannten Auszahlungsformen darf kein weiterer Anspruch auf Auszahlungen bestehen. </w:t>
      </w:r>
      <w:r>
        <w:rPr>
          <w:rStyle w:val="Satznummer"/>
        </w:rPr>
        <w:t>6</w:t>
      </w:r>
      <w:r>
        <w:t xml:space="preserve">Zu den Beiträgen nach den Buchstaben a und b ist der nach </w:t>
      </w:r>
      <w:hyperlink w:anchor="b8" w:history="1">
        <w:r>
          <w:rPr>
            <w:color w:val="0A3A8C"/>
            <w:u w:val="single"/>
          </w:rPr>
          <w:t xml:space="preserve">§ 3</w:t>
        </w:r>
      </w:hyperlink>
      <w:r>
        <w:t xml:space="preserve"> Nummer 62 steuerfreie Arbeitgeberanteil zur gesetzlichen Rentenversicherung und ein diesem gleichgestellter steuerfreier Zuschuss des Arbeitgebers hinzuzurechnen. </w:t>
      </w:r>
      <w:r>
        <w:rPr>
          <w:rStyle w:val="Satznummer"/>
        </w:rPr>
        <w:t>7</w:t>
      </w:r>
      <w:r>
        <w:t>Beiträge nach § 168 Absatz 1 Nummer 1b oder 1c oder nach § 172 Absatz 3 oder 3a des Sechsten Buches Sozialgesetzbuch werden abweichend von Satz 6 nur auf Antrag des Steuerpflichtigen hinzugerechnet;</w:t>
      </w:r>
    </w:p>
    <w:p>
      <w:pPr>
        <w:tabs>
          <w:tab w:pos="567" w:val="left"/>
        </w:tabs>
        <w:ind w:left="567" w:hanging="567"/>
      </w:pPr>
      <w:r>
        <w:t>3.</w:t>
      </w:r>
      <w:r>
        <w:tab/>
      </w:r>
      <w:r>
        <w:t>Beiträge zu</w:t>
      </w:r>
    </w:p>
    <w:p>
      <w:pPr>
        <w:tabs>
          <w:tab w:pos="1134" w:val="left"/>
        </w:tabs>
        <w:ind w:left="1134" w:hanging="567"/>
      </w:pPr>
      <w:r>
        <w:t>a)</w:t>
      </w:r>
      <w:r>
        <w:tab/>
      </w:r>
      <w:r>
        <w:t xml:space="preserve">Krankenversicherungen, soweit diese zur Erlangung eines durch das Zwölfte Buch Sozialgesetzbuch bestimmten sozialhilfegleichen Versorgungsniveaus erforderlich sind und sofern auf die Leistungen ein Anspruch besteht. </w:t>
      </w:r>
      <w:r>
        <w:rPr>
          <w:rStyle w:val="Satznummer"/>
        </w:rPr>
        <w:t>2</w:t>
      </w:r>
      <w:r>
        <w:t xml:space="preserve">Für Beiträge zur gesetzlichen Krankenversicherung sind dies die nach dem Dritten Titel des Ersten Abschnitts des Achten Kapitels des Fünften Buches Sozialgesetzbuch oder die nach dem Sechsten Abschnitt des Zweiten Gesetzes über die Krankenversicherung der Landwirte festgesetzten Beiträge. </w:t>
      </w:r>
      <w:r>
        <w:rPr>
          <w:rStyle w:val="Satznummer"/>
        </w:rPr>
        <w:t>3</w:t>
      </w:r>
      <w:r>
        <w:t xml:space="preserve">Für Beiträge zu einer privaten Krankenversicherung sind dies die Beitragsanteile, die auf Vertragsleistungen entfallen, die, mit Ausnahme der auf das Krankengeld entfallenden Beitragsanteile, in Art, Umfang und Höhe den Leistungen nach dem Dritten Kapitel des Fünften Buches Sozialgesetzbuch vergleichbar sind; § 158 Absatz 2 des Versicherungsaufsichtsgesetzes gilt entsprechend. </w:t>
      </w:r>
      <w:r>
        <w:rPr>
          <w:rStyle w:val="Satznummer"/>
        </w:rPr>
        <w:t>4</w:t>
      </w:r>
      <w:r>
        <w:t>Wenn sich aus den Krankenversicherungsbeiträgen nach Satz 2 ein Anspruch auf Krankengeld oder ein Anspruch auf eine Leistung, die anstelle von Krankengeld gewährt wird, ergeben kann, ist der jeweilige Beitrag um 4 Prozent zu vermindern;</w:t>
      </w:r>
    </w:p>
    <w:p>
      <w:pPr>
        <w:tabs>
          <w:tab w:pos="1134" w:val="left"/>
        </w:tabs>
        <w:ind w:left="1134" w:hanging="567"/>
      </w:pPr>
      <w:r>
        <w:t>b)</w:t>
      </w:r>
      <w:r>
        <w:tab/>
      </w:r>
      <w:r>
        <w:t>gesetzlichen Pflegeversicherungen (soziale Pflegeversicherung und private Pflege-Pflichtversicherung).</w:t>
      </w:r>
    </w:p>
    <w:p>
      <w:pPr>
        <w:ind w:left="567"/>
      </w:pPr>
      <w:r>
        <w:rPr>
          <w:rStyle w:val="Satznummer"/>
        </w:rPr>
        <w:t>2</w:t>
      </w:r>
      <w:r>
        <w:t xml:space="preserve">Als eigene Beiträge des Steuerpflichtigen können auch eigene Beiträge im Sinne der Buchstaben a oder b eines Kindes behandelt werden, wenn der Steuerpflichtige die Beiträge des Kindes, für das ein Anspruch auf einen Freibetrag nach </w:t>
      </w:r>
      <w:hyperlink w:anchor="b107" w:history="1">
        <w:r>
          <w:rPr>
            <w:color w:val="0A3A8C"/>
            <w:u w:val="single"/>
          </w:rPr>
          <w:t xml:space="preserve">§ 32</w:t>
        </w:r>
      </w:hyperlink>
      <w:r>
        <w:t xml:space="preserve"> Absatz 6 oder auf Kindergeld besteht, durch Leistungen in Form von Bar- oder Sachunterhalt wirtschaftlich getragen hat, unabhängig von Einkünften oder Bezügen des Kindes; Voraussetzung für die Berücksichtigung beim Steuerpflichtigen ist die Angabe der erteilten Identifikationsnummer (§ 139b der Abgabenordnung) des Kindes in der Einkommensteuererklärung des Steuerpflichtigen. </w:t>
      </w:r>
      <w:r>
        <w:rPr>
          <w:rStyle w:val="Satznummer"/>
        </w:rPr>
        <w:t>3</w:t>
      </w:r>
      <w:r>
        <w:t xml:space="preserve">Satz 2 gilt entsprechend, wenn der Steuerpflichtige die Beiträge für ein unterhaltsberechtigtes Kind trägt, welches nicht selbst Versicherungsnehmer ist, sondern der andere Elternteil. </w:t>
      </w:r>
      <w:r>
        <w:rPr>
          <w:rStyle w:val="Satznummer"/>
        </w:rPr>
        <w:t>4</w:t>
      </w:r>
      <w:r>
        <w:t xml:space="preserve">Hat der Steuerpflichtige in den Fällen des Absatzes 1a Nummer 1 eigene Beiträge im Sinne des Buchstaben a oder des Buchstaben b zum Erwerb einer Krankenversicherung oder gesetzlichen Pflegeversicherung für einen geschiedenen oder dauernd getrennt lebenden unbeschränkt einkommensteuerpflichtigen Ehegatten geleistet, dann werden diese abweichend von Satz 1 als eigene Beiträge des geschiedenen oder dauernd getrennt lebenden unbeschränkt einkommensteuerpflichtigen Ehegatten behandelt. </w:t>
      </w:r>
      <w:r>
        <w:rPr>
          <w:rStyle w:val="Satznummer"/>
        </w:rPr>
        <w:t>5</w:t>
      </w:r>
      <w:r>
        <w:t>Beiträge, die für nach Ablauf des Veranlagungszeitraums beginnende Beitragsjahre geleistet werden und in der Summe das Dreifache der auf den Veranlagungszeitraum entfallenden Beiträge überschreiten, sind in dem Veranlagungszeitraum anzusetzen, für den sie geleistet wurden;</w:t>
      </w:r>
    </w:p>
    <w:p>
      <w:pPr>
        <w:tabs>
          <w:tab w:pos="567" w:val="left"/>
        </w:tabs>
        <w:ind w:left="567" w:hanging="567"/>
      </w:pPr>
      <w:r>
        <w:t>3a.</w:t>
      </w:r>
      <w:r>
        <w:tab/>
      </w:r>
      <w:r>
        <w:t>Beiträge zu Kranken- und Pflegeversicherungen, soweit diese nicht nach Nummer 3 zu berücksichtigen sind; Beiträge zu Versicherungen gegen Arbeitslosigkeit, zu Erwerbs- und Berufsunfähigkeitsversicherungen, die nicht unter Nummer 2 Satz 1 Buchstabe b fallen, zu Unfall- und Haftpflichtversicherungen sowie zu Risikoversicherungen, die nur für den Todesfall eine Leistung vorsehen; Beiträge zu Versicherungen im Sinne des § 10 Absatz 1 Nummer 2 Buchstabe b Doppelbuchstabe bb bis dd in der am 31. Dezember 2004 geltenden Fassung, wenn die Laufzeit dieser Versicherungen vor dem 1. Januar 2005 begonnen hat und ein Versicherungsbeitrag bis zum 31. Dezember 2004 entrichtet wurde; § 10 Absatz 1 Nummer 2 Satz 2 bis 6 und Absatz 2 Satz 2 in der am 31. Dezember 2004 geltenden Fassung ist in diesen Fällen weiter anzuwenden;</w:t>
      </w:r>
    </w:p>
    <w:p>
      <w:pPr>
        <w:tabs>
          <w:tab w:pos="567" w:val="left"/>
        </w:tabs>
        <w:ind w:left="567" w:hanging="567"/>
      </w:pPr>
      <w:r>
        <w:t>4.</w:t>
      </w:r>
      <w:r>
        <w:tab/>
      </w:r>
      <w:r>
        <w:t xml:space="preserve">gezahlte Kirchensteuer; dies gilt nicht, soweit die Kirchensteuer als Zuschlag zur Kapitalertragsteuer oder als Zuschlag auf die nach dem gesonderten Tarif des </w:t>
      </w:r>
      <w:hyperlink w:anchor="b111" w:history="1">
        <w:r>
          <w:rPr>
            <w:color w:val="0A3A8C"/>
            <w:u w:val="single"/>
          </w:rPr>
          <w:t xml:space="preserve">§ 32d</w:t>
        </w:r>
      </w:hyperlink>
      <w:r>
        <w:t xml:space="preserve"> Absatz 1 ermittelte Einkommensteuer gezahlt wurde;</w:t>
      </w:r>
    </w:p>
    <w:p>
      <w:pPr>
        <w:tabs>
          <w:tab w:pos="567" w:val="left"/>
        </w:tabs>
        <w:ind w:left="567" w:hanging="567"/>
      </w:pPr>
      <w:r>
        <w:t>5.</w:t>
      </w:r>
      <w:r>
        <w:tab/>
      </w:r>
      <w:r>
        <w:t xml:space="preserve">80 Prozent der Aufwendungen, höchstens 4 800 Euro je Kind, für Dienstleistungen zur Betreuung eines zum Haushalt des Steuerpflichtigen gehörenden Kindes im Sinne des </w:t>
      </w:r>
      <w:hyperlink w:anchor="b107" w:history="1">
        <w:r>
          <w:rPr>
            <w:color w:val="0A3A8C"/>
            <w:u w:val="single"/>
          </w:rPr>
          <w:t xml:space="preserve">§ 32</w:t>
        </w:r>
      </w:hyperlink>
      <w:r>
        <w:t xml:space="preserve"> Absatz 1, welches das 14. Lebensjahr noch nicht vollendet hat oder wegen einer vor Vollendung des 25. Lebensjahres eingetretenen körperlichen, geistigen oder seelischen Behinderung außerstande ist, sich selbst zu unterhalten. </w:t>
      </w:r>
      <w:r>
        <w:rPr>
          <w:rStyle w:val="Satznummer"/>
        </w:rPr>
        <w:t>2</w:t>
      </w:r>
      <w:r>
        <w:t xml:space="preserve">Dies gilt nicht für Aufwendungen für Unterricht, die Vermittlung besonderer Fähigkeiten sowie für sportliche und andere Freizeitbetätigungen. </w:t>
      </w:r>
      <w:r>
        <w:rPr>
          <w:rStyle w:val="Satznummer"/>
        </w:rPr>
        <w:t>3</w:t>
      </w:r>
      <w:r>
        <w:t xml:space="preserve">Ist das zu betreuende Kind nicht nach </w:t>
      </w:r>
      <w:hyperlink w:anchor="b1" w:history="1">
        <w:r>
          <w:rPr>
            <w:color w:val="0A3A8C"/>
            <w:u w:val="single"/>
          </w:rPr>
          <w:t xml:space="preserve">§ 1</w:t>
        </w:r>
      </w:hyperlink>
      <w:r>
        <w:t xml:space="preserve"> Absatz 1 oder Absatz 2 unbeschränkt einkommensteuerpflichtig, ist der in Satz 1 genannte Betrag zu kürzen, soweit es nach den Verhältnissen im Wohnsitzstaat des Kindes notwendig und angemessen ist. </w:t>
      </w:r>
      <w:r>
        <w:rPr>
          <w:rStyle w:val="Satznummer"/>
        </w:rPr>
        <w:t>4</w:t>
      </w:r>
      <w:r>
        <w:t>Voraussetzung für den Abzug der Aufwendungen nach Satz 1 ist, dass der Steuerpflichtige für die Aufwendungen eine Rechnung erhalten hat und die Zahlung auf das Konto des Erbringers der Leistung erfolgt ist;</w:t>
      </w:r>
    </w:p>
    <w:p>
      <w:pPr>
        <w:tabs>
          <w:tab w:pos="567" w:val="left"/>
        </w:tabs>
        <w:ind w:left="567" w:hanging="567"/>
      </w:pPr>
      <w:r>
        <w:t>6.</w:t>
      </w:r>
      <w:r>
        <w:tab/>
      </w:r>
      <w:r>
        <w:t>(weggefallen)</w:t>
      </w:r>
    </w:p>
    <w:p>
      <w:pPr>
        <w:tabs>
          <w:tab w:pos="567" w:val="left"/>
        </w:tabs>
        <w:ind w:left="567" w:hanging="567"/>
      </w:pPr>
      <w:r>
        <w:t>7.</w:t>
      </w:r>
      <w:r>
        <w:tab/>
      </w:r>
      <w:r>
        <w:t xml:space="preserve">Aufwendungen für die eigene Berufsausbildung bis zu 6 000 Euro im Kalenderjahr. </w:t>
      </w:r>
      <w:r>
        <w:rPr>
          <w:rStyle w:val="Satznummer"/>
        </w:rPr>
        <w:t>2</w:t>
      </w:r>
      <w:r>
        <w:t xml:space="preserve">Bei Ehegatten, die die Voraussetzungen des </w:t>
      </w:r>
      <w:hyperlink w:anchor="b99" w:history="1">
        <w:r>
          <w:rPr>
            <w:color w:val="0A3A8C"/>
            <w:u w:val="single"/>
          </w:rPr>
          <w:t xml:space="preserve">§ 26</w:t>
        </w:r>
      </w:hyperlink>
      <w:r>
        <w:t xml:space="preserve"> Absatz 1 Satz 1 erfüllen, gilt Satz 1 für jeden Ehegatten. </w:t>
      </w:r>
      <w:r>
        <w:rPr>
          <w:rStyle w:val="Satznummer"/>
        </w:rPr>
        <w:t>3</w:t>
      </w:r>
      <w:r>
        <w:t xml:space="preserve">Zu den Aufwendungen im Sinne des Satzes 1 gehören auch Aufwendungen für eine auswärtige Unterbringung. </w:t>
      </w:r>
      <w:r>
        <w:rPr>
          <w:rStyle w:val="Satznummer"/>
        </w:rPr>
        <w:t>4</w:t>
      </w:r>
      <w:hyperlink w:anchor="b13" w:history="1">
        <w:r>
          <w:rPr>
            <w:color w:val="0A3A8C"/>
            <w:u w:val="single"/>
          </w:rPr>
          <w:t xml:space="preserve">§ 4</w:t>
        </w:r>
      </w:hyperlink>
      <w:r>
        <w:t xml:space="preserve"> Absatz 5 Satz 1 Nummer 6b und 6c sowie </w:t>
      </w:r>
      <w:hyperlink w:anchor="b46" w:history="1">
        <w:r>
          <w:rPr>
            <w:color w:val="0A3A8C"/>
            <w:u w:val="single"/>
          </w:rPr>
          <w:t xml:space="preserve">§ 9</w:t>
        </w:r>
      </w:hyperlink>
      <w:r>
        <w:t xml:space="preserve"> Absatz 1 Satz 3 Nummer 4 und 5, Absatz 2, 4 Satz 8 und Absatz 4a sind bei der Ermittlung der Aufwendungen anzuwenden.</w:t>
      </w:r>
    </w:p>
    <w:p>
      <w:pPr>
        <w:tabs>
          <w:tab w:pos="567" w:val="left"/>
        </w:tabs>
        <w:ind w:left="567" w:hanging="567"/>
      </w:pPr>
      <w:r>
        <w:t>8.</w:t>
      </w:r>
      <w:r>
        <w:tab/>
      </w:r>
      <w:r>
        <w:t>(weggefallen)</w:t>
      </w:r>
    </w:p>
    <w:p>
      <w:pPr>
        <w:tabs>
          <w:tab w:pos="567" w:val="left"/>
        </w:tabs>
        <w:ind w:left="567" w:hanging="567"/>
      </w:pPr>
      <w:r>
        <w:t>9.</w:t>
      </w:r>
      <w:r>
        <w:tab/>
      </w:r>
      <w:r>
        <w:t xml:space="preserve">30 Prozent des Entgelts, höchstens 5 000 Euro, das der Steuerpflichtige für ein Kind, für das er Anspruch auf einen Freibetrag nach </w:t>
      </w:r>
      <w:hyperlink w:anchor="b107" w:history="1">
        <w:r>
          <w:rPr>
            <w:color w:val="0A3A8C"/>
            <w:u w:val="single"/>
          </w:rPr>
          <w:t xml:space="preserve">§ 32</w:t>
        </w:r>
      </w:hyperlink>
      <w:r>
        <w:t xml:space="preserve"> Absatz 6 oder auf Kindergeld hat, für dessen Besuch einer Schule in freier Trägerschaft oder einer überwiegend privat finanzierten Schule entrichtet, mit Ausnahme des Entgelts für Beherbergung, Betreuung und Verpflegung. </w:t>
      </w:r>
      <w:r>
        <w:rPr>
          <w:rStyle w:val="Satznummer"/>
        </w:rPr>
        <w:t>2</w:t>
      </w:r>
      <w:r>
        <w:t xml:space="preserve">Voraussetzung ist, dass die Schule in einem Mitgliedstaat der Europäischen Union oder in einem Staat belegen ist, auf den das Abkommen über den Europäischen Wirtschaftsraum Anwendung findet, und die Schule zu einem von dem zuständigen inländischen Ministerium eines Landes, von der Kultusministerkonferenz der Länder oder von einer inländischen Zeugnisanerkennungsstelle anerkannten oder einem inländischen Abschluss an einer öffentlichen Schule als gleichwertig anerkannten allgemein bildenden oder berufsbildenden Schul-, Jahrgangs- oder Berufsabschluss führt. </w:t>
      </w:r>
      <w:r>
        <w:rPr>
          <w:rStyle w:val="Satznummer"/>
        </w:rPr>
        <w:t>3</w:t>
      </w:r>
      <w:r>
        <w:t xml:space="preserve">Der Besuch einer anderen Einrichtung, die auf einen Schul-, Jahrgangs- oder Berufsabschluss im Sinne des Satzes 2 ordnungsgemäß vorbereitet, steht einem Schulbesuch im Sinne des Satzes 1 gleich. </w:t>
      </w:r>
      <w:r>
        <w:rPr>
          <w:rStyle w:val="Satznummer"/>
        </w:rPr>
        <w:t>4</w:t>
      </w:r>
      <w:r>
        <w:t xml:space="preserve">Der Besuch einer Deutschen Schule im Ausland steht dem Besuch einer solchen Schule gleich, unabhängig von ihrer Belegenheit. </w:t>
      </w:r>
      <w:r>
        <w:rPr>
          <w:rStyle w:val="Satznummer"/>
        </w:rPr>
        <w:t>5</w:t>
      </w:r>
      <w:r>
        <w:t>Der Höchstbetrag nach Satz 1 wird für jedes Kind, bei dem die Voraussetzungen vorliegen, je Elternpaar nur einmal gewährt.</w:t>
      </w:r>
    </w:p>
    <w:p>
      <w:r>
        <w:t xml:space="preserve">(1a) </w:t>
      </w:r>
      <w:r>
        <w:t>Sonderausgaben sind auch die folgenden Aufwendungen:</w:t>
      </w:r>
    </w:p>
    <w:p>
      <w:pPr>
        <w:tabs>
          <w:tab w:pos="567" w:val="left"/>
        </w:tabs>
        <w:ind w:left="567" w:hanging="567"/>
      </w:pPr>
      <w:r>
        <w:t>1.</w:t>
      </w:r>
      <w:r>
        <w:tab/>
      </w:r>
      <w:r>
        <w:t xml:space="preserve">Unterhaltsleistungen an den geschiedenen oder dauernd getrennt lebenden unbeschränkt einkommensteuerpflichtigen Ehegatten, wenn der Geber dies mit Zustimmung des Empfängers beantragt, bis zu 13 805 Euro im Kalenderjahr. </w:t>
      </w:r>
      <w:r>
        <w:rPr>
          <w:rStyle w:val="Satznummer"/>
        </w:rPr>
        <w:t>2</w:t>
      </w:r>
      <w:r>
        <w:t xml:space="preserve">Der Höchstbetrag nach Satz 1 erhöht sich um den Betrag der im jeweiligen Veranlagungszeitraum nach Absatz 1 Nummer 3 für die Absicherung des geschiedenen oder dauernd getrennt lebenden unbeschränkt einkommensteuerpflichtigen Ehegatten aufgewandten Beiträge. </w:t>
      </w:r>
      <w:r>
        <w:rPr>
          <w:rStyle w:val="Satznummer"/>
        </w:rPr>
        <w:t>3</w:t>
      </w:r>
      <w:r>
        <w:t xml:space="preserve">Der Antrag kann jeweils nur für ein Kalenderjahr gestellt und nicht zurückgenommen werden. </w:t>
      </w:r>
      <w:r>
        <w:rPr>
          <w:rStyle w:val="Satznummer"/>
        </w:rPr>
        <w:t>4</w:t>
      </w:r>
      <w:r>
        <w:t xml:space="preserve">Die Zustimmung ist mit Ausnahme der nach § 894 der Zivilprozessordnung als erteilt geltenden bis auf Widerruf wirksam. </w:t>
      </w:r>
      <w:r>
        <w:rPr>
          <w:rStyle w:val="Satznummer"/>
        </w:rPr>
        <w:t>5</w:t>
      </w:r>
      <w:r>
        <w:t xml:space="preserve">Der Widerruf ist vor Beginn des Kalenderjahres, für das die Zustimmung erstmals nicht gelten soll, gegenüber dem Finanzamt zu erklären. </w:t>
      </w:r>
      <w:r>
        <w:rPr>
          <w:rStyle w:val="Satznummer"/>
        </w:rPr>
        <w:t>6</w:t>
      </w:r>
      <w:r>
        <w:t xml:space="preserve">Die Sätze 1 bis 5 gelten für Fälle der Nichtigkeit oder der Aufhebung der Ehe entsprechend. </w:t>
      </w:r>
      <w:r>
        <w:rPr>
          <w:rStyle w:val="Satznummer"/>
        </w:rPr>
        <w:t>7</w:t>
      </w:r>
      <w:r>
        <w:t xml:space="preserve">Voraussetzung für den Abzug der Aufwendungen ist die Angabe der erteilten Identifikationsnummer (§ 139b der Abgabenordnung) der unterhaltenen Person in der Steuererklärung des Unterhaltsleistenden, wenn die unterhaltene Person der unbeschränkten oder beschränkten Steuerpflicht unterliegt. </w:t>
      </w:r>
      <w:r>
        <w:rPr>
          <w:rStyle w:val="Satznummer"/>
        </w:rPr>
        <w:t>8</w:t>
      </w:r>
      <w:r>
        <w:t xml:space="preserve">Die unterhaltene Person ist für diese Zwecke verpflichtet, dem Unterhaltsleistenden ihre erteilte Identifikationsnummer (§ 139b der Abgabenordnung) mitzuteilen. </w:t>
      </w:r>
      <w:r>
        <w:rPr>
          <w:rStyle w:val="Satznummer"/>
        </w:rPr>
        <w:t>9</w:t>
      </w:r>
      <w:r>
        <w:t>Kommt die unterhaltene Person dieser Verpflichtung nicht nach, ist der Unterhaltsleistende berechtigt, bei der für ihn zuständigen Finanzbehörde die Identifikationsnummer der unterhaltenen Person zu erfragen;</w:t>
      </w:r>
    </w:p>
    <w:p>
      <w:pPr>
        <w:tabs>
          <w:tab w:pos="567" w:val="left"/>
        </w:tabs>
        <w:ind w:left="567" w:hanging="567"/>
      </w:pPr>
      <w:r>
        <w:t>2.</w:t>
      </w:r>
      <w:r>
        <w:tab/>
      </w:r>
      <w:r>
        <w:t xml:space="preserve">auf besonderen Verpflichtungsgründen beruhende, lebenslange und wiederkehrende Versorgungsleistungen, die nicht mit Einkünften in wirtschaftlichem Zusammenhang stehen, die bei der Veranlagung außer Betracht bleiben, wenn der Empfänger unbeschränkt einkommensteuerpflichtig ist. </w:t>
      </w:r>
      <w:r>
        <w:rPr>
          <w:rStyle w:val="Satznummer"/>
        </w:rPr>
        <w:t>2</w:t>
      </w:r>
      <w:r>
        <w:t>Dies gilt nur für</w:t>
      </w:r>
    </w:p>
    <w:p>
      <w:pPr>
        <w:tabs>
          <w:tab w:pos="1134" w:val="left"/>
        </w:tabs>
        <w:ind w:left="1134" w:hanging="567"/>
      </w:pPr>
      <w:r>
        <w:t>a)</w:t>
      </w:r>
      <w:r>
        <w:tab/>
      </w:r>
      <w:r>
        <w:t xml:space="preserve">Versorgungsleistungen im Zusammenhang mit der Übertragung eines Mitunternehmeranteils an einer Personengesellschaft, die eine Tätigkeit im Sinne der </w:t>
      </w:r>
      <w:hyperlink w:anchor="b69" w:history="1">
        <w:r>
          <w:rPr>
            <w:color w:val="0A3A8C"/>
            <w:u w:val="single"/>
          </w:rPr>
          <w:t xml:space="preserve">§§ 13</w:t>
        </w:r>
      </w:hyperlink>
      <w:r>
        <w:t xml:space="preserve">, </w:t>
      </w:r>
      <w:hyperlink w:anchor="b75" w:history="1">
        <w:r>
          <w:rPr>
            <w:color w:val="0A3A8C"/>
            <w:u w:val="single"/>
          </w:rPr>
          <w:t xml:space="preserve">15</w:t>
        </w:r>
      </w:hyperlink>
      <w:r>
        <w:t xml:space="preserve"> Absatz 1 Satz 1 Nummer 1 oder des </w:t>
      </w:r>
      <w:hyperlink w:anchor="b81" w:history="1">
        <w:r>
          <w:rPr>
            <w:color w:val="0A3A8C"/>
            <w:u w:val="single"/>
          </w:rPr>
          <w:t xml:space="preserve">§ 18</w:t>
        </w:r>
      </w:hyperlink>
      <w:r>
        <w:t xml:space="preserve"> Absatz 1 ausübt,</w:t>
      </w:r>
    </w:p>
    <w:p>
      <w:pPr>
        <w:tabs>
          <w:tab w:pos="1134" w:val="left"/>
        </w:tabs>
        <w:ind w:left="1134" w:hanging="567"/>
      </w:pPr>
      <w:r>
        <w:t>b)</w:t>
      </w:r>
      <w:r>
        <w:tab/>
      </w:r>
      <w:r>
        <w:t>Versorgungsleistungen im Zusammenhang mit der Übertragung eines Betriebs oder Teilbetriebs, sowie</w:t>
      </w:r>
    </w:p>
    <w:p>
      <w:pPr>
        <w:tabs>
          <w:tab w:pos="1134" w:val="left"/>
        </w:tabs>
        <w:ind w:left="1134" w:hanging="567"/>
      </w:pPr>
      <w:r>
        <w:t>c)</w:t>
      </w:r>
      <w:r>
        <w:tab/>
      </w:r>
      <w:r>
        <w:t>Versorgungsleistungen im Zusammenhang mit der Übertragung eines mindestens 50 Prozent betragenden Anteils an einer Gesellschaft mit beschränkter Haftung, wenn der Übergeber als Geschäftsführer tätig war und der Übernehmer diese Tätigkeit nach der Übertragung übernimmt.</w:t>
      </w:r>
    </w:p>
    <w:p>
      <w:pPr>
        <w:ind w:left="567"/>
      </w:pPr>
      <w:r>
        <w:rPr>
          <w:rStyle w:val="Satznummer"/>
        </w:rPr>
        <w:t>3</w:t>
      </w:r>
      <w:r>
        <w:t xml:space="preserve">Satz 2 gilt auch für den Teil der Versorgungsleistungen, der auf den Wohnteil eines Betriebs der Land- und Forstwirtschaft entfällt. </w:t>
      </w:r>
      <w:r>
        <w:rPr>
          <w:rStyle w:val="Satznummer"/>
        </w:rPr>
        <w:t>4</w:t>
      </w:r>
      <w:r>
        <w:t>Voraussetzung für den Abzug der Aufwendungen ist die Angabe der erteilten Identifikationsnummer (§ 139b der Abgabenordnung) des Empfängers in der Steuererklärung des Leistenden; Nummer 1 Satz 8 und 9 gilt entsprechend;</w:t>
      </w:r>
    </w:p>
    <w:p>
      <w:pPr>
        <w:tabs>
          <w:tab w:pos="567" w:val="left"/>
        </w:tabs>
        <w:ind w:left="567" w:hanging="567"/>
      </w:pPr>
      <w:r>
        <w:t>3.</w:t>
      </w:r>
      <w:r>
        <w:tab/>
      </w:r>
      <w:r>
        <w:t xml:space="preserve">Ausgleichsleistungen zur Vermeidung eines Versorgungsausgleichs nach § 6 Absatz 1 Satz 2 Nummer 2 und § 23 des Versorgungsausgleichsgesetzes sowie § 1408 Absatz 2 und § 1587 des Bürgerlichen Gesetzbuchs, soweit der Verpflichtete dies mit Zustimmung des Berechtigten beantragt und der Berechtigte unbeschränkt einkommensteuerpflichtig ist. </w:t>
      </w:r>
      <w:r>
        <w:rPr>
          <w:rStyle w:val="Satznummer"/>
        </w:rPr>
        <w:t>2</w:t>
      </w:r>
      <w:r>
        <w:t xml:space="preserve">Nummer 1 Satz 3 bis 5 gilt entsprechend. </w:t>
      </w:r>
      <w:r>
        <w:rPr>
          <w:rStyle w:val="Satznummer"/>
        </w:rPr>
        <w:t>3</w:t>
      </w:r>
      <w:r>
        <w:t>Voraussetzung für den Abzug der Aufwendungen ist die Angabe der erteilten Identifikationsnummer (§ 139b der Abgabenordnung) des Berechtigten in der Steuererklärung des Verpflichteten; Nummer 1 Satz 8 und 9 gilt entsprechend;</w:t>
      </w:r>
    </w:p>
    <w:p>
      <w:pPr>
        <w:tabs>
          <w:tab w:pos="567" w:val="left"/>
        </w:tabs>
        <w:ind w:left="567" w:hanging="567"/>
      </w:pPr>
      <w:r>
        <w:t>4.</w:t>
      </w:r>
      <w:r>
        <w:tab/>
      </w:r>
      <w:r>
        <w:t xml:space="preserve">Ausgleichszahlungen im Rahmen des Versorgungsausgleichs nach den §§ 20 bis 22 und 26 des Versorgungsausgleichsgesetzes und nach den §§ 1587f, 1587g und 1587i des Bürgerlichen Gesetzbuchs in der bis zum 31. August 2009 geltenden Fassung sowie nach § 3a des Gesetzes zur Regelung von Härten im Versorgungsausgleich, soweit die ihnen zu Grunde liegenden Einnahmen bei der ausgleichspflichtigen Person der Besteuerung unterliegen, wenn die ausgleichsberechtigte Person unbeschränkt einkommensteuerpflichtig ist. </w:t>
      </w:r>
      <w:r>
        <w:rPr>
          <w:rStyle w:val="Satznummer"/>
        </w:rPr>
        <w:t>2</w:t>
      </w:r>
      <w:r>
        <w:t>Nummer 3 Satz 3 gilt entsprechend.</w:t>
      </w:r>
    </w:p>
    <w:p>
      <w:r>
        <w:t xml:space="preserve">(2) </w:t>
      </w:r>
      <w:r>
        <w:rPr>
          <w:rStyle w:val="Satznummer"/>
        </w:rPr>
        <w:t>1</w:t>
      </w:r>
      <w:r>
        <w:t>Voraussetzung für den Abzug der in Absatz 1 Nummer 2, 3 und 3a bezeichneten Beträge (Vorsorgeaufwendungen) ist, dass sie</w:t>
      </w:r>
    </w:p>
    <w:p>
      <w:pPr>
        <w:tabs>
          <w:tab w:pos="567" w:val="left"/>
        </w:tabs>
        <w:ind w:left="567" w:hanging="567"/>
      </w:pPr>
      <w:r>
        <w:t>1.</w:t>
      </w:r>
      <w:r>
        <w:tab/>
      </w:r>
      <w:r>
        <w:t>nicht in unmittelbarem wirtschaftlichen Zusammenhang mit steuerfreien Einnahmen stehen; ungeachtet dessen sind Vorsorgeaufwendungen im Sinne des Absatzes 1 Nummer 2, 3 und 3a zu berücksichtigen, soweit</w:t>
      </w:r>
    </w:p>
    <w:p>
      <w:pPr>
        <w:tabs>
          <w:tab w:pos="1134" w:val="left"/>
        </w:tabs>
        <w:ind w:left="1134" w:hanging="567"/>
      </w:pPr>
      <w:r>
        <w:t>a)</w:t>
      </w:r>
      <w:r>
        <w:tab/>
      </w:r>
      <w:r>
        <w:t>sie in unmittelbarem wirtschaftlichen Zusammenhang mit in einem Mitgliedstaat der Europäischen Union oder einem Vertragsstaat des Abkommens über den Europäischen Wirtschaftsraum oder in der Schweizerischen Eidgenossenschaft erzielten Einnahmen stehen,</w:t>
      </w:r>
    </w:p>
    <w:p>
      <w:pPr>
        <w:tabs>
          <w:tab w:pos="1134" w:val="left"/>
        </w:tabs>
        <w:ind w:left="1134" w:hanging="567"/>
      </w:pPr>
      <w:r>
        <w:t>b)</w:t>
      </w:r>
      <w:r>
        <w:tab/>
      </w:r>
      <w:r>
        <w:t>diese Einnahmen nach einem Abkommen zur Vermeidung der Doppelbesteuerung im Inland steuerfrei sind und</w:t>
      </w:r>
    </w:p>
    <w:p>
      <w:pPr>
        <w:tabs>
          <w:tab w:pos="1134" w:val="left"/>
        </w:tabs>
        <w:ind w:left="1134" w:hanging="567"/>
      </w:pPr>
      <w:r>
        <w:t>c)</w:t>
      </w:r>
      <w:r>
        <w:tab/>
      </w:r>
      <w:r>
        <w:t>der andere Staat keinerlei steuerliche Berücksichtigung von Vorsorgeaufwendungen im Rahmen der Besteuerung dieser Einnahmen zulässt;</w:t>
      </w:r>
    </w:p>
    <w:p>
      <w:pPr>
        <w:ind w:left="567"/>
      </w:pPr>
      <w:r>
        <w:t>steuerfreie Zuschüsse zu einer Kranken- oder Pflegeversicherung stehen insgesamt in unmittelbarem wirtschaftlichen Zusammenhang mit den Vorsorgeaufwendungen im Sinne des Absatzes 1 Nummer 3,</w:t>
      </w:r>
    </w:p>
    <w:p>
      <w:pPr>
        <w:tabs>
          <w:tab w:pos="567" w:val="left"/>
        </w:tabs>
        <w:ind w:left="567" w:hanging="567"/>
      </w:pPr>
      <w:r>
        <w:t>2.</w:t>
      </w:r>
      <w:r>
        <w:tab/>
      </w:r>
      <w:r>
        <w:t>geleistet werden an</w:t>
      </w:r>
    </w:p>
    <w:p>
      <w:pPr>
        <w:tabs>
          <w:tab w:pos="1134" w:val="left"/>
        </w:tabs>
        <w:ind w:left="1134" w:hanging="567"/>
      </w:pPr>
      <w:r>
        <w:t>a)</w:t>
      </w:r>
      <w:r>
        <w:tab/>
      </w:r>
      <w:r>
        <w:t>Versicherungsunternehmen,</w:t>
      </w:r>
    </w:p>
    <w:p>
      <w:pPr>
        <w:tabs>
          <w:tab w:pos="1701" w:val="left"/>
        </w:tabs>
        <w:ind w:left="1701" w:hanging="567"/>
      </w:pPr>
      <w:r>
        <w:t>aa)</w:t>
      </w:r>
      <w:r>
        <w:tab/>
      </w:r>
      <w:r>
        <w:t>die ihren Sitz oder ihre Geschäftsleitung in einem Mitgliedstaat der Europäischen Union oder einem Vertragsstaat des Abkommens über den Europäischen Wirtschaftsraum haben und das Versicherungsgeschäft im Inland betreiben dürfen, oder</w:t>
      </w:r>
    </w:p>
    <w:p>
      <w:pPr>
        <w:tabs>
          <w:tab w:pos="1701" w:val="left"/>
        </w:tabs>
        <w:ind w:left="1701" w:hanging="567"/>
      </w:pPr>
      <w:r>
        <w:t>bb)</w:t>
      </w:r>
      <w:r>
        <w:tab/>
      </w:r>
      <w:r>
        <w:t>denen die Erlaubnis zum Geschäftsbetrieb im Inland erteilt ist.</w:t>
      </w:r>
    </w:p>
    <w:p>
      <w:pPr>
        <w:ind w:left="1134"/>
      </w:pPr>
      <w:r>
        <w:rPr>
          <w:rStyle w:val="Satznummer"/>
        </w:rPr>
        <w:t>2</w:t>
      </w:r>
      <w:r>
        <w:t xml:space="preserve">Darüber hinaus werden Beiträge nur berücksichtigt, wenn es sich um Beträge im Sinne des Absatzes 1 Nummer 3 Satz 1 Buchstabe a an eine Einrichtung handelt, die eine anderweitige Absicherung im Krankheitsfall im Sinne des § 5 Absatz 1 Nummer 13 des Fünften Buches Sozialgesetzbuch oder eine der Beihilfe oder freien Heilfürsorge vergleichbare Absicherung im Sinne des § 193 Absatz 3 Satz 2 Nummer 2 des Versicherungsvertragsgesetzes gewährt. </w:t>
      </w:r>
      <w:r>
        <w:rPr>
          <w:rStyle w:val="Satznummer"/>
        </w:rPr>
        <w:t>3</w:t>
      </w:r>
      <w:r>
        <w:t>Dies gilt entsprechend, wenn ein Steuerpflichtiger, der weder seinen Wohnsitz noch seinen gewöhnlichen Aufenthalt im Inland hat, mit den Beiträgen einen Versicherungsschutz im Sinne des Absatzes 1 Nummer 3 Satz 1 erwirbt,</w:t>
      </w:r>
    </w:p>
    <w:p>
      <w:pPr>
        <w:tabs>
          <w:tab w:pos="1134" w:val="left"/>
        </w:tabs>
        <w:ind w:left="1134" w:hanging="567"/>
      </w:pPr>
      <w:r>
        <w:t>b)</w:t>
      </w:r>
      <w:r>
        <w:tab/>
      </w:r>
      <w:r>
        <w:t>berufsständische Versorgungseinrichtungen,</w:t>
      </w:r>
    </w:p>
    <w:p>
      <w:pPr>
        <w:tabs>
          <w:tab w:pos="1134" w:val="left"/>
        </w:tabs>
        <w:ind w:left="1134" w:hanging="567"/>
      </w:pPr>
      <w:r>
        <w:t>c)</w:t>
      </w:r>
      <w:r>
        <w:tab/>
      </w:r>
      <w:r>
        <w:t>einen Sozialversicherungsträger oder</w:t>
      </w:r>
    </w:p>
    <w:p>
      <w:pPr>
        <w:tabs>
          <w:tab w:pos="1134" w:val="left"/>
        </w:tabs>
        <w:ind w:left="1134" w:hanging="567"/>
      </w:pPr>
      <w:r>
        <w:t>d)</w:t>
      </w:r>
      <w:r>
        <w:tab/>
      </w:r>
      <w:r>
        <w:t xml:space="preserve">einen Anbieter im Sinne des </w:t>
      </w:r>
      <w:hyperlink w:anchor="b237" w:history="1">
        <w:r>
          <w:rPr>
            <w:color w:val="0A3A8C"/>
            <w:u w:val="single"/>
          </w:rPr>
          <w:t xml:space="preserve">§ 80</w:t>
        </w:r>
      </w:hyperlink>
      <w:r>
        <w:t>.</w:t>
      </w:r>
    </w:p>
    <w:p>
      <w:r>
        <w:rPr>
          <w:rStyle w:val="Satznummer"/>
        </w:rPr>
        <w:t>2</w:t>
      </w:r>
      <w:r>
        <w:t>Vorsorgeaufwendungen nach Absatz 1 Nummer 2 Buchstabe b werden nur berücksichtigt, wenn die Beiträge zugunsten eines Vertrags geleistet wurden, der nach § 5a des Altersvorsorgeverträge-Zertifizierungsgesetzes zertifiziert ist, wobei die Zertifizierung Grundlagenbescheid im Sinne des § 171 Absatz 10 der Abgabenordnung ist.</w:t>
      </w:r>
    </w:p>
    <w:p>
      <w:r>
        <w:t xml:space="preserve">(2a) </w:t>
      </w:r>
      <w:r>
        <w:rPr>
          <w:rStyle w:val="Satznummer"/>
        </w:rPr>
        <w:t>1</w:t>
      </w:r>
      <w:r>
        <w:t>Bei Vorsorgeaufwendungen nach Absatz 1 Nummer 2 Buchstabe b hat der Anbieter als mitteilungspflichtige Stelle nach Maßgabe des § 93c der Abgabenordnung und unter Angabe der Vertrags- oder der Versicherungsdaten die Höhe der im jeweiligen Beitragsjahr geleisteten Beiträge und die Zertifizierungsnummer an die zentrale Stelle (</w:t>
      </w:r>
      <w:hyperlink w:anchor="b238" w:history="1">
        <w:r>
          <w:rPr>
            <w:color w:val="0A3A8C"/>
            <w:u w:val="single"/>
          </w:rPr>
          <w:t xml:space="preserve">§ 81</w:t>
        </w:r>
      </w:hyperlink>
      <w:r>
        <w:t xml:space="preserve">) zu übermitteln. </w:t>
      </w:r>
      <w:r>
        <w:rPr>
          <w:rStyle w:val="Satznummer"/>
        </w:rPr>
        <w:t>2</w:t>
      </w:r>
      <w:hyperlink w:anchor="b91" w:history="1">
        <w:r>
          <w:rPr>
            <w:color w:val="0A3A8C"/>
            <w:u w:val="single"/>
          </w:rPr>
          <w:t xml:space="preserve">§ 22a</w:t>
        </w:r>
      </w:hyperlink>
      <w:r>
        <w:t xml:space="preserve"> Absatz 2 gilt entsprechend. </w:t>
      </w:r>
      <w:r>
        <w:rPr>
          <w:rStyle w:val="Satznummer"/>
        </w:rPr>
        <w:t>3</w:t>
      </w:r>
      <w:r>
        <w:t>§ 72a Absatz 4 und § 93c Absatz 4 der Abgabenordnung finden keine Anwendung.</w:t>
      </w:r>
    </w:p>
    <w:p>
      <w:r>
        <w:t xml:space="preserve">(2b) </w:t>
      </w:r>
      <w:r>
        <w:rPr>
          <w:rStyle w:val="Satznummer"/>
        </w:rPr>
        <w:t>1</w:t>
      </w:r>
      <w:r>
        <w:t>Bei Vorsorgeaufwendungen nach Absatz 1 Nummer 3 hat das Versicherungsunternehmen, der Träger der gesetzlichen Kranken- und Pflegeversicherung, die Künstlersozialkasse oder eine Einrichtung im Sinne des Absatzes 2 Satz 1 Nummer 2 Buchstabe a Satz 2 als mitteilungspflichtige Stelle nach Maßgabe des § 93c der Abgabenordnung und unter Angabe der Vertrags- oder der Versicherungsdaten die Höhe der im jeweiligen Beitragsjahr geleisteten und erstatteten Beiträge sowie die in § 93c Absatz 1 Nummer 2 Buchstabe c der Abgabenordnung genannten Daten mit der Maßgabe, dass insoweit als Steuerpflichtiger die versicherte Person gilt, an die zentrale Stelle (</w:t>
      </w:r>
      <w:hyperlink w:anchor="b238" w:history="1">
        <w:r>
          <w:rPr>
            <w:color w:val="0A3A8C"/>
            <w:u w:val="single"/>
          </w:rPr>
          <w:t xml:space="preserve">§ 81</w:t>
        </w:r>
      </w:hyperlink>
      <w:r>
        <w:t xml:space="preserve">) zu übermitteln; sind Versicherungsnehmer und versicherte Person nicht identisch, sind zusätzlich die Identifikationsnummer und der Tag der Geburt des Versicherungsnehmers anzugeben. </w:t>
      </w:r>
      <w:r>
        <w:rPr>
          <w:rStyle w:val="Satznummer"/>
        </w:rPr>
        <w:t>2</w:t>
      </w:r>
      <w:r>
        <w:t xml:space="preserve">Auf der Grundlage des § 65a des Fünften Buches Sozialgesetzbuch nach den Satzungen der gesetzlichen Krankenkassen erbrachte Bonusleistungen gelten bis zu einer Höhe von 150 Euro pro versicherter Person und Beitragsjahr nicht als Beitragserstattung; diese Summe übersteigende Bonusleistungen gelten stets als Beitragserstattung. </w:t>
      </w:r>
      <w:r>
        <w:rPr>
          <w:rStyle w:val="Satznummer"/>
        </w:rPr>
        <w:t>3</w:t>
      </w:r>
      <w:r>
        <w:t xml:space="preserve">Der Steuerpflichtige kann nachweisen, dass Bonusleistungen in Höhe des übersteigenden Betrags nicht als Beitragserstattung zu qualifizieren sind. </w:t>
      </w:r>
      <w:r>
        <w:rPr>
          <w:rStyle w:val="Satznummer"/>
        </w:rPr>
        <w:t>4</w:t>
      </w:r>
      <w:r>
        <w:t>Satz 1 gilt nicht, soweit diese Daten mit der elektronischen Lohnsteuerbescheinigung (</w:t>
      </w:r>
      <w:hyperlink w:anchor="b159" w:history="1">
        <w:r>
          <w:rPr>
            <w:color w:val="0A3A8C"/>
            <w:u w:val="single"/>
          </w:rPr>
          <w:t xml:space="preserve">§ 41b</w:t>
        </w:r>
      </w:hyperlink>
      <w:r>
        <w:t xml:space="preserve"> Absatz 1 Satz 2) oder der Rentenbezugsmitteilung (</w:t>
      </w:r>
      <w:hyperlink w:anchor="b91" w:history="1">
        <w:r>
          <w:rPr>
            <w:color w:val="0A3A8C"/>
            <w:u w:val="single"/>
          </w:rPr>
          <w:t xml:space="preserve">§ 22a</w:t>
        </w:r>
      </w:hyperlink>
      <w:r>
        <w:t xml:space="preserve"> Absatz 1 Satz 1 Nummer 4) zu übermitteln sind. </w:t>
      </w:r>
      <w:r>
        <w:rPr>
          <w:rStyle w:val="Satznummer"/>
        </w:rPr>
        <w:t>5</w:t>
      </w:r>
      <w:hyperlink w:anchor="b91" w:history="1">
        <w:r>
          <w:rPr>
            <w:color w:val="0A3A8C"/>
            <w:u w:val="single"/>
          </w:rPr>
          <w:t xml:space="preserve">§ 22a</w:t>
        </w:r>
      </w:hyperlink>
      <w:r>
        <w:t xml:space="preserve"> Absatz 2 gilt entsprechend. </w:t>
      </w:r>
      <w:r>
        <w:rPr>
          <w:rStyle w:val="Satznummer"/>
        </w:rPr>
        <w:t>6</w:t>
      </w:r>
      <w:r>
        <w:t xml:space="preserve">Zuständige Finanzbehörde im Sinne des § 72a Absatz 4 und des § 93c Absatz 4 der Abgabenordnung ist das Bundeszentralamt für Steuern. </w:t>
      </w:r>
      <w:r>
        <w:rPr>
          <w:rStyle w:val="Satznummer"/>
        </w:rPr>
        <w:t>7</w:t>
      </w:r>
      <w:r>
        <w:t>Wird in den Fällen des § 72a Absatz 4 der Abgabenordnung eine unzutreffende Höhe der Beiträge übermittelt, ist die entgangene Steuer mit 30 Prozent des zu hoch ausgewiesenen Betrags anzusetzen.</w:t>
      </w:r>
    </w:p>
    <w:p>
      <w:r>
        <w:t xml:space="preserve">(2c) </w:t>
      </w:r>
      <w:r>
        <w:rPr>
          <w:rStyle w:val="Satznummer"/>
        </w:rPr>
        <w:t>1</w:t>
      </w:r>
      <w:r>
        <w:t>Bei Vorsorgeaufwendungen nach Absatz 1 Nummer 2 Buchstabe a hat der Träger der gesetzlichen Rentenversicherung, die landwirtschaftliche Alterskasse oder die berufsständische Versorgungseinrichtung als mitteilungspflichtige Stelle nach Maßgabe des § 93c der Abgabenordung unter Angabe der Versicherungsdaten die Höhe der im jeweiligen Beitragsjahr geleisteten und erstatteten Beiträge an die zentrale Stelle (</w:t>
      </w:r>
      <w:hyperlink w:anchor="b238" w:history="1">
        <w:r>
          <w:rPr>
            <w:color w:val="0A3A8C"/>
            <w:u w:val="single"/>
          </w:rPr>
          <w:t xml:space="preserve">§ 81</w:t>
        </w:r>
      </w:hyperlink>
      <w:r>
        <w:t xml:space="preserve">) zu übermitteln. </w:t>
      </w:r>
      <w:r>
        <w:rPr>
          <w:rStyle w:val="Satznummer"/>
        </w:rPr>
        <w:t>2</w:t>
      </w:r>
      <w:r>
        <w:t>Satz 1 gilt nicht, soweit diese Daten mit der elektronischen Lohnsteuerbescheinigung (</w:t>
      </w:r>
      <w:hyperlink w:anchor="b159" w:history="1">
        <w:r>
          <w:rPr>
            <w:color w:val="0A3A8C"/>
            <w:u w:val="single"/>
          </w:rPr>
          <w:t xml:space="preserve">§ 41b</w:t>
        </w:r>
      </w:hyperlink>
      <w:r>
        <w:t xml:space="preserve"> Absatz 1 Satz 2) zu übermitteln sind. </w:t>
      </w:r>
      <w:r>
        <w:rPr>
          <w:rStyle w:val="Satznummer"/>
        </w:rPr>
        <w:t>3</w:t>
      </w:r>
      <w:hyperlink w:anchor="b91" w:history="1">
        <w:r>
          <w:rPr>
            <w:color w:val="0A3A8C"/>
            <w:u w:val="single"/>
          </w:rPr>
          <w:t xml:space="preserve">§ 22a</w:t>
        </w:r>
      </w:hyperlink>
      <w:r>
        <w:t xml:space="preserve"> Absatz 2 gilt entsprechend. </w:t>
      </w:r>
      <w:r>
        <w:rPr>
          <w:rStyle w:val="Satznummer"/>
        </w:rPr>
        <w:t>4</w:t>
      </w:r>
      <w:r>
        <w:t>§ 72a Absatz 4 und § 93c Absatz 4 der Abgabenordnung finden keine Anwendung.</w:t>
      </w:r>
    </w:p>
    <w:p>
      <w:r>
        <w:t xml:space="preserve">(3) </w:t>
      </w:r>
      <w:r>
        <w:rPr>
          <w:rStyle w:val="Satznummer"/>
        </w:rPr>
        <w:t>1</w:t>
      </w:r>
      <w:r>
        <w:t xml:space="preserve">Vorsorgeaufwendungen nach Absatz 1 Nummer 2 sind bis zu dem Höchstbeitrag zur knappschaftlichen Rentenversicherung, aufgerundet auf einen vollen Betrag in Euro, zu berücksichtigen. </w:t>
      </w:r>
      <w:r>
        <w:rPr>
          <w:rStyle w:val="Satznummer"/>
        </w:rPr>
        <w:t>2</w:t>
      </w:r>
      <w:r>
        <w:t xml:space="preserve">Bei zusammenveranlagten Ehegatten verdoppelt sich der Höchstbetrag. </w:t>
      </w:r>
      <w:r>
        <w:rPr>
          <w:rStyle w:val="Satznummer"/>
        </w:rPr>
        <w:t>3</w:t>
      </w:r>
      <w:r>
        <w:t>Der Höchstbetrag nach Satz 1 oder 2 ist bei Steuerpflichtigen, die</w:t>
      </w:r>
    </w:p>
    <w:p>
      <w:pPr>
        <w:tabs>
          <w:tab w:pos="567" w:val="left"/>
        </w:tabs>
        <w:ind w:left="567" w:hanging="567"/>
      </w:pPr>
      <w:r>
        <w:t>1.</w:t>
      </w:r>
      <w:r>
        <w:tab/>
      </w:r>
      <w:r>
        <w:t>Arbeitnehmer sind und die während des ganzen oder eines Teils des Kalenderjahres</w:t>
      </w:r>
    </w:p>
    <w:p>
      <w:pPr>
        <w:tabs>
          <w:tab w:pos="1134" w:val="left"/>
        </w:tabs>
        <w:ind w:left="1134" w:hanging="567"/>
      </w:pPr>
      <w:r>
        <w:t>a)</w:t>
      </w:r>
      <w:r>
        <w:tab/>
      </w:r>
      <w:r>
        <w:t>in der gesetzlichen Rentenversicherung versicherungsfrei oder auf Antrag des Arbeitgebers von der Versicherungspflicht befreit waren und denen für den Fall ihres Ausscheidens aus der Beschäftigung auf Grund des Beschäftigungsverhältnisses eine lebenslängliche Versorgung oder an deren Stelle eine Abfindung zusteht oder die in der gesetzlichen Rentenversicherung nachzuversichern sind oder</w:t>
      </w:r>
    </w:p>
    <w:p>
      <w:pPr>
        <w:tabs>
          <w:tab w:pos="1134" w:val="left"/>
        </w:tabs>
        <w:ind w:left="1134" w:hanging="567"/>
      </w:pPr>
      <w:r>
        <w:t>b)</w:t>
      </w:r>
      <w:r>
        <w:tab/>
      </w:r>
      <w:r>
        <w:t>nicht der gesetzlichen Rentenversicherungspflicht unterliegen, eine Berufstätigkeit ausgeübt und im Zusammenhang damit auf Grund vertraglicher Vereinbarungen Anwartschaftsrechte auf eine Altersversorgung erworben haben, oder</w:t>
      </w:r>
    </w:p>
    <w:p>
      <w:pPr>
        <w:tabs>
          <w:tab w:pos="567" w:val="left"/>
        </w:tabs>
        <w:ind w:left="567" w:hanging="567"/>
      </w:pPr>
      <w:r>
        <w:t>2.</w:t>
      </w:r>
      <w:r>
        <w:tab/>
      </w:r>
      <w:r>
        <w:t xml:space="preserve">Einkünfte im Sinne des </w:t>
      </w:r>
      <w:hyperlink w:anchor="b90" w:history="1">
        <w:r>
          <w:rPr>
            <w:color w:val="0A3A8C"/>
            <w:u w:val="single"/>
          </w:rPr>
          <w:t xml:space="preserve">§ 22</w:t>
        </w:r>
      </w:hyperlink>
      <w:r>
        <w:t xml:space="preserve"> Nummer 4 erzielen und die ganz oder teilweise ohne eigene Beitragsleistung einen Anspruch auf Altersversorgung erwerben,</w:t>
      </w:r>
    </w:p>
    <w:p>
      <w:r>
        <w:t xml:space="preserve">um den Betrag zu kürzen, der, bezogen auf die Einnahmen aus der Tätigkeit, die die Zugehörigkeit zum genannten Personenkreis begründen, dem Gesamtbeitrag (Arbeitgeber- und Arbeitnehmeranteil) zur allgemeinen Rentenversicherung entspricht. </w:t>
      </w:r>
      <w:r>
        <w:rPr>
          <w:rStyle w:val="Satznummer"/>
        </w:rPr>
        <w:t>4</w:t>
      </w:r>
      <w:r>
        <w:t xml:space="preserve">Im Kalenderjahr 2013 sind 76 Prozent der nach den Sätzen 1 bis 3 ermittelten Vorsorgeaufwendungen anzusetzen. </w:t>
      </w:r>
      <w:r>
        <w:rPr>
          <w:rStyle w:val="Satznummer"/>
        </w:rPr>
        <w:t>5</w:t>
      </w:r>
      <w:r>
        <w:t xml:space="preserve">Der sich danach ergebende Betrag, vermindert um den nach </w:t>
      </w:r>
      <w:hyperlink w:anchor="b8" w:history="1">
        <w:r>
          <w:rPr>
            <w:color w:val="0A3A8C"/>
            <w:u w:val="single"/>
          </w:rPr>
          <w:t xml:space="preserve">§ 3</w:t>
        </w:r>
      </w:hyperlink>
      <w:r>
        <w:t xml:space="preserve"> Nummer 62 steuerfreien Arbeitgeberanteil zur gesetzlichen Rentenversicherung und einen diesem gleichgestellten steuerfreien Zuschuss des Arbeitgebers, ist als Sonderausgabe abziehbar. </w:t>
      </w:r>
      <w:r>
        <w:rPr>
          <w:rStyle w:val="Satznummer"/>
        </w:rPr>
        <w:t>6</w:t>
      </w:r>
      <w:r>
        <w:t xml:space="preserve">Der Prozentsatz in Satz 4 erhöht sich in den folgenden Kalenderjahren bis zum Kalenderjahr 2022 um je 2 Prozentpunkte je Kalenderjahr; ab dem Kalenderjahr 2023 beträgt er 100 Prozent. </w:t>
      </w:r>
      <w:r>
        <w:rPr>
          <w:rStyle w:val="Satznummer"/>
        </w:rPr>
        <w:t>7</w:t>
      </w:r>
      <w:r>
        <w:t>Beiträge nach § 168 Absatz 1 Nummer 1b oder 1c oder nach § 172 Absatz 3 oder 3a des Sechsten Buches Sozialgesetzbuch vermindern den abziehbaren Betrag nach Satz 5 nur, wenn der Steuerpflichtige die Hinzurechnung dieser Beiträge zu den Vorsorgeaufwendungen nach Absatz 1 Nummer 2 Satz 7 beantragt hat.</w:t>
      </w:r>
    </w:p>
    <w:p>
      <w:r>
        <w:t xml:space="preserve">(4) </w:t>
      </w:r>
      <w:r>
        <w:rPr>
          <w:rStyle w:val="Satznummer"/>
        </w:rPr>
        <w:t>1</w:t>
      </w:r>
      <w:r>
        <w:t xml:space="preserve">Vorsorgeaufwendungen im Sinne des Absatzes 1 Nummer 3 und 3a können je Kalenderjahr insgesamt bis 2 800 Euro abgezogen werden. </w:t>
      </w:r>
      <w:r>
        <w:rPr>
          <w:rStyle w:val="Satznummer"/>
        </w:rPr>
        <w:t>2</w:t>
      </w:r>
      <w:r>
        <w:t xml:space="preserve">Der Höchstbetrag beträgt 1 900 Euro bei Steuerpflichtigen, die ganz oder teilweise ohne eigene Aufwendungen einen Anspruch auf vollständige oder teilweise Erstattung oder Übernahme von Krankheitskosten haben oder für deren Krankenversicherung Leistungen im Sinne des </w:t>
      </w:r>
      <w:hyperlink w:anchor="b8" w:history="1">
        <w:r>
          <w:rPr>
            <w:color w:val="0A3A8C"/>
            <w:u w:val="single"/>
          </w:rPr>
          <w:t xml:space="preserve">§ 3</w:t>
        </w:r>
      </w:hyperlink>
      <w:r>
        <w:t xml:space="preserve"> Nummer 9, 14, 57 oder 62 erbracht werden. </w:t>
      </w:r>
      <w:r>
        <w:rPr>
          <w:rStyle w:val="Satznummer"/>
        </w:rPr>
        <w:t>3</w:t>
      </w:r>
      <w:r>
        <w:t xml:space="preserve">Bei zusammen veranlagten Ehegatten bestimmt sich der gemeinsame Höchstbetrag aus der Summe der jedem Ehegatten unter den Voraussetzungen von Satz 1 und 2 zustehenden Höchstbeträge. </w:t>
      </w:r>
      <w:r>
        <w:rPr>
          <w:rStyle w:val="Satznummer"/>
        </w:rPr>
        <w:t>4</w:t>
      </w:r>
      <w:r>
        <w:t>Übersteigen die Vorsorgeaufwendungen im Sinne des Absatzes 1 Nummer 3 die nach den Sätzen 1 bis 3 zu berücksichtigenden Vorsorgeaufwendungen, sind diese abzuziehen und ein Abzug von Vorsorgeaufwendungen im Sinne des Absatzes 1 Nummer 3a scheidet aus.</w:t>
      </w:r>
    </w:p>
    <w:p>
      <w:r>
        <w:t xml:space="preserve">(4a) </w:t>
      </w:r>
      <w:r>
        <w:rPr>
          <w:rStyle w:val="Satznummer"/>
        </w:rPr>
        <w:t>1</w:t>
      </w:r>
      <w:r>
        <w:t xml:space="preserve">Ist in den Kalenderjahren 2013 bis 2019 der Abzug der Vorsorgeaufwendungen nach Absatz 1 Nummer 2 Buchstabe a, Absatz 1 Nummer 3 und Nummer 3a in der für das Kalenderjahr 2004 geltenden Fassung des </w:t>
      </w:r>
      <w:hyperlink w:anchor="b51" w:history="1">
        <w:r>
          <w:rPr>
            <w:color w:val="0A3A8C"/>
            <w:u w:val="single"/>
          </w:rPr>
          <w:t xml:space="preserve">§ 10</w:t>
        </w:r>
      </w:hyperlink>
      <w:r>
        <w:t xml:space="preserve"> Absatz 3 mit folgenden Höchstbeträgen für den Vorwegabzug</w:t>
      </w:r>
    </w:p>
    <w:tbl>
      <w:tblPr>
        <w:tblStyle w:val="TableGrid"/>
        <w:tblW w:type="pct" w:w="5000"/>
        <w:tblLook w:firstColumn="1" w:firstRow="1" w:lastColumn="0" w:lastRow="0" w:noHBand="0" w:noVBand="1" w:val="04A0"/>
        <w:tblCaption w:val="Tabelle 1 zu § 10"/>
      </w:tblPr>
      <w:tblGrid>
        <w:gridCol w:w="3135"/>
        <w:gridCol w:w="3135"/>
        <w:gridCol w:w="3135"/>
      </w:tblGrid>
      <w:tr>
        <w:trPr>
          <w:cantSplit/>
          <w:tblHeader/>
        </w:trPr>
        <w:tc>
          <w:tcPr>
            <w:tcW w:type="dxa" w:w="3135"/>
          </w:tcPr>
          <w:p>
            <w:r>
              <w:rPr>
                <w:b/>
              </w:rPr>
              <w:t>Kalenderjahr</w:t>
            </w:r>
          </w:p>
        </w:tc>
        <w:tc>
          <w:tcPr>
            <w:tcW w:type="dxa" w:w="3135"/>
          </w:tcPr>
          <w:p>
            <w:r>
              <w:rPr>
                <w:b/>
              </w:rPr>
              <w:t>Vorwegabzug für</w:t>
            </w:r>
            <w:r>
              <w:rPr>
                <w:b/>
              </w:rPr>
              <w:br/>
            </w:r>
            <w:r>
              <w:rPr>
                <w:b/>
              </w:rPr>
              <w:t>den Steuerpflichtigen</w:t>
            </w:r>
          </w:p>
        </w:tc>
        <w:tc>
          <w:tcPr>
            <w:tcW w:type="dxa" w:w="3135"/>
          </w:tcPr>
          <w:p>
            <w:r>
              <w:rPr>
                <w:b/>
              </w:rPr>
              <w:t>Vorwegabzug im</w:t>
            </w:r>
            <w:r>
              <w:rPr>
                <w:b/>
              </w:rPr>
              <w:br/>
            </w:r>
            <w:r>
              <w:rPr>
                <w:b/>
              </w:rPr>
              <w:t>Fall der Zusammen-</w:t>
            </w:r>
            <w:r>
              <w:rPr>
                <w:b/>
              </w:rPr>
              <w:br/>
            </w:r>
            <w:r>
              <w:rPr>
                <w:b/>
              </w:rPr>
              <w:t>veranlagung von</w:t>
            </w:r>
            <w:r>
              <w:rPr>
                <w:b/>
              </w:rPr>
              <w:br/>
            </w:r>
            <w:r>
              <w:rPr>
                <w:b/>
              </w:rPr>
              <w:t>Ehegatten</w:t>
            </w:r>
          </w:p>
        </w:tc>
      </w:tr>
      <w:tr>
        <w:trPr>
          <w:cantSplit/>
        </w:trPr>
        <w:tc>
          <w:tcPr>
            <w:tcW w:type="dxa" w:w="3135"/>
          </w:tcPr>
          <w:p>
            <w:r>
              <w:t>2013</w:t>
            </w:r>
          </w:p>
        </w:tc>
        <w:tc>
          <w:tcPr>
            <w:tcW w:type="dxa" w:w="3135"/>
          </w:tcPr>
          <w:p>
            <w:r>
              <w:t>2 100</w:t>
            </w:r>
          </w:p>
        </w:tc>
        <w:tc>
          <w:tcPr>
            <w:tcW w:type="dxa" w:w="3135"/>
          </w:tcPr>
          <w:p>
            <w:r>
              <w:t>4 200</w:t>
            </w:r>
          </w:p>
        </w:tc>
      </w:tr>
      <w:tr>
        <w:trPr>
          <w:cantSplit/>
        </w:trPr>
        <w:tc>
          <w:tcPr>
            <w:tcW w:type="dxa" w:w="3135"/>
          </w:tcPr>
          <w:p>
            <w:r>
              <w:t>2014</w:t>
            </w:r>
          </w:p>
        </w:tc>
        <w:tc>
          <w:tcPr>
            <w:tcW w:type="dxa" w:w="3135"/>
          </w:tcPr>
          <w:p>
            <w:r>
              <w:t>1 800</w:t>
            </w:r>
          </w:p>
        </w:tc>
        <w:tc>
          <w:tcPr>
            <w:tcW w:type="dxa" w:w="3135"/>
          </w:tcPr>
          <w:p>
            <w:r>
              <w:t>3 600</w:t>
            </w:r>
          </w:p>
        </w:tc>
      </w:tr>
      <w:tr>
        <w:trPr>
          <w:cantSplit/>
        </w:trPr>
        <w:tc>
          <w:tcPr>
            <w:tcW w:type="dxa" w:w="3135"/>
          </w:tcPr>
          <w:p>
            <w:r>
              <w:t>2015</w:t>
            </w:r>
          </w:p>
        </w:tc>
        <w:tc>
          <w:tcPr>
            <w:tcW w:type="dxa" w:w="3135"/>
          </w:tcPr>
          <w:p>
            <w:r>
              <w:t>1 500</w:t>
            </w:r>
          </w:p>
        </w:tc>
        <w:tc>
          <w:tcPr>
            <w:tcW w:type="dxa" w:w="3135"/>
          </w:tcPr>
          <w:p>
            <w:r>
              <w:t>3 000</w:t>
            </w:r>
          </w:p>
        </w:tc>
      </w:tr>
      <w:tr>
        <w:trPr>
          <w:cantSplit/>
        </w:trPr>
        <w:tc>
          <w:tcPr>
            <w:tcW w:type="dxa" w:w="3135"/>
          </w:tcPr>
          <w:p>
            <w:r>
              <w:t>2016</w:t>
            </w:r>
          </w:p>
        </w:tc>
        <w:tc>
          <w:tcPr>
            <w:tcW w:type="dxa" w:w="3135"/>
          </w:tcPr>
          <w:p>
            <w:r>
              <w:t>1 200</w:t>
            </w:r>
          </w:p>
        </w:tc>
        <w:tc>
          <w:tcPr>
            <w:tcW w:type="dxa" w:w="3135"/>
          </w:tcPr>
          <w:p>
            <w:r>
              <w:t>2 400</w:t>
            </w:r>
          </w:p>
        </w:tc>
      </w:tr>
      <w:tr>
        <w:trPr>
          <w:cantSplit/>
        </w:trPr>
        <w:tc>
          <w:tcPr>
            <w:tcW w:type="dxa" w:w="3135"/>
          </w:tcPr>
          <w:p>
            <w:r>
              <w:t>2017</w:t>
            </w:r>
          </w:p>
        </w:tc>
        <w:tc>
          <w:tcPr>
            <w:tcW w:type="dxa" w:w="3135"/>
          </w:tcPr>
          <w:p>
            <w:r>
              <w:t xml:space="preserve">  900</w:t>
            </w:r>
          </w:p>
        </w:tc>
        <w:tc>
          <w:tcPr>
            <w:tcW w:type="dxa" w:w="3135"/>
          </w:tcPr>
          <w:p>
            <w:r>
              <w:t>1 800</w:t>
            </w:r>
          </w:p>
        </w:tc>
      </w:tr>
      <w:tr>
        <w:trPr>
          <w:cantSplit/>
        </w:trPr>
        <w:tc>
          <w:tcPr>
            <w:tcW w:type="dxa" w:w="3135"/>
          </w:tcPr>
          <w:p>
            <w:r>
              <w:t>2018</w:t>
            </w:r>
          </w:p>
        </w:tc>
        <w:tc>
          <w:tcPr>
            <w:tcW w:type="dxa" w:w="3135"/>
          </w:tcPr>
          <w:p>
            <w:r>
              <w:t xml:space="preserve">  600</w:t>
            </w:r>
          </w:p>
        </w:tc>
        <w:tc>
          <w:tcPr>
            <w:tcW w:type="dxa" w:w="3135"/>
          </w:tcPr>
          <w:p>
            <w:r>
              <w:t>1 200</w:t>
            </w:r>
          </w:p>
        </w:tc>
      </w:tr>
      <w:tr>
        <w:trPr>
          <w:cantSplit/>
        </w:trPr>
        <w:tc>
          <w:tcPr>
            <w:tcW w:type="dxa" w:w="3135"/>
          </w:tcPr>
          <w:p>
            <w:r>
              <w:t>2019</w:t>
            </w:r>
          </w:p>
        </w:tc>
        <w:tc>
          <w:tcPr>
            <w:tcW w:type="dxa" w:w="3135"/>
          </w:tcPr>
          <w:p>
            <w:r>
              <w:t xml:space="preserve">  300</w:t>
            </w:r>
          </w:p>
        </w:tc>
        <w:tc>
          <w:tcPr>
            <w:tcW w:type="dxa" w:w="3135"/>
          </w:tcPr>
          <w:p>
            <w:r>
              <w:t xml:space="preserve">  600</w:t>
            </w:r>
          </w:p>
        </w:tc>
      </w:tr>
    </w:tbl>
    <w:p>
      <w:pPr>
        <w:spacing w:after="0"/>
      </w:pPr>
    </w:p>
    <w:p>
      <w:r>
        <w:t xml:space="preserve">zuzüglich des Erhöhungsbetrags nach Satz 3 günstiger, ist der sich danach ergebende Betrag anstelle des Abzugs nach Absatz 3 und 4 anzusetzen. </w:t>
      </w:r>
      <w:r>
        <w:rPr>
          <w:rStyle w:val="Satznummer"/>
        </w:rPr>
        <w:t>2</w:t>
      </w:r>
      <w:r>
        <w:t xml:space="preserve">Mindestens ist bei Anwendung des Satzes 1 der Betrag anzusetzen, der sich ergeben würde, wenn zusätzlich noch die Vorsorgeaufwendungen nach Absatz 1 Nummer 2 Buchstabe b in die Günstigerprüfung einbezogen werden würden; der Erhöhungsbetrag nach Satz 3 ist nicht hinzuzurechnen. </w:t>
      </w:r>
      <w:r>
        <w:rPr>
          <w:rStyle w:val="Satznummer"/>
        </w:rPr>
        <w:t>3</w:t>
      </w:r>
      <w:r>
        <w:t xml:space="preserve">Erhöhungsbetrag sind die Beiträge nach Absatz 1 Nummer 2 Buchstabe b, soweit sie nicht den um die Beiträge nach Absatz 1 Nummer 2 Buchstabe a und den nach </w:t>
      </w:r>
      <w:hyperlink w:anchor="b8" w:history="1">
        <w:r>
          <w:rPr>
            <w:color w:val="0A3A8C"/>
            <w:u w:val="single"/>
          </w:rPr>
          <w:t xml:space="preserve">§ 3</w:t>
        </w:r>
      </w:hyperlink>
      <w:r>
        <w:t xml:space="preserve"> Nummer 62 steuerfreien Arbeitgeberanteil zur gesetzlichen Rentenversicherung und einen diesem gleichgestellten steuerfreien Zuschuss verminderten Höchstbetrag nach Absatz 3 Satz 1 bis 3 überschreiten; Absatz 3 Satz 4 und 6 gilt entsprechend.</w:t>
      </w:r>
    </w:p>
    <w:p>
      <w:r>
        <w:t xml:space="preserve">(4b) </w:t>
      </w:r>
      <w:r>
        <w:rPr>
          <w:rStyle w:val="Satznummer"/>
        </w:rPr>
        <w:t>1</w:t>
      </w:r>
      <w:r>
        <w:t xml:space="preserve">Erhält der Steuerpflichtige für die von ihm für einen anderen Veranlagungszeitraum geleisteten Aufwendungen im Sinne des Satzes 2 einen steuerfreien Zuschuss, ist dieser den erstatteten Aufwendungen gleichzustellen. </w:t>
      </w:r>
      <w:r>
        <w:rPr>
          <w:rStyle w:val="Satznummer"/>
        </w:rPr>
        <w:t>2</w:t>
      </w:r>
      <w:r>
        <w:t xml:space="preserve">Übersteigen bei den Sonderausgaben nach Absatz 1 Nummer 2 bis 3a die im Veranlagungszeitraum erstatteten Aufwendungen die geleisteten Aufwendungen (Erstattungsüberhang), ist der Erstattungsüberhang mit anderen im Rahmen der jeweiligen Nummer anzusetzenden Aufwendungen zu verrechnen. </w:t>
      </w:r>
      <w:r>
        <w:rPr>
          <w:rStyle w:val="Satznummer"/>
        </w:rPr>
        <w:t>3</w:t>
      </w:r>
      <w:r>
        <w:t xml:space="preserve">Ein verbleibender Betrag des sich bei den Aufwendungen nach Absatz 1 Nummer 3 und 4 ergebenden Erstattungsüberhangs ist dem Gesamtbetrag der Einkünfte hinzuzurechnen. </w:t>
      </w:r>
      <w:r>
        <w:rPr>
          <w:rStyle w:val="Satznummer"/>
        </w:rPr>
        <w:t>4</w:t>
      </w:r>
      <w:r>
        <w:t xml:space="preserve">Nach Maßgabe des § 93c der Abgabenordnung haben Behörden im Sinne des § 6 Absatz 1 der Abgabenordnung und andere öffentliche Stellen, die einem Steuerpflichtigen für die von ihm geleisteten Beiträge im Sinne des Absatzes 1 Nummer 2, 3 und 3a steuerfreie Zuschüsse gewähren oder Vorsorgeaufwendungen im Sinne dieser Vorschrift erstatten als mitteilungspflichtige Stellen, neben den nach § 93c Absatz 1 der Abgabenordnung erforderlichen Angaben, die zur Gewährung und Prüfung des Sonderausgabenabzugs nach </w:t>
      </w:r>
      <w:hyperlink w:anchor="b51" w:history="1">
        <w:r>
          <w:rPr>
            <w:color w:val="0A3A8C"/>
            <w:u w:val="single"/>
          </w:rPr>
          <w:t xml:space="preserve">§ 10</w:t>
        </w:r>
      </w:hyperlink>
      <w:r>
        <w:t xml:space="preserve"> erforderlichen Daten an die zentrale Stelle zu übermitteln. </w:t>
      </w:r>
      <w:r>
        <w:rPr>
          <w:rStyle w:val="Satznummer"/>
        </w:rPr>
        <w:t>5</w:t>
      </w:r>
      <w:hyperlink w:anchor="b91" w:history="1">
        <w:r>
          <w:rPr>
            <w:color w:val="0A3A8C"/>
            <w:u w:val="single"/>
          </w:rPr>
          <w:t xml:space="preserve">§ 22a</w:t>
        </w:r>
      </w:hyperlink>
      <w:r>
        <w:t xml:space="preserve"> Absatz 2 gilt entsprechend. </w:t>
      </w:r>
      <w:r>
        <w:rPr>
          <w:rStyle w:val="Satznummer"/>
        </w:rPr>
        <w:t>6</w:t>
      </w:r>
      <w:r>
        <w:t>§ 72a Absatz 4 und § 93c Absatz 4 der Abgabenordnung finden keine Anwendung.</w:t>
      </w:r>
    </w:p>
    <w:p>
      <w:r>
        <w:t>(5) Durch Rechtsverordnung wird bezogen auf den Versicherungstarif bestimmt, wie der nicht abziehbare Teil der Beiträge zum Erwerb eines Krankenversicherungsschutzes im Sinne des Absatzes 1 Nummer 3 Buchstabe a Satz 3 durch einheitliche prozentuale Abschläge auf die zugunsten des jeweiligen Tarifs gezahlte Prämie zu ermitteln ist, soweit der nicht abziehbare Beitragsteil nicht bereits als gesonderter Tarif oder Tarifbaustein ausgewiesen wird.</w:t>
      </w:r>
    </w:p>
    <w:p>
      <w:r>
        <w:t>(6) Absatz 1 Nummer 2 Buchstabe b Doppelbuchstabe aa ist für Vertragsabschlüsse vor dem 1. Januar 2012 mit der Maßgabe anzuwenden, dass der Vertrag die Zahlung der Leibrente nicht vor der Vollendung des 60. Lebensjahres vorsehen darf.</w:t>
      </w:r>
    </w:p>
    <w:p>
      <w:pPr>
        <w:pStyle w:val="Heading3"/>
      </w:pPr>
      <w:bookmarkStart w:id="53" w:name="b52"/>
      <w:r>
        <w:t>§ 10a Zusätzliche Altersvorsorge</w:t>
      </w:r>
      <w:r>
        <w:t xml:space="preserve"> </w:t>
      </w:r>
      <w:r>
        <w:rPr>
          <w:rStyle w:val="Suchmarke"/>
        </w:rPr>
        <w:t>#10a#</w:t>
      </w:r>
      <w:bookmarkEnd w:id="53"/>
    </w:p>
    <w:p>
      <w:r>
        <w:t xml:space="preserve">(1) </w:t>
      </w:r>
      <w:r>
        <w:rPr>
          <w:rStyle w:val="Satznummer"/>
        </w:rPr>
        <w:t>1</w:t>
      </w:r>
      <w:r>
        <w:t>In der inländischen gesetzlichen Rentenversicherung Pflichtversicherte können Altersvorsorgebeiträge (</w:t>
      </w:r>
      <w:hyperlink w:anchor="b240" w:history="1">
        <w:r>
          <w:rPr>
            <w:color w:val="0A3A8C"/>
            <w:u w:val="single"/>
          </w:rPr>
          <w:t xml:space="preserve">§ 82</w:t>
        </w:r>
      </w:hyperlink>
      <w:r>
        <w:t>) zuzüglich der dafür nach Abschnitt XI zustehenden Zulage jährlich bis zu 2 100 Euro als Sonderausgaben abziehen; das Gleiche gilt für</w:t>
      </w:r>
    </w:p>
    <w:p>
      <w:pPr>
        <w:tabs>
          <w:tab w:pos="567" w:val="left"/>
        </w:tabs>
        <w:ind w:left="567" w:hanging="567"/>
      </w:pPr>
      <w:r>
        <w:t>1.</w:t>
      </w:r>
      <w:r>
        <w:tab/>
      </w:r>
      <w:r>
        <w:t>Empfänger von inländischer Besoldung nach dem Bundesbesoldungsgesetz oder einem Landesbesoldungsgesetz,</w:t>
      </w:r>
    </w:p>
    <w:p>
      <w:pPr>
        <w:tabs>
          <w:tab w:pos="567" w:val="left"/>
        </w:tabs>
        <w:ind w:left="567" w:hanging="567"/>
      </w:pPr>
      <w:r>
        <w:t>2.</w:t>
      </w:r>
      <w:r>
        <w:tab/>
      </w:r>
      <w:r>
        <w:t>Empfänger von Amtsbezügen aus einem inländischen Amtsverhältnis, deren Versorgungsrecht die entsprechende Anwendung des § 69e Absatz 3 und 4 des Beamtenversorgungsgesetzes vorsieht,</w:t>
      </w:r>
    </w:p>
    <w:p>
      <w:pPr>
        <w:tabs>
          <w:tab w:pos="567" w:val="left"/>
        </w:tabs>
        <w:ind w:left="567" w:hanging="567"/>
      </w:pPr>
      <w:r>
        <w:t>3.</w:t>
      </w:r>
      <w:r>
        <w:tab/>
      </w:r>
      <w:r>
        <w:t xml:space="preserve">die nach § 5 Absatz 1 Satz 1 Nummer 2 und 3 des Sechsten Buches Sozialgesetzbuch versicherungsfrei Beschäftigten, die nach </w:t>
      </w:r>
      <w:hyperlink w:anchor="b28" w:history="1">
        <w:r>
          <w:rPr>
            <w:color w:val="0A3A8C"/>
            <w:u w:val="single"/>
          </w:rPr>
          <w:t xml:space="preserve">§ 6</w:t>
        </w:r>
      </w:hyperlink>
      <w:r>
        <w:t xml:space="preserve"> Absatz 1 Satz 1 Nummer 2 oder nach § 230 Absatz 2 Satz 2 des Sechsten Buches Sozialgesetzbuch von der Versicherungspflicht befreiten Beschäftigten, deren Versorgungsrecht die entsprechende Anwendung des § 69e Absatz 3 und 4 des Beamtenversorgungsgesetzes vorsieht,</w:t>
      </w:r>
    </w:p>
    <w:p>
      <w:pPr>
        <w:tabs>
          <w:tab w:pos="567" w:val="left"/>
        </w:tabs>
        <w:ind w:left="567" w:hanging="567"/>
      </w:pPr>
      <w:r>
        <w:t>4.</w:t>
      </w:r>
      <w:r>
        <w:tab/>
      </w:r>
      <w:r>
        <w:t>Beamte, Richter, Berufssoldaten und Soldaten auf Zeit, die ohne Besoldung beurlaubt sind, für die Zeit einer Beschäftigung, wenn während der Beurlaubung die Gewährleistung einer Versorgungsanwartschaft unter den Voraussetzungen des § 5 Absatz 1 Satz 1 des Sechsten Buches Sozialgesetzbuch auf diese Beschäftigung erstreckt wird, und</w:t>
      </w:r>
    </w:p>
    <w:p>
      <w:pPr>
        <w:tabs>
          <w:tab w:pos="567" w:val="left"/>
        </w:tabs>
        <w:ind w:left="567" w:hanging="567"/>
      </w:pPr>
      <w:r>
        <w:t>5.</w:t>
      </w:r>
      <w:r>
        <w:tab/>
      </w:r>
      <w:r>
        <w:t>Steuerpflichtige im Sinne der Nummern 1 bis 4, die beurlaubt sind und deshalb keine Besoldung, Amtsbezüge oder Entgelt erhalten, sofern sie eine Anrechnung von Kindererziehungszeiten nach § 56 des Sechsten Buches Sozialgesetzbuch in Anspruch nehmen könnten, wenn die Versicherungsfreiheit in der inländischen gesetzlichen Rentenversicherung nicht bestehen würde,</w:t>
      </w:r>
    </w:p>
    <w:p>
      <w:r>
        <w:t>wenn sie spätestens bis zum Ablauf des Beitragsjahres (</w:t>
      </w:r>
      <w:hyperlink w:anchor="b246" w:history="1">
        <w:r>
          <w:rPr>
            <w:color w:val="0A3A8C"/>
            <w:u w:val="single"/>
          </w:rPr>
          <w:t xml:space="preserve">§ 88</w:t>
        </w:r>
      </w:hyperlink>
      <w:r>
        <w:t>) gegenüber der zuständigen Stelle (</w:t>
      </w:r>
      <w:hyperlink w:anchor="b239" w:history="1">
        <w:r>
          <w:rPr>
            <w:color w:val="0A3A8C"/>
            <w:u w:val="single"/>
          </w:rPr>
          <w:t xml:space="preserve">§ 81a</w:t>
        </w:r>
      </w:hyperlink>
      <w:r>
        <w:t>) schriftlich oder elektronisch eingewilligt haben, dass diese der zentralen Stelle (</w:t>
      </w:r>
      <w:hyperlink w:anchor="b238" w:history="1">
        <w:r>
          <w:rPr>
            <w:color w:val="0A3A8C"/>
            <w:u w:val="single"/>
          </w:rPr>
          <w:t xml:space="preserve">§ 81</w:t>
        </w:r>
      </w:hyperlink>
      <w:r>
        <w:t>) jährlich unter Angabe der Identifikationsnummer mitteilt, dass der Steuerpflichtige zum begünstigten Personenkreis gehört, dass die zuständige Stelle der zentralen Stelle die für die Ermittlung des Mindesteigenbeitrags (</w:t>
      </w:r>
      <w:hyperlink w:anchor="b244" w:history="1">
        <w:r>
          <w:rPr>
            <w:color w:val="0A3A8C"/>
            <w:u w:val="single"/>
          </w:rPr>
          <w:t xml:space="preserve">§ 86</w:t>
        </w:r>
      </w:hyperlink>
      <w:r>
        <w:t>) und die Gewährung der Kinderzulage (</w:t>
      </w:r>
      <w:hyperlink w:anchor="b243" w:history="1">
        <w:r>
          <w:rPr>
            <w:color w:val="0A3A8C"/>
            <w:u w:val="single"/>
          </w:rPr>
          <w:t xml:space="preserve">§ 85</w:t>
        </w:r>
      </w:hyperlink>
      <w:r>
        <w:t xml:space="preserve">) erforderlichen Daten übermittelt und die zentrale Stelle diese Daten für das Zulageverfahren verarbeiten darf. </w:t>
      </w:r>
      <w:r>
        <w:rPr>
          <w:rStyle w:val="Satznummer"/>
        </w:rPr>
        <w:t>2</w:t>
      </w:r>
      <w:r>
        <w:t xml:space="preserve">Bei der Erteilung der Einwilligung ist der Steuerpflichtige darauf hinzuweisen, dass er die Einwilligung vor Beginn des Kalenderjahres, für das sie erstmals nicht mehr gelten soll, gegenüber der zuständigen Stelle widerrufen kann. </w:t>
      </w:r>
      <w:r>
        <w:rPr>
          <w:rStyle w:val="Satznummer"/>
        </w:rPr>
        <w:t>3</w:t>
      </w:r>
      <w:r>
        <w:t>Versicherungspflichtige nach dem Gesetz über die Alterssicherung der Landwirte stehen Pflichtversicherten gleich; dies gilt auch für Personen, die</w:t>
      </w:r>
    </w:p>
    <w:p>
      <w:pPr>
        <w:tabs>
          <w:tab w:pos="567" w:val="left"/>
        </w:tabs>
        <w:ind w:left="567" w:hanging="567"/>
      </w:pPr>
      <w:r>
        <w:t>1.</w:t>
      </w:r>
      <w:r>
        <w:tab/>
      </w:r>
      <w:r>
        <w:t>eine Anrechnungszeit nach § 58 Absatz 1 Nummer 3 oder Nummer 6 des Sechsten Buches Sozialgesetzbuch in der gesetzlichen Rentenversicherung erhalten und</w:t>
      </w:r>
    </w:p>
    <w:p>
      <w:pPr>
        <w:tabs>
          <w:tab w:pos="567" w:val="left"/>
        </w:tabs>
        <w:ind w:left="567" w:hanging="567"/>
      </w:pPr>
      <w:r>
        <w:t>2.</w:t>
      </w:r>
      <w:r>
        <w:tab/>
      </w:r>
      <w:r>
        <w:t>unmittelbar vor einer Anrechnungszeit nach § 58 Absatz 1 Nummer 3 oder Nummer 6 des Sechsten Buches Sozialgesetzbuch einer der im ersten Halbsatz, in Satz 1 oder in Satz 4 genannten begünstigten Personengruppen angehörten.</w:t>
      </w:r>
    </w:p>
    <w:p>
      <w:r>
        <w:rPr>
          <w:rStyle w:val="Satznummer"/>
        </w:rPr>
        <w:t>4</w:t>
      </w:r>
      <w:r>
        <w:t xml:space="preserve">Die Sätze 1 und 2 gelten entsprechend für Steuerpflichtige, die nicht zum begünstigten Personenkreis nach Satz 1 oder 3 gehören und eine Rente wegen voller Erwerbsminderung oder Erwerbsunfähigkeit oder eine Versorgung wegen Dienstunfähigkeit aus einem der in Satz 1 oder 3 genannten Alterssicherungssysteme beziehen, wenn unmittelbar vor dem Bezug der entsprechenden Leistungen der Leistungsbezieher einer der in Satz 1 oder 3 genannten begünstigten Personengruppen angehörte; dies gilt nicht, wenn der Steuerpflichtige das 67. Lebensjahr vollendet hat. </w:t>
      </w:r>
      <w:r>
        <w:rPr>
          <w:rStyle w:val="Satznummer"/>
        </w:rPr>
        <w:t>5</w:t>
      </w:r>
      <w:r>
        <w:t xml:space="preserve">Bei der Ermittlung der dem Steuerpflichtigen zustehenden Zulage nach Satz 1 bleibt die Erhöhung der Grundzulage nach </w:t>
      </w:r>
      <w:hyperlink w:anchor="b242" w:history="1">
        <w:r>
          <w:rPr>
            <w:color w:val="0A3A8C"/>
            <w:u w:val="single"/>
          </w:rPr>
          <w:t xml:space="preserve">§ 84</w:t>
        </w:r>
      </w:hyperlink>
      <w:r>
        <w:t xml:space="preserve"> Satz 2 außer Betracht.</w:t>
      </w:r>
    </w:p>
    <w:p>
      <w:r>
        <w:t xml:space="preserve">(1a) </w:t>
      </w:r>
      <w:r>
        <w:rPr>
          <w:rStyle w:val="Satznummer"/>
        </w:rPr>
        <w:t>1</w:t>
      </w:r>
      <w:r>
        <w:t xml:space="preserve">Steuerpflichtige, die eine Kinderzulage für ein Kind beantragen oder auf den Ehegatten übertragen haben, das im Beitragsjahr sein viertes Lebensjahr noch nicht vollendet hat und für das gegenüber dem Steuerpflichtigen oder seinem Ehegatten Kindergeld festgesetzt worden ist, stehen einem in der inländischen gesetzlichen Rentenversicherung Pflichtversicherten gleich, wenn eine Anrechnung von Kindererziehungszeiten nach § 56 des Sechsten Buches Sozialgesetzbuch nur auf Grund eines fehlenden oder noch nicht beschiedenen Antrags auf Berücksichtigung von Kindererziehungszeiten bislang nicht erfolgt ist. </w:t>
      </w:r>
      <w:r>
        <w:rPr>
          <w:rStyle w:val="Satznummer"/>
        </w:rPr>
        <w:t>2</w:t>
      </w:r>
      <w:r>
        <w:t xml:space="preserve">Voraussetzung ist, dass der Steuerpflichtige spätestens am Tag nach der Vollendung des vierten Lebensjahres des Kindes die Kindererziehungszeiten beim zuständigen Träger der gesetzlichen Rentenversicherung beantragt. </w:t>
      </w:r>
      <w:r>
        <w:rPr>
          <w:rStyle w:val="Satznummer"/>
        </w:rPr>
        <w:t>3</w:t>
      </w:r>
      <w:r>
        <w:t xml:space="preserve">Werden die Kindererziehungszeiten vom Träger der gesetzlichen Rentenversicherung nicht anerkannt, entfällt rückwirkend die Förderberechtigung nach Satz 1. </w:t>
      </w:r>
      <w:r>
        <w:rPr>
          <w:rStyle w:val="Satznummer"/>
        </w:rPr>
        <w:t>4</w:t>
      </w:r>
      <w:r>
        <w:t>Wurde das Kind am 1. Januar geboren, gilt Satz 1 mit der Maßgabe, dass das fünfte Lebensjahr noch nicht vollendet sein darf.</w:t>
      </w:r>
    </w:p>
    <w:p>
      <w:r>
        <w:t xml:space="preserve">(1b) </w:t>
      </w:r>
      <w:r>
        <w:rPr>
          <w:rStyle w:val="Satznummer"/>
        </w:rPr>
        <w:t>1</w:t>
      </w:r>
      <w:r>
        <w:t>Sofern eine Zulagenummer (</w:t>
      </w:r>
      <w:hyperlink w:anchor="b248" w:history="1">
        <w:r>
          <w:rPr>
            <w:color w:val="0A3A8C"/>
            <w:u w:val="single"/>
          </w:rPr>
          <w:t xml:space="preserve">§ 90</w:t>
        </w:r>
      </w:hyperlink>
      <w:r>
        <w:t xml:space="preserve"> Absatz 1 Satz 2) durch die zentrale Stelle oder eine Versicherungsnummer nach § 147 des Sechsten Buches Sozialgesetzbuch noch nicht vergeben ist, haben die in Absatz 1 Satz 1 Nummer 1 bis 5 genannten Steuerpflichtigen über die zuständige Stelle eine Zulagenummer bei der zentralen Stelle zu beantragen. </w:t>
      </w:r>
      <w:r>
        <w:rPr>
          <w:rStyle w:val="Satznummer"/>
        </w:rPr>
        <w:t>2</w:t>
      </w:r>
      <w:r>
        <w:t>Für Empfänger einer Versorgung im Sinne des Absatzes 1 Satz 4 gilt Satz 1 entsprechend.</w:t>
      </w:r>
    </w:p>
    <w:p>
      <w:r>
        <w:t xml:space="preserve">(2) </w:t>
      </w:r>
      <w:r>
        <w:rPr>
          <w:rStyle w:val="Satznummer"/>
        </w:rPr>
        <w:t>1</w:t>
      </w:r>
      <w:r>
        <w:t xml:space="preserve">Ist der Sonderausgabenabzug nach Absatz 1 für den Steuerpflichtigen günstiger als der Anspruch auf die Zulage nach Abschnitt XI, erhöht sich die unter Berücksichtigung des Sonderausgabenabzugs ermittelte tarifliche Einkommensteuer um den Anspruch auf Zulage. </w:t>
      </w:r>
      <w:r>
        <w:rPr>
          <w:rStyle w:val="Satznummer"/>
        </w:rPr>
        <w:t>2</w:t>
      </w:r>
      <w:r>
        <w:t xml:space="preserve">In den anderen Fällen scheidet der Sonderausgabenabzug aus. </w:t>
      </w:r>
      <w:r>
        <w:rPr>
          <w:rStyle w:val="Satznummer"/>
        </w:rPr>
        <w:t>3</w:t>
      </w:r>
      <w:r>
        <w:t>Die Günstigerprüfung wird von Amts wegen vorgenommen.</w:t>
      </w:r>
    </w:p>
    <w:p>
      <w:r>
        <w:t>(2a) (weggefallen)</w:t>
      </w:r>
    </w:p>
    <w:p>
      <w:r>
        <w:t xml:space="preserve">(3) </w:t>
      </w:r>
      <w:r>
        <w:rPr>
          <w:rStyle w:val="Satznummer"/>
        </w:rPr>
        <w:t>1</w:t>
      </w:r>
      <w:r>
        <w:t xml:space="preserve">Der Abzugsbetrag nach Absatz 1 steht im Fall der Veranlagung von Ehegatten nach </w:t>
      </w:r>
      <w:hyperlink w:anchor="b99" w:history="1">
        <w:r>
          <w:rPr>
            <w:color w:val="0A3A8C"/>
            <w:u w:val="single"/>
          </w:rPr>
          <w:t xml:space="preserve">§ 26</w:t>
        </w:r>
      </w:hyperlink>
      <w:r>
        <w:t xml:space="preserve"> Absatz 1 jedem Ehegatten unter den Voraussetzungen des Absatzes 1 gesondert zu. </w:t>
      </w:r>
      <w:r>
        <w:rPr>
          <w:rStyle w:val="Satznummer"/>
        </w:rPr>
        <w:t>2</w:t>
      </w:r>
      <w:r>
        <w:t xml:space="preserve">Gehört nur ein Ehegatte zu dem nach Absatz 1 begünstigten Personenkreis und ist der andere Ehegatte nach </w:t>
      </w:r>
      <w:hyperlink w:anchor="b236" w:history="1">
        <w:r>
          <w:rPr>
            <w:color w:val="0A3A8C"/>
            <w:u w:val="single"/>
          </w:rPr>
          <w:t xml:space="preserve">§ 79</w:t>
        </w:r>
      </w:hyperlink>
      <w:r>
        <w:t xml:space="preserve"> Satz 2 zulageberechtigt, sind bei dem nach Absatz 1 abzugsberechtigten Ehegatten die von beiden Ehegatten geleisteten Altersvorsorgebeiträge und die dafür zustehenden Zulagen bei der Anwendung der Absätze 1 und 2 zu berücksichtigen. </w:t>
      </w:r>
      <w:r>
        <w:rPr>
          <w:rStyle w:val="Satznummer"/>
        </w:rPr>
        <w:t>3</w:t>
      </w:r>
      <w:r>
        <w:t xml:space="preserve">Der Höchstbetrag nach Absatz 1 Satz 1 erhöht sich in den Fällen des Satzes 2 um 60 Euro. </w:t>
      </w:r>
      <w:r>
        <w:rPr>
          <w:rStyle w:val="Satznummer"/>
        </w:rPr>
        <w:t>4</w:t>
      </w:r>
      <w:r>
        <w:t xml:space="preserve">Dabei sind die von dem Ehegatten, der zu dem nach Absatz 1 begünstigten Personenkreis gehört, geleisteten Altersvorsorgebeiträge vorrangig zu berücksichtigen, jedoch mindestens 60 Euro der von dem anderen Ehegatten geleisteten Altersvorsorgebeiträge. </w:t>
      </w:r>
      <w:r>
        <w:rPr>
          <w:rStyle w:val="Satznummer"/>
        </w:rPr>
        <w:t>5</w:t>
      </w:r>
      <w:r>
        <w:t xml:space="preserve">Gehören beide Ehegatten zu dem nach Absatz 1 begünstigten Personenkreis und liegt ein Fall der Veranlagung nach </w:t>
      </w:r>
      <w:hyperlink w:anchor="b99" w:history="1">
        <w:r>
          <w:rPr>
            <w:color w:val="0A3A8C"/>
            <w:u w:val="single"/>
          </w:rPr>
          <w:t xml:space="preserve">§ 26</w:t>
        </w:r>
      </w:hyperlink>
      <w:r>
        <w:t xml:space="preserve"> Absatz 1 vor, ist bei der Günstigerprüfung nach Absatz 2 der Anspruch auf Zulage beider Ehegatten anzusetzen.</w:t>
      </w:r>
    </w:p>
    <w:p>
      <w:r>
        <w:t xml:space="preserve">(4) </w:t>
      </w:r>
      <w:r>
        <w:rPr>
          <w:rStyle w:val="Satznummer"/>
        </w:rPr>
        <w:t>1</w:t>
      </w:r>
      <w:r>
        <w:t>Im Fall des Absatzes 2 Satz 1 stellt das Finanzamt die über den Zulageanspruch nach Abschnitt XI hinausgehende Steuerermäßigung gesondert fest und teilt diese der zentralen Stelle (</w:t>
      </w:r>
      <w:hyperlink w:anchor="b238" w:history="1">
        <w:r>
          <w:rPr>
            <w:color w:val="0A3A8C"/>
            <w:u w:val="single"/>
          </w:rPr>
          <w:t xml:space="preserve">§ 81</w:t>
        </w:r>
      </w:hyperlink>
      <w:r>
        <w:t xml:space="preserve">) mit; </w:t>
      </w:r>
      <w:hyperlink w:anchor="b55" w:history="1">
        <w:r>
          <w:rPr>
            <w:color w:val="0A3A8C"/>
            <w:u w:val="single"/>
          </w:rPr>
          <w:t xml:space="preserve">§ 10d</w:t>
        </w:r>
      </w:hyperlink>
      <w:r>
        <w:t xml:space="preserve"> Absatz 4 Satz 3 bis 5 gilt entsprechend. </w:t>
      </w:r>
      <w:r>
        <w:rPr>
          <w:rStyle w:val="Satznummer"/>
        </w:rPr>
        <w:t>2</w:t>
      </w:r>
      <w:r>
        <w:t xml:space="preserve">Sind Altersvorsorgebeiträge zugunsten von mehreren Verträgen geleistet worden, erfolgt die Zurechnung im Verhältnis der nach Absatz 1 berücksichtigten Altersvorsorgebeiträge. </w:t>
      </w:r>
      <w:r>
        <w:rPr>
          <w:rStyle w:val="Satznummer"/>
        </w:rPr>
        <w:t>3</w:t>
      </w:r>
      <w:r>
        <w:t xml:space="preserve">Ehegatten ist der nach Satz 1 festzustellende Betrag auch im Fall der Zusammenveranlagung jeweils getrennt zuzurechnen; die Zurechnung erfolgt im Verhältnis der nach Absatz 1 berücksichtigten Altersvorsorgebeiträge. </w:t>
      </w:r>
      <w:r>
        <w:rPr>
          <w:rStyle w:val="Satznummer"/>
        </w:rPr>
        <w:t>4</w:t>
      </w:r>
      <w:r>
        <w:t xml:space="preserve">Werden Altersvorsorgebeiträge nach Absatz 3 Satz 2 berücksichtigt, die der nach </w:t>
      </w:r>
      <w:hyperlink w:anchor="b236" w:history="1">
        <w:r>
          <w:rPr>
            <w:color w:val="0A3A8C"/>
            <w:u w:val="single"/>
          </w:rPr>
          <w:t xml:space="preserve">§ 79</w:t>
        </w:r>
      </w:hyperlink>
      <w:r>
        <w:t xml:space="preserve"> Satz 2 zulageberechtigte Ehegatte zugunsten eines auf seinen Namen lautenden Vertrages geleistet hat, ist die hierauf entfallende Steuerermäßigung dem Vertrag zuzurechnen, zu dessen Gunsten die Altersvorsorgebeiträge geleistet wurden. </w:t>
      </w:r>
      <w:r>
        <w:rPr>
          <w:rStyle w:val="Satznummer"/>
        </w:rPr>
        <w:t>5</w:t>
      </w:r>
      <w:r>
        <w:t>Die Übermittlung an die zentrale Stelle erfolgt unter Angabe der Vertragsnummer und der Identifikationsnummer (§ 139b der Abgabenordnung) sowie der Zulage- oder Versicherungsnummer nach § 147 des Sechsten Buches Sozialgesetzbuch.</w:t>
      </w:r>
    </w:p>
    <w:p>
      <w:r>
        <w:t xml:space="preserve">(5) </w:t>
      </w:r>
      <w:r>
        <w:rPr>
          <w:rStyle w:val="Satznummer"/>
        </w:rPr>
        <w:t>1</w:t>
      </w:r>
      <w:r>
        <w:t xml:space="preserve">Nach Maßgabe des § 93c der Abgabenordnung hat der Anbieter als mitteilungspflichtige Stelle auch unter Angabe der Vertragsdaten die Höhe der im jeweiligen Beitragsjahr zu berücksichtigenden Altersvorsorgebeiträge sowie die Zulage- oder die Versicherungsnummer nach § 147 des Sechsten Buches Sozialgesetzbuch an die zentrale Stelle zu übermitteln. </w:t>
      </w:r>
      <w:r>
        <w:rPr>
          <w:rStyle w:val="Satznummer"/>
        </w:rPr>
        <w:t>2</w:t>
      </w:r>
      <w:hyperlink w:anchor="b91" w:history="1">
        <w:r>
          <w:rPr>
            <w:color w:val="0A3A8C"/>
            <w:u w:val="single"/>
          </w:rPr>
          <w:t xml:space="preserve">§ 22a</w:t>
        </w:r>
      </w:hyperlink>
      <w:r>
        <w:t xml:space="preserve"> Absatz 2 gilt entsprechend. </w:t>
      </w:r>
      <w:r>
        <w:rPr>
          <w:rStyle w:val="Satznummer"/>
        </w:rPr>
        <w:t>3</w:t>
      </w:r>
      <w:r>
        <w:t xml:space="preserve">§ 72a Absatz 4 der Abgabenordnung findet keine Anwendung. </w:t>
      </w:r>
      <w:r>
        <w:rPr>
          <w:rStyle w:val="Satznummer"/>
        </w:rPr>
        <w:t>4</w:t>
      </w:r>
      <w:r>
        <w:t xml:space="preserve">Die übrigen Voraussetzungen für den Sonderausgabenabzug nach den Absätzen 1 bis 3 werden im Wege der Datenerhebung und des automatisierten Datenabgleichs nach </w:t>
      </w:r>
      <w:hyperlink w:anchor="b249" w:history="1">
        <w:r>
          <w:rPr>
            <w:color w:val="0A3A8C"/>
            <w:u w:val="single"/>
          </w:rPr>
          <w:t xml:space="preserve">§ 91</w:t>
        </w:r>
      </w:hyperlink>
      <w:r>
        <w:t xml:space="preserve"> überprüft. </w:t>
      </w:r>
      <w:r>
        <w:rPr>
          <w:rStyle w:val="Satznummer"/>
        </w:rPr>
        <w:t>5</w:t>
      </w:r>
      <w:r>
        <w:t>Erfolgt eine Datenübermittlung nach Satz 1 und wurde noch keine Zulagenummer (</w:t>
      </w:r>
      <w:hyperlink w:anchor="b248" w:history="1">
        <w:r>
          <w:rPr>
            <w:color w:val="0A3A8C"/>
            <w:u w:val="single"/>
          </w:rPr>
          <w:t xml:space="preserve">§ 90</w:t>
        </w:r>
      </w:hyperlink>
      <w:r>
        <w:t xml:space="preserve"> Absatz 1 Satz 2) durch die zentrale Stelle oder keine Versicherungsnummer nach § 147 des Sechsten Buches Sozialgesetzbuch vergeben, gilt </w:t>
      </w:r>
      <w:hyperlink w:anchor="b248" w:history="1">
        <w:r>
          <w:rPr>
            <w:color w:val="0A3A8C"/>
            <w:u w:val="single"/>
          </w:rPr>
          <w:t xml:space="preserve">§ 90</w:t>
        </w:r>
      </w:hyperlink>
      <w:r>
        <w:t xml:space="preserve"> Absatz 1 Satz 2 und 3 entsprechend.</w:t>
      </w:r>
    </w:p>
    <w:p>
      <w:r>
        <w:t xml:space="preserve">(6) </w:t>
      </w:r>
      <w:r>
        <w:rPr>
          <w:rStyle w:val="Satznummer"/>
        </w:rPr>
        <w:t>1</w:t>
      </w:r>
      <w:r>
        <w:t>Für die Anwendung der Absätze 1 bis 5 stehen den in der inländischen gesetzlichen Rentenversicherung Pflichtversicherten nach Absatz 1 Satz 1 die Pflichtmitglieder in einem ausländischen gesetzlichen Alterssicherungssystem gleich, wenn diese Pflichtmitgliedschaft</w:t>
      </w:r>
    </w:p>
    <w:p>
      <w:pPr>
        <w:tabs>
          <w:tab w:pos="567" w:val="left"/>
        </w:tabs>
        <w:ind w:left="567" w:hanging="567"/>
      </w:pPr>
      <w:r>
        <w:t>1.</w:t>
      </w:r>
      <w:r>
        <w:tab/>
      </w:r>
      <w:r>
        <w:t>mit einer Pflichtmitgliedschaft in einem inländischen Alterssicherungssystem nach Absatz 1 Satz 1 oder 3 vergleichbar ist und</w:t>
      </w:r>
    </w:p>
    <w:p>
      <w:pPr>
        <w:tabs>
          <w:tab w:pos="567" w:val="left"/>
        </w:tabs>
        <w:ind w:left="567" w:hanging="567"/>
      </w:pPr>
      <w:r>
        <w:t>2.</w:t>
      </w:r>
      <w:r>
        <w:tab/>
      </w:r>
      <w:r>
        <w:t>vor dem 1. Januar 2010 begründet wurde.</w:t>
      </w:r>
    </w:p>
    <w:p>
      <w:r>
        <w:rPr>
          <w:rStyle w:val="Satznummer"/>
        </w:rPr>
        <w:t>2</w:t>
      </w:r>
      <w:r>
        <w:t>Für die Anwendung der Absätze 1 bis 5 stehen den Steuerpflichtigen nach Absatz 1 Satz 4 die Personen gleich,</w:t>
      </w:r>
    </w:p>
    <w:p>
      <w:pPr>
        <w:tabs>
          <w:tab w:pos="567" w:val="left"/>
        </w:tabs>
        <w:ind w:left="567" w:hanging="567"/>
      </w:pPr>
      <w:r>
        <w:t>1.</w:t>
      </w:r>
      <w:r>
        <w:tab/>
      </w:r>
      <w:r>
        <w:t>die aus einem ausländischen gesetzlichen Alterssicherungssystem eine Leistung erhalten, die den in Absatz 1 Satz 4 genannten Leistungen vergleichbar ist,</w:t>
      </w:r>
    </w:p>
    <w:p>
      <w:pPr>
        <w:tabs>
          <w:tab w:pos="567" w:val="left"/>
        </w:tabs>
        <w:ind w:left="567" w:hanging="567"/>
      </w:pPr>
      <w:r>
        <w:t>2.</w:t>
      </w:r>
      <w:r>
        <w:tab/>
      </w:r>
      <w:r>
        <w:t>die unmittelbar vor dem Bezug der entsprechenden Leistung nach Satz 1 oder Absatz 1 Satz 1 oder 3 begünstigt waren und</w:t>
      </w:r>
    </w:p>
    <w:p>
      <w:pPr>
        <w:tabs>
          <w:tab w:pos="567" w:val="left"/>
        </w:tabs>
        <w:ind w:left="567" w:hanging="567"/>
      </w:pPr>
      <w:r>
        <w:t>3.</w:t>
      </w:r>
      <w:r>
        <w:tab/>
      </w:r>
      <w:r>
        <w:t>die noch nicht das 67. Lebensjahr vollendet haben.</w:t>
      </w:r>
    </w:p>
    <w:p>
      <w:r>
        <w:rPr>
          <w:rStyle w:val="Satznummer"/>
        </w:rPr>
        <w:t>3</w:t>
      </w:r>
      <w:r>
        <w:t>Als Altersvorsorgebeiträge (</w:t>
      </w:r>
      <w:hyperlink w:anchor="b240" w:history="1">
        <w:r>
          <w:rPr>
            <w:color w:val="0A3A8C"/>
            <w:u w:val="single"/>
          </w:rPr>
          <w:t xml:space="preserve">§ 82</w:t>
        </w:r>
      </w:hyperlink>
      <w:r>
        <w:t xml:space="preserve">) sind bei den in Satz 1 oder 2 genannten Personen nur diejenigen Beiträge zu berücksichtigen, die vom Abzugsberechtigten zugunsten seines vor dem 1. Januar 2010 abgeschlossenen Vertrags geleistet wurden. </w:t>
      </w:r>
      <w:r>
        <w:rPr>
          <w:rStyle w:val="Satznummer"/>
        </w:rPr>
        <w:t>4</w:t>
      </w:r>
      <w:r>
        <w:t xml:space="preserve">Endet die unbeschränkte Steuerpflicht eines Zulageberechtigten im Sinne des Satzes 1 oder 2 durch Aufgabe des inländischen Wohnsitzes oder gewöhnlichen Aufenthalts und wird die Person nicht nach </w:t>
      </w:r>
      <w:hyperlink w:anchor="b1" w:history="1">
        <w:r>
          <w:rPr>
            <w:color w:val="0A3A8C"/>
            <w:u w:val="single"/>
          </w:rPr>
          <w:t xml:space="preserve">§ 1</w:t>
        </w:r>
      </w:hyperlink>
      <w:r>
        <w:t xml:space="preserve"> Absatz 3 als unbeschränkt einkommensteuerpflichtig behandelt, so gelten die </w:t>
      </w:r>
      <w:hyperlink w:anchor="b253" w:history="1">
        <w:r>
          <w:rPr>
            <w:color w:val="0A3A8C"/>
            <w:u w:val="single"/>
          </w:rPr>
          <w:t xml:space="preserve">§§ 93</w:t>
        </w:r>
      </w:hyperlink>
      <w:r>
        <w:t xml:space="preserve"> und </w:t>
      </w:r>
      <w:hyperlink w:anchor="b254" w:history="1">
        <w:r>
          <w:rPr>
            <w:color w:val="0A3A8C"/>
            <w:u w:val="single"/>
          </w:rPr>
          <w:t xml:space="preserve">94</w:t>
        </w:r>
      </w:hyperlink>
      <w:r>
        <w:t xml:space="preserve"> entsprechend; § 99 Absatz 1 in der am 31. Dezember 2008 geltenden Fassung ist anzuwenden.</w:t>
      </w:r>
    </w:p>
    <w:p>
      <w:r>
        <w:t xml:space="preserve">(7) Soweit nichts anderes bestimmt ist, sind die Regelungen des </w:t>
      </w:r>
      <w:hyperlink w:anchor="b52" w:history="1">
        <w:r>
          <w:rPr>
            <w:color w:val="0A3A8C"/>
            <w:u w:val="single"/>
          </w:rPr>
          <w:t xml:space="preserve">§ 10a</w:t>
        </w:r>
      </w:hyperlink>
      <w:r>
        <w:t xml:space="preserve"> und des Abschnitts XI in der für das jeweilige Beitragsjahr geltenden Fassung anzuwenden.</w:t>
      </w:r>
    </w:p>
    <w:p>
      <w:pPr>
        <w:pStyle w:val="Heading3"/>
      </w:pPr>
      <w:bookmarkStart w:id="54" w:name="b53"/>
      <w:r>
        <w:t>§ 10b Steuerbegünstigte Zwecke</w:t>
      </w:r>
      <w:r>
        <w:t xml:space="preserve"> </w:t>
      </w:r>
      <w:r>
        <w:rPr>
          <w:rStyle w:val="Suchmarke"/>
        </w:rPr>
        <w:t>#10b#</w:t>
      </w:r>
      <w:bookmarkEnd w:id="54"/>
    </w:p>
    <w:p>
      <w:r>
        <w:t xml:space="preserve">(1) </w:t>
      </w:r>
      <w:r>
        <w:rPr>
          <w:rStyle w:val="Satznummer"/>
        </w:rPr>
        <w:t>1</w:t>
      </w:r>
      <w:r>
        <w:t>Zuwendungen (Spenden und Mitgliedsbeiträge) zur Förderung steuerbegünstigter Zwecke im Sinne der §§ 52 bis 54 der Abgabenordnung können insgesamt bis zu</w:t>
      </w:r>
    </w:p>
    <w:p>
      <w:pPr>
        <w:tabs>
          <w:tab w:pos="567" w:val="left"/>
        </w:tabs>
        <w:ind w:left="567" w:hanging="567"/>
      </w:pPr>
      <w:r>
        <w:t>1.</w:t>
      </w:r>
      <w:r>
        <w:tab/>
      </w:r>
      <w:r>
        <w:t>20 Prozent des Gesamtbetrags der Einkünfte oder</w:t>
      </w:r>
    </w:p>
    <w:p>
      <w:pPr>
        <w:tabs>
          <w:tab w:pos="567" w:val="left"/>
        </w:tabs>
        <w:ind w:left="567" w:hanging="567"/>
      </w:pPr>
      <w:r>
        <w:t>2.</w:t>
      </w:r>
      <w:r>
        <w:tab/>
      </w:r>
      <w:r>
        <w:t>4 Promille der Summe der gesamten Umsätze und der im Kalenderjahr aufgewendeten Löhne und Gehälter</w:t>
      </w:r>
    </w:p>
    <w:p>
      <w:r>
        <w:t xml:space="preserve">als Sonderausgaben abgezogen werden. </w:t>
      </w:r>
      <w:r>
        <w:rPr>
          <w:rStyle w:val="Satznummer"/>
        </w:rPr>
        <w:t>2</w:t>
      </w:r>
      <w:r>
        <w:t>Voraussetzung für den Abzug ist, dass diese Zuwendungen</w:t>
      </w:r>
    </w:p>
    <w:p>
      <w:pPr>
        <w:tabs>
          <w:tab w:pos="567" w:val="left"/>
        </w:tabs>
        <w:ind w:left="567" w:hanging="567"/>
      </w:pPr>
      <w:r>
        <w:t>1.</w:t>
      </w:r>
      <w:r>
        <w:tab/>
      </w:r>
      <w:r>
        <w:t>an eine juristische Person des öffentlichen Rechts oder an eine öffentliche Dienststelle, die in einem Mitgliedstaat der Europäischen Union oder in einem Staat belegen ist, auf den das Abkommen über den Europäischen Wirtschaftsraum (EWR-Abkommen) Anwendung findet, oder</w:t>
      </w:r>
    </w:p>
    <w:p>
      <w:pPr>
        <w:tabs>
          <w:tab w:pos="567" w:val="left"/>
        </w:tabs>
        <w:ind w:left="567" w:hanging="567"/>
      </w:pPr>
      <w:r>
        <w:t>2.</w:t>
      </w:r>
      <w:r>
        <w:tab/>
      </w:r>
      <w:r>
        <w:t>an eine nach § 5 Absatz 1 Nummer 9 des Körperschaftsteuergesetzes steuerbefreite Körperschaft, Personenvereinigung oder Vermögensmasse oder</w:t>
      </w:r>
    </w:p>
    <w:p>
      <w:pPr>
        <w:tabs>
          <w:tab w:pos="567" w:val="left"/>
        </w:tabs>
        <w:ind w:left="567" w:hanging="567"/>
      </w:pPr>
      <w:r>
        <w:t>3.</w:t>
      </w:r>
      <w:r>
        <w:tab/>
      </w:r>
      <w:r>
        <w:t xml:space="preserve">an eine Körperschaft, Personenvereinigung oder Vermögensmasse, die in einem Mitgliedstaat der Europäischen Union oder in einem Staat belegen ist, auf den das Abkommen über den Europäischen Wirtschaftsraum (EWR-Abkommen) Anwendung findet, und die nach § 5 Absatz 1 Nummer 9 des Körperschaftsteuergesetzes in Verbindung mit </w:t>
      </w:r>
      <w:hyperlink w:anchor="b25" w:history="1">
        <w:r>
          <w:rPr>
            <w:color w:val="0A3A8C"/>
            <w:u w:val="single"/>
          </w:rPr>
          <w:t xml:space="preserve">§ 5</w:t>
        </w:r>
      </w:hyperlink>
      <w:r>
        <w:t xml:space="preserve"> Absatz 2 Nummer 2 zweiter Halbsatz des Körperschaftsteuergesetzes steuerbefreit wäre, wenn sie inländische Einkünfte erzielen würde,</w:t>
      </w:r>
    </w:p>
    <w:p>
      <w:r>
        <w:t xml:space="preserve">geleistet werden. </w:t>
      </w:r>
      <w:r>
        <w:rPr>
          <w:rStyle w:val="Satznummer"/>
        </w:rPr>
        <w:t>3</w:t>
      </w:r>
      <w:r>
        <w:t xml:space="preserve">Für nicht im Inland ansässige Zuwendungsempfänger nach Satz 2 ist weitere Voraussetzung, dass durch diese Staaten Amtshilfe und Unterstützung bei der Beitreibung geleistet werden. </w:t>
      </w:r>
      <w:r>
        <w:rPr>
          <w:rStyle w:val="Satznummer"/>
        </w:rPr>
        <w:t>4</w:t>
      </w:r>
      <w:r>
        <w:t xml:space="preserve">Amtshilfe ist der Auskunftsaustausch im Sinne oder entsprechend der Amtshilferichtlinie gemäß § 2 Absatz 2 des EU-Amtshilfegesetzes. </w:t>
      </w:r>
      <w:r>
        <w:rPr>
          <w:rStyle w:val="Satznummer"/>
        </w:rPr>
        <w:t>5</w:t>
      </w:r>
      <w:r>
        <w:t xml:space="preserve">Beitreibung ist die gegenseitige Unterstützung bei der Beitreibung von Forderungen im Sinne oder entsprechend der Beitreibungsrichtlinie einschließlich der in diesem Zusammenhang anzuwendenden Durchführungsbestimmungen in den für den jeweiligen Veranlagungszeitraum geltenden Fassungen oder eines entsprechenden Nachfolgerechtsaktes. </w:t>
      </w:r>
      <w:r>
        <w:rPr>
          <w:rStyle w:val="Satznummer"/>
        </w:rPr>
        <w:t>6</w:t>
      </w:r>
      <w:r>
        <w:t xml:space="preserve">Werden die steuerbegünstigten Zwecke des Zuwendungsempfängers im Sinne von Satz 2 Nummer 1 nur im Ausland verwirklicht, ist für den Sonderausgabenabzug Voraussetzung, dass natürliche Personen, die ihren Wohnsitz oder ihren gewöhnlichen Aufenthalt im Geltungsbereich dieses Gesetzes haben, gefördert werden oder dass die Tätigkeit dieses Zuwendungsempfängers neben der Verwirklichung der steuerbegünstigten Zwecke auch zum Ansehen der Bundesrepublik Deutschland beitragen kann. </w:t>
      </w:r>
      <w:r>
        <w:rPr>
          <w:rStyle w:val="Satznummer"/>
        </w:rPr>
        <w:t>7</w:t>
      </w:r>
      <w:r>
        <w:t xml:space="preserve">Abziehbar sind auch Mitgliedsbeiträge an Körperschaften, die Kunst und Kultur gemäß § 52 Absatz 2 Satz 1 Nummer 5 der Abgabenordnung fördern, soweit es sich nicht um Mitgliedsbeiträge nach Satz 8 Nummer 2 handelt, auch wenn den Mitgliedern Vergünstigungen gewährt werden. </w:t>
      </w:r>
      <w:r>
        <w:rPr>
          <w:rStyle w:val="Satznummer"/>
        </w:rPr>
        <w:t>8</w:t>
      </w:r>
      <w:r>
        <w:t>Nicht abziehbar sind Mitgliedsbeiträge an Körperschaften,</w:t>
      </w:r>
    </w:p>
    <w:p>
      <w:pPr>
        <w:tabs>
          <w:tab w:pos="567" w:val="left"/>
        </w:tabs>
        <w:ind w:left="567" w:hanging="567"/>
      </w:pPr>
      <w:r>
        <w:t>1.</w:t>
      </w:r>
      <w:r>
        <w:tab/>
      </w:r>
      <w:r>
        <w:t>die den Sport (§ 52 Absatz 2 Satz 1 Nummer 21 der Abgabenordnung),</w:t>
      </w:r>
    </w:p>
    <w:p>
      <w:pPr>
        <w:tabs>
          <w:tab w:pos="567" w:val="left"/>
        </w:tabs>
        <w:ind w:left="567" w:hanging="567"/>
      </w:pPr>
      <w:r>
        <w:t>2.</w:t>
      </w:r>
      <w:r>
        <w:tab/>
      </w:r>
      <w:r>
        <w:t>die kulturelle Betätigungen, die in erster Linie der Freizeitgestaltung dienen,</w:t>
      </w:r>
    </w:p>
    <w:p>
      <w:pPr>
        <w:tabs>
          <w:tab w:pos="567" w:val="left"/>
        </w:tabs>
        <w:ind w:left="567" w:hanging="567"/>
      </w:pPr>
      <w:r>
        <w:t>3.</w:t>
      </w:r>
      <w:r>
        <w:tab/>
      </w:r>
      <w:r>
        <w:t>die Heimatpflege und Heimatkunde (§ 52 Absatz 2 Satz 1 Nummer 22 der Abgabenordnung),</w:t>
      </w:r>
    </w:p>
    <w:p>
      <w:pPr>
        <w:tabs>
          <w:tab w:pos="567" w:val="left"/>
        </w:tabs>
        <w:ind w:left="567" w:hanging="567"/>
      </w:pPr>
      <w:r>
        <w:t>4.</w:t>
      </w:r>
      <w:r>
        <w:tab/>
      </w:r>
      <w:r>
        <w:t>die Zwecke im Sinne des § 52 Absatz 2 Satz 1 Nummer 23 der Abgabenordnung</w:t>
      </w:r>
    </w:p>
    <w:p>
      <w:r>
        <w:t>fördern oder</w:t>
      </w:r>
    </w:p>
    <w:p>
      <w:pPr>
        <w:tabs>
          <w:tab w:pos="567" w:val="left"/>
        </w:tabs>
        <w:ind w:left="567" w:hanging="567"/>
      </w:pPr>
      <w:r>
        <w:t>5.</w:t>
      </w:r>
      <w:r>
        <w:tab/>
      </w:r>
      <w:r>
        <w:t>deren Zweck nach § 52 Absatz 2 Satz 2 der Abgabenordnung für gemeinnützig erklärt worden ist, weil deren Zweck die Allgemeinheit auf materiellem, geistigem oder sittlichem Gebiet entsprechend einem Zweck nach den Nummern 1 bis 4 fördert.</w:t>
      </w:r>
    </w:p>
    <w:p>
      <w:r>
        <w:rPr>
          <w:rStyle w:val="Satznummer"/>
        </w:rPr>
        <w:t>9</w:t>
      </w:r>
      <w:r>
        <w:t xml:space="preserve">Abziehbare Zuwendungen, die die Höchstbeträge nach Satz 1 überschreiten oder die den um die Beträge nach </w:t>
      </w:r>
      <w:hyperlink w:anchor="b51" w:history="1">
        <w:r>
          <w:rPr>
            <w:color w:val="0A3A8C"/>
            <w:u w:val="single"/>
          </w:rPr>
          <w:t xml:space="preserve">§ 10</w:t>
        </w:r>
      </w:hyperlink>
      <w:r>
        <w:t xml:space="preserve"> Absatz 3 und 4, </w:t>
      </w:r>
      <w:hyperlink w:anchor="b54" w:history="1">
        <w:r>
          <w:rPr>
            <w:color w:val="0A3A8C"/>
            <w:u w:val="single"/>
          </w:rPr>
          <w:t xml:space="preserve">§ 10c</w:t>
        </w:r>
      </w:hyperlink>
      <w:r>
        <w:t xml:space="preserve"> und </w:t>
      </w:r>
      <w:hyperlink w:anchor="b55" w:history="1">
        <w:r>
          <w:rPr>
            <w:color w:val="0A3A8C"/>
            <w:u w:val="single"/>
          </w:rPr>
          <w:t xml:space="preserve">§ 10d</w:t>
        </w:r>
      </w:hyperlink>
      <w:r>
        <w:t xml:space="preserve"> verminderten Gesamtbetrag der Einkünfte übersteigen, sind im Rahmen der Höchstbeträge in den folgenden Veranlagungszeiträumen als Sonderausgaben abzuziehen. </w:t>
      </w:r>
      <w:r>
        <w:rPr>
          <w:rStyle w:val="Satznummer"/>
        </w:rPr>
        <w:t>10</w:t>
      </w:r>
      <w:hyperlink w:anchor="b55" w:history="1">
        <w:r>
          <w:rPr>
            <w:color w:val="0A3A8C"/>
            <w:u w:val="single"/>
          </w:rPr>
          <w:t xml:space="preserve">§ 10d</w:t>
        </w:r>
      </w:hyperlink>
      <w:r>
        <w:t xml:space="preserve"> Absatz 4 gilt entsprechend.</w:t>
      </w:r>
    </w:p>
    <w:p>
      <w:r>
        <w:t xml:space="preserve">(1a) </w:t>
      </w:r>
      <w:r>
        <w:rPr>
          <w:rStyle w:val="Satznummer"/>
        </w:rPr>
        <w:t>1</w:t>
      </w:r>
      <w:r>
        <w:t xml:space="preserve">Spenden zur Förderung steuerbegünstigter Zwecke im Sinne der §§ 52 bis 54 der Abgabenordnung in das zu erhaltende Vermögen (Vermögensstock) einer Stiftung, welche die Voraussetzungen des Absatzes 1 Satz 2 bis 6 erfüllt, können auf Antrag des Steuerpflichtigen im Veranlagungszeitraum der Zuwendung und in den folgenden neun Veranlagungszeiträumen bis zu einem Gesamtbetrag von 1 Million Euro,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veranlagt werden, bis zu einem Gesamtbetrag von 2 Millionen Euro, zusätzlich zu den Höchstbeträgen nach Absatz 1 Satz 1 abgezogen werden. </w:t>
      </w:r>
      <w:r>
        <w:rPr>
          <w:rStyle w:val="Satznummer"/>
        </w:rPr>
        <w:t>2</w:t>
      </w:r>
      <w:r>
        <w:t xml:space="preserve">Nicht abzugsfähig nach Satz 1 sind Spenden in das verbrauchbare Vermögen einer Stiftung. </w:t>
      </w:r>
      <w:r>
        <w:rPr>
          <w:rStyle w:val="Satznummer"/>
        </w:rPr>
        <w:t>3</w:t>
      </w:r>
      <w:r>
        <w:t xml:space="preserve">Der besondere Abzugsbetrag nach Satz 1 bezieht sich auf den gesamten Zehnjahreszeitraum und kann der Höhe nach innerhalb dieses Zeitraums nur einmal in Anspruch genommen werden. </w:t>
      </w:r>
      <w:r>
        <w:rPr>
          <w:rStyle w:val="Satznummer"/>
        </w:rPr>
        <w:t>4</w:t>
      </w:r>
      <w:hyperlink w:anchor="b55" w:history="1">
        <w:r>
          <w:rPr>
            <w:color w:val="0A3A8C"/>
            <w:u w:val="single"/>
          </w:rPr>
          <w:t xml:space="preserve">§ 10d</w:t>
        </w:r>
      </w:hyperlink>
      <w:r>
        <w:t xml:space="preserve"> Absatz 4 gilt entsprechend.</w:t>
      </w:r>
    </w:p>
    <w:p>
      <w:r>
        <w:t xml:space="preserve">(2) </w:t>
      </w:r>
      <w:r>
        <w:rPr>
          <w:rStyle w:val="Satznummer"/>
        </w:rPr>
        <w:t>1</w:t>
      </w:r>
      <w:r>
        <w:t xml:space="preserve">Zuwendungen an politische Parteien im Sinne des § 2 des Parteiengesetzes sind, sofern die jeweilige Partei nicht gemäß § 18 Absatz 7 des Parteiengesetzes von der staatlichen Teilfinanzierung ausgeschlossen ist, bis zur Höhe von insgesamt 3 300 Euro und im Fall der Zusammenveranlagung von Ehegatten bis zur Höhe von insgesamt 6 600 Euro im Kalenderjahr abzugsfähig. </w:t>
      </w:r>
      <w:r>
        <w:rPr>
          <w:rStyle w:val="Satznummer"/>
        </w:rPr>
        <w:t>2</w:t>
      </w:r>
      <w:r>
        <w:t xml:space="preserve">Sie können nur insoweit als Sonderausgaben abgezogen werden, als für sie nicht eine Steuerermäßigung nach </w:t>
      </w:r>
      <w:hyperlink w:anchor="b127" w:history="1">
        <w:r>
          <w:rPr>
            <w:color w:val="0A3A8C"/>
            <w:u w:val="single"/>
          </w:rPr>
          <w:t xml:space="preserve">§ 34g</w:t>
        </w:r>
      </w:hyperlink>
      <w:r>
        <w:t xml:space="preserve"> gewährt worden ist.</w:t>
      </w:r>
    </w:p>
    <w:p>
      <w:r>
        <w:t xml:space="preserve">(3) </w:t>
      </w:r>
      <w:r>
        <w:rPr>
          <w:rStyle w:val="Satznummer"/>
        </w:rPr>
        <w:t>1</w:t>
      </w:r>
      <w:r>
        <w:t xml:space="preserve">Als Zuwendung im Sinne dieser Vorschrift gilt auch die Zuwendung von Wirtschaftsgütern mit Ausnahme von Nutzungen und Leistungen. </w:t>
      </w:r>
      <w:r>
        <w:rPr>
          <w:rStyle w:val="Satznummer"/>
        </w:rPr>
        <w:t>2</w:t>
      </w:r>
      <w:r>
        <w:t xml:space="preserve">Ist das Wirtschaftsgut unmittelbar vor seiner Zuwendung einem Betriebsvermögen entnommen worden, so bemisst sich die Zuwendungshöhe nach dem Wert, der bei der Entnahme angesetzt wurde und nach der Umsatzsteuer, die auf die Entnahme entfällt. </w:t>
      </w:r>
      <w:r>
        <w:rPr>
          <w:rStyle w:val="Satznummer"/>
        </w:rPr>
        <w:t>3</w:t>
      </w:r>
      <w:r>
        <w:t xml:space="preserve">Ansonsten bestimmt sich die Höhe der Zuwendung nach dem gemeinen Wert des zugewendeten Wirtschaftsguts, wenn dessen Veräußerung im Zeitpunkt der Zuwendung keinen Besteuerungstatbestand erfüllen würde. </w:t>
      </w:r>
      <w:r>
        <w:rPr>
          <w:rStyle w:val="Satznummer"/>
        </w:rPr>
        <w:t>4</w:t>
      </w:r>
      <w:r>
        <w:t xml:space="preserve">In allen übrigen Fällen dürfen bei der Ermittlung der Zuwendungshöhe die fortgeführten Anschaffungs- oder Herstellungskosten nur überschritten werden, soweit eine Gewinnrealisierung stattgefunden hat. </w:t>
      </w:r>
      <w:r>
        <w:rPr>
          <w:rStyle w:val="Satznummer"/>
        </w:rPr>
        <w:t>5</w:t>
      </w:r>
      <w:r>
        <w:t xml:space="preserve">Aufwendungen zugunsten einer Körperschaft, die zum Empfang steuerlich abziehbarer Zuwendungen berechtigt ist, können nur abgezogen werden, wenn ein Anspruch auf die Erstattung der Aufwendungen durch Vertrag oder Satzung eingeräumt und auf die Erstattung verzichtet worden ist. </w:t>
      </w:r>
      <w:r>
        <w:rPr>
          <w:rStyle w:val="Satznummer"/>
        </w:rPr>
        <w:t>6</w:t>
      </w:r>
      <w:r>
        <w:t>Der Anspruch darf nicht unter der Bedingung des Verzichts eingeräumt worden sein.</w:t>
      </w:r>
    </w:p>
    <w:p>
      <w:r>
        <w:t xml:space="preserve">(4) </w:t>
      </w:r>
      <w:r>
        <w:rPr>
          <w:rStyle w:val="Satznummer"/>
        </w:rPr>
        <w:t>1</w:t>
      </w:r>
      <w:r>
        <w:t xml:space="preserve">Der Steuerpflichtige darf auf die Richtigkeit der Bestätigung über Spenden und Mitgliedsbeiträge vertrauen, es sei denn, dass er die Bestätigung durch unlautere Mittel oder falsche Angaben erwirkt hat oder dass ihm die Unrichtigkeit der Bestätigung bekannt oder infolge grober Fahrlässigkeit nicht bekannt war. </w:t>
      </w:r>
      <w:r>
        <w:rPr>
          <w:rStyle w:val="Satznummer"/>
        </w:rPr>
        <w:t>2</w:t>
      </w:r>
      <w:r>
        <w:t xml:space="preserve">Wer vorsätzlich oder grob fahrlässig eine unrichtige Bestätigung ausstellt oder veranlasst, dass Zuwendungen nicht zu den in der Bestätigung angegebenen steuerbegünstigten Zwecken verwendet werden, haftet für die entgangene Steuer. </w:t>
      </w:r>
      <w:r>
        <w:rPr>
          <w:rStyle w:val="Satznummer"/>
        </w:rPr>
        <w:t>3</w:t>
      </w:r>
      <w:r>
        <w:t xml:space="preserve">Diese ist mit 30 Prozent des zugewendeten Betrags anzusetzen. </w:t>
      </w:r>
      <w:r>
        <w:rPr>
          <w:rStyle w:val="Satznummer"/>
        </w:rPr>
        <w:t>4</w:t>
      </w:r>
      <w:r>
        <w:t xml:space="preserve">In den Fällen des Satzes 2 zweite Alternative (Veranlasserhaftung) ist vorrangig der Zuwendungsempfänger in Anspruch zu nehmen; die in diesen Fällen für den Zuwendungsempfänger handelnden natürlichen Personen sind nur in Anspruch zu nehmen, wenn die entgangene Steuer nicht nach § 47 der Abgabenordnung erloschen ist und Vollstreckungsmaßnahmen gegen den Zuwendungsempfänger nicht erfolgreich sind. </w:t>
      </w:r>
      <w:r>
        <w:rPr>
          <w:rStyle w:val="Satznummer"/>
        </w:rPr>
        <w:t>5</w:t>
      </w:r>
      <w:r>
        <w:t>Die Festsetzungsfrist für Haftungsansprüche nach Satz 2 läuft nicht ab, solange die Festsetzungsfrist für von dem Empfänger der Zuwendung geschuldete Körperschaftsteuer für den Veranlagungszeitraum nicht abgelaufen ist, in dem die unrichtige Bestätigung ausgestellt worden ist oder veranlasst wurde, dass die Zuwendung nicht zu den in der Bestätigung angegebenen steuerbegünstigten Zwecken verwendet worden ist; § 191 Absatz 5 der Abgabenordnung ist nicht anzuwenden.</w:t>
      </w:r>
    </w:p>
    <w:p>
      <w:pPr>
        <w:pStyle w:val="Heading3"/>
      </w:pPr>
      <w:bookmarkStart w:id="55" w:name="b54"/>
      <w:r>
        <w:t>§ 10c Sonderausgaben-Pauschbetrag</w:t>
      </w:r>
      <w:r>
        <w:t xml:space="preserve"> </w:t>
      </w:r>
      <w:r>
        <w:rPr>
          <w:rStyle w:val="Suchmarke"/>
        </w:rPr>
        <w:t>#10c#</w:t>
      </w:r>
      <w:bookmarkEnd w:id="55"/>
    </w:p>
    <w:p>
      <w:r>
        <w:rPr>
          <w:rStyle w:val="Satznummer"/>
        </w:rPr>
        <w:t>1</w:t>
      </w:r>
      <w:r>
        <w:t xml:space="preserve">Für Sonderausgaben nach </w:t>
      </w:r>
      <w:hyperlink w:anchor="b51" w:history="1">
        <w:r>
          <w:rPr>
            <w:color w:val="0A3A8C"/>
            <w:u w:val="single"/>
          </w:rPr>
          <w:t xml:space="preserve">§ 10</w:t>
        </w:r>
      </w:hyperlink>
      <w:r>
        <w:t xml:space="preserve"> Absatz 1 Nummer 4, 5, 7 und 9 sowie Absatz 1a und nach </w:t>
      </w:r>
      <w:hyperlink w:anchor="b53" w:history="1">
        <w:r>
          <w:rPr>
            <w:color w:val="0A3A8C"/>
            <w:u w:val="single"/>
          </w:rPr>
          <w:t xml:space="preserve">§ 10b</w:t>
        </w:r>
      </w:hyperlink>
      <w:r>
        <w:t xml:space="preserve"> wird ein Pauschbetrag von 36 Euro abgezogen (Sonderausgaben-Pauschbetrag), wenn der Steuerpflichtige nicht höhere Aufwendungen nachweist. </w:t>
      </w:r>
      <w:r>
        <w:rPr>
          <w:rStyle w:val="Satznummer"/>
        </w:rPr>
        <w:t>2</w:t>
      </w:r>
      <w:r>
        <w:t>Im Fall der Zusammenveranlagung von Ehegatten verdoppelt sich der Sonderausgaben-Pauschbetrag.</w:t>
      </w:r>
    </w:p>
    <w:p>
      <w:pPr>
        <w:pStyle w:val="Heading3"/>
      </w:pPr>
      <w:bookmarkStart w:id="56" w:name="b55"/>
      <w:r>
        <w:t>§ 10d Verlustabzug</w:t>
      </w:r>
      <w:r>
        <w:t xml:space="preserve"> </w:t>
      </w:r>
      <w:r>
        <w:rPr>
          <w:rStyle w:val="Suchmarke"/>
        </w:rPr>
        <w:t>#10d#</w:t>
      </w:r>
      <w:bookmarkEnd w:id="56"/>
    </w:p>
    <w:p>
      <w:r>
        <w:t xml:space="preserve">(1) </w:t>
      </w:r>
      <w:r>
        <w:rPr>
          <w:rStyle w:val="Satznummer"/>
        </w:rPr>
        <w:t>1</w:t>
      </w:r>
      <w:r>
        <w:t xml:space="preserve">Negative Einkünfte, die bei der Ermittlung des Gesamtbetrags der Einkünfte nicht ausgeglichen werden, sind bis zu einem Betrag von 1 000 000 Euro,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zusammenveranlagt werden, bis zu einem Betrag von 2 000 000 Euro vom Gesamtbetrag der Einkünfte des unmittelbar vorangegangenen Veranlagungszeitraums vorrangig vor Sonderausgaben, außergewöhnlichen Belastungen und sonstigen Abzugsbeträgen abzuziehen (Verlustrücktrag). </w:t>
      </w:r>
      <w:r>
        <w:rPr>
          <w:rStyle w:val="Satznummer"/>
        </w:rPr>
        <w:t>2</w:t>
      </w:r>
      <w:r>
        <w:t xml:space="preserve">Soweit ein Ausgleich der negativen Einkünfte nach Satz 1 nicht möglich ist, sind diese vom Gesamtbetrag der Einkünfte des zweiten dem Veranlagungszeitraum vorangegangenen Veranlagungszeitraums vorrangig vor Sonderausgaben, außergewöhnlichen Belastungen und sonstigen Abzugsbeträgen abzuziehen. </w:t>
      </w:r>
      <w:r>
        <w:rPr>
          <w:rStyle w:val="Satznummer"/>
        </w:rPr>
        <w:t>3</w:t>
      </w:r>
      <w:r>
        <w:t xml:space="preserve">Dabei wird der Gesamtbetrag der Einkünfte des unmittelbar vorangegangenen Veranlagungszeitraums und des zweiten dem Veranlagungszeitraum vorangegangenen Veranlagungszeitraums um die Begünstigungsbeträge nach </w:t>
      </w:r>
      <w:hyperlink w:anchor="b116" w:history="1">
        <w:r>
          <w:rPr>
            <w:color w:val="0A3A8C"/>
            <w:u w:val="single"/>
          </w:rPr>
          <w:t xml:space="preserve">§ 34a</w:t>
        </w:r>
      </w:hyperlink>
      <w:r>
        <w:t xml:space="preserve"> Absatz 3 Satz 1 gemindert. </w:t>
      </w:r>
      <w:r>
        <w:rPr>
          <w:rStyle w:val="Satznummer"/>
        </w:rPr>
        <w:t>4</w:t>
      </w:r>
      <w:r>
        <w:t xml:space="preserve">Ist für den unmittelbar vorangegangenen Veranlagungszeitraum oder den zweiten dem Veranlagungszeitraum vorangegangenen Veranlagungszeitraum bereits ein Steuerbescheid erlassen worden, so ist er insoweit zu ändern, als der Verlustrücktrag zu gewähren oder zu berichtigen ist. </w:t>
      </w:r>
      <w:r>
        <w:rPr>
          <w:rStyle w:val="Satznummer"/>
        </w:rPr>
        <w:t>5</w:t>
      </w:r>
      <w:r>
        <w:t xml:space="preserve">Das gilt auch dann, wenn der Steuerbescheid unanfechtbar geworden ist; die Festsetzungsfrist endet insoweit nicht, bevor die Festsetzungsfrist für den Veranlagungszeitraum abgelaufen ist, in dem die negativen Einkünfte nicht ausgeglichen werden. </w:t>
      </w:r>
      <w:r>
        <w:rPr>
          <w:rStyle w:val="Satznummer"/>
        </w:rPr>
        <w:t>6</w:t>
      </w:r>
      <w:r>
        <w:t>Auf Antrag des Steuerpflichtigen ist von der Anwendung des Verlustrücktrags nach den Sätzen 1 und 2 insgesamt abzusehen.</w:t>
      </w:r>
    </w:p>
    <w:p>
      <w:r>
        <w:t xml:space="preserve">(2) </w:t>
      </w:r>
      <w:r>
        <w:rPr>
          <w:rStyle w:val="Satznummer"/>
        </w:rPr>
        <w:t>1</w:t>
      </w:r>
      <w:r>
        <w:t xml:space="preserve">Nicht ausgeglichene negative Einkünfte, die nicht nach Absatz 1 abgezogen worden sind, sind in den folgenden Veranlagungszeiträumen bis zu einem Gesamtbetrag der Einkünfte von 1 Million Euro unbeschränkt, darüber hinaus bis zu 70 Prozent des 1 Million Euro übersteigenden Gesamtbetrags der Einkünfte vorrangig vor Sonderausgaben, außergewöhnlichen Belastungen und sonstigen Abzugsbeträgen abzuziehen (Verlustvortrag). </w:t>
      </w:r>
      <w:r>
        <w:rPr>
          <w:rStyle w:val="Satznummer"/>
        </w:rPr>
        <w:t>2</w:t>
      </w:r>
      <w:r>
        <w:t xml:space="preserve">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zusammenveranlagt werden, tritt an die Stelle des Betrags von 1 Million Euro ein Betrag von 2 Millionen Euro. </w:t>
      </w:r>
      <w:r>
        <w:rPr>
          <w:rStyle w:val="Satznummer"/>
        </w:rPr>
        <w:t>3</w:t>
      </w:r>
      <w:r>
        <w:t>Der Abzug ist nur insoweit zulässig, als die Verluste nicht nach Absatz 1 abgezogen worden sind und in den vorangegangenen Veranlagungszeiträumen nicht nach Satz 1 und 2 abgezogen werden konnten.</w:t>
      </w:r>
    </w:p>
    <w:p>
      <w:r>
        <w:t>(3) (weggefallen)</w:t>
      </w:r>
    </w:p>
    <w:p>
      <w:r>
        <w:t xml:space="preserve">(4) </w:t>
      </w:r>
      <w:r>
        <w:rPr>
          <w:rStyle w:val="Satznummer"/>
        </w:rPr>
        <w:t>1</w:t>
      </w:r>
      <w:r>
        <w:t xml:space="preserve">Der am Schluss eines Veranlagungszeitraums verbleibende Verlustvortrag ist gesondert festzustellen. </w:t>
      </w:r>
      <w:r>
        <w:rPr>
          <w:rStyle w:val="Satznummer"/>
        </w:rPr>
        <w:t>2</w:t>
      </w:r>
      <w:r>
        <w:t xml:space="preserve">Verbleibender Verlustvortrag sind die bei der Ermittlung des Gesamtbetrags der Einkünfte nicht ausgeglichenen negativen Einkünfte, vermindert um die nach Absatz 1 abgezogenen und die nach Absatz 2 abziehbaren Beträge und vermehrt um den auf den Schluss des vorangegangenen Veranlagungszeitraums festgestellten verbleibenden Verlustvortrag. </w:t>
      </w:r>
      <w:r>
        <w:rPr>
          <w:rStyle w:val="Satznummer"/>
        </w:rPr>
        <w:t>3</w:t>
      </w:r>
      <w:r>
        <w:t xml:space="preserve">Zuständig für die Feststellung ist das für die Besteuerung zuständige Finanzamt. </w:t>
      </w:r>
      <w:r>
        <w:rPr>
          <w:rStyle w:val="Satznummer"/>
        </w:rPr>
        <w:t>4</w:t>
      </w:r>
      <w:r>
        <w:t xml:space="preserve">Bei der Feststellung des verbleibenden Verlustvortrags sind die Besteuerungsgrundlagen so zu berücksichtigen, wie sie den Steuerfestsetzungen des Veranlagungszeitraums, auf dessen Schluss der verbleibende Verlustvortrag festgestellt wird, und des Veranlagungszeitraums, in dem ein Verlustrücktrag vorgenommen werden kann, zu Grunde gelegt worden sind; § 171 Absatz 10, § 175 Absatz 1 Satz 1 Nummer 1 und § 351 Absatz 2 der Abgabenordnung sowie § 42 der Finanzgerichtsordnung gelten entsprechend. </w:t>
      </w:r>
      <w:r>
        <w:rPr>
          <w:rStyle w:val="Satznummer"/>
        </w:rPr>
        <w:t>5</w:t>
      </w:r>
      <w:r>
        <w:t xml:space="preserve">Die Besteuerungsgrundlagen dürfen bei der Feststellung nur insoweit abweichend von Satz 4 berücksichtigt werden, wie die Aufhebung, Änderung oder Berichtigung der Steuerbescheide ausschließlich mangels Auswirkung auf die Höhe der festzusetzenden Steuer unterbleibt. </w:t>
      </w:r>
      <w:r>
        <w:rPr>
          <w:rStyle w:val="Satznummer"/>
        </w:rPr>
        <w:t>6</w:t>
      </w:r>
      <w:r>
        <w:t>Die Feststellungsfrist endet nicht, bevor die Festsetzungsfrist für den Veranlagungszeitraum abgelaufen ist, auf dessen Schluss der verbleibende Verlustvortrag gesondert festzustellen ist; § 181 Absatz 5 der Abgabenordnung ist nur anzuwenden, wenn die zuständige Finanzbehörde die Feststellung des Verlustvortrags pflichtwidrig unterlassen hat.</w:t>
      </w:r>
    </w:p>
    <w:p>
      <w:pPr>
        <w:pStyle w:val="Heading3"/>
      </w:pPr>
      <w:bookmarkStart w:id="57" w:name="b56"/>
      <w:r>
        <w:t>§ 10e Steuerbegünstigung der zu eigenen Wohnzwecken genutzten Wohnung im eigenen Haus</w:t>
      </w:r>
      <w:r>
        <w:t xml:space="preserve"> </w:t>
      </w:r>
      <w:r>
        <w:rPr>
          <w:rStyle w:val="Suchmarke"/>
        </w:rPr>
        <w:t>#10e#</w:t>
      </w:r>
      <w:bookmarkEnd w:id="57"/>
    </w:p>
    <w:p>
      <w:r>
        <w:t xml:space="preserve">(1) </w:t>
      </w:r>
      <w:r>
        <w:rPr>
          <w:rStyle w:val="Satznummer"/>
        </w:rPr>
        <w:t>1</w:t>
      </w:r>
      <w:r>
        <w:t xml:space="preserve">Der Steuerpflichtige kann von den Herstellungskosten einer Wohnung in einem im Inland belegenen eigenen Haus oder einer im Inland belegenen eigenen Eigentumswohnung zuzüglich der Hälfte der Anschaffungskosten für den dazugehörenden Grund und Boden (Bemessungsgrundlage) im Jahr der Fertigstellung und in den drei folgenden Jahren jeweils bis zu 6 Prozent, höchstens jeweils 10 124 Euro, und in den vier darauffolgenden Jahren jeweils bis zu 5 Prozent, höchstens jeweils 8 437 Euro, wie Sonderausgaben abziehen. </w:t>
      </w:r>
      <w:r>
        <w:rPr>
          <w:rStyle w:val="Satznummer"/>
        </w:rPr>
        <w:t>2</w:t>
      </w:r>
      <w:r>
        <w:t xml:space="preserve">Voraussetzung ist, dass der Steuerpflichtige die Wohnung hergestellt und in dem jeweiligen Jahr des Zeitraums nach Satz 1 (Abzugszeitraum) zu eigenen Wohnzwecken genutzt hat und die Wohnung keine Ferienwohnung oder Wochenendwohnung ist. </w:t>
      </w:r>
      <w:r>
        <w:rPr>
          <w:rStyle w:val="Satznummer"/>
        </w:rPr>
        <w:t>3</w:t>
      </w:r>
      <w:r>
        <w:t xml:space="preserve">Eine Nutzung zu eigenen Wohnzwecken liegt auch vor, wenn Teile einer zu eigenen Wohnzwecken genutzten Wohnung unentgeltlich zu Wohnzwecken überlassen werden. </w:t>
      </w:r>
      <w:r>
        <w:rPr>
          <w:rStyle w:val="Satznummer"/>
        </w:rPr>
        <w:t>4</w:t>
      </w:r>
      <w:r>
        <w:t xml:space="preserve">Hat der Steuerpflichtige die Wohnung angeschafft, so sind die Sätze 1 bis 3 mit der Maßgabe anzuwenden, dass an die Stelle des Jahres der Fertigstellung das Jahr der Anschaffung und an die Stelle der Herstellungskosten die Anschaffungskosten treten; hat der Steuerpflichtige die Wohnung nicht bis zum Ende des zweiten auf das Jahr der Fertigstellung folgenden Jahres angeschafft, kann er von der Bemessungsgrundlage im Jahr der Anschaffung und in den drei folgenden Jahren höchstens jeweils 4 602 Euro und in den vier darauffolgenden Jahren höchstens jeweils 3 835 Euro abziehen. </w:t>
      </w:r>
      <w:r>
        <w:rPr>
          <w:rStyle w:val="Satznummer"/>
        </w:rPr>
        <w:t>5</w:t>
      </w:r>
      <w:hyperlink w:anchor="b30" w:history="1">
        <w:r>
          <w:rPr>
            <w:color w:val="0A3A8C"/>
            <w:u w:val="single"/>
          </w:rPr>
          <w:t xml:space="preserve">§ 6b</w:t>
        </w:r>
      </w:hyperlink>
      <w:r>
        <w:t xml:space="preserve"> Absatz 6 gilt sinngemäß. </w:t>
      </w:r>
      <w:r>
        <w:rPr>
          <w:rStyle w:val="Satznummer"/>
        </w:rPr>
        <w:t>6</w:t>
      </w:r>
      <w:r>
        <w:t xml:space="preserve">Bei einem Anteil an der zu eigenen Wohnzwecken genutzten Wohnung kann der Steuerpflichtige den entsprechenden Teil der Abzugsbeträge nach Satz 1 wie Sonderausgaben abziehen. </w:t>
      </w:r>
      <w:r>
        <w:rPr>
          <w:rStyle w:val="Satznummer"/>
        </w:rPr>
        <w:t>7</w:t>
      </w:r>
      <w:r>
        <w:t xml:space="preserve">Werden Teile der Wohnung nicht zu eigenen Wohnzwecken genutzt, ist die Bemessungsgrundlage um den auf den nicht zu eigenen Wohnzwecken entfallenden Teil zu kürzen. </w:t>
      </w:r>
      <w:r>
        <w:rPr>
          <w:rStyle w:val="Satznummer"/>
        </w:rPr>
        <w:t>8</w:t>
      </w:r>
      <w:r>
        <w:t xml:space="preserve">Satz 4 ist nicht anzuwenden, wenn der Steuerpflichtige die Wohnung oder einen Anteil daran von seinem Ehegatten anschafft und bei den Ehegatten die Voraussetzungen des </w:t>
      </w:r>
      <w:hyperlink w:anchor="b99" w:history="1">
        <w:r>
          <w:rPr>
            <w:color w:val="0A3A8C"/>
            <w:u w:val="single"/>
          </w:rPr>
          <w:t xml:space="preserve">§ 26</w:t>
        </w:r>
      </w:hyperlink>
      <w:r>
        <w:t xml:space="preserve"> Absatz 1 vorliegen.</w:t>
      </w:r>
    </w:p>
    <w:p>
      <w:r>
        <w:t>(2) Absatz 1 gilt entsprechend für Herstellungskosten zu eigenen Wohnzwecken genutzter Ausbauten und Erweiterungen an einer im Inland belegenen, zu eigenen Wohnzwecken genutzten Wohnung.</w:t>
      </w:r>
    </w:p>
    <w:p>
      <w:r>
        <w:t xml:space="preserve">(3) </w:t>
      </w:r>
      <w:r>
        <w:rPr>
          <w:rStyle w:val="Satznummer"/>
        </w:rPr>
        <w:t>1</w:t>
      </w:r>
      <w:r>
        <w:t xml:space="preserve">Der Steuerpflichtige kann die Abzugsbeträge nach den Absätzen 1 und 2, die er in einem Jahr des Abzugszeitraums nicht ausgenutzt hat, bis zum Ende des Abzugszeitraums abziehen. </w:t>
      </w:r>
      <w:r>
        <w:rPr>
          <w:rStyle w:val="Satznummer"/>
        </w:rPr>
        <w:t>2</w:t>
      </w:r>
      <w:r>
        <w:t>Nachträgliche Herstellungskosten oder Anschaffungskosten, die bis zum Ende des Abzugszeitraums entstehen, können vom Jahr ihrer Entstehung an für die Veranlagungszeiträume, in denen der Steuerpflichtige Abzugsbeträge nach den Absätzen 1 und 2 hätte abziehen können, so behandelt werden, als wären sie zu Beginn des Abzugszeitraums entstanden.</w:t>
      </w:r>
    </w:p>
    <w:p>
      <w:r>
        <w:t xml:space="preserve">(4) </w:t>
      </w:r>
      <w:r>
        <w:rPr>
          <w:rStyle w:val="Satznummer"/>
        </w:rPr>
        <w:t>1</w:t>
      </w:r>
      <w:r>
        <w:t xml:space="preserve">Die Abzugsbeträge nach den Absätzen 1 und 2 kann der Steuerpflichtige nur für eine Wohnung oder für einen Ausbau oder eine Erweiterung abziehen. </w:t>
      </w:r>
      <w:r>
        <w:rPr>
          <w:rStyle w:val="Satznummer"/>
        </w:rPr>
        <w:t>2</w:t>
      </w:r>
      <w:r>
        <w:t xml:space="preserve">Ehegatten, bei denen die Voraussetzungen des </w:t>
      </w:r>
      <w:hyperlink w:anchor="b99" w:history="1">
        <w:r>
          <w:rPr>
            <w:color w:val="0A3A8C"/>
            <w:u w:val="single"/>
          </w:rPr>
          <w:t xml:space="preserve">§ 26</w:t>
        </w:r>
      </w:hyperlink>
      <w:r>
        <w:t xml:space="preserve"> Absatz 1 vorliegen, können die Abzugsbeträge nach den Absätzen 1 und 2 für insgesamt zwei der in Satz 1 bezeichneten Objekte abziehen, jedoch nicht gleichzeitig für zwei in räumlichem Zusammenhang belegene Objekte, wenn bei den Ehegatten im Zeitpunkt der Herstellung oder Anschaffung der Objekte die Voraussetzungen des </w:t>
      </w:r>
      <w:hyperlink w:anchor="b99" w:history="1">
        <w:r>
          <w:rPr>
            <w:color w:val="0A3A8C"/>
            <w:u w:val="single"/>
          </w:rPr>
          <w:t xml:space="preserve">§ 26</w:t>
        </w:r>
      </w:hyperlink>
      <w:r>
        <w:t xml:space="preserve"> Absatz 1 vorliegen. </w:t>
      </w:r>
      <w:r>
        <w:rPr>
          <w:rStyle w:val="Satznummer"/>
        </w:rPr>
        <w:t>3</w:t>
      </w:r>
      <w:r>
        <w:t xml:space="preserve">Den Abzugsbeträgen stehen die erhöhten Absetzungen nach § 7b in der jeweiligen Fassung ab Inkrafttreten des Gesetzes vom 16. Juni 1964 (BGBl. I S. 353) und nach § 15 Absatz 1 bis 4 des Berlinförderungsgesetzes in der jeweiligen Fassung ab Inkrafttreten des Gesetzes vom 11. Juli 1977 (BGBl. I S. 1213) gleich. </w:t>
      </w:r>
      <w:r>
        <w:rPr>
          <w:rStyle w:val="Satznummer"/>
        </w:rPr>
        <w:t>4</w:t>
      </w:r>
      <w:r>
        <w:t xml:space="preserve">Nutzt der Steuerpflichtige die Wohnung im eigenen Haus oder die Eigentumswohnung (Erstobjekt) nicht bis zum Ablauf des Abzugszeitraums zu eigenen Wohnzwecken und kann er deshalb die Abzugsbeträge nach den Absätzen 1 und 2 nicht mehr in Anspruch nehmen, so kann er die Abzugsbeträge nach Absatz 1 bei einer weiteren Wohnung im Sinne des Absatzes 1 Satz 1 (Folgeobjekt) in Anspruch nehmen, wenn er das Folgeobjekt innerhalb von zwei Jahren vor und drei Jahren nach Ablauf des Veranlagungszeitraums, in dem er das Erstobjekt letztmals zu eigenen Wohnzwecken genutzt hat, anschafft oder herstellt; Entsprechendes gilt bei einem Ausbau oder einer Erweiterung einer Wohnung. </w:t>
      </w:r>
      <w:r>
        <w:rPr>
          <w:rStyle w:val="Satznummer"/>
        </w:rPr>
        <w:t>5</w:t>
      </w:r>
      <w:r>
        <w:t xml:space="preserve">Im Fall des Satzes 4 ist der Abzugszeitraum für das Folgeobjekt um die Anzahl der Veranlagungszeiträume zu kürzen, in denen der Steuerpflichtige für das Erstobjekt die Abzugsbeträge nach den Absätzen 1 und 2 hätte abziehen können; hat der Steuerpflichtige das Folgeobjekt in einem Veranlagungszeitraum, in dem er das Erstobjekt noch zu eigenen Wohnzwecken genutzt hat, hergestellt oder angeschafft oder ausgebaut oder erweitert, so beginnt der Abzugszeitraum für das Folgeobjekt mit Ablauf des Veranlagungszeitraums, in dem der Steuerpflichtige das Erstobjekt letztmals zu eigenen Wohnzwecken genutzt hat. </w:t>
      </w:r>
      <w:r>
        <w:rPr>
          <w:rStyle w:val="Satznummer"/>
        </w:rPr>
        <w:t>6</w:t>
      </w:r>
      <w:r>
        <w:t xml:space="preserve">Für das Folgeobjekt sind die Prozentsätze der vom Erstobjekt verbliebenen Jahre maßgebend. </w:t>
      </w:r>
      <w:r>
        <w:rPr>
          <w:rStyle w:val="Satznummer"/>
        </w:rPr>
        <w:t>7</w:t>
      </w:r>
      <w:r>
        <w:t xml:space="preserve">Dem Erstobjekt im Sinne des Satzes 4 steht ein Erstobjekt im Sinne des </w:t>
      </w:r>
      <w:hyperlink w:anchor="b36" w:history="1">
        <w:r>
          <w:rPr>
            <w:color w:val="0A3A8C"/>
            <w:u w:val="single"/>
          </w:rPr>
          <w:t xml:space="preserve">§ 7b</w:t>
        </w:r>
      </w:hyperlink>
      <w:r>
        <w:t xml:space="preserve"> Absatz 5 Satz 4 sowie des </w:t>
      </w:r>
      <w:hyperlink w:anchor="b75" w:history="1">
        <w:r>
          <w:rPr>
            <w:color w:val="0A3A8C"/>
            <w:u w:val="single"/>
          </w:rPr>
          <w:t xml:space="preserve">§ 15</w:t>
        </w:r>
      </w:hyperlink>
      <w:r>
        <w:t xml:space="preserve"> Absatz 1 und des § 15b Absatz 1 des Berlinförderungsgesetzes gleich. </w:t>
      </w:r>
      <w:r>
        <w:rPr>
          <w:rStyle w:val="Satznummer"/>
        </w:rPr>
        <w:t>8</w:t>
      </w:r>
      <w:r>
        <w:t xml:space="preserve">Ist für den Steuerpflichtigen Objektverbrauch nach den Sätzen 1 bis 3 eingetreten, kann er die Abzugsbeträge nach den Absätzen 1 und 2 für ein weiteres, in dem in Artikel 3 des Einigungsvertrages genannten Gebiet belegenes Objekt abziehen, wenn der Steuerpflichtige oder dessen Ehegatte, bei denen die Voraussetzungen des </w:t>
      </w:r>
      <w:hyperlink w:anchor="b99" w:history="1">
        <w:r>
          <w:rPr>
            <w:color w:val="0A3A8C"/>
            <w:u w:val="single"/>
          </w:rPr>
          <w:t xml:space="preserve">§ 26</w:t>
        </w:r>
      </w:hyperlink>
      <w:r>
        <w:t xml:space="preserve"> Absatz 1 vorliegen, in dem in Artikel 3 des Einigungsvertrages genannten Gebiet zugezogen ist und</w:t>
      </w:r>
    </w:p>
    <w:p>
      <w:pPr>
        <w:tabs>
          <w:tab w:pos="567" w:val="left"/>
        </w:tabs>
        <w:ind w:left="567" w:hanging="567"/>
      </w:pPr>
      <w:r>
        <w:t>1.</w:t>
      </w:r>
      <w:r>
        <w:tab/>
      </w:r>
      <w:r>
        <w:t>seinen ausschließlichen Wohnsitz in diesem Gebiet zu Beginn des Veranlagungszeitraums hat oder ihn im Laufe des Veranlagungszeitraums begründet oder</w:t>
      </w:r>
    </w:p>
    <w:p>
      <w:pPr>
        <w:tabs>
          <w:tab w:pos="567" w:val="left"/>
        </w:tabs>
        <w:ind w:left="567" w:hanging="567"/>
      </w:pPr>
      <w:r>
        <w:t>2.</w:t>
      </w:r>
      <w:r>
        <w:tab/>
      </w:r>
      <w:r>
        <w:t>bei mehrfachem Wohnsitz einen Wohnsitz in diesem Gebiet hat und sich dort überwiegend aufhält.</w:t>
      </w:r>
    </w:p>
    <w:p>
      <w:r>
        <w:rPr>
          <w:rStyle w:val="Satznummer"/>
        </w:rPr>
        <w:t>9</w:t>
      </w:r>
      <w:r>
        <w:t xml:space="preserve">Voraussetzung für die Anwendung des Satzes 8 ist, dass die Wohnung im eigenen Haus oder die Eigentumswohnung vor dem 1. Januar 1995 hergestellt oder angeschafft oder der Ausbau oder die Erweiterung vor diesem Zeitpunkt fertig gestellt worden ist. </w:t>
      </w:r>
      <w:r>
        <w:rPr>
          <w:rStyle w:val="Satznummer"/>
        </w:rPr>
        <w:t>10</w:t>
      </w:r>
      <w:r>
        <w:t>Die Sätze 2 und 4 bis 6 sind für im Satz 8 bezeichnete Objekte sinngemäß anzuwenden.</w:t>
      </w:r>
    </w:p>
    <w:p>
      <w:r>
        <w:t xml:space="preserve">(5) </w:t>
      </w:r>
      <w:r>
        <w:rPr>
          <w:rStyle w:val="Satznummer"/>
        </w:rPr>
        <w:t>1</w:t>
      </w:r>
      <w:r>
        <w:t xml:space="preserve">Sind mehrere Steuerpflichtige Eigentümer einer zu eigenen Wohnzwecken genutzten Wohnung, so ist Absatz 4 mit der Maßgabe anzuwenden, dass der Anteil des Steuerpflichtigen an der Wohnung einer Wohnung gleichsteht; Entsprechendes gilt bei dem Ausbau oder bei der Erweiterung einer zu eigenen Wohnzwecken genutzten Wohnung. </w:t>
      </w:r>
      <w:r>
        <w:rPr>
          <w:rStyle w:val="Satznummer"/>
        </w:rPr>
        <w:t>2</w:t>
      </w:r>
      <w:r>
        <w:t xml:space="preserve">Satz 1 ist nicht anzuwenden, wenn Eigentümer der Wohnung der Steuerpflichtige und sein Ehegatte sind und bei den Ehegatten die Voraussetzungen des </w:t>
      </w:r>
      <w:hyperlink w:anchor="b99" w:history="1">
        <w:r>
          <w:rPr>
            <w:color w:val="0A3A8C"/>
            <w:u w:val="single"/>
          </w:rPr>
          <w:t xml:space="preserve">§ 26</w:t>
        </w:r>
      </w:hyperlink>
      <w:r>
        <w:t xml:space="preserve"> Absatz 1 vorliegen. </w:t>
      </w:r>
      <w:r>
        <w:rPr>
          <w:rStyle w:val="Satznummer"/>
        </w:rPr>
        <w:t>3</w:t>
      </w:r>
      <w:r>
        <w:t xml:space="preserve">Erwirbt im Fall des Satzes 2 ein Ehegatte infolge Erbfalls einen Miteigentumsanteil an der Wohnung hinzu, so kann er die auf diesen Anteil entfallenden Abzugsbeträge nach den Absätzen 1 und 2 weiter in der bisherigen Höhe abziehen; Entsprechendes gilt, wenn im Fall des Satzes 2 während des Abzugszeitraums die Voraussetzungen des </w:t>
      </w:r>
      <w:hyperlink w:anchor="b99" w:history="1">
        <w:r>
          <w:rPr>
            <w:color w:val="0A3A8C"/>
            <w:u w:val="single"/>
          </w:rPr>
          <w:t xml:space="preserve">§ 26</w:t>
        </w:r>
      </w:hyperlink>
      <w:r>
        <w:t xml:space="preserve"> Absatz 1 wegfallen und ein Ehegatte den Anteil des anderen Ehegatten an der Wohnung erwirbt.</w:t>
      </w:r>
    </w:p>
    <w:p>
      <w:r>
        <w:t xml:space="preserve">(5a) </w:t>
      </w:r>
      <w:r>
        <w:rPr>
          <w:rStyle w:val="Satznummer"/>
        </w:rPr>
        <w:t>1</w:t>
      </w:r>
      <w:r>
        <w:t xml:space="preserve">Die Abzugsbeträge nach den Absätzen 1 und 2 können nur für die Veranlagungszeiträume in Anspruch genommen werden, in denen der Gesamtbetrag der Einkünfte 61 355 Euro, bei nach </w:t>
      </w:r>
      <w:hyperlink w:anchor="b101" w:history="1">
        <w:r>
          <w:rPr>
            <w:color w:val="0A3A8C"/>
            <w:u w:val="single"/>
          </w:rPr>
          <w:t xml:space="preserve">§ 26b</w:t>
        </w:r>
      </w:hyperlink>
      <w:r>
        <w:t xml:space="preserve"> zusammenveranlagten Ehegatten 122 710 Euro nicht übersteigt. </w:t>
      </w:r>
      <w:r>
        <w:rPr>
          <w:rStyle w:val="Satznummer"/>
        </w:rPr>
        <w:t>2</w:t>
      </w:r>
      <w:r>
        <w:t>Eine Nachholung von Abzugsbeträgen nach Absatz 3 Satz 1 ist nur für Veranlagungszeiträume möglich, in denen die in Satz 1 genannten Voraussetzungen vorgelegen haben; Entsprechendes gilt für nachträgliche Herstellungskosten oder Anschaffungskosten im Sinne des Absatzes 3 Satz 2.</w:t>
      </w:r>
    </w:p>
    <w:p>
      <w:r>
        <w:t xml:space="preserve">(6) </w:t>
      </w:r>
      <w:r>
        <w:rPr>
          <w:rStyle w:val="Satznummer"/>
        </w:rPr>
        <w:t>1</w:t>
      </w:r>
      <w:r>
        <w:t xml:space="preserve">Aufwendungen des Steuerpflichtigen, die bis zum Beginn der erstmaligen Nutzung einer Wohnung im Sinne des Absatzes 1 zu eigenen Wohnzwecken entstehen, unmittelbar mit der Herstellung oder Anschaffung des Gebäudes oder der Eigentumswohnung oder der Anschaffung des dazugehörenden Grund und Bodens zusammenhängen, nicht zu den Herstellungskosten oder Anschaffungskosten der Wohnung oder zu den Anschaffungskosten des Grund und Bodens gehören und die im Fall der Vermietung oder Verpachtung der Wohnung als Werbungskosten abgezogen werden könnten, können wie Sonderausgaben abgezogen werden. </w:t>
      </w:r>
      <w:r>
        <w:rPr>
          <w:rStyle w:val="Satznummer"/>
        </w:rPr>
        <w:t>2</w:t>
      </w:r>
      <w:r>
        <w:t xml:space="preserve">Wird eine Wohnung bis zum Beginn der erstmaligen Nutzung zu eigenen Wohnzwecken vermietet oder zu eigenen beruflichen oder eigenen betrieblichen Zwecken genutzt und sind die Aufwendungen Werbungskosten oder Betriebsausgaben, können sie nicht wie Sonderausgaben abgezogen werden. </w:t>
      </w:r>
      <w:r>
        <w:rPr>
          <w:rStyle w:val="Satznummer"/>
        </w:rPr>
        <w:t>3</w:t>
      </w:r>
      <w:r>
        <w:t xml:space="preserve">Aufwendungen nach Satz 1, die Erhaltungsaufwand sind und im Zusammenhang mit der Anschaffung des Gebäudes oder der Eigentumswohnung stehen, können insgesamt nur bis zu 15 Prozent der Anschaffungskosten des Gebäudes oder der Eigentumswohnung, höchstens bis zu 15 Prozent von 76 694 Euro, abgezogen werden. </w:t>
      </w:r>
      <w:r>
        <w:rPr>
          <w:rStyle w:val="Satznummer"/>
        </w:rPr>
        <w:t>4</w:t>
      </w:r>
      <w:r>
        <w:t>Die Sätze 1 und 2 gelten entsprechend bei Ausbauten und Erweiterungen an einer zu Wohnzwecken genutzten Wohnung.</w:t>
      </w:r>
    </w:p>
    <w:p>
      <w:r>
        <w:t xml:space="preserve">(6a) </w:t>
      </w:r>
      <w:r>
        <w:rPr>
          <w:rStyle w:val="Satznummer"/>
        </w:rPr>
        <w:t>1</w:t>
      </w:r>
      <w:r>
        <w:t xml:space="preserve">Nimmt der Steuerpflichtige Abzugsbeträge für ein Objekt nach den Absätzen 1 oder 2 in Anspruch oder ist er auf Grund des Absatzes 5a zur Inanspruchnahme von Abzugsbeträgen für ein solches Objekt nicht berechtigt, so kann er die mit diesem Objekt in wirtschaftlichem Zusammenhang stehenden Schuldzinsen, die für die Zeit der Nutzung zu eigenen Wohnzwecken entstehen, im Jahr der Herstellung oder Anschaffung und in den beiden folgenden Kalenderjahren bis zur Höhe von jeweils 12 000 Deutsche Mark wie Sonderausgaben abziehen, wenn er das Objekt vor dem 1. Januar 1995 fertiggestellt oder vor diesem Zeitpunkt bis zum Ende des Jahres der Fertigstellung angeschafft hat. </w:t>
      </w:r>
      <w:r>
        <w:rPr>
          <w:rStyle w:val="Satznummer"/>
        </w:rPr>
        <w:t>2</w:t>
      </w:r>
      <w:r>
        <w:t xml:space="preserve">Soweit der Schuldzinsenabzug nach Satz 1 nicht in vollem Umfang im Jahr der Herstellung oder Anschaffung in Anspruch genommen werden kann, kann er in dem dritten auf das Jahr der Herstellung oder Anschaffung folgenden Kalenderjahr nachgeholt werden. </w:t>
      </w:r>
      <w:r>
        <w:rPr>
          <w:rStyle w:val="Satznummer"/>
        </w:rPr>
        <w:t>3</w:t>
      </w:r>
      <w:r>
        <w:t>Absatz 1 Satz 6 gilt sinngemäß.</w:t>
      </w:r>
    </w:p>
    <w:p>
      <w:r>
        <w:t xml:space="preserve">(7) </w:t>
      </w:r>
      <w:r>
        <w:rPr>
          <w:rStyle w:val="Satznummer"/>
        </w:rPr>
        <w:t>1</w:t>
      </w:r>
      <w:r>
        <w:t xml:space="preserve">Sind mehrere Steuerpflichtige Eigentümer einer zu eigenen Wohnzwecken genutzten Wohnung, so können die Abzugsbeträge nach den Absätzen 1 und 2 und die Aufwendungen nach den Absätzen 6 und 6a gesondert und einheitlich festgestellt werden. </w:t>
      </w:r>
      <w:r>
        <w:rPr>
          <w:rStyle w:val="Satznummer"/>
        </w:rPr>
        <w:t>2</w:t>
      </w:r>
      <w:r>
        <w:t>Die für die gesonderte Feststellung von Einkünften nach § 180 Absatz 1 Nummer 2 Buchstabe a der Abgabenordnung geltenden Vorschriften sind entsprechend anzuwenden.</w:t>
      </w:r>
    </w:p>
    <w:p>
      <w:pPr>
        <w:pStyle w:val="Heading3"/>
      </w:pPr>
      <w:bookmarkStart w:id="58" w:name="b57"/>
      <w:r>
        <w:t>§ 10f Steuerbegünstigung für zu eigenen Wohnzwecken genutzte Baudenkmale und Gebäude in Sanierungsgebieten und städtebaulichen Entwicklungsbereichen</w:t>
      </w:r>
      <w:r>
        <w:t xml:space="preserve"> </w:t>
      </w:r>
      <w:r>
        <w:rPr>
          <w:rStyle w:val="Suchmarke"/>
        </w:rPr>
        <w:t>#10f#</w:t>
      </w:r>
      <w:bookmarkEnd w:id="58"/>
    </w:p>
    <w:p>
      <w:r>
        <w:t xml:space="preserve">(1) </w:t>
      </w:r>
      <w:r>
        <w:rPr>
          <w:rStyle w:val="Satznummer"/>
        </w:rPr>
        <w:t>1</w:t>
      </w:r>
      <w:r>
        <w:t xml:space="preserve">Der Steuerpflichtige kann Aufwendungen an einem eigenen Gebäude im Kalenderjahr des Abschlusses der Baumaßnahme und in den neun folgenden Kalenderjahren jeweils bis zu 9 Prozent wie Sonderausgaben abziehen, wenn die Voraussetzungen des </w:t>
      </w:r>
      <w:hyperlink w:anchor="b41" w:history="1">
        <w:r>
          <w:rPr>
            <w:color w:val="0A3A8C"/>
            <w:u w:val="single"/>
          </w:rPr>
          <w:t xml:space="preserve">§ 7h</w:t>
        </w:r>
      </w:hyperlink>
      <w:r>
        <w:t xml:space="preserve"> oder des </w:t>
      </w:r>
      <w:hyperlink w:anchor="b42" w:history="1">
        <w:r>
          <w:rPr>
            <w:color w:val="0A3A8C"/>
            <w:u w:val="single"/>
          </w:rPr>
          <w:t xml:space="preserve">§ 7i</w:t>
        </w:r>
      </w:hyperlink>
      <w:r>
        <w:t xml:space="preserve"> vorliegen. </w:t>
      </w:r>
      <w:r>
        <w:rPr>
          <w:rStyle w:val="Satznummer"/>
        </w:rPr>
        <w:t>2</w:t>
      </w:r>
      <w:r>
        <w:t xml:space="preserve">Dies gilt nur, soweit er das Gebäude in dem jeweiligen Kalenderjahr zu eigenen Wohnzwecken nutzt und die Aufwendungen nicht in die Bemessungsgrundlage nach </w:t>
      </w:r>
      <w:hyperlink w:anchor="b56" w:history="1">
        <w:r>
          <w:rPr>
            <w:color w:val="0A3A8C"/>
            <w:u w:val="single"/>
          </w:rPr>
          <w:t xml:space="preserve">§ 10e</w:t>
        </w:r>
      </w:hyperlink>
      <w:r>
        <w:t xml:space="preserve"> oder dem Eigenheimzulagengesetz einbezogen hat. </w:t>
      </w:r>
      <w:r>
        <w:rPr>
          <w:rStyle w:val="Satznummer"/>
        </w:rPr>
        <w:t>3</w:t>
      </w:r>
      <w:r>
        <w:t xml:space="preserve">Für Zeiträume, für die der Steuerpflichtige erhöhte Absetzungen von Aufwendungen nach </w:t>
      </w:r>
      <w:hyperlink w:anchor="b41" w:history="1">
        <w:r>
          <w:rPr>
            <w:color w:val="0A3A8C"/>
            <w:u w:val="single"/>
          </w:rPr>
          <w:t xml:space="preserve">§ 7h</w:t>
        </w:r>
      </w:hyperlink>
      <w:r>
        <w:t xml:space="preserve"> oder </w:t>
      </w:r>
      <w:hyperlink w:anchor="b42" w:history="1">
        <w:r>
          <w:rPr>
            <w:color w:val="0A3A8C"/>
            <w:u w:val="single"/>
          </w:rPr>
          <w:t xml:space="preserve">§ 7i</w:t>
        </w:r>
      </w:hyperlink>
      <w:r>
        <w:t xml:space="preserve"> abgezogen hat, kann er für diese Aufwendungen keine Abzugsbeträge nach Satz 1 in Anspruch nehmen. </w:t>
      </w:r>
      <w:r>
        <w:rPr>
          <w:rStyle w:val="Satznummer"/>
        </w:rPr>
        <w:t>4</w:t>
      </w:r>
      <w:r>
        <w:t>Eine Nutzung zu eigenen Wohnzwecken liegt auch vor, wenn Teile einer zu eigenen Wohnzwecken genutzten Wohnung unentgeltlich zu Wohnzwecken überlassen werden.</w:t>
      </w:r>
    </w:p>
    <w:p>
      <w:r>
        <w:t xml:space="preserve">(2) </w:t>
      </w:r>
      <w:r>
        <w:rPr>
          <w:rStyle w:val="Satznummer"/>
        </w:rPr>
        <w:t>1</w:t>
      </w:r>
      <w:r>
        <w:t xml:space="preserve">Der Steuerpflichtige kann Erhaltungsaufwand, der an einem eigenen Gebäude entsteht und nicht zu den Betriebsausgaben oder Werbungskosten gehört, im Kalenderjahr des Abschlusses der Maßnahme und in den neun folgenden Kalenderjahren jeweils bis zu 9 Prozent wie Sonderausgaben abziehen, wenn die Voraussetzungen des </w:t>
      </w:r>
      <w:hyperlink w:anchor="b63" w:history="1">
        <w:r>
          <w:rPr>
            <w:color w:val="0A3A8C"/>
            <w:u w:val="single"/>
          </w:rPr>
          <w:t xml:space="preserve">§ 11a</w:t>
        </w:r>
      </w:hyperlink>
      <w:r>
        <w:t xml:space="preserve"> Absatz 1 in Verbindung mit </w:t>
      </w:r>
      <w:hyperlink w:anchor="b41" w:history="1">
        <w:r>
          <w:rPr>
            <w:color w:val="0A3A8C"/>
            <w:u w:val="single"/>
          </w:rPr>
          <w:t xml:space="preserve">§ 7h</w:t>
        </w:r>
      </w:hyperlink>
      <w:r>
        <w:t xml:space="preserve"> Absatz 2 oder des </w:t>
      </w:r>
      <w:hyperlink w:anchor="b64" w:history="1">
        <w:r>
          <w:rPr>
            <w:color w:val="0A3A8C"/>
            <w:u w:val="single"/>
          </w:rPr>
          <w:t xml:space="preserve">§ 11b</w:t>
        </w:r>
      </w:hyperlink>
      <w:r>
        <w:t xml:space="preserve"> Satz 1 oder 2 in Verbindung mit </w:t>
      </w:r>
      <w:hyperlink w:anchor="b42" w:history="1">
        <w:r>
          <w:rPr>
            <w:color w:val="0A3A8C"/>
            <w:u w:val="single"/>
          </w:rPr>
          <w:t xml:space="preserve">§ 7i</w:t>
        </w:r>
      </w:hyperlink>
      <w:r>
        <w:t xml:space="preserve"> Absatz 1 Satz 2 und Absatz 2 vorliegen. </w:t>
      </w:r>
      <w:r>
        <w:rPr>
          <w:rStyle w:val="Satznummer"/>
        </w:rPr>
        <w:t>2</w:t>
      </w:r>
      <w:r>
        <w:t xml:space="preserve">Dies gilt nur, soweit der Steuerpflichtige das Gebäude in dem jeweiligen Kalenderjahr zu eigenen Wohnzwecken nutzt und diese Aufwendungen nicht nach </w:t>
      </w:r>
      <w:hyperlink w:anchor="b56" w:history="1">
        <w:r>
          <w:rPr>
            <w:color w:val="0A3A8C"/>
            <w:u w:val="single"/>
          </w:rPr>
          <w:t xml:space="preserve">§ 10e</w:t>
        </w:r>
      </w:hyperlink>
      <w:r>
        <w:t xml:space="preserve"> Absatz 6 oder </w:t>
      </w:r>
      <w:hyperlink w:anchor="b60" w:history="1">
        <w:r>
          <w:rPr>
            <w:color w:val="0A3A8C"/>
            <w:u w:val="single"/>
          </w:rPr>
          <w:t xml:space="preserve">§ 10i</w:t>
        </w:r>
      </w:hyperlink>
      <w:r>
        <w:t xml:space="preserve"> abgezogen hat. </w:t>
      </w:r>
      <w:r>
        <w:rPr>
          <w:rStyle w:val="Satznummer"/>
        </w:rPr>
        <w:t>3</w:t>
      </w:r>
      <w:r>
        <w:t xml:space="preserve">Soweit der Steuerpflichtige das Gebäude während des Verteilungszeitraums zur Einkunftserzielung nutzt, ist der noch nicht berücksichtigte Teil des Erhaltungsaufwands im Jahr des Übergangs zur Einkunftserzielung wie Sonderausgaben abzuziehen. </w:t>
      </w:r>
      <w:r>
        <w:rPr>
          <w:rStyle w:val="Satznummer"/>
        </w:rPr>
        <w:t>4</w:t>
      </w:r>
      <w:r>
        <w:t>Absatz 1 Satz 4 ist entsprechend anzuwenden.</w:t>
      </w:r>
    </w:p>
    <w:p>
      <w:r>
        <w:t xml:space="preserve">(3) </w:t>
      </w:r>
      <w:r>
        <w:rPr>
          <w:rStyle w:val="Satznummer"/>
        </w:rPr>
        <w:t>1</w:t>
      </w:r>
      <w:r>
        <w:t xml:space="preserve">Die Abzugsbeträge nach den Absätzen 1 und 2 kann der Steuerpflichtige nur bei einem Gebäude in Anspruch nehmen. </w:t>
      </w:r>
      <w:r>
        <w:rPr>
          <w:rStyle w:val="Satznummer"/>
        </w:rPr>
        <w:t>2</w:t>
      </w:r>
      <w:r>
        <w:t xml:space="preserve">Ehegatten, bei denen die Voraussetzungen des </w:t>
      </w:r>
      <w:hyperlink w:anchor="b99" w:history="1">
        <w:r>
          <w:rPr>
            <w:color w:val="0A3A8C"/>
            <w:u w:val="single"/>
          </w:rPr>
          <w:t xml:space="preserve">§ 26</w:t>
        </w:r>
      </w:hyperlink>
      <w:r>
        <w:t xml:space="preserve"> Absatz 1 vorliegen, können die Abzugsbeträge nach den Absätzen 1 und 2 bei insgesamt zwei Gebäuden abziehen. </w:t>
      </w:r>
      <w:r>
        <w:rPr>
          <w:rStyle w:val="Satznummer"/>
        </w:rPr>
        <w:t>3</w:t>
      </w:r>
      <w:r>
        <w:t xml:space="preserve">Gebäuden im Sinne der Absätze 1 und 2 stehen Gebäude gleich, für die Abzugsbeträge nach </w:t>
      </w:r>
      <w:hyperlink w:anchor="b206" w:history="1">
        <w:r>
          <w:rPr>
            <w:color w:val="0A3A8C"/>
            <w:u w:val="single"/>
          </w:rPr>
          <w:t xml:space="preserve">§ 52</w:t>
        </w:r>
      </w:hyperlink>
      <w:r>
        <w:t xml:space="preserve"> Absatz 21 Satz 6 in Verbindung mit § 51 Absatz 1 Nummer 2 Buchstabe x oder Buchstabe y des Einkommensteuergesetzes 1987 in der Fassung der Bekanntmachung vom 27. Februar 1987 (BGBl. I S. 657) in Anspruch genommen worden sind; Entsprechendes gilt für Abzugsbeträge nach </w:t>
      </w:r>
      <w:hyperlink w:anchor="b206" w:history="1">
        <w:r>
          <w:rPr>
            <w:color w:val="0A3A8C"/>
            <w:u w:val="single"/>
          </w:rPr>
          <w:t xml:space="preserve">§ 52</w:t>
        </w:r>
      </w:hyperlink>
      <w:r>
        <w:t xml:space="preserve"> Absatz 21 Satz 7.</w:t>
      </w:r>
    </w:p>
    <w:p>
      <w:r>
        <w:t xml:space="preserve">(4) </w:t>
      </w:r>
      <w:r>
        <w:rPr>
          <w:rStyle w:val="Satznummer"/>
        </w:rPr>
        <w:t>1</w:t>
      </w:r>
      <w:r>
        <w:t xml:space="preserve">Sind mehrere Steuerpflichtige Eigentümer eines Gebäudes, so ist Absatz 3 mit der Maßgabe anzuwenden, dass der Anteil des Steuerpflichtigen an einem solchen Gebäude dem Gebäude gleichsteht. </w:t>
      </w:r>
      <w:r>
        <w:rPr>
          <w:rStyle w:val="Satznummer"/>
        </w:rPr>
        <w:t>2</w:t>
      </w:r>
      <w:r>
        <w:t xml:space="preserve">Erwirbt ein Miteigentümer, der für seinen Anteil bereits Abzugsbeträge nach Absatz 1 oder Absatz 2 abgezogen hat, einen Anteil an demselben Gebäude hinzu, kann er für danach von ihm durchgeführte Maßnahmen im Sinne der Absätze 1 oder 2 auch die Abzugsbeträge nach den Absätzen 1 und 2 in Anspruch nehmen, die auf den hinzuerworbenen Anteil entfallen. </w:t>
      </w:r>
      <w:r>
        <w:rPr>
          <w:rStyle w:val="Satznummer"/>
        </w:rPr>
        <w:t>3</w:t>
      </w:r>
      <w:hyperlink w:anchor="b56" w:history="1">
        <w:r>
          <w:rPr>
            <w:color w:val="0A3A8C"/>
            <w:u w:val="single"/>
          </w:rPr>
          <w:t xml:space="preserve">§ 10e</w:t>
        </w:r>
      </w:hyperlink>
      <w:r>
        <w:t xml:space="preserve"> Absatz 5 Satz 2 und 3 sowie Absatz 7 ist sinngemäß anzuwenden.</w:t>
      </w:r>
    </w:p>
    <w:p>
      <w:r>
        <w:t>(5) Die Absätze 1 bis 4 sind auf Gebäudeteile, die selbständige unbewegliche Wirtschaftsgüter sind, und auf Eigentumswohnungen entsprechend anzuwenden.</w:t>
      </w:r>
    </w:p>
    <w:p>
      <w:pPr>
        <w:pStyle w:val="Heading3"/>
      </w:pPr>
      <w:bookmarkStart w:id="59" w:name="b58"/>
      <w:r>
        <w:t>§ 10g Steuerbegünstigung für schutzwürdige Kulturgüter, die weder zur Einkunftserzielung noch zu eigenen Wohnzwecken genutzt werden</w:t>
      </w:r>
      <w:r>
        <w:t xml:space="preserve"> </w:t>
      </w:r>
      <w:r>
        <w:rPr>
          <w:rStyle w:val="Suchmarke"/>
        </w:rPr>
        <w:t>#10g#</w:t>
      </w:r>
      <w:bookmarkEnd w:id="59"/>
    </w:p>
    <w:p>
      <w:r>
        <w:t xml:space="preserve">(1) </w:t>
      </w:r>
      <w:r>
        <w:rPr>
          <w:rStyle w:val="Satznummer"/>
        </w:rPr>
        <w:t>1</w:t>
      </w:r>
      <w:r>
        <w:t xml:space="preserve">Der Steuerpflichtige kann Aufwendungen für Herstellungs- und Erhaltungsmaßnahmen an eigenen schutzwürdigen Kulturgütern im Inland, soweit sie öffentliche oder private Zuwendungen oder etwaige aus diesen Kulturgütern erzielte Einnahmen übersteigen, im Kalenderjahr des Abschlusses der Maßnahme und in den neun folgenden Kalenderjahren jeweils bis zu 9 Prozent wie Sonderausgaben abziehen. </w:t>
      </w:r>
      <w:r>
        <w:rPr>
          <w:rStyle w:val="Satznummer"/>
        </w:rPr>
        <w:t>2</w:t>
      </w:r>
      <w:r>
        <w:t>Kulturgüter im Sinne des Satzes 1 sind</w:t>
      </w:r>
    </w:p>
    <w:p>
      <w:pPr>
        <w:tabs>
          <w:tab w:pos="567" w:val="left"/>
        </w:tabs>
        <w:ind w:left="567" w:hanging="567"/>
      </w:pPr>
      <w:r>
        <w:t>1.</w:t>
      </w:r>
      <w:r>
        <w:tab/>
      </w:r>
      <w:r>
        <w:t>Gebäude oder Gebäudeteile, die nach den jeweiligen landesrechtlichen Vorschriften ein Baudenkmal sind,</w:t>
      </w:r>
    </w:p>
    <w:p>
      <w:pPr>
        <w:tabs>
          <w:tab w:pos="567" w:val="left"/>
        </w:tabs>
        <w:ind w:left="567" w:hanging="567"/>
      </w:pPr>
      <w:r>
        <w:t>2.</w:t>
      </w:r>
      <w:r>
        <w:tab/>
      </w:r>
      <w:r>
        <w:t>Gebäude oder Gebäudeteile, die für sich allein nicht die Voraussetzungen für ein Baudenkmal erfüllen, aber Teil einer nach den jeweiligen landesrechtlichen Vorschriften als Einheit geschützten Gebäudegruppe oder Gesamtanlage sind,</w:t>
      </w:r>
    </w:p>
    <w:p>
      <w:pPr>
        <w:tabs>
          <w:tab w:pos="567" w:val="left"/>
        </w:tabs>
        <w:ind w:left="567" w:hanging="567"/>
      </w:pPr>
      <w:r>
        <w:t>3.</w:t>
      </w:r>
      <w:r>
        <w:tab/>
      </w:r>
      <w:r>
        <w:t>gärtnerische, bauliche und sonstige Anlagen, die keine Gebäude oder Gebäudeteile und nach den jeweiligen landesrechtlichen Vorschriften unter Schutz gestellt sind,</w:t>
      </w:r>
    </w:p>
    <w:p>
      <w:pPr>
        <w:tabs>
          <w:tab w:pos="567" w:val="left"/>
        </w:tabs>
        <w:ind w:left="567" w:hanging="567"/>
      </w:pPr>
      <w:r>
        <w:t>4.</w:t>
      </w:r>
      <w:r>
        <w:tab/>
      </w:r>
      <w:r>
        <w:t>Mobiliar, Kunstgegenstände, Kunstsammlungen, wissenschaftliche Sammlungen, Bibliotheken oder Archive, die sich seit mindestens 20 Jahren im Besitz der Familie des Steuerpflichtigen befinden oder als nationales Kulturgut in ein Verzeichnis national wertvollen Kulturgutes nach § 7 Absatz 1 des Kulturgutschutzgesetzes vom 31. Juli 2016 (BGBl. I S. 1914) eingetragen ist und deren Erhaltung wegen ihrer Bedeutung für Kunst, Geschichte oder Wissenschaft im öffentlichen Interesse liegt,</w:t>
      </w:r>
    </w:p>
    <w:p>
      <w:r>
        <w:t xml:space="preserve">wenn sie in einem den Verhältnissen entsprechenden Umfang der wissenschaftlichen Forschung oder der Öffentlichkeit zugänglich gemacht werden, es sei denn, dem Zugang stehen zwingende Gründe des Denkmal- oder Archivschutzes entgegen. </w:t>
      </w:r>
      <w:r>
        <w:rPr>
          <w:rStyle w:val="Satznummer"/>
        </w:rPr>
        <w:t>3</w:t>
      </w:r>
      <w:r>
        <w:t xml:space="preserve">Die Maßnahmen müssen nach Maßgabe der geltenden Bestimmungen der Denkmal- und Archivpflege erforderlich und in Abstimmung mit der in Absatz 3 genannten Stelle durchgeführt worden sein; bei Aufwendungen für Herstellungs- und Erhaltungsmaßnahmen an Kulturgütern im Sinne des Satzes 2 Nummer 1 und 2 ist </w:t>
      </w:r>
      <w:hyperlink w:anchor="b42" w:history="1">
        <w:r>
          <w:rPr>
            <w:color w:val="0A3A8C"/>
            <w:u w:val="single"/>
          </w:rPr>
          <w:t xml:space="preserve">§ 7i</w:t>
        </w:r>
      </w:hyperlink>
      <w:r>
        <w:t xml:space="preserve"> Absatz 1 Satz 1 bis 4 sinngemäß anzuwenden.</w:t>
      </w:r>
    </w:p>
    <w:p>
      <w:r>
        <w:t xml:space="preserve">(2) </w:t>
      </w:r>
      <w:r>
        <w:rPr>
          <w:rStyle w:val="Satznummer"/>
        </w:rPr>
        <w:t>1</w:t>
      </w:r>
      <w:r>
        <w:t xml:space="preserve">Die Abzugsbeträge nach Absatz 1 Satz 1 kann der Steuerpflichtige nur in Anspruch nehmen, soweit er die schutzwürdigen Kulturgüter im jeweiligen Kalenderjahr weder zur Erzielung von Einkünften im Sinne des </w:t>
      </w:r>
      <w:hyperlink w:anchor="b5" w:history="1">
        <w:r>
          <w:rPr>
            <w:color w:val="0A3A8C"/>
            <w:u w:val="single"/>
          </w:rPr>
          <w:t xml:space="preserve">§ 2</w:t>
        </w:r>
      </w:hyperlink>
      <w:r>
        <w:t xml:space="preserve"> noch Gebäude oder Gebäudeteile zu eigenen Wohnzwecken nutzt und die Aufwendungen nicht nach </w:t>
      </w:r>
      <w:hyperlink w:anchor="b56" w:history="1">
        <w:r>
          <w:rPr>
            <w:color w:val="0A3A8C"/>
            <w:u w:val="single"/>
          </w:rPr>
          <w:t xml:space="preserve">§ 10e</w:t>
        </w:r>
      </w:hyperlink>
      <w:r>
        <w:t xml:space="preserve"> Absatz 6, </w:t>
      </w:r>
      <w:hyperlink w:anchor="b59" w:history="1">
        <w:r>
          <w:rPr>
            <w:color w:val="0A3A8C"/>
            <w:u w:val="single"/>
          </w:rPr>
          <w:t xml:space="preserve">§ 10h</w:t>
        </w:r>
      </w:hyperlink>
      <w:r>
        <w:t xml:space="preserve"> Satz 3 oder </w:t>
      </w:r>
      <w:hyperlink w:anchor="b60" w:history="1">
        <w:r>
          <w:rPr>
            <w:color w:val="0A3A8C"/>
            <w:u w:val="single"/>
          </w:rPr>
          <w:t xml:space="preserve">§ 10i</w:t>
        </w:r>
      </w:hyperlink>
      <w:r>
        <w:t xml:space="preserve"> abgezogen hat. </w:t>
      </w:r>
      <w:r>
        <w:rPr>
          <w:rStyle w:val="Satznummer"/>
        </w:rPr>
        <w:t>2</w:t>
      </w:r>
      <w:r>
        <w:t xml:space="preserve">Für Zeiträume, für die der Steuerpflichtige von Aufwendungen Absetzungen für Abnutzung, erhöhte Absetzungen, Sonderabschreibungen oder Beträge nach </w:t>
      </w:r>
      <w:hyperlink w:anchor="b56" w:history="1">
        <w:r>
          <w:rPr>
            <w:color w:val="0A3A8C"/>
            <w:u w:val="single"/>
          </w:rPr>
          <w:t xml:space="preserve">§ 10e</w:t>
        </w:r>
      </w:hyperlink>
      <w:r>
        <w:t xml:space="preserve"> Absatz 1 bis 5, den §§ 10f, 10h, 15b des Berlinförderungsgesetzes abgezogen hat, kann er für diese Aufwendungen keine Abzugsbeträge nach Absatz 1 Satz 1 in Anspruch nehmen; Entsprechendes gilt, wenn der Steuerpflichtige für Aufwendungen die Eigenheimzulage nach dem Eigenheimzulagengesetz in Anspruch genommen hat. </w:t>
      </w:r>
      <w:r>
        <w:rPr>
          <w:rStyle w:val="Satznummer"/>
        </w:rPr>
        <w:t>3</w:t>
      </w:r>
      <w:r>
        <w:t>Soweit die Kulturgüter während des Zeitraums nach Absatz 1 Satz 1 zur Einkunftserzielung genutzt werden, ist der noch nicht berücksichtigte Teil der Aufwendungen, die auf Erhaltungsarbeiten entfallen, im Jahr des Übergangs zur Einkunftserzielung wie Sonderausgaben abzuziehen.</w:t>
      </w:r>
    </w:p>
    <w:p>
      <w:r>
        <w:t xml:space="preserve">(3) </w:t>
      </w:r>
      <w:r>
        <w:rPr>
          <w:rStyle w:val="Satznummer"/>
        </w:rPr>
        <w:t>1</w:t>
      </w:r>
      <w:r>
        <w:t xml:space="preserve">Der Steuerpflichtige kann den Abzug vornehmen, wenn er durch eine Bescheinigung der nach Landesrecht zuständigen oder von der Landesregierung bestimmten Stelle die Voraussetzungen des Absatzes 1 für das Kulturgut und für die Erforderlichkeit der Aufwendungen nachweist. </w:t>
      </w:r>
      <w:r>
        <w:rPr>
          <w:rStyle w:val="Satznummer"/>
        </w:rPr>
        <w:t>2</w:t>
      </w:r>
      <w:r>
        <w:t xml:space="preserve">Hat eine der für Denkmal- oder Archivpflege zuständigen </w:t>
      </w:r>
      <w:r>
        <w:rPr>
          <w:i/>
        </w:rPr>
        <w:t>Behörden</w:t>
      </w:r>
      <w:r>
        <w:t xml:space="preserve"> ihm Zuschüsse gewährt, so hat die Bescheinigung auch deren Höhe zu enthalten; werden ihm solche Zuschüsse nach Ausstellung der Bescheinigung gewährt, so ist diese entsprechend zu ändern.</w:t>
      </w:r>
    </w:p>
    <w:p>
      <w:r>
        <w:t xml:space="preserve">(4) </w:t>
      </w:r>
      <w:r>
        <w:rPr>
          <w:rStyle w:val="Satznummer"/>
        </w:rPr>
        <w:t>1</w:t>
      </w:r>
      <w:r>
        <w:t xml:space="preserve">Die Absätze 1 bis 3 sind auf Gebäudeteile, die selbständige unbewegliche Wirtschaftsgüter sind, sowie auf Eigentumswohnungen und im Teileigentum stehende Räume entsprechend anzuwenden. </w:t>
      </w:r>
      <w:r>
        <w:rPr>
          <w:rStyle w:val="Satznummer"/>
        </w:rPr>
        <w:t>2</w:t>
      </w:r>
      <w:hyperlink w:anchor="b56" w:history="1">
        <w:r>
          <w:rPr>
            <w:color w:val="0A3A8C"/>
            <w:u w:val="single"/>
          </w:rPr>
          <w:t xml:space="preserve">§ 10e</w:t>
        </w:r>
      </w:hyperlink>
      <w:r>
        <w:t xml:space="preserve"> Absatz 7 gilt sinngemäß.</w:t>
      </w:r>
    </w:p>
    <w:p>
      <w:pPr>
        <w:pStyle w:val="Heading3"/>
      </w:pPr>
      <w:bookmarkStart w:id="60" w:name="b59"/>
      <w:r>
        <w:t>§ 10h (weggefallen)</w:t>
      </w:r>
      <w:r>
        <w:t xml:space="preserve"> </w:t>
      </w:r>
      <w:r>
        <w:rPr>
          <w:rStyle w:val="Suchmarke"/>
        </w:rPr>
        <w:t>#10h#</w:t>
      </w:r>
      <w:bookmarkEnd w:id="60"/>
    </w:p>
    <w:p>
      <w:pPr>
        <w:pStyle w:val="Heading3"/>
      </w:pPr>
      <w:bookmarkStart w:id="61" w:name="b60"/>
      <w:r>
        <w:t>§ 10i (weggefallen)</w:t>
      </w:r>
      <w:r>
        <w:t xml:space="preserve"> </w:t>
      </w:r>
      <w:r>
        <w:rPr>
          <w:rStyle w:val="Suchmarke"/>
        </w:rPr>
        <w:t>#10i#</w:t>
      </w:r>
      <w:bookmarkEnd w:id="61"/>
    </w:p>
    <w:p>
      <w:pPr>
        <w:pStyle w:val="Heading2"/>
      </w:pPr>
      <w:bookmarkStart w:id="62" w:name="b61"/>
      <w:r>
        <w:t>6. Vereinnahmung und Verausgabung</w:t>
      </w:r>
      <w:bookmarkEnd w:id="62"/>
    </w:p>
    <w:p>
      <w:pPr>
        <w:pStyle w:val="Heading3"/>
      </w:pPr>
      <w:bookmarkStart w:id="63" w:name="b62"/>
      <w:r>
        <w:t>§ 11</w:t>
      </w:r>
      <w:r>
        <w:t xml:space="preserve"> </w:t>
      </w:r>
      <w:r>
        <w:rPr>
          <w:rStyle w:val="Suchmarke"/>
        </w:rPr>
        <w:t>#11#</w:t>
      </w:r>
      <w:bookmarkEnd w:id="63"/>
    </w:p>
    <w:p>
      <w:r>
        <w:t xml:space="preserve">(1) </w:t>
      </w:r>
      <w:r>
        <w:rPr>
          <w:rStyle w:val="Satznummer"/>
        </w:rPr>
        <w:t>1</w:t>
      </w:r>
      <w:r>
        <w:t xml:space="preserve">Einnahmen sind innerhalb des Kalenderjahres bezogen, in dem sie dem Steuerpflichtigen zugeflossen sind. </w:t>
      </w:r>
      <w:r>
        <w:rPr>
          <w:rStyle w:val="Satznummer"/>
        </w:rPr>
        <w:t>2</w:t>
      </w:r>
      <w:r>
        <w:t xml:space="preserve">Regelmäßig wiederkehrende Einnahmen, die dem Steuerpflichtigen kurze Zeit vor Beginn oder kurze Zeit nach Beendigung des Kalenderjahres, zu dem sie wirtschaftlich gehören, zugeflossen sind, gelten als in diesem Kalenderjahr bezogen. </w:t>
      </w:r>
      <w:r>
        <w:rPr>
          <w:rStyle w:val="Satznummer"/>
        </w:rPr>
        <w:t>3</w:t>
      </w:r>
      <w:r>
        <w:t xml:space="preserve">Der Steuerpflichtige kann Einnahmen, die auf einer Nutzungsüberlassung im Sinne des Absatzes 2 Satz 3 beruhen, insgesamt auf den Zeitraum gleichmäßig verteilen, für den die Vorauszahlung geleistet wird. </w:t>
      </w:r>
      <w:r>
        <w:rPr>
          <w:rStyle w:val="Satznummer"/>
        </w:rPr>
        <w:t>4</w:t>
      </w:r>
      <w:r>
        <w:t xml:space="preserve">Für Einnahmen aus nichtselbständiger Arbeit gilt </w:t>
      </w:r>
      <w:hyperlink w:anchor="b145" w:history="1">
        <w:r>
          <w:rPr>
            <w:color w:val="0A3A8C"/>
            <w:u w:val="single"/>
          </w:rPr>
          <w:t xml:space="preserve">§ 38a</w:t>
        </w:r>
      </w:hyperlink>
      <w:r>
        <w:t xml:space="preserve"> Absatz 1 Satz 2 und 3 und </w:t>
      </w:r>
      <w:hyperlink w:anchor="b154" w:history="1">
        <w:r>
          <w:rPr>
            <w:color w:val="0A3A8C"/>
            <w:u w:val="single"/>
          </w:rPr>
          <w:t xml:space="preserve">§ 40</w:t>
        </w:r>
      </w:hyperlink>
      <w:r>
        <w:t xml:space="preserve"> Absatz 3 Satz 2. </w:t>
      </w:r>
      <w:r>
        <w:rPr>
          <w:rStyle w:val="Satznummer"/>
        </w:rPr>
        <w:t>5</w:t>
      </w:r>
      <w:r>
        <w:t>Die Vorschriften über die Gewinnermittlung (</w:t>
      </w:r>
      <w:hyperlink w:anchor="b13" w:history="1">
        <w:r>
          <w:rPr>
            <w:color w:val="0A3A8C"/>
            <w:u w:val="single"/>
          </w:rPr>
          <w:t xml:space="preserve">§ 4</w:t>
        </w:r>
      </w:hyperlink>
      <w:r>
        <w:t xml:space="preserve"> Absatz 1, </w:t>
      </w:r>
      <w:hyperlink w:anchor="b25" w:history="1">
        <w:r>
          <w:rPr>
            <w:color w:val="0A3A8C"/>
            <w:u w:val="single"/>
          </w:rPr>
          <w:t xml:space="preserve">§ 5</w:t>
        </w:r>
      </w:hyperlink>
      <w:r>
        <w:t>) bleiben unberührt.</w:t>
      </w:r>
    </w:p>
    <w:p>
      <w:r>
        <w:t xml:space="preserve">(2) </w:t>
      </w:r>
      <w:r>
        <w:rPr>
          <w:rStyle w:val="Satznummer"/>
        </w:rPr>
        <w:t>1</w:t>
      </w:r>
      <w:r>
        <w:t xml:space="preserve">Ausgaben sind für das Kalenderjahr abzusetzen, in dem sie geleistet worden sind. </w:t>
      </w:r>
      <w:r>
        <w:rPr>
          <w:rStyle w:val="Satznummer"/>
        </w:rPr>
        <w:t>2</w:t>
      </w:r>
      <w:r>
        <w:t xml:space="preserve">Für regelmäßig wiederkehrende Ausgaben gilt Absatz 1 Satz 2 entsprechend. </w:t>
      </w:r>
      <w:r>
        <w:rPr>
          <w:rStyle w:val="Satznummer"/>
          <w:i/>
        </w:rPr>
        <w:t>3</w:t>
      </w:r>
      <w:r>
        <w:rPr>
          <w:i/>
        </w:rPr>
        <w:t>Werden Ausgaben für eine Nutzungsüberlassung von mehr als fünf Jahren im Voraus geleistet, sind sie insgesamt auf den Zeitraum gleichmäßig zu verteilen, für den die Vorauszahlung geleistet wird.</w:t>
      </w:r>
      <w:r>
        <w:t xml:space="preserve"> </w:t>
      </w:r>
      <w:r>
        <w:rPr>
          <w:rStyle w:val="Satznummer"/>
        </w:rPr>
        <w:t>4</w:t>
      </w:r>
      <w:r>
        <w:t xml:space="preserve">Satz 3 ist auf ein Damnum oder Disagio nicht anzuwenden, soweit dieses marktüblich ist. </w:t>
      </w:r>
      <w:r>
        <w:rPr>
          <w:rStyle w:val="Satznummer"/>
        </w:rPr>
        <w:t>5</w:t>
      </w:r>
      <w:r>
        <w:t xml:space="preserve">§ 42 der Abgabenordnung bleibt unberührt. </w:t>
      </w:r>
      <w:r>
        <w:rPr>
          <w:rStyle w:val="Satznummer"/>
        </w:rPr>
        <w:t>6</w:t>
      </w:r>
      <w:r>
        <w:t>Die Vorschriften über die Gewinnermittlung (</w:t>
      </w:r>
      <w:hyperlink w:anchor="b13" w:history="1">
        <w:r>
          <w:rPr>
            <w:color w:val="0A3A8C"/>
            <w:u w:val="single"/>
          </w:rPr>
          <w:t xml:space="preserve">§ 4</w:t>
        </w:r>
      </w:hyperlink>
      <w:r>
        <w:t xml:space="preserve"> Absatz 1, </w:t>
      </w:r>
      <w:hyperlink w:anchor="b25" w:history="1">
        <w:r>
          <w:rPr>
            <w:color w:val="0A3A8C"/>
            <w:u w:val="single"/>
          </w:rPr>
          <w:t xml:space="preserve">§ 5</w:t>
        </w:r>
      </w:hyperlink>
      <w:r>
        <w:t>) bleiben unberührt.</w:t>
      </w:r>
    </w:p>
    <w:p>
      <w:pPr>
        <w:pStyle w:val="Heading3"/>
      </w:pPr>
      <w:bookmarkStart w:id="64" w:name="b63"/>
      <w:r>
        <w:t>§ 11a Sonderbehandlung von Erhaltungsaufwand bei Gebäuden in Sanierungsgebieten und städtebaulichen Entwicklungsbereichen</w:t>
      </w:r>
      <w:r>
        <w:t xml:space="preserve"> </w:t>
      </w:r>
      <w:r>
        <w:rPr>
          <w:rStyle w:val="Suchmarke"/>
        </w:rPr>
        <w:t>#11a#</w:t>
      </w:r>
      <w:bookmarkEnd w:id="64"/>
    </w:p>
    <w:p>
      <w:r>
        <w:t xml:space="preserve">(1) </w:t>
      </w:r>
      <w:r>
        <w:rPr>
          <w:rStyle w:val="Satznummer"/>
        </w:rPr>
        <w:t>1</w:t>
      </w:r>
      <w:r>
        <w:t xml:space="preserve">Der Steuerpflichtige kann durch Zuschüsse aus Sanierungs- oder Entwicklungsförderungsmitteln nicht gedeckten Erhaltungsaufwand für Maßnahmen im Sinne des § 177 des Baugesetzbuchs an einem im Inland belegenen Gebäude in einem förmlich festgelegten Sanierungsgebiet oder städtebaulichen Entwicklungsbereich auf zwei bis fünf Jahre gleichmäßig verteilen. </w:t>
      </w:r>
      <w:r>
        <w:rPr>
          <w:rStyle w:val="Satznummer"/>
        </w:rPr>
        <w:t>2</w:t>
      </w:r>
      <w:r>
        <w:t>Satz 1 ist entsprechend anzuwenden auf durch Zuschüsse aus Sanierungs- oder Entwicklungsförderungsmitteln nicht gedeckten Erhaltungsaufwand für Maßnahmen, die der Erhaltung, Erneuerung und funktionsgerechten Verwendung eines Gebäudes im Sinne des Satzes 1 dienen, das wegen seiner geschichtlichen, künstlerischen oder städtebaulichen Bedeutung erhalten bleiben soll, und zu deren Durchführung sich der Eigentümer neben bestimmten Modernisierungsmaßnahmen gegenüber der Gemeinde verpflichtet hat.</w:t>
      </w:r>
    </w:p>
    <w:p>
      <w:r>
        <w:t xml:space="preserve">(2) </w:t>
      </w:r>
      <w:r>
        <w:rPr>
          <w:rStyle w:val="Satznummer"/>
        </w:rPr>
        <w:t>1</w:t>
      </w:r>
      <w:r>
        <w:t xml:space="preserve">Wird das Gebäude während des Verteilungszeitraums veräußert, ist der noch nicht berücksichtigte Teil des Erhaltungsaufwands im Jahr der Veräußerung als Betriebsausgaben oder Werbungskosten abzusetzen. </w:t>
      </w:r>
      <w:r>
        <w:rPr>
          <w:rStyle w:val="Satznummer"/>
        </w:rPr>
        <w:t>2</w:t>
      </w:r>
      <w:r>
        <w:t>Das Gleiche gilt, wenn ein nicht zu einem Betriebsvermögen gehörendes Gebäude in ein Betriebsvermögen eingebracht oder wenn ein Gebäude aus dem Betriebsvermögen entnommen oder wenn ein Gebäude nicht mehr zur Einkunftserzielung genutzt wird.</w:t>
      </w:r>
    </w:p>
    <w:p>
      <w:r>
        <w:t>(3) Steht das Gebäude im Eigentum mehrerer Personen, ist der in Absatz 1 bezeichnete Erhaltungsaufwand von allen Eigentümern auf den gleichen Zeitraum zu verteilen.</w:t>
      </w:r>
    </w:p>
    <w:p>
      <w:r>
        <w:t xml:space="preserve">(4) </w:t>
      </w:r>
      <w:hyperlink w:anchor="b41" w:history="1">
        <w:r>
          <w:rPr>
            <w:color w:val="0A3A8C"/>
            <w:u w:val="single"/>
          </w:rPr>
          <w:t xml:space="preserve">§ 7h</w:t>
        </w:r>
      </w:hyperlink>
      <w:r>
        <w:t xml:space="preserve"> Absatz 1a bis 3 ist entsprechend anzuwenden.</w:t>
      </w:r>
    </w:p>
    <w:p>
      <w:pPr>
        <w:pStyle w:val="Heading3"/>
      </w:pPr>
      <w:bookmarkStart w:id="65" w:name="b64"/>
      <w:r>
        <w:t>§ 11b Sonderbehandlung von Erhaltungsaufwand bei Baudenkmalen</w:t>
      </w:r>
      <w:r>
        <w:t xml:space="preserve"> </w:t>
      </w:r>
      <w:r>
        <w:rPr>
          <w:rStyle w:val="Suchmarke"/>
        </w:rPr>
        <w:t>#11b#</w:t>
      </w:r>
      <w:bookmarkEnd w:id="65"/>
    </w:p>
    <w:p>
      <w:r>
        <w:rPr>
          <w:rStyle w:val="Satznummer"/>
        </w:rPr>
        <w:t>1</w:t>
      </w:r>
      <w:r>
        <w:t xml:space="preserve">Der Steuerpflichtige kann durch Zuschüsse aus öffentlichen Kassen nicht gedeckten Erhaltungsaufwand für ein im Inland belegenes Gebäude oder Gebäudeteil, das nach den jeweiligen landesrechtlichen Vorschriften ein Baudenkmal ist, auf zwei bis fünf Jahre gleichmäßig verteilen, soweit die Aufwendungen nach Art und Umfang zur Erhaltung des Gebäudes oder Gebäudeteils als Baudenkmal oder zu seiner sinnvollen Nutzung erforderlich und die Maßnahmen in Abstimmung mit der in </w:t>
      </w:r>
      <w:hyperlink w:anchor="b42" w:history="1">
        <w:r>
          <w:rPr>
            <w:color w:val="0A3A8C"/>
            <w:u w:val="single"/>
          </w:rPr>
          <w:t xml:space="preserve">§ 7i</w:t>
        </w:r>
      </w:hyperlink>
      <w:r>
        <w:t xml:space="preserve"> Absatz 2 bezeichneten Stelle vorgenommen worden sind. </w:t>
      </w:r>
      <w:r>
        <w:rPr>
          <w:rStyle w:val="Satznummer"/>
        </w:rPr>
        <w:t>2</w:t>
      </w:r>
      <w:r>
        <w:t xml:space="preserve">Durch Zuschüsse aus öffentlichen Kassen nicht gedeckten Erhaltungsaufwand für ein im Inland belegenes Gebäude oder Gebäudeteil, das für sich allein nicht die Voraussetzungen für ein Baudenkmal erfüllt, aber Teil einer Gebäudegruppe oder Gesamtanlage ist, die nach den jeweiligen landesrechtlichen Vorschriften als Einheit geschützt ist, kann der Steuerpflichtige auf zwei bis fünf Jahre gleichmäßig verteilen, soweit die Aufwendungen nach Art und Umfang zur Erhaltung des schützenswerten äußeren Erscheinungsbildes der Gebäudegruppe oder Gesamtanlage erforderlich und die Maßnahmen in Abstimmung mit der in </w:t>
      </w:r>
      <w:hyperlink w:anchor="b42" w:history="1">
        <w:r>
          <w:rPr>
            <w:color w:val="0A3A8C"/>
            <w:u w:val="single"/>
          </w:rPr>
          <w:t xml:space="preserve">§ 7i</w:t>
        </w:r>
      </w:hyperlink>
      <w:r>
        <w:t xml:space="preserve"> Absatz 2 bezeichneten Stelle vorgenommen worden sind. </w:t>
      </w:r>
      <w:r>
        <w:rPr>
          <w:rStyle w:val="Satznummer"/>
        </w:rPr>
        <w:t>3</w:t>
      </w:r>
      <w:hyperlink w:anchor="b41" w:history="1">
        <w:r>
          <w:rPr>
            <w:color w:val="0A3A8C"/>
            <w:u w:val="single"/>
          </w:rPr>
          <w:t xml:space="preserve">§ 7h</w:t>
        </w:r>
      </w:hyperlink>
      <w:r>
        <w:t xml:space="preserve"> Absatz 3 und </w:t>
      </w:r>
      <w:hyperlink w:anchor="b42" w:history="1">
        <w:r>
          <w:rPr>
            <w:color w:val="0A3A8C"/>
            <w:u w:val="single"/>
          </w:rPr>
          <w:t xml:space="preserve">§ 7i</w:t>
        </w:r>
      </w:hyperlink>
      <w:r>
        <w:t xml:space="preserve"> Absatz 1 Satz 2 und Absatz 2 sowie </w:t>
      </w:r>
      <w:hyperlink w:anchor="b63" w:history="1">
        <w:r>
          <w:rPr>
            <w:color w:val="0A3A8C"/>
            <w:u w:val="single"/>
          </w:rPr>
          <w:t xml:space="preserve">§ 11a</w:t>
        </w:r>
      </w:hyperlink>
      <w:r>
        <w:t xml:space="preserve"> Absatz 2 und 3 sind entsprechend anzuwenden.</w:t>
      </w:r>
    </w:p>
    <w:p>
      <w:pPr>
        <w:pStyle w:val="Heading2"/>
      </w:pPr>
      <w:bookmarkStart w:id="66" w:name="b65"/>
      <w:r>
        <w:t>7. Nicht abzugsfähige Ausgaben</w:t>
      </w:r>
      <w:bookmarkEnd w:id="66"/>
    </w:p>
    <w:p>
      <w:pPr>
        <w:pStyle w:val="Heading3"/>
      </w:pPr>
      <w:bookmarkStart w:id="67" w:name="b66"/>
      <w:r>
        <w:t>§ 12</w:t>
      </w:r>
      <w:r>
        <w:t xml:space="preserve"> </w:t>
      </w:r>
      <w:r>
        <w:rPr>
          <w:rStyle w:val="Suchmarke"/>
        </w:rPr>
        <w:t>#12#</w:t>
      </w:r>
      <w:bookmarkEnd w:id="67"/>
    </w:p>
    <w:p>
      <w:r>
        <w:t xml:space="preserve">Soweit in </w:t>
      </w:r>
      <w:hyperlink w:anchor="b51" w:history="1">
        <w:r>
          <w:rPr>
            <w:color w:val="0A3A8C"/>
            <w:u w:val="single"/>
          </w:rPr>
          <w:t xml:space="preserve">§ 10</w:t>
        </w:r>
      </w:hyperlink>
      <w:r>
        <w:t xml:space="preserve"> Absatz 1 Nummer 2 bis 5, 7 und 9 sowie Absatz 1a Nummer 1, den </w:t>
      </w:r>
      <w:hyperlink w:anchor="b52" w:history="1">
        <w:r>
          <w:rPr>
            <w:color w:val="0A3A8C"/>
            <w:u w:val="single"/>
          </w:rPr>
          <w:t xml:space="preserve">§§ 10a</w:t>
        </w:r>
      </w:hyperlink>
      <w:r>
        <w:t xml:space="preserve">, </w:t>
      </w:r>
      <w:hyperlink w:anchor="b53" w:history="1">
        <w:r>
          <w:rPr>
            <w:color w:val="0A3A8C"/>
            <w:u w:val="single"/>
          </w:rPr>
          <w:t xml:space="preserve">10b</w:t>
        </w:r>
      </w:hyperlink>
      <w:r>
        <w:t xml:space="preserve"> und den </w:t>
      </w:r>
      <w:hyperlink w:anchor="b112" w:history="1">
        <w:r>
          <w:rPr>
            <w:color w:val="0A3A8C"/>
            <w:u w:val="single"/>
          </w:rPr>
          <w:t xml:space="preserve">§§ 33</w:t>
        </w:r>
      </w:hyperlink>
      <w:r>
        <w:t xml:space="preserve"> bis </w:t>
      </w:r>
      <w:hyperlink w:anchor="b114" w:history="1">
        <w:r>
          <w:rPr>
            <w:color w:val="0A3A8C"/>
            <w:u w:val="single"/>
          </w:rPr>
          <w:t xml:space="preserve">33b</w:t>
        </w:r>
      </w:hyperlink>
      <w:r>
        <w:t xml:space="preserve"> nichts anderes bestimmt ist, dürfen weder bei den einzelnen Einkunftsarten noch vom Gesamtbetrag der Einkünfte abgezogen werden</w:t>
      </w:r>
    </w:p>
    <w:p>
      <w:pPr>
        <w:tabs>
          <w:tab w:pos="567" w:val="left"/>
        </w:tabs>
        <w:ind w:left="567" w:hanging="567"/>
      </w:pPr>
      <w:r>
        <w:t>1.</w:t>
      </w:r>
      <w:r>
        <w:tab/>
      </w:r>
      <w:r>
        <w:t xml:space="preserve">die für den Haushalt des Steuerpflichtigen und für den Unterhalt seiner Familienangehörigen aufgewendeten Beträge. </w:t>
      </w:r>
      <w:r>
        <w:rPr>
          <w:rStyle w:val="Satznummer"/>
        </w:rPr>
        <w:t>2</w:t>
      </w:r>
      <w:r>
        <w:t>Dazu gehören auch die Aufwendungen für die Lebensführung, die die wirtschaftliche oder gesellschaftliche Stellung des Steuerpflichtigen mit sich bringt, auch wenn sie zur Förderung des Berufs oder der Tätigkeit des Steuerpflichtigen erfolgen;</w:t>
      </w:r>
    </w:p>
    <w:p>
      <w:pPr>
        <w:tabs>
          <w:tab w:pos="567" w:val="left"/>
        </w:tabs>
        <w:ind w:left="567" w:hanging="567"/>
      </w:pPr>
      <w:r>
        <w:t>2.</w:t>
      </w:r>
      <w:r>
        <w:tab/>
      </w:r>
      <w:r>
        <w:t>freiwillige Zuwendungen, Zuwendungen auf Grund einer freiwillig begründeten Rechtspflicht und Zuwendungen an eine gegenüber dem Steuerpflichtigen oder seinem Ehegatten gesetzlich unterhaltsberechtigte Person oder deren Ehegatten, auch wenn diese Zuwendungen auf einer besonderen Vereinbarung beruhen;</w:t>
      </w:r>
    </w:p>
    <w:p>
      <w:pPr>
        <w:tabs>
          <w:tab w:pos="567" w:val="left"/>
        </w:tabs>
        <w:ind w:left="567" w:hanging="567"/>
      </w:pPr>
      <w:r>
        <w:t>3.</w:t>
      </w:r>
      <w:r>
        <w:tab/>
      </w:r>
      <w:r>
        <w:t xml:space="preserve">die Steuern vom Einkommen und sonstige Personensteuern sowie die Umsatzsteuer für Umsätze, die Entnahmen sind, und die Vorsteuerbeträge auf Aufwendungen, für die das Abzugsverbot der Nummer 1 oder des </w:t>
      </w:r>
      <w:hyperlink w:anchor="b13" w:history="1">
        <w:r>
          <w:rPr>
            <w:color w:val="0A3A8C"/>
            <w:u w:val="single"/>
          </w:rPr>
          <w:t xml:space="preserve">§ 4</w:t>
        </w:r>
      </w:hyperlink>
      <w:r>
        <w:t xml:space="preserve"> Absatz 5 Satz 1 Nummer 1 bis 5, 7 oder Absatz 7 gilt; das gilt auch für die auf diese Steuern entfallenden Nebenleistungen;</w:t>
      </w:r>
    </w:p>
    <w:p>
      <w:pPr>
        <w:tabs>
          <w:tab w:pos="567" w:val="left"/>
        </w:tabs>
        <w:ind w:left="567" w:hanging="567"/>
      </w:pPr>
      <w:r>
        <w:t>4.</w:t>
      </w:r>
      <w:r>
        <w:tab/>
      </w:r>
      <w:r>
        <w:t>in einem Strafverfahren festgesetzte Geldstrafen, sonstige Rechtsfolgen vermögensrechtlicher Art, bei denen der Strafcharakter überwiegt, und Leistungen zur Erfüllung von Auflagen oder Weisungen, soweit die Auflagen oder Weisungen nicht lediglich der Wiedergutmachung des durch die Tat verursachten Schadens dienen sowie damit zusammenhängende Aufwendungen;</w:t>
      </w:r>
    </w:p>
    <w:p>
      <w:pPr>
        <w:tabs>
          <w:tab w:pos="567" w:val="left"/>
        </w:tabs>
        <w:ind w:left="567" w:hanging="567"/>
      </w:pPr>
      <w:r>
        <w:t>5.</w:t>
      </w:r>
      <w:r>
        <w:tab/>
      </w:r>
      <w:r>
        <w:t>(weggefallen)</w:t>
      </w:r>
    </w:p>
    <w:p>
      <w:pPr>
        <w:pStyle w:val="Heading2"/>
      </w:pPr>
      <w:bookmarkStart w:id="68" w:name="b67"/>
      <w:r>
        <w:t>8. Die einzelnen Einkunftsarten</w:t>
      </w:r>
      <w:bookmarkEnd w:id="68"/>
    </w:p>
    <w:p>
      <w:pPr>
        <w:pStyle w:val="Heading3"/>
      </w:pPr>
      <w:bookmarkStart w:id="69" w:name="b68"/>
      <w:r>
        <w:t>a) Land- und Forstwirtschaft (§ 2 Absatz 1 Satz 1 Nummer 1)</w:t>
      </w:r>
      <w:bookmarkEnd w:id="69"/>
    </w:p>
    <w:p>
      <w:pPr>
        <w:pStyle w:val="Heading4"/>
      </w:pPr>
      <w:bookmarkStart w:id="70" w:name="b69"/>
      <w:r>
        <w:t>§ 13 Einkünfte aus Land- und Forstwirtschaft</w:t>
      </w:r>
      <w:r>
        <w:t xml:space="preserve"> </w:t>
      </w:r>
      <w:r>
        <w:rPr>
          <w:rStyle w:val="Suchmarke"/>
        </w:rPr>
        <w:t>#13#</w:t>
      </w:r>
      <w:bookmarkEnd w:id="70"/>
    </w:p>
    <w:p>
      <w:r>
        <w:t>(1) Einkünfte aus Land- und Forstwirtschaft sind</w:t>
      </w:r>
    </w:p>
    <w:p>
      <w:pPr>
        <w:tabs>
          <w:tab w:pos="567" w:val="left"/>
        </w:tabs>
        <w:ind w:left="567" w:hanging="567"/>
      </w:pPr>
      <w:r>
        <w:t>1.</w:t>
      </w:r>
      <w:r>
        <w:tab/>
      </w:r>
      <w:r>
        <w:t xml:space="preserve">Einkünfte aus dem Betrieb von Landwirtschaft, Forstwirtschaft, Weinbau, Gartenbau und aus allen Betrieben, die Pflanzen und Pflanzenteile mit Hilfe der Naturkräfte gewinnen. </w:t>
      </w:r>
      <w:r>
        <w:rPr>
          <w:rStyle w:val="Satznummer"/>
        </w:rPr>
        <w:t>2</w:t>
      </w:r>
      <w:r>
        <w:t>Zu diesen Einkünften gehören auch die Einkünfte aus der Tierzucht und Tierhaltung, wenn im Wirtschaftsjahr</w:t>
      </w:r>
    </w:p>
    <w:tbl>
      <w:tblPr>
        <w:tblStyle w:val="TableGrid"/>
        <w:tblW w:type="pct" w:w="5000"/>
        <w:tblLook w:firstColumn="1" w:firstRow="1" w:lastColumn="0" w:lastRow="0" w:noHBand="0" w:noVBand="1" w:val="04A0"/>
        <w:tblCaption w:val="Tabelle 1 zu § 13"/>
      </w:tblPr>
      <w:tblGrid>
        <w:gridCol w:w="4703"/>
        <w:gridCol w:w="4703"/>
      </w:tblGrid>
      <w:tr>
        <w:trPr>
          <w:cantSplit/>
        </w:trPr>
        <w:tc>
          <w:tcPr>
            <w:tcW w:type="dxa" w:w="4703"/>
          </w:tcPr>
          <w:p>
            <w:r>
              <w:t>für die ersten</w:t>
            </w:r>
            <w:r>
              <w:br/>
            </w:r>
            <w:r>
              <w:t>20 Hektar</w:t>
            </w:r>
          </w:p>
        </w:tc>
        <w:tc>
          <w:tcPr>
            <w:tcW w:type="dxa" w:w="4703"/>
          </w:tcPr>
          <w:p>
            <w:r>
              <w:t>nicht mehr als 10 Vieheinheiten,</w:t>
            </w:r>
          </w:p>
        </w:tc>
      </w:tr>
      <w:tr>
        <w:trPr>
          <w:cantSplit/>
        </w:trPr>
        <w:tc>
          <w:tcPr>
            <w:tcW w:type="dxa" w:w="4703"/>
          </w:tcPr>
          <w:p>
            <w:r>
              <w:t>für die nächsten</w:t>
            </w:r>
            <w:r>
              <w:br/>
            </w:r>
            <w:r>
              <w:t>10 Hektar</w:t>
            </w:r>
          </w:p>
        </w:tc>
        <w:tc>
          <w:tcPr>
            <w:tcW w:type="dxa" w:w="4703"/>
          </w:tcPr>
          <w:p>
            <w:r>
              <w:t>nicht mehr als 7 Vieheinheiten,</w:t>
            </w:r>
          </w:p>
        </w:tc>
      </w:tr>
      <w:tr>
        <w:trPr>
          <w:cantSplit/>
        </w:trPr>
        <w:tc>
          <w:tcPr>
            <w:tcW w:type="dxa" w:w="4703"/>
          </w:tcPr>
          <w:p>
            <w:r>
              <w:t>für die nächsten</w:t>
            </w:r>
            <w:r>
              <w:br/>
            </w:r>
            <w:r>
              <w:t>20 Hektar</w:t>
            </w:r>
          </w:p>
        </w:tc>
        <w:tc>
          <w:tcPr>
            <w:tcW w:type="dxa" w:w="4703"/>
          </w:tcPr>
          <w:p>
            <w:r>
              <w:t>nicht mehr als 6 Vieheinheiten,</w:t>
            </w:r>
          </w:p>
        </w:tc>
      </w:tr>
      <w:tr>
        <w:trPr>
          <w:cantSplit/>
        </w:trPr>
        <w:tc>
          <w:tcPr>
            <w:tcW w:type="dxa" w:w="4703"/>
          </w:tcPr>
          <w:p>
            <w:r>
              <w:t>für die nächsten</w:t>
            </w:r>
            <w:r>
              <w:br/>
            </w:r>
            <w:r>
              <w:t>50 Hektar</w:t>
            </w:r>
          </w:p>
        </w:tc>
        <w:tc>
          <w:tcPr>
            <w:tcW w:type="dxa" w:w="4703"/>
          </w:tcPr>
          <w:p>
            <w:r>
              <w:t>nicht mehr als 3 Vieheinheiten</w:t>
            </w:r>
          </w:p>
        </w:tc>
      </w:tr>
      <w:tr>
        <w:trPr>
          <w:cantSplit/>
        </w:trPr>
        <w:tc>
          <w:tcPr>
            <w:tcW w:type="dxa" w:w="4703"/>
          </w:tcPr>
          <w:p>
            <w:r>
              <w:t>und für die weitere</w:t>
            </w:r>
            <w:r>
              <w:br/>
            </w:r>
            <w:r>
              <w:t>Fläche</w:t>
            </w:r>
          </w:p>
        </w:tc>
        <w:tc>
          <w:tcPr>
            <w:tcW w:type="dxa" w:w="4703"/>
          </w:tcPr>
          <w:p>
            <w:r>
              <w:t>nicht mehr als 1,5 Vieheinheiten</w:t>
            </w:r>
          </w:p>
        </w:tc>
      </w:tr>
    </w:tbl>
    <w:p>
      <w:pPr>
        <w:spacing w:after="0"/>
      </w:pPr>
    </w:p>
    <w:p>
      <w:pPr>
        <w:ind w:left="567"/>
      </w:pPr>
      <w:r>
        <w:t xml:space="preserve">je Hektar der vom Inhaber des Betriebs regelmäßig landwirtschaftlich genutzten Fläche erzeugt oder gehalten werden. </w:t>
      </w:r>
      <w:r>
        <w:rPr>
          <w:rStyle w:val="Satznummer"/>
        </w:rPr>
        <w:t>3</w:t>
      </w:r>
      <w:r>
        <w:t xml:space="preserve">Die Tierbestände sind nach dem Futterbedarf in Vieheinheiten umzurechnen. </w:t>
      </w:r>
      <w:r>
        <w:rPr>
          <w:rStyle w:val="Satznummer"/>
        </w:rPr>
        <w:t>4</w:t>
      </w:r>
      <w:r>
        <w:t xml:space="preserve">§ 241 Absatz 2 bis 5 des Bewertungsgesetzes ist anzuwenden. </w:t>
      </w:r>
      <w:r>
        <w:rPr>
          <w:rStyle w:val="Satznummer"/>
        </w:rPr>
        <w:t>5</w:t>
      </w:r>
      <w:r>
        <w:t xml:space="preserve">Die Einkünfte aus Tierzucht und Tierhaltung einer Gesellschaft, bei der die Gesellschafter als Unternehmer (Mitunternehmer) anzusehen sind, gehören zu den Einkünften im Sinne des Satzes 1, wenn die Voraussetzungen des </w:t>
      </w:r>
      <w:hyperlink w:anchor="b71" w:history="1">
        <w:r>
          <w:rPr>
            <w:color w:val="0A3A8C"/>
            <w:u w:val="single"/>
          </w:rPr>
          <w:t xml:space="preserve">§ 13b</w:t>
        </w:r>
      </w:hyperlink>
      <w:r>
        <w:t xml:space="preserve"> erfüllt sind und andere Einkünfte der Gesellschafter aus dieser Gesellschaft zu den Einkünften aus Land- und Forstwirtschaft gehören;</w:t>
      </w:r>
    </w:p>
    <w:p>
      <w:pPr>
        <w:tabs>
          <w:tab w:pos="567" w:val="left"/>
        </w:tabs>
        <w:ind w:left="567" w:hanging="567"/>
      </w:pPr>
      <w:r>
        <w:t>2.</w:t>
      </w:r>
      <w:r>
        <w:tab/>
      </w:r>
      <w:r>
        <w:t>Einkünfte aus sonstiger land- und forstwirtschaftlicher Nutzung (§ 242 des Bewertungsgesetzes);</w:t>
      </w:r>
    </w:p>
    <w:p>
      <w:pPr>
        <w:tabs>
          <w:tab w:pos="567" w:val="left"/>
        </w:tabs>
        <w:ind w:left="567" w:hanging="567"/>
      </w:pPr>
      <w:r>
        <w:t>3.</w:t>
      </w:r>
      <w:r>
        <w:tab/>
      </w:r>
      <w:r>
        <w:t>Einkünfte aus Jagd, wenn diese mit dem Betrieb einer Landwirtschaft oder einer Forstwirtschaft im Zusammenhang steht;</w:t>
      </w:r>
    </w:p>
    <w:p>
      <w:pPr>
        <w:tabs>
          <w:tab w:pos="567" w:val="left"/>
        </w:tabs>
        <w:ind w:left="567" w:hanging="567"/>
      </w:pPr>
      <w:r>
        <w:t>4.</w:t>
      </w:r>
      <w:r>
        <w:tab/>
      </w:r>
      <w:r>
        <w:t>Einkünfte von Hauberg-, Wald-, Forst- und Laubgenossenschaften und ähnlichen Realgemeinden im Sinne des § 3 Absatz 2 des Körperschaftsteuergesetzes.</w:t>
      </w:r>
    </w:p>
    <w:p>
      <w:r>
        <w:t>(2) Zu den Einkünften im Sinne des Absatzes 1 gehören auch</w:t>
      </w:r>
    </w:p>
    <w:p>
      <w:pPr>
        <w:tabs>
          <w:tab w:pos="567" w:val="left"/>
        </w:tabs>
        <w:ind w:left="567" w:hanging="567"/>
      </w:pPr>
      <w:r>
        <w:t>1.</w:t>
      </w:r>
      <w:r>
        <w:tab/>
      </w:r>
      <w:r>
        <w:t xml:space="preserve">Einkünfte aus einem land- und forstwirtschaftlichen Nebenbetrieb. </w:t>
      </w:r>
      <w:r>
        <w:rPr>
          <w:rStyle w:val="Satznummer"/>
        </w:rPr>
        <w:t>2</w:t>
      </w:r>
      <w:r>
        <w:t>Als Nebenbetrieb gilt ein Betrieb, der dem land- und forstwirtschaftlichen Hauptbetrieb zu dienen bestimmt ist;</w:t>
      </w:r>
    </w:p>
    <w:p>
      <w:pPr>
        <w:tabs>
          <w:tab w:pos="567" w:val="left"/>
        </w:tabs>
        <w:ind w:left="567" w:hanging="567"/>
      </w:pPr>
      <w:r>
        <w:t>2.</w:t>
      </w:r>
      <w:r>
        <w:tab/>
      </w:r>
      <w:r>
        <w:t>der Nutzungswert der Wohnung des Steuerpflichtigen, wenn die Wohnung die bei Betrieben gleicher Art übliche Größe nicht überschreitet und das Gebäude oder der Gebäudeteil nach den jeweiligen landesrechtlichen Vorschriften ein Baudenkmal ist;</w:t>
      </w:r>
    </w:p>
    <w:p>
      <w:pPr>
        <w:tabs>
          <w:tab w:pos="567" w:val="left"/>
        </w:tabs>
        <w:ind w:left="567" w:hanging="567"/>
      </w:pPr>
      <w:r>
        <w:t>3.</w:t>
      </w:r>
      <w:r>
        <w:tab/>
      </w:r>
      <w:r>
        <w:t>die Produktionsaufgaberente nach dem Gesetz zur Förderung der Einstellung der landwirtschaftlichen Erwerbstätigkeit.</w:t>
      </w:r>
    </w:p>
    <w:p>
      <w:r>
        <w:t xml:space="preserve">(3) </w:t>
      </w:r>
      <w:r>
        <w:rPr>
          <w:rStyle w:val="Satznummer"/>
        </w:rPr>
        <w:t>1</w:t>
      </w:r>
      <w:r>
        <w:t xml:space="preserve">Die Einkünfte aus Land- und Forstwirtschaft werden bei der Ermittlung des Gesamtbetrags der Einkünfte nur berücksichtigt, soweit sie den Betrag von 900 Euro übersteigen. </w:t>
      </w:r>
      <w:r>
        <w:rPr>
          <w:rStyle w:val="Satznummer"/>
        </w:rPr>
        <w:t>2</w:t>
      </w:r>
      <w:r>
        <w:t xml:space="preserve">Satz 1 ist nur anzuwenden, wenn die Summe der Einkünfte 30 700 Euro nicht übersteigt. </w:t>
      </w:r>
      <w:r>
        <w:rPr>
          <w:rStyle w:val="Satznummer"/>
        </w:rPr>
        <w:t>3</w:t>
      </w:r>
      <w:r>
        <w:t>Im Fall der Zusammenveranlagung von Ehegatten verdoppeln sich die Beträge der Sätze 1 und 2.</w:t>
      </w:r>
    </w:p>
    <w:p>
      <w:r>
        <w:t xml:space="preserve">(4) </w:t>
      </w:r>
      <w:r>
        <w:rPr>
          <w:rStyle w:val="Satznummer"/>
        </w:rPr>
        <w:t>1</w:t>
      </w:r>
      <w:r>
        <w:t xml:space="preserve">Absatz 2 Nummer 2 findet nur Anwendung, sofern im Veranlagungszeitraum 1986 bei einem Steuerpflichtigen für die von ihm zu eigenen Wohnzwecken oder zu Wohnzwecken des Altenteilers genutzte Wohnung die Voraussetzungen für die Anwendung des § 13 Absatz 2 Nummer 2 des Einkommensteuergesetzes in der Fassung der Bekanntmachung vom 16. April 1997 (BGBl. I S. 821) vorlagen. </w:t>
      </w:r>
      <w:r>
        <w:rPr>
          <w:rStyle w:val="Satznummer"/>
        </w:rPr>
        <w:t>2</w:t>
      </w:r>
      <w:r>
        <w:t xml:space="preserve">Der Steuerpflichtige kann für einen Veranlagungszeitraum nach dem Veranlagungszeitraum 1998 unwiderruflich beantragen, dass Absatz 2 Nummer 2 ab diesem Veranlagungszeitraum nicht mehr angewendet wird. </w:t>
      </w:r>
      <w:r>
        <w:rPr>
          <w:rStyle w:val="Satznummer"/>
        </w:rPr>
        <w:t>3</w:t>
      </w:r>
      <w:r>
        <w:t xml:space="preserve">§ 52 Absatz 21 Satz 4 und 6 des Einkommensteuergesetzes in der Fassung der Bekanntmachung vom 16. April 1997 (BGBl. I S. 821) ist entsprechend anzuwenden. </w:t>
      </w:r>
      <w:r>
        <w:rPr>
          <w:rStyle w:val="Satznummer"/>
        </w:rPr>
        <w:t>4</w:t>
      </w:r>
      <w:r>
        <w:t xml:space="preserve">Im Fall des Satzes 2 gelten die Wohnung des Steuerpflichtigen und die Altenteilerwohnung sowie der dazugehörende Grund und Boden zu dem Zeitpunkt als entnommen, bis zu dem Absatz 2 Nummer 2 letztmals angewendet wird. </w:t>
      </w:r>
      <w:r>
        <w:rPr>
          <w:rStyle w:val="Satznummer"/>
        </w:rPr>
        <w:t>5</w:t>
      </w:r>
      <w:r>
        <w:t xml:space="preserve">Der Entnahmegewinn bleibt außer Ansatz. </w:t>
      </w:r>
      <w:r>
        <w:rPr>
          <w:rStyle w:val="Satznummer"/>
        </w:rPr>
        <w:t>6</w:t>
      </w:r>
      <w:r>
        <w:t>Werden</w:t>
      </w:r>
    </w:p>
    <w:p>
      <w:pPr>
        <w:tabs>
          <w:tab w:pos="567" w:val="left"/>
        </w:tabs>
        <w:ind w:left="567" w:hanging="567"/>
      </w:pPr>
      <w:r>
        <w:t>1.</w:t>
      </w:r>
      <w:r>
        <w:tab/>
      </w:r>
      <w:r>
        <w:t>die Wohnung und der dazugehörende Grund und Boden entnommen oder veräußert, bevor sie nach Satz 4 als entnommen gelten, oder</w:t>
      </w:r>
    </w:p>
    <w:p>
      <w:pPr>
        <w:tabs>
          <w:tab w:pos="567" w:val="left"/>
        </w:tabs>
        <w:ind w:left="567" w:hanging="567"/>
      </w:pPr>
      <w:r>
        <w:t>2.</w:t>
      </w:r>
      <w:r>
        <w:tab/>
      </w:r>
      <w:r>
        <w:t>eine vor dem 1. Januar 1987 einem Dritten entgeltlich zur Nutzung überlassene Wohnung und der dazugehörende Grund und Boden für eigene Wohnzwecke oder für Wohnzwecke eines Altenteilers entnommen,</w:t>
      </w:r>
    </w:p>
    <w:p>
      <w:r>
        <w:t>bleibt der Entnahme- oder Veräußerungsgewinn ebenfalls außer Ansatz; Nummer 2 ist nur anzuwenden, soweit nicht Wohnungen vorhanden sind, die Wohnzwecken des Eigentümers des Betriebs oder Wohnzwecken eines Altenteilers dienen und die unter Satz 4 oder unter Nummer 1 fallen.</w:t>
      </w:r>
    </w:p>
    <w:p>
      <w:r>
        <w:t>(5) Wird Grund und Boden dadurch entnommen, dass auf diesem Grund und Boden die Wohnung des Steuerpflichtigen oder eine Altenteilerwohnung errichtet wird, bleibt der Entnahmegewinn außer Ansatz; der Steuerpflichtige kann die Regelung nur für eine zu eigenen Wohnzwecken genutzte Wohnung und für eine Altenteilerwohnung in Anspruch nehmen.</w:t>
      </w:r>
    </w:p>
    <w:p>
      <w:r>
        <w:t xml:space="preserve">(6) </w:t>
      </w:r>
      <w:r>
        <w:rPr>
          <w:rStyle w:val="Satznummer"/>
        </w:rPr>
        <w:t>1</w:t>
      </w:r>
      <w:r>
        <w:t xml:space="preserve">Werden einzelne Wirtschaftsgüter eines land- und forstwirtschaftlichen Betriebs auf einen der gemeinschaftlichen Tierhaltung dienenden Betrieb im Sinne des § 13b einer Genossenschaft oder eines Vereins gegen Gewährung von Mitgliedsrechten übertragen, so ist die auf den dabei entstehenden Gewinn entfallende Einkommensteuer auf Antrag in jährlichen Teilbeträgen zu entrichten. </w:t>
      </w:r>
      <w:r>
        <w:rPr>
          <w:rStyle w:val="Satznummer"/>
        </w:rPr>
        <w:t>2</w:t>
      </w:r>
      <w:r>
        <w:t>Der einzelne Teilbetrag muss mindestens ein Fünftel dieser Steuer betragen.</w:t>
      </w:r>
    </w:p>
    <w:p>
      <w:r>
        <w:t xml:space="preserve">(7) </w:t>
      </w:r>
      <w:hyperlink w:anchor="b75" w:history="1">
        <w:r>
          <w:rPr>
            <w:color w:val="0A3A8C"/>
            <w:u w:val="single"/>
          </w:rPr>
          <w:t xml:space="preserve">§ 15</w:t>
        </w:r>
      </w:hyperlink>
      <w:r>
        <w:t xml:space="preserve"> Absatz 1 Satz 1 Nummer 2, Absatz 1a, Absatz 2 Satz 2 und 3, </w:t>
      </w:r>
      <w:hyperlink w:anchor="b76" w:history="1">
        <w:r>
          <w:rPr>
            <w:color w:val="0A3A8C"/>
            <w:u w:val="single"/>
          </w:rPr>
          <w:t xml:space="preserve">§§ 15a</w:t>
        </w:r>
      </w:hyperlink>
      <w:r>
        <w:t xml:space="preserve"> und </w:t>
      </w:r>
      <w:hyperlink w:anchor="b77" w:history="1">
        <w:r>
          <w:rPr>
            <w:color w:val="0A3A8C"/>
            <w:u w:val="single"/>
          </w:rPr>
          <w:t xml:space="preserve">15b</w:t>
        </w:r>
      </w:hyperlink>
      <w:r>
        <w:t xml:space="preserve"> sind entsprechend anzuwenden.</w:t>
      </w:r>
    </w:p>
    <w:p>
      <w:pPr>
        <w:pStyle w:val="Heading4"/>
      </w:pPr>
      <w:bookmarkStart w:id="71" w:name="b70"/>
      <w:r>
        <w:t>§ 13a Ermittlung des Gewinns aus Land- und Forstwirtschaft nach Durchschnittssätzen</w:t>
      </w:r>
      <w:r>
        <w:t xml:space="preserve"> </w:t>
      </w:r>
      <w:r>
        <w:rPr>
          <w:rStyle w:val="Suchmarke"/>
        </w:rPr>
        <w:t>#13a#</w:t>
      </w:r>
      <w:bookmarkEnd w:id="71"/>
    </w:p>
    <w:p>
      <w:r>
        <w:t xml:space="preserve">(1) </w:t>
      </w:r>
      <w:r>
        <w:rPr>
          <w:rStyle w:val="Satznummer"/>
        </w:rPr>
        <w:t>1</w:t>
      </w:r>
      <w:r>
        <w:t>Der Gewinn eines Betriebs der Land- und Forstwirtschaft ist nach den Absätzen 3 bis 7 zu ermitteln, wenn</w:t>
      </w:r>
    </w:p>
    <w:p>
      <w:pPr>
        <w:tabs>
          <w:tab w:pos="567" w:val="left"/>
        </w:tabs>
        <w:ind w:left="567" w:hanging="567"/>
      </w:pPr>
      <w:r>
        <w:t>1.</w:t>
      </w:r>
      <w:r>
        <w:tab/>
      </w:r>
      <w:r>
        <w:t>der Steuerpflichtige nicht auf Grund gesetzlicher Vorschriften verpflichtet ist, für den Betrieb Bücher zu führen und regelmäßig Abschlüsse zu machen und</w:t>
      </w:r>
    </w:p>
    <w:p>
      <w:pPr>
        <w:tabs>
          <w:tab w:pos="567" w:val="left"/>
        </w:tabs>
        <w:ind w:left="567" w:hanging="567"/>
      </w:pPr>
      <w:r>
        <w:t>2.</w:t>
      </w:r>
      <w:r>
        <w:tab/>
      </w:r>
      <w:r>
        <w:t>in diesem Betrieb am 15. Mai innerhalb des Wirtschaftsjahres Flächen der landwirtschaftlichen Nutzung (§ 160 Absatz 2 Satz 1 Nummer 1 Buchstabe a des Bewertungsgesetzes) selbst bewirtschaftet werden und diese Flächen 20 Hektar ohne Sondernutzungen nicht überschreiten und</w:t>
      </w:r>
    </w:p>
    <w:p>
      <w:pPr>
        <w:tabs>
          <w:tab w:pos="567" w:val="left"/>
        </w:tabs>
        <w:ind w:left="567" w:hanging="567"/>
      </w:pPr>
      <w:r>
        <w:t>3.</w:t>
      </w:r>
      <w:r>
        <w:tab/>
      </w:r>
      <w:r>
        <w:t>die Tierbestände insgesamt 50 Vieheinheiten (</w:t>
      </w:r>
      <w:hyperlink w:anchor="b69" w:history="1">
        <w:r>
          <w:rPr>
            <w:color w:val="0A3A8C"/>
            <w:u w:val="single"/>
          </w:rPr>
          <w:t xml:space="preserve">§ 13</w:t>
        </w:r>
      </w:hyperlink>
      <w:r>
        <w:t xml:space="preserve"> Absatz 1 Nummer 1) nicht übersteigen und</w:t>
      </w:r>
    </w:p>
    <w:p>
      <w:pPr>
        <w:tabs>
          <w:tab w:pos="567" w:val="left"/>
        </w:tabs>
        <w:ind w:left="567" w:hanging="567"/>
      </w:pPr>
      <w:r>
        <w:t>4.</w:t>
      </w:r>
      <w:r>
        <w:tab/>
      </w:r>
      <w:r>
        <w:t>die selbst bewirtschafteten Flächen der forstwirtschaftlichen Nutzung (§ 160 Absatz 2 Satz 1 Nummer 1 Buchstabe b des Bewertungsgesetzes) 50 Hektar nicht überschreiten und</w:t>
      </w:r>
    </w:p>
    <w:p>
      <w:pPr>
        <w:tabs>
          <w:tab w:pos="567" w:val="left"/>
        </w:tabs>
        <w:ind w:left="567" w:hanging="567"/>
      </w:pPr>
      <w:r>
        <w:t>5.</w:t>
      </w:r>
      <w:r>
        <w:tab/>
      </w:r>
      <w:r>
        <w:t>die selbst bewirtschafteten Flächen der Sondernutzungen (Absatz 6) die in Anlage 1a Nummer 2 Spalte 2 genannten Grenzen nicht überschreiten.</w:t>
      </w:r>
    </w:p>
    <w:p>
      <w:r>
        <w:rPr>
          <w:rStyle w:val="Satznummer"/>
        </w:rPr>
        <w:t>2</w:t>
      </w:r>
      <w:r>
        <w:t xml:space="preserve">Satz 1 ist auch anzuwenden, wenn nur Sondernutzungen bewirtschaftet werden und die in Anlage 1a Nummer 2 Spalte 2 genannten Grenzen nicht überschritten werden. </w:t>
      </w:r>
      <w:r>
        <w:rPr>
          <w:rStyle w:val="Satznummer"/>
        </w:rPr>
        <w:t>3</w:t>
      </w:r>
      <w:r>
        <w:t xml:space="preserve">Die Sätze 1 und 2 gelten nicht, wenn der Betrieb im laufenden Wirtschaftsjahr im Ganzen zur Bewirtschaftung als Eigentümer, Miteigentümer, Nutzungsberechtigter oder durch Umwandlung übergegangen ist und der Gewinn bisher nach </w:t>
      </w:r>
      <w:hyperlink w:anchor="b13" w:history="1">
        <w:r>
          <w:rPr>
            <w:color w:val="0A3A8C"/>
            <w:u w:val="single"/>
          </w:rPr>
          <w:t xml:space="preserve">§ 4</w:t>
        </w:r>
      </w:hyperlink>
      <w:r>
        <w:t xml:space="preserve"> Absatz 1 oder 3 ermittelt wurde. </w:t>
      </w:r>
      <w:r>
        <w:rPr>
          <w:rStyle w:val="Satznummer"/>
        </w:rPr>
        <w:t>4</w:t>
      </w:r>
      <w:r>
        <w:t xml:space="preserve">Der Gewinn ist letztmalig für das Wirtschaftsjahr nach Durchschnittssätzen zu ermitteln, das nach Bekanntgabe der Mitteilung endet, durch die die Finanzbehörde auf den Beginn der Buchführungspflicht (§ 141 Absatz 2 der Abgabenordnung) oder auf den Wegfall einer anderen Voraussetzung des Satzes 1 hingewiesen hat. </w:t>
      </w:r>
      <w:r>
        <w:rPr>
          <w:rStyle w:val="Satznummer"/>
        </w:rPr>
        <w:t>5</w:t>
      </w:r>
      <w:r>
        <w:t>Der Gewinn ist erneut nach Durchschnittssätzen zu ermitteln, wenn die Voraussetzungen des Satzes 1 wieder vorliegen und ein Antrag nach Absatz 2 nicht gestellt wird.</w:t>
      </w:r>
    </w:p>
    <w:p>
      <w:r>
        <w:t xml:space="preserve">(2) </w:t>
      </w:r>
      <w:r>
        <w:rPr>
          <w:rStyle w:val="Satznummer"/>
        </w:rPr>
        <w:t>1</w:t>
      </w:r>
      <w:r>
        <w:t xml:space="preserve">Auf Antrag des Steuerpflichtigen ist für einen Betrieb im Sinne des Absatzes 1 der Gewinn für vier aufeinander folgende Wirtschaftsjahre nicht nach den Absätzen 3 bis 7 zu ermitteln. </w:t>
      </w:r>
      <w:r>
        <w:rPr>
          <w:rStyle w:val="Satznummer"/>
        </w:rPr>
        <w:t>2</w:t>
      </w:r>
      <w:r>
        <w:t xml:space="preserve">Wird der Gewinn eines dieser Wirtschaftsjahre durch den Steuerpflichtigen nicht nach </w:t>
      </w:r>
      <w:hyperlink w:anchor="b13" w:history="1">
        <w:r>
          <w:rPr>
            <w:color w:val="0A3A8C"/>
            <w:u w:val="single"/>
          </w:rPr>
          <w:t xml:space="preserve">§ 4</w:t>
        </w:r>
      </w:hyperlink>
      <w:r>
        <w:t xml:space="preserve"> Absatz 1 oder 3 ermittelt, ist der Gewinn für den gesamten Zeitraum von vier Wirtschaftsjahren nach den Absätzen 3 bis 7 zu ermitteln. </w:t>
      </w:r>
      <w:r>
        <w:rPr>
          <w:rStyle w:val="Satznummer"/>
        </w:rPr>
        <w:t>3</w:t>
      </w:r>
      <w:r>
        <w:t xml:space="preserve">Der Antrag ist bis zur Abgabe der Steuererklärung, jedoch spätestens zwölf Monate nach Ablauf des ersten Wirtschaftsjahres, auf das er sich bezieht, schriftlich zu stellen. </w:t>
      </w:r>
      <w:r>
        <w:rPr>
          <w:rStyle w:val="Satznummer"/>
        </w:rPr>
        <w:t>4</w:t>
      </w:r>
      <w:r>
        <w:t>Er kann innerhalb dieser Frist zurückgenommen werden.</w:t>
      </w:r>
    </w:p>
    <w:p>
      <w:r>
        <w:t xml:space="preserve">(3) </w:t>
      </w:r>
      <w:r>
        <w:rPr>
          <w:rStyle w:val="Satznummer"/>
        </w:rPr>
        <w:t>1</w:t>
      </w:r>
      <w:r>
        <w:t>Durchschnittssatzgewinn ist die Summe aus</w:t>
      </w:r>
    </w:p>
    <w:p>
      <w:pPr>
        <w:tabs>
          <w:tab w:pos="567" w:val="left"/>
        </w:tabs>
        <w:ind w:left="567" w:hanging="567"/>
      </w:pPr>
      <w:r>
        <w:t>1.</w:t>
      </w:r>
      <w:r>
        <w:tab/>
      </w:r>
      <w:r>
        <w:t>dem Gewinn der landwirtschaftlichen Nutzung,</w:t>
      </w:r>
    </w:p>
    <w:p>
      <w:pPr>
        <w:tabs>
          <w:tab w:pos="567" w:val="left"/>
        </w:tabs>
        <w:ind w:left="567" w:hanging="567"/>
      </w:pPr>
      <w:r>
        <w:t>2.</w:t>
      </w:r>
      <w:r>
        <w:tab/>
      </w:r>
      <w:r>
        <w:t>dem Gewinn der forstwirtschaftlichen Nutzung,</w:t>
      </w:r>
    </w:p>
    <w:p>
      <w:pPr>
        <w:tabs>
          <w:tab w:pos="567" w:val="left"/>
        </w:tabs>
        <w:ind w:left="567" w:hanging="567"/>
      </w:pPr>
      <w:r>
        <w:t>3.</w:t>
      </w:r>
      <w:r>
        <w:tab/>
      </w:r>
      <w:r>
        <w:t>dem Gewinn der Sondernutzungen,</w:t>
      </w:r>
    </w:p>
    <w:p>
      <w:pPr>
        <w:tabs>
          <w:tab w:pos="567" w:val="left"/>
        </w:tabs>
        <w:ind w:left="567" w:hanging="567"/>
      </w:pPr>
      <w:r>
        <w:t>4.</w:t>
      </w:r>
      <w:r>
        <w:tab/>
      </w:r>
      <w:r>
        <w:t>den Sondergewinnen,</w:t>
      </w:r>
    </w:p>
    <w:p>
      <w:pPr>
        <w:tabs>
          <w:tab w:pos="567" w:val="left"/>
        </w:tabs>
        <w:ind w:left="567" w:hanging="567"/>
      </w:pPr>
      <w:r>
        <w:t>5.</w:t>
      </w:r>
      <w:r>
        <w:tab/>
      </w:r>
      <w:r>
        <w:t>den Einnahmen aus Vermietung und Verpachtung von Wirtschaftsgütern des land- und forstwirtschaftlichen Betriebsvermögens,</w:t>
      </w:r>
    </w:p>
    <w:p>
      <w:pPr>
        <w:tabs>
          <w:tab w:pos="567" w:val="left"/>
        </w:tabs>
        <w:ind w:left="567" w:hanging="567"/>
      </w:pPr>
      <w:r>
        <w:t>6.</w:t>
      </w:r>
      <w:r>
        <w:tab/>
      </w:r>
      <w:r>
        <w:t>den Einnahmen aus Kapitalvermögen, soweit sie zu den Einkünften aus Land- und Forstwirtschaft gehören (</w:t>
      </w:r>
      <w:hyperlink w:anchor="b86" w:history="1">
        <w:r>
          <w:rPr>
            <w:color w:val="0A3A8C"/>
            <w:u w:val="single"/>
          </w:rPr>
          <w:t xml:space="preserve">§ 20</w:t>
        </w:r>
      </w:hyperlink>
      <w:r>
        <w:t xml:space="preserve"> Absatz 8).</w:t>
      </w:r>
    </w:p>
    <w:p>
      <w:r>
        <w:rPr>
          <w:rStyle w:val="Satznummer"/>
        </w:rPr>
        <w:t>2</w:t>
      </w:r>
      <w:r>
        <w:t xml:space="preserve">Die Vorschriften von </w:t>
      </w:r>
      <w:hyperlink w:anchor="b13" w:history="1">
        <w:r>
          <w:rPr>
            <w:color w:val="0A3A8C"/>
            <w:u w:val="single"/>
          </w:rPr>
          <w:t xml:space="preserve">§ 4</w:t>
        </w:r>
      </w:hyperlink>
      <w:r>
        <w:t xml:space="preserve"> Absatz 4a, </w:t>
      </w:r>
      <w:hyperlink w:anchor="b28" w:history="1">
        <w:r>
          <w:rPr>
            <w:color w:val="0A3A8C"/>
            <w:u w:val="single"/>
          </w:rPr>
          <w:t xml:space="preserve">§ 6</w:t>
        </w:r>
      </w:hyperlink>
      <w:r>
        <w:t xml:space="preserve"> Absatz 2 und 2a sowie zum Investitionsabzugsbetrag und zu Sonderabschreibungen finden keine Anwendung. </w:t>
      </w:r>
      <w:r>
        <w:rPr>
          <w:rStyle w:val="Satznummer"/>
        </w:rPr>
        <w:t>3</w:t>
      </w:r>
      <w:r>
        <w:t xml:space="preserve">Bei abnutzbaren Wirtschaftsgütern des Anlagevermögens gilt die Absetzung für Abnutzung in gleichen Jahresbeträgen nach </w:t>
      </w:r>
      <w:hyperlink w:anchor="b34" w:history="1">
        <w:r>
          <w:rPr>
            <w:color w:val="0A3A8C"/>
            <w:u w:val="single"/>
          </w:rPr>
          <w:t xml:space="preserve">§ 7</w:t>
        </w:r>
      </w:hyperlink>
      <w:r>
        <w:t xml:space="preserve"> Absatz 1 Satz 1 bis 5 als in Anspruch genommen. </w:t>
      </w:r>
      <w:r>
        <w:rPr>
          <w:rStyle w:val="Satznummer"/>
        </w:rPr>
        <w:t>4</w:t>
      </w:r>
      <w:r>
        <w:t xml:space="preserve">Die Gewinnermittlung ist nach amtlich vorgeschriebenem Datensatz durch Datenfernübertragung spätestens mit der Steuererklärung zu übermitteln. </w:t>
      </w:r>
      <w:r>
        <w:rPr>
          <w:rStyle w:val="Satznummer"/>
        </w:rPr>
        <w:t>5</w:t>
      </w:r>
      <w:r>
        <w:t xml:space="preserve">Auf Antrag kann die Finanzbehörde zur Vermeidung unbilliger Härten auf eine elektronische Übermittlung verzichten; in diesem Fall ist der Steuererklärung eine Gewinnermittlung nach amtlich vorgeschriebenem Vordruck beizufügen. </w:t>
      </w:r>
      <w:r>
        <w:rPr>
          <w:rStyle w:val="Satznummer"/>
        </w:rPr>
        <w:t>6</w:t>
      </w:r>
      <w:r>
        <w:t>§ 150 Absatz 8 der Abgabenordnung gilt entsprechend.</w:t>
      </w:r>
    </w:p>
    <w:p>
      <w:r>
        <w:t xml:space="preserve">(4) </w:t>
      </w:r>
      <w:r>
        <w:rPr>
          <w:rStyle w:val="Satznummer"/>
        </w:rPr>
        <w:t>1</w:t>
      </w:r>
      <w:r>
        <w:t xml:space="preserve">Der Gewinn aus der landwirtschaftlichen Nutzung ist die nach den Grundsätzen des </w:t>
      </w:r>
      <w:hyperlink w:anchor="b13" w:history="1">
        <w:r>
          <w:rPr>
            <w:color w:val="0A3A8C"/>
            <w:u w:val="single"/>
          </w:rPr>
          <w:t xml:space="preserve">§ 4</w:t>
        </w:r>
      </w:hyperlink>
      <w:r>
        <w:t xml:space="preserve"> Absatz 1 ermittelte Summe aus dem Grundbetrag für die selbst bewirtschafteten Flächen und den Zuschlägen für Tierzucht und Tierhaltung. </w:t>
      </w:r>
      <w:r>
        <w:rPr>
          <w:rStyle w:val="Satznummer"/>
        </w:rPr>
        <w:t>2</w:t>
      </w:r>
      <w:r>
        <w:t xml:space="preserve">Als Grundbetrag je Hektar der landwirtschaftlichen Nutzung (§ 160 Absatz 2 Satz 1 Nummer 1 Buchstabe a des Bewertungsgesetzes) ist der sich aus Anlage 1a ergebende Betrag vervielfältigt mit der selbst bewirtschafteten Fläche anzusetzen. </w:t>
      </w:r>
      <w:r>
        <w:rPr>
          <w:rStyle w:val="Satznummer"/>
        </w:rPr>
        <w:t>3</w:t>
      </w:r>
      <w:r>
        <w:t>Als Zuschlag für Tierzucht und Tierhaltung ist im Wirtschaftsjahr je Vieheinheit der sich aus Anlage 1a jeweils ergebende Betrag vervielfältigt mit den Vieheinheiten anzusetzen.</w:t>
      </w:r>
    </w:p>
    <w:p>
      <w:r>
        <w:t>(5) Der Gewinn aus der forstwirtschaftlichen Nutzung (§ 160 Absatz 2 Satz 1 Nummer 1 Buchstabe b des Bewertungsgesetzes) ist nach § 51 der Einkommensteuer-Durchführungsverordnung zu ermitteln.</w:t>
      </w:r>
    </w:p>
    <w:p>
      <w:r>
        <w:t xml:space="preserve">(6) </w:t>
      </w:r>
      <w:r>
        <w:rPr>
          <w:rStyle w:val="Satznummer"/>
        </w:rPr>
        <w:t>1</w:t>
      </w:r>
      <w:r>
        <w:t xml:space="preserve">Als Sondernutzungen gelten die in § 160 Absatz 2 Satz 1 Nummer 1 Buchstabe c bis e des Bewertungsgesetzes in Verbindung mit Anlage 1a Nummer 2 genannten Nutzungen. </w:t>
      </w:r>
      <w:r>
        <w:rPr>
          <w:rStyle w:val="Satznummer"/>
        </w:rPr>
        <w:t>2</w:t>
      </w:r>
      <w:r>
        <w:t xml:space="preserve">Bei Sondernutzungen, die die in Anlage 1a Nummer 2 Spalte 3 genannten Grenzen überschreiten, ist ein Gewinn von 1 000 Euro je Sondernutzung anzusetzen. </w:t>
      </w:r>
      <w:r>
        <w:rPr>
          <w:rStyle w:val="Satznummer"/>
        </w:rPr>
        <w:t>3</w:t>
      </w:r>
      <w:r>
        <w:t xml:space="preserve">Für die in Anlage 1a Nummer 2 nicht genannten Sondernutzungen ist der Gewinn nach </w:t>
      </w:r>
      <w:hyperlink w:anchor="b13" w:history="1">
        <w:r>
          <w:rPr>
            <w:color w:val="0A3A8C"/>
            <w:u w:val="single"/>
          </w:rPr>
          <w:t xml:space="preserve">§ 4</w:t>
        </w:r>
      </w:hyperlink>
      <w:r>
        <w:t xml:space="preserve"> Absatz 3 zu ermitteln.</w:t>
      </w:r>
    </w:p>
    <w:p>
      <w:r>
        <w:t xml:space="preserve">(7) </w:t>
      </w:r>
      <w:r>
        <w:rPr>
          <w:rStyle w:val="Satznummer"/>
        </w:rPr>
        <w:t>1</w:t>
      </w:r>
      <w:r>
        <w:t xml:space="preserve">Nach </w:t>
      </w:r>
      <w:hyperlink w:anchor="b13" w:history="1">
        <w:r>
          <w:rPr>
            <w:color w:val="0A3A8C"/>
            <w:u w:val="single"/>
          </w:rPr>
          <w:t xml:space="preserve">§ 4</w:t>
        </w:r>
      </w:hyperlink>
      <w:r>
        <w:t xml:space="preserve"> Absatz 3 zu ermittelnde Sondergewinne sind</w:t>
      </w:r>
    </w:p>
    <w:p>
      <w:pPr>
        <w:tabs>
          <w:tab w:pos="567" w:val="left"/>
        </w:tabs>
        <w:ind w:left="567" w:hanging="567"/>
      </w:pPr>
      <w:r>
        <w:t>1.</w:t>
      </w:r>
      <w:r>
        <w:tab/>
      </w:r>
      <w:r>
        <w:t>Gewinne</w:t>
      </w:r>
    </w:p>
    <w:p>
      <w:pPr>
        <w:tabs>
          <w:tab w:pos="1134" w:val="left"/>
        </w:tabs>
        <w:ind w:left="1134" w:hanging="567"/>
      </w:pPr>
      <w:r>
        <w:t>a)</w:t>
      </w:r>
      <w:r>
        <w:tab/>
      </w:r>
      <w:r>
        <w:t xml:space="preserve">aus der Veräußerung oder Entnahme von Grund und Boden und dem dazugehörigen Aufwuchs, den Gebäuden, den immateriellen Wirtschaftsgütern und den Beteiligungen; </w:t>
      </w:r>
      <w:hyperlink w:anchor="b211" w:history="1">
        <w:r>
          <w:rPr>
            <w:color w:val="0A3A8C"/>
            <w:u w:val="single"/>
          </w:rPr>
          <w:t xml:space="preserve">§ 55</w:t>
        </w:r>
      </w:hyperlink>
      <w:r>
        <w:t xml:space="preserve"> ist anzuwenden;</w:t>
      </w:r>
    </w:p>
    <w:p>
      <w:pPr>
        <w:tabs>
          <w:tab w:pos="1134" w:val="left"/>
        </w:tabs>
        <w:ind w:left="1134" w:hanging="567"/>
      </w:pPr>
      <w:r>
        <w:t>b)</w:t>
      </w:r>
      <w:r>
        <w:tab/>
      </w:r>
      <w:r>
        <w:t>aus der Veräußerung oder Entnahme der übrigen Wirtschaftsgüter des Anlagevermögens und von Tieren, wenn der Veräußerungspreis oder der an dessen Stelle tretende Wert für das jeweilige Wirtschaftsgut mehr als 15 000 Euro betragen hat;</w:t>
      </w:r>
    </w:p>
    <w:p>
      <w:pPr>
        <w:tabs>
          <w:tab w:pos="1134" w:val="left"/>
        </w:tabs>
        <w:ind w:left="1134" w:hanging="567"/>
      </w:pPr>
      <w:r>
        <w:t>c)</w:t>
      </w:r>
      <w:r>
        <w:tab/>
      </w:r>
      <w:r>
        <w:t>aus Entschädigungen, die gewährt worden sind für den Verlust, den Untergang oder die Wertminderung der in den Buchstaben a und b genannten Wirtschaftsgüter;</w:t>
      </w:r>
    </w:p>
    <w:p>
      <w:pPr>
        <w:tabs>
          <w:tab w:pos="1134" w:val="left"/>
        </w:tabs>
        <w:ind w:left="1134" w:hanging="567"/>
      </w:pPr>
      <w:r>
        <w:t>d)</w:t>
      </w:r>
      <w:r>
        <w:tab/>
      </w:r>
      <w:r>
        <w:t>aus der Auflösung von Rücklagen;</w:t>
      </w:r>
    </w:p>
    <w:p>
      <w:pPr>
        <w:tabs>
          <w:tab w:pos="567" w:val="left"/>
        </w:tabs>
        <w:ind w:left="567" w:hanging="567"/>
      </w:pPr>
      <w:r>
        <w:t>2.</w:t>
      </w:r>
      <w:r>
        <w:tab/>
      </w:r>
      <w:r>
        <w:t xml:space="preserve">Betriebseinnahmen oder Betriebsausgaben nach </w:t>
      </w:r>
      <w:hyperlink w:anchor="b49" w:history="1">
        <w:r>
          <w:rPr>
            <w:color w:val="0A3A8C"/>
            <w:u w:val="single"/>
          </w:rPr>
          <w:t xml:space="preserve">§ 9b</w:t>
        </w:r>
      </w:hyperlink>
      <w:r>
        <w:t xml:space="preserve"> Absatz 2;</w:t>
      </w:r>
    </w:p>
    <w:p>
      <w:pPr>
        <w:tabs>
          <w:tab w:pos="567" w:val="left"/>
        </w:tabs>
        <w:ind w:left="567" w:hanging="567"/>
      </w:pPr>
      <w:r>
        <w:t>3.</w:t>
      </w:r>
      <w:r>
        <w:tab/>
      </w:r>
      <w:r>
        <w:t>Einnahmen aus dem Grunde nach gewerblichen Tätigkeiten, die dem Bereich der Land- und Forstwirtschaft zugerechnet werden, abzüglich der pauschalen Betriebsausgaben nach Anlage 1a Nummer 3;</w:t>
      </w:r>
    </w:p>
    <w:p>
      <w:pPr>
        <w:tabs>
          <w:tab w:pos="567" w:val="left"/>
        </w:tabs>
        <w:ind w:left="567" w:hanging="567"/>
      </w:pPr>
      <w:r>
        <w:t>4.</w:t>
      </w:r>
      <w:r>
        <w:tab/>
      </w:r>
      <w:r>
        <w:t>Rückvergütungen nach § 22 des Körperschaftsteuergesetzes aus Hilfs- und Nebengeschäften.</w:t>
      </w:r>
    </w:p>
    <w:p>
      <w:r>
        <w:rPr>
          <w:rStyle w:val="Satznummer"/>
        </w:rPr>
        <w:t>2</w:t>
      </w:r>
      <w:r>
        <w:t xml:space="preserve">Die Anschaffungs- oder Herstellungskosten bei Wirtschaftsgütern des abnutzbaren Anlagevermögens mindern sich für die Dauer der Durchschnittssatzgewinnermittlung mit dem Ansatz der Gewinne nach den Absätzen 4 bis 6 um die Absetzung für Abnutzung in gleichen Jahresbeträgen. </w:t>
      </w:r>
      <w:r>
        <w:rPr>
          <w:rStyle w:val="Satznummer"/>
        </w:rPr>
        <w:t>3</w:t>
      </w:r>
      <w:r>
        <w:t xml:space="preserve">Die Wirtschaftsgüter im Sinne des Satzes 1 Nummer 1 Buchstabe a sind unter Angabe des Tages der Anschaffung oder Herstellung und der Anschaffungs- oder Herstellungskosten oder des an deren Stelle getretenen Werts in besondere, laufend zu führende Verzeichnisse aufzunehmen. </w:t>
      </w:r>
      <w:r>
        <w:rPr>
          <w:rStyle w:val="Satznummer"/>
        </w:rPr>
        <w:t>4</w:t>
      </w:r>
      <w:r>
        <w:t>Absatz 3 Satz 4 bis 6 gilt entsprechend.</w:t>
      </w:r>
    </w:p>
    <w:p>
      <w:r>
        <w:t>(8) Das Bundesministerium der Finanzen wird ermächtigt, durch Rechtsverordnung mit Zustimmung des Bundesrates die Anlage 1a dadurch zu ändern, dass es die darin aufgeführten Werte turnusmäßig an die Ergebnisse der Erhebungen nach § 2 des Landwirtschaftsgesetzes und im Übrigen an Erhebungen der Finanzverwaltung anpassen kann.</w:t>
      </w:r>
    </w:p>
    <w:p>
      <w:pPr>
        <w:pStyle w:val="Heading4"/>
      </w:pPr>
      <w:bookmarkStart w:id="72" w:name="b71"/>
      <w:r>
        <w:t>§ 13b Gemeinschaftliche Tierhaltung</w:t>
      </w:r>
      <w:r>
        <w:t xml:space="preserve"> </w:t>
      </w:r>
      <w:r>
        <w:rPr>
          <w:rStyle w:val="Suchmarke"/>
        </w:rPr>
        <w:t>#13b#</w:t>
      </w:r>
      <w:bookmarkEnd w:id="72"/>
    </w:p>
    <w:p>
      <w:r>
        <w:t xml:space="preserve">(1) </w:t>
      </w:r>
      <w:r>
        <w:rPr>
          <w:rStyle w:val="Satznummer"/>
        </w:rPr>
        <w:t>1</w:t>
      </w:r>
      <w:r>
        <w:t>Zu den Einkünften aus Land- und Forstwirtschaft gehören auch die Einkünfte aus landwirtschaftlicher Tierzucht und Tierhaltung von Genossenschaften (§ 1 Absatz 1 Nummer 2 des Körperschaftsteuergesetzes), von Gesellschaften, bei denen die Gesellschafter als Mitunternehmer (</w:t>
      </w:r>
      <w:hyperlink w:anchor="b75" w:history="1">
        <w:r>
          <w:rPr>
            <w:color w:val="0A3A8C"/>
            <w:u w:val="single"/>
          </w:rPr>
          <w:t xml:space="preserve">§ 15</w:t>
        </w:r>
      </w:hyperlink>
      <w:r>
        <w:t xml:space="preserve"> Absatz 1 Satz 1 Nummer 2) anzusehen sind, oder von Vereinen (§ 1 Absatz 1 Nummer 5 des Körperschaftsteuergesetzes), wenn</w:t>
      </w:r>
    </w:p>
    <w:p>
      <w:pPr>
        <w:tabs>
          <w:tab w:pos="567" w:val="left"/>
        </w:tabs>
        <w:ind w:left="567" w:hanging="567"/>
      </w:pPr>
      <w:r>
        <w:t>1.</w:t>
      </w:r>
      <w:r>
        <w:tab/>
      </w:r>
      <w:r>
        <w:t>alle Gesellschafter oder Mitglieder</w:t>
      </w:r>
    </w:p>
    <w:p>
      <w:pPr>
        <w:tabs>
          <w:tab w:pos="1134" w:val="left"/>
        </w:tabs>
        <w:ind w:left="1134" w:hanging="567"/>
      </w:pPr>
      <w:r>
        <w:t>a)</w:t>
      </w:r>
      <w:r>
        <w:tab/>
      </w:r>
      <w:r>
        <w:t>Inhaber eines Betriebs der Land- und Forstwirtschaft mit selbst bewirtschafteten regelmäßig landwirtschaftlich genutzten Flächen sind,</w:t>
      </w:r>
    </w:p>
    <w:p>
      <w:pPr>
        <w:tabs>
          <w:tab w:pos="1134" w:val="left"/>
        </w:tabs>
        <w:ind w:left="1134" w:hanging="567"/>
      </w:pPr>
      <w:r>
        <w:t>b)</w:t>
      </w:r>
      <w:r>
        <w:tab/>
      </w:r>
      <w:r>
        <w:t>nach dem Gesamtbild der Verhältnisse hauptberuflich Land- und Forstwirte sind,</w:t>
      </w:r>
    </w:p>
    <w:p>
      <w:pPr>
        <w:tabs>
          <w:tab w:pos="1134" w:val="left"/>
        </w:tabs>
        <w:ind w:left="1134" w:hanging="567"/>
      </w:pPr>
      <w:r>
        <w:t>c)</w:t>
      </w:r>
      <w:r>
        <w:tab/>
      </w:r>
      <w:r>
        <w:t>Landwirte im Sinne des § 1 Absatz 2 des Gesetzes über die Alterssicherung der Landwirte sind und dies durch eine Bescheinigung der jeweiligen Sozialversicherungsträger nachgewiesen wird und</w:t>
      </w:r>
    </w:p>
    <w:p>
      <w:pPr>
        <w:tabs>
          <w:tab w:pos="1134" w:val="left"/>
        </w:tabs>
        <w:ind w:left="1134" w:hanging="567"/>
      </w:pPr>
      <w:r>
        <w:t>d)</w:t>
      </w:r>
      <w:r>
        <w:tab/>
      </w:r>
      <w:r>
        <w:t xml:space="preserve">die sich nach </w:t>
      </w:r>
      <w:hyperlink w:anchor="b69" w:history="1">
        <w:r>
          <w:rPr>
            <w:color w:val="0A3A8C"/>
            <w:u w:val="single"/>
          </w:rPr>
          <w:t xml:space="preserve">§ 13</w:t>
        </w:r>
      </w:hyperlink>
      <w:r>
        <w:t xml:space="preserve"> Absatz 1 Nummer 1 Satz 2 für sie ergebende Möglichkeit zur landwirtschaftlichen Tiererzeugung oder Tierhaltung in Vieheinheiten ganz oder teilweise auf die Genossenschaft, die Gesellschaft oder den Verein übertragen haben;</w:t>
      </w:r>
    </w:p>
    <w:p>
      <w:pPr>
        <w:tabs>
          <w:tab w:pos="567" w:val="left"/>
        </w:tabs>
        <w:ind w:left="567" w:hanging="567"/>
      </w:pPr>
      <w:r>
        <w:t>2.</w:t>
      </w:r>
      <w:r>
        <w:tab/>
      </w:r>
      <w:r>
        <w:t>die Anzahl der von der Genossenschaft, der Gesellschaft oder dem Verein im Wirtschaftsjahr erzeugten oder gehaltenen Vieheinheiten keine der nachfolgenden Grenzen nachhaltig überschreitet:</w:t>
      </w:r>
    </w:p>
    <w:p>
      <w:pPr>
        <w:tabs>
          <w:tab w:pos="1134" w:val="left"/>
        </w:tabs>
        <w:ind w:left="1134" w:hanging="567"/>
      </w:pPr>
      <w:r>
        <w:t>a)</w:t>
      </w:r>
      <w:r>
        <w:tab/>
      </w:r>
      <w:r>
        <w:t>die Summe der sich nach Nummer 1 Buchstabe d ergebenden Vieheinheiten und</w:t>
      </w:r>
    </w:p>
    <w:p>
      <w:pPr>
        <w:tabs>
          <w:tab w:pos="1134" w:val="left"/>
        </w:tabs>
        <w:ind w:left="1134" w:hanging="567"/>
      </w:pPr>
      <w:r>
        <w:t>b)</w:t>
      </w:r>
      <w:r>
        <w:tab/>
      </w:r>
      <w:r>
        <w:t xml:space="preserve">die Summe der Vieheinheiten, die sich nach </w:t>
      </w:r>
      <w:hyperlink w:anchor="b69" w:history="1">
        <w:r>
          <w:rPr>
            <w:color w:val="0A3A8C"/>
            <w:u w:val="single"/>
          </w:rPr>
          <w:t xml:space="preserve">§ 13</w:t>
        </w:r>
      </w:hyperlink>
      <w:r>
        <w:t xml:space="preserve"> Absatz 1 Nummer 1 Satz 2 auf der Grundlage der Summe der von den Gesellschaftern oder Mitgliedern regelmäßig landwirtschaftlich genutzten Flächen ergibt;</w:t>
      </w:r>
    </w:p>
    <w:p>
      <w:pPr>
        <w:tabs>
          <w:tab w:pos="567" w:val="left"/>
        </w:tabs>
        <w:ind w:left="567" w:hanging="567"/>
      </w:pPr>
      <w:r>
        <w:t>3.</w:t>
      </w:r>
      <w:r>
        <w:tab/>
      </w:r>
      <w:r>
        <w:t>die Betriebe der Gesellschafter oder Mitglieder nicht mehr als 40 Kilometer von der Produktionsstätte der Genossenschaft, der Gesellschaft oder des Vereins entfernt liegen.</w:t>
      </w:r>
    </w:p>
    <w:p>
      <w:r>
        <w:rPr>
          <w:rStyle w:val="Satznummer"/>
        </w:rPr>
        <w:t>2</w:t>
      </w:r>
      <w:r>
        <w:t xml:space="preserve">Die Voraussetzungen des Satzes 1 Nummer 1 Buchstabe c gelten als erfüllt, wenn hauptberufliche Landwirte (Nummer 1 Buchstabe b) nicht die Voraussetzungen des § 1 Absatz 2 des Gesetzes über die Alterssicherung der Landwirte erfüllen, weil sie im Inland in der gesetzlichen Rentenversicherung versicherungspflichtig sind oder auf sie das Recht der sozialen Sicherheit eines anderen Mitgliedstaats der Europäischen Union anzuwenden ist und dies durch eine Bescheinigung des zuständigen Sozialversicherungsträgers nachgewiesen wird; entsprechendes gilt für die Schweiz oder einen Staat, auf den das Abkommen über den Europäischen Wirtschaftsraum anzuwenden ist. </w:t>
      </w:r>
      <w:r>
        <w:rPr>
          <w:rStyle w:val="Satznummer"/>
        </w:rPr>
        <w:t>3</w:t>
      </w:r>
      <w:r>
        <w:t>Die Voraussetzungen des Satzes 1 Nummer 1 Buchstabe d und des Satzes 1 Nummer 2 sind durch besondere, laufend und zeitnah zu führende Verzeichnisse nachzuweisen.</w:t>
      </w:r>
    </w:p>
    <w:p>
      <w:r>
        <w:t>(2) Der Anwendung des Absatzes 1 steht es nicht entgegen, wenn die dort bezeichneten Genossenschaften, Gesellschaften oder Vereine die Tiererzeugung oder Tierhaltung ohne regelmäßig landwirtschaftlich genutzte Flächen betreiben.</w:t>
      </w:r>
    </w:p>
    <w:p>
      <w:r>
        <w:t>(3) Von den in Absatz 1 bezeichneten Genossenschaften, Gesellschaften oder Vereinen regelmäßig landwirtschaftlich genutzte Flächen sind bei der Ermittlung der nach Absatz 1 Satz 1 Nummer 2 maßgebenden Grenzen wie Flächen von Gesellschaftern oder Mitgliedern zu behandeln, die ihre Möglichkeit zur landwirtschaftlichen Tiererzeugung oder Tierhaltung im Sinne des Absatzes 1 Satz 1 Nummer 1 Buchstabe d auf die Genossenschaft, die Gesellschaft oder den Verein übertragen haben.</w:t>
      </w:r>
    </w:p>
    <w:p>
      <w:r>
        <w:t xml:space="preserve">(4) Bei dem einzelnen Gesellschafter oder Mitglied der in Absatz 1 bezeichneten Genossenschaften, Gesellschaften oder Vereine ist </w:t>
      </w:r>
      <w:hyperlink w:anchor="b69" w:history="1">
        <w:r>
          <w:rPr>
            <w:color w:val="0A3A8C"/>
            <w:u w:val="single"/>
          </w:rPr>
          <w:t xml:space="preserve">§ 13</w:t>
        </w:r>
      </w:hyperlink>
      <w:r>
        <w:t xml:space="preserve"> Absatz 1 Nummer 1 Satz 2 mit der Maßgabe anzuwenden, dass die in seinem Betrieb erzeugten oder gehaltenen Vieheinheiten mit den Vieheinheiten zusammenzurechnen sind, die im Rahmen der nach Absatz 1 Satz 1 Nummer 1 Buchstabe d übertragenen Möglichkeiten erzeugt oder gehalten werden.</w:t>
      </w:r>
    </w:p>
    <w:p>
      <w:r>
        <w:t>(5) Die Vorschriften des § 241 Absatz 2 bis 5 des Bewertungsgesetzes sind entsprechend anzuwenden.</w:t>
      </w:r>
    </w:p>
    <w:p>
      <w:pPr>
        <w:pStyle w:val="Heading4"/>
      </w:pPr>
      <w:bookmarkStart w:id="73" w:name="b72"/>
      <w:r>
        <w:t>§ 14 Veräußerung des Betriebs</w:t>
      </w:r>
      <w:r>
        <w:t xml:space="preserve"> </w:t>
      </w:r>
      <w:r>
        <w:rPr>
          <w:rStyle w:val="Suchmarke"/>
        </w:rPr>
        <w:t>#14#</w:t>
      </w:r>
      <w:bookmarkEnd w:id="73"/>
    </w:p>
    <w:p>
      <w:r>
        <w:t xml:space="preserve">(1) </w:t>
      </w:r>
      <w:r>
        <w:rPr>
          <w:rStyle w:val="Satznummer"/>
        </w:rPr>
        <w:t>1</w:t>
      </w:r>
      <w:r>
        <w:t xml:space="preserve">Zu den Einkünften aus Land- und Forstwirtschaft gehören auch Gewinne, die bei der Veräußerung eines land- oder forstwirtschaftlichen Betriebs oder Teilbetriebs oder eines Anteils an einem land- und forstwirtschaftlichen Betriebsvermögen erzielt werden. </w:t>
      </w:r>
      <w:r>
        <w:rPr>
          <w:rStyle w:val="Satznummer"/>
        </w:rPr>
        <w:t>2</w:t>
      </w:r>
      <w:hyperlink w:anchor="b78" w:history="1">
        <w:r>
          <w:rPr>
            <w:color w:val="0A3A8C"/>
            <w:u w:val="single"/>
          </w:rPr>
          <w:t xml:space="preserve">§ 16</w:t>
        </w:r>
      </w:hyperlink>
      <w:r>
        <w:t xml:space="preserve"> gilt entsprechend mit der Maßgabe, dass der Freibetrag nach </w:t>
      </w:r>
      <w:hyperlink w:anchor="b78" w:history="1">
        <w:r>
          <w:rPr>
            <w:color w:val="0A3A8C"/>
            <w:u w:val="single"/>
          </w:rPr>
          <w:t xml:space="preserve">§ 16</w:t>
        </w:r>
      </w:hyperlink>
      <w:r>
        <w:t xml:space="preserve"> Absatz 4 nicht zu gewähren ist, wenn der Freibetrag nach </w:t>
      </w:r>
      <w:hyperlink w:anchor="b73" w:history="1">
        <w:r>
          <w:rPr>
            <w:color w:val="0A3A8C"/>
            <w:u w:val="single"/>
          </w:rPr>
          <w:t xml:space="preserve">§ 14a</w:t>
        </w:r>
      </w:hyperlink>
      <w:r>
        <w:t xml:space="preserve"> Absatz 1 gewährt wird.</w:t>
      </w:r>
    </w:p>
    <w:p>
      <w:r>
        <w:t xml:space="preserve">(2) </w:t>
      </w:r>
      <w:r>
        <w:rPr>
          <w:rStyle w:val="Satznummer"/>
        </w:rPr>
        <w:t>1</w:t>
      </w:r>
      <w:r>
        <w:t xml:space="preserve">Wird ein land- und forstwirtschaftlicher Betrieb durch die Entnahme, Überführung oder Übertragung von Flächen verkleinert und verbleibt mindestens eine Fläche, die der Erzeugung von Pflanzen oder Tieren im Sinne des </w:t>
      </w:r>
      <w:hyperlink w:anchor="b69" w:history="1">
        <w:r>
          <w:rPr>
            <w:color w:val="0A3A8C"/>
            <w:u w:val="single"/>
          </w:rPr>
          <w:t xml:space="preserve">§ 13</w:t>
        </w:r>
      </w:hyperlink>
      <w:r>
        <w:t xml:space="preserve"> Absatz 1 zu dienen bestimmt ist, liegt unabhängig von der Größe dieser Fläche keine Betriebsaufgabe vor. </w:t>
      </w:r>
      <w:r>
        <w:rPr>
          <w:rStyle w:val="Satznummer"/>
        </w:rPr>
        <w:t>2</w:t>
      </w:r>
      <w:hyperlink w:anchor="b78" w:history="1">
        <w:r>
          <w:rPr>
            <w:color w:val="0A3A8C"/>
            <w:u w:val="single"/>
          </w:rPr>
          <w:t xml:space="preserve">§ 16</w:t>
        </w:r>
      </w:hyperlink>
      <w:r>
        <w:t xml:space="preserve"> Absatz 3b bleibt unberührt.</w:t>
      </w:r>
    </w:p>
    <w:p>
      <w:r>
        <w:t xml:space="preserve">(3) </w:t>
      </w:r>
      <w:r>
        <w:rPr>
          <w:rStyle w:val="Satznummer"/>
        </w:rPr>
        <w:t>1</w:t>
      </w:r>
      <w:r>
        <w:t xml:space="preserve">Werden im Rahmen der Aufgabe des Betriebs einer land- und forstwirtschaftlichen Mitunternehmerschaft Grundstücke an den einzelnen Mitunternehmer übertragen oder scheidet ein Mitunternehmer unter Mitnahme einzelner Grundstücke aus einer Mitunternehmerschaft aus, gelten diese unabhängig von ihrer Größe auch bei fortgeführter oder erstmaliger Verpachtung bis zu einer Veräußerung oder Entnahme bei diesem weiterhin als Betriebsvermögen. </w:t>
      </w:r>
      <w:r>
        <w:rPr>
          <w:rStyle w:val="Satznummer"/>
        </w:rPr>
        <w:t>2</w:t>
      </w:r>
      <w:r>
        <w:t xml:space="preserve">Dies gilt entsprechend für Grundstücke des bisherigen Sonderbetriebsvermögens des einzelnen Mitunternehmers. </w:t>
      </w:r>
      <w:r>
        <w:rPr>
          <w:rStyle w:val="Satznummer"/>
        </w:rPr>
        <w:t>3</w:t>
      </w:r>
      <w:r>
        <w:t xml:space="preserve">Die Sätze 1 und 2 sind nur anzuwenden, wenn mindestens eine übertragene oder aus dem Sonderbetriebsvermögen überführte Fläche der Erzeugung von Pflanzen oder Tieren im Sinne des </w:t>
      </w:r>
      <w:hyperlink w:anchor="b69" w:history="1">
        <w:r>
          <w:rPr>
            <w:color w:val="0A3A8C"/>
            <w:u w:val="single"/>
          </w:rPr>
          <w:t xml:space="preserve">§ 13</w:t>
        </w:r>
      </w:hyperlink>
      <w:r>
        <w:t xml:space="preserve"> Absatz 1 zu dienen bestimmt ist. </w:t>
      </w:r>
      <w:r>
        <w:rPr>
          <w:rStyle w:val="Satznummer"/>
        </w:rPr>
        <w:t>4</w:t>
      </w:r>
      <w:r>
        <w:t xml:space="preserve">Für den übernehmenden Mitunternehmer gilt </w:t>
      </w:r>
      <w:hyperlink w:anchor="b78" w:history="1">
        <w:r>
          <w:rPr>
            <w:color w:val="0A3A8C"/>
            <w:u w:val="single"/>
          </w:rPr>
          <w:t xml:space="preserve">§ 16</w:t>
        </w:r>
      </w:hyperlink>
      <w:r>
        <w:t xml:space="preserve"> Absatz 3b entsprechend.</w:t>
      </w:r>
    </w:p>
    <w:p>
      <w:pPr>
        <w:pStyle w:val="Heading4"/>
      </w:pPr>
      <w:bookmarkStart w:id="74" w:name="b73"/>
      <w:r>
        <w:t>§ 14a Vergünstigungen bei der Veräußerung bestimmter land- und forstwirtschaftlicher Betriebe</w:t>
      </w:r>
      <w:r>
        <w:t xml:space="preserve"> </w:t>
      </w:r>
      <w:r>
        <w:rPr>
          <w:rStyle w:val="Suchmarke"/>
        </w:rPr>
        <w:t>#14a#</w:t>
      </w:r>
      <w:bookmarkEnd w:id="74"/>
    </w:p>
    <w:p>
      <w:r>
        <w:t xml:space="preserve">(1) </w:t>
      </w:r>
      <w:r>
        <w:rPr>
          <w:rStyle w:val="Satznummer"/>
        </w:rPr>
        <w:t>1</w:t>
      </w:r>
      <w:r>
        <w:t>Veräußert ein Steuerpflichtiger nach dem 30. Juni 1970 und vor dem 1. Januar 2001 seinen land- und forstwirtschaftlichen Betrieb im Ganzen, so wird auf Antrag der Veräußerungsgewinn (</w:t>
      </w:r>
      <w:hyperlink w:anchor="b78" w:history="1">
        <w:r>
          <w:rPr>
            <w:color w:val="0A3A8C"/>
            <w:u w:val="single"/>
          </w:rPr>
          <w:t xml:space="preserve">§ 16</w:t>
        </w:r>
      </w:hyperlink>
      <w:r>
        <w:t xml:space="preserve"> Absatz 2) nur insoweit zur Einkommensteuer herangezogen, als er den Betrag von 150 000 Deutsche Mark übersteigt, wenn</w:t>
      </w:r>
    </w:p>
    <w:p>
      <w:pPr>
        <w:tabs>
          <w:tab w:pos="567" w:val="left"/>
        </w:tabs>
        <w:ind w:left="567" w:hanging="567"/>
      </w:pPr>
      <w:r>
        <w:t>1.</w:t>
      </w:r>
      <w:r>
        <w:tab/>
      </w:r>
      <w:r>
        <w:t>der für den Zeitpunkt der Veräußerung maßgebende Wirtschaftswert (§ 46 des Bewertungsgesetzes) des Betriebs 40 000 Deutsche Mark nicht übersteigt,</w:t>
      </w:r>
    </w:p>
    <w:p>
      <w:pPr>
        <w:tabs>
          <w:tab w:pos="567" w:val="left"/>
        </w:tabs>
        <w:ind w:left="567" w:hanging="567"/>
      </w:pPr>
      <w:r>
        <w:t>2.</w:t>
      </w:r>
      <w:r>
        <w:tab/>
      </w:r>
      <w:r>
        <w:t xml:space="preserve">die Einkünfte des Steuerpflichtigen im Sinne des § 2 Absatz 1 Satz 1 Nummer 2 bis 7 in den dem Veranlagungszeitraum der Veräußerung vorangegangenen beiden Veranlagungszeiträumen jeweils den Betrag von 35 000 Deutsche Mark nicht überstiegen haben. </w:t>
      </w:r>
      <w:r>
        <w:rPr>
          <w:rStyle w:val="Satznummer"/>
        </w:rPr>
        <w:t>2</w:t>
      </w:r>
      <w:r>
        <w:t>Bei Ehegatten, die nicht dauernd getrennt leben, gilt Satz 1 mit der Maßgabe, dass die Einkünfte beider Ehegatten zusammen jeweils 70 000 Deutsche Mark nicht überstiegen haben.</w:t>
      </w:r>
    </w:p>
    <w:p>
      <w:r>
        <w:rPr>
          <w:rStyle w:val="Satznummer"/>
        </w:rPr>
        <w:t>2</w:t>
      </w:r>
      <w:r>
        <w:t>Ist im Zeitpunkt der Veräußerung ein nach Nummer 1 maßgebender Wirtschaftswert nicht festgestellt oder sind bis zu diesem Zeitpunkt die Voraussetzungen für eine Wertfortschreibung erfüllt, so ist der Wert maßgebend, der sich für den Zeitpunkt der Veräußerung als Wirtschaftswert ergeben würde.</w:t>
      </w:r>
    </w:p>
    <w:p>
      <w:r>
        <w:t xml:space="preserve">(2) </w:t>
      </w:r>
      <w:r>
        <w:rPr>
          <w:rStyle w:val="Satznummer"/>
        </w:rPr>
        <w:t>1</w:t>
      </w:r>
      <w:r>
        <w:t xml:space="preserve">Der Anwendung des Absatzes 1 und des </w:t>
      </w:r>
      <w:hyperlink w:anchor="b115" w:history="1">
        <w:r>
          <w:rPr>
            <w:color w:val="0A3A8C"/>
            <w:u w:val="single"/>
          </w:rPr>
          <w:t xml:space="preserve">§ 34</w:t>
        </w:r>
      </w:hyperlink>
      <w:r>
        <w:t xml:space="preserve"> Absatz 1 steht nicht entgegen, wenn die zum land- und forstwirtschaftlichen Vermögen gehörenden Gebäude mit dem dazugehörigen Grund und Boden nicht mitveräußert werden. </w:t>
      </w:r>
      <w:r>
        <w:rPr>
          <w:rStyle w:val="Satznummer"/>
        </w:rPr>
        <w:t>2</w:t>
      </w:r>
      <w:r>
        <w:t xml:space="preserve">In diesem Fall gelten die Gebäude mit dem dazugehörigen Grund und Boden als entnommen. </w:t>
      </w:r>
      <w:r>
        <w:rPr>
          <w:rStyle w:val="Satznummer"/>
        </w:rPr>
        <w:t>3</w:t>
      </w:r>
      <w:r>
        <w:t xml:space="preserve">Der Freibetrag kommt auch dann in Betracht, wenn zum Betrieb ein forstwirtschaftlicher Teilbetrieb gehört und dieser nicht mitveräußert, sondern als eigenständiger Betrieb vom Steuerpflichtigen fortgeführt wird. </w:t>
      </w:r>
      <w:r>
        <w:rPr>
          <w:rStyle w:val="Satznummer"/>
        </w:rPr>
        <w:t>4</w:t>
      </w:r>
      <w:r>
        <w:t>In diesem Fall ermäßigt sich der Freibetrag auf den Teil, der dem Verhältnis des tatsächlich entstandenen Veräußerungsgewinns zu dem bei einer Veräußerung des ganzen land- und forstwirtschaftlichen Betriebs erzielbaren Veräußerungsgewinn entspricht.</w:t>
      </w:r>
    </w:p>
    <w:p>
      <w:r>
        <w:t xml:space="preserve">(3) </w:t>
      </w:r>
      <w:r>
        <w:rPr>
          <w:rStyle w:val="Satznummer"/>
        </w:rPr>
        <w:t>1</w:t>
      </w:r>
      <w:r>
        <w:t>Als Veräußerung gilt auch die Aufgabe des Betriebs, wenn</w:t>
      </w:r>
    </w:p>
    <w:p>
      <w:pPr>
        <w:tabs>
          <w:tab w:pos="567" w:val="left"/>
        </w:tabs>
        <w:ind w:left="567" w:hanging="567"/>
      </w:pPr>
      <w:r>
        <w:t>1.</w:t>
      </w:r>
      <w:r>
        <w:tab/>
      </w:r>
      <w:r>
        <w:t>die Voraussetzungen des Absatzes 1 erfüllt sind und</w:t>
      </w:r>
    </w:p>
    <w:p>
      <w:pPr>
        <w:tabs>
          <w:tab w:pos="567" w:val="left"/>
        </w:tabs>
        <w:ind w:left="567" w:hanging="567"/>
      </w:pPr>
      <w:r>
        <w:t>2.</w:t>
      </w:r>
      <w:r>
        <w:tab/>
      </w:r>
      <w:r>
        <w:t>der Steuerpflichtige seinen land- und forstwirtschaftlichen Betrieb zum Zweck der Strukturverbesserung abgegeben hat und dies durch eine Bescheinigung der nach Landesrecht zuständigen Stelle nachweist.</w:t>
      </w:r>
    </w:p>
    <w:p>
      <w:r>
        <w:rPr>
          <w:rStyle w:val="Satznummer"/>
        </w:rPr>
        <w:t>2</w:t>
      </w:r>
      <w:hyperlink w:anchor="b78" w:history="1">
        <w:r>
          <w:rPr>
            <w:color w:val="0A3A8C"/>
            <w:u w:val="single"/>
          </w:rPr>
          <w:t xml:space="preserve">§ 16</w:t>
        </w:r>
      </w:hyperlink>
      <w:r>
        <w:t xml:space="preserve"> Absatz 3 Satz 4 und 5 gilt entsprechend.</w:t>
      </w:r>
    </w:p>
    <w:p>
      <w:r>
        <w:t xml:space="preserve">(4) </w:t>
      </w:r>
      <w:r>
        <w:rPr>
          <w:rStyle w:val="Satznummer"/>
        </w:rPr>
        <w:t>1</w:t>
      </w:r>
      <w:r>
        <w:t xml:space="preserve">Veräußert oder entnimmt ein Steuerpflichtiger nach dem 31. Dezember 1979 und vor dem 1. Januar 2006 Teile des zu einem land- und forstwirtschaftlichen Betrieb gehörenden Grund und Bodens, so wird der bei der Veräußerung oder der Entnahme entstehende Gewinn auf Antrag nur insoweit zur Einkommensteuer herangezogen, als er den Betrag von 61 800 Euro übersteigt. </w:t>
      </w:r>
      <w:r>
        <w:rPr>
          <w:rStyle w:val="Satznummer"/>
        </w:rPr>
        <w:t>2</w:t>
      </w:r>
      <w:r>
        <w:t>Satz 1 ist nur anzuwenden, wenn</w:t>
      </w:r>
    </w:p>
    <w:p>
      <w:pPr>
        <w:tabs>
          <w:tab w:pos="567" w:val="left"/>
        </w:tabs>
        <w:ind w:left="567" w:hanging="567"/>
      </w:pPr>
      <w:r>
        <w:t>1.</w:t>
      </w:r>
      <w:r>
        <w:tab/>
      </w:r>
      <w:r>
        <w:t>der Veräußerungspreis nach Abzug der Veräußerungskosten oder der Grund und Boden innerhalb von zwölf Monaten nach der Veräußerung oder Entnahme in sachlichem Zusammenhang mit der Hoferbfolge oder Hofübernahme zur Abfindung weichender Erben verwendet wird und</w:t>
      </w:r>
    </w:p>
    <w:p>
      <w:pPr>
        <w:tabs>
          <w:tab w:pos="567" w:val="left"/>
        </w:tabs>
        <w:ind w:left="567" w:hanging="567"/>
      </w:pPr>
      <w:r>
        <w:t>2.</w:t>
      </w:r>
      <w:r>
        <w:tab/>
      </w:r>
      <w:r>
        <w:t xml:space="preserve">das Einkommen des Steuerpflichtigen ohne Berücksichtigung des Gewinns aus der Veräußerung oder Entnahme und des Freibetrags in dem dem Veranlagungszeitraum der Veräußerung oder Entnahme vorangegangenen Veranlagungszeitraum den Betrag von 18 000 Euro nicht überstiegen hat;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veranlagt werden, erhöht sich der Betrag von 18 000 Euro auf 36 000 Euro.</w:t>
      </w:r>
    </w:p>
    <w:p>
      <w:r>
        <w:rPr>
          <w:rStyle w:val="Satznummer"/>
        </w:rPr>
        <w:t>3</w:t>
      </w:r>
      <w:r>
        <w:t xml:space="preserve">Übersteigt das Einkommen den Betrag von 18 000 Euro, so vermindert sich der Betrag von 61 800 Euro nach Satz 1 je angefangene 250 Euro des übersteigenden Einkommens um 10 300 Euro;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veranlagt werden und deren Einkommen den Betrag von 36 000 Euro übersteigt, vermindert sich der Betrag von 61 800 Euro nach Satz 1 je angefangene 500 Euro des übersteigenden Einkommens um 10 300 Euro. </w:t>
      </w:r>
      <w:r>
        <w:rPr>
          <w:rStyle w:val="Satznummer"/>
        </w:rPr>
        <w:t>4</w:t>
      </w:r>
      <w:r>
        <w:t xml:space="preserve">Werden mehrere weichende Erben abgefunden, so kann der Freibetrag mehrmals, jedoch insgesamt nur einmal je weichender Erbe geltend gemacht werden, auch wenn die Abfindung in mehreren Schritten oder durch mehrere Inhaber des Betriebs vorgenommen wird. </w:t>
      </w:r>
      <w:r>
        <w:rPr>
          <w:rStyle w:val="Satznummer"/>
        </w:rPr>
        <w:t>5</w:t>
      </w:r>
      <w:r>
        <w:t xml:space="preserve">Weichender Erbe ist, wer gesetzlicher Erbe eines Inhabers eines land- und forstwirtschaftlichen Betriebs ist oder bei gesetzlicher Erbfolge wäre, aber nicht zur Übernahme des Betriebs berufen ist; eine Stellung als Mitunternehmer des Betriebs bis zur Auseinandersetzung steht einer Behandlung als weichender Erbe nicht entgegen, wenn sich die Erben innerhalb von zwei Jahren nach dem Erbfall auseinandersetzen. </w:t>
      </w:r>
      <w:r>
        <w:rPr>
          <w:rStyle w:val="Satznummer"/>
        </w:rPr>
        <w:t>6</w:t>
      </w:r>
      <w:r>
        <w:t>Ist ein zur Übernahme des Betriebs berufener Miterbe noch minderjährig, beginnt die Frist von zwei Jahren mit Eintritt der Volljährigkeit.</w:t>
      </w:r>
    </w:p>
    <w:p>
      <w:r>
        <w:t xml:space="preserve">(5) </w:t>
      </w:r>
      <w:r>
        <w:rPr>
          <w:rStyle w:val="Satznummer"/>
        </w:rPr>
        <w:t>1</w:t>
      </w:r>
      <w:r>
        <w:t>Veräußert ein Steuerpflichtiger nach dem 31. Dezember 1985 und vor dem 1. Januar 2001 Teile des zu einem land- und forstwirtschaftlichen Betrieb gehörenden Grund und Bodens, so wird der bei der Veräußerung entstehende Gewinn auf Antrag nur insoweit zur Einkommensteuer herangezogen, als er den Betrag von 90 000 Deutsche Mark übersteigt, wenn</w:t>
      </w:r>
    </w:p>
    <w:p>
      <w:pPr>
        <w:tabs>
          <w:tab w:pos="567" w:val="left"/>
        </w:tabs>
        <w:ind w:left="567" w:hanging="567"/>
      </w:pPr>
      <w:r>
        <w:t>1.</w:t>
      </w:r>
      <w:r>
        <w:tab/>
      </w:r>
      <w:r>
        <w:t>der Steuerpflichtige den Veräußerungspreis nach Abzug der Veräußerungskosten zur Tilgung von Schulden verwendet, die zu dem land- und forstwirtschaftlichen Betrieb gehören und vor dem 1. Juli 1985 bestanden haben, und</w:t>
      </w:r>
    </w:p>
    <w:p>
      <w:pPr>
        <w:tabs>
          <w:tab w:pos="567" w:val="left"/>
        </w:tabs>
        <w:ind w:left="567" w:hanging="567"/>
      </w:pPr>
      <w:r>
        <w:t>2.</w:t>
      </w:r>
      <w:r>
        <w:tab/>
      </w:r>
      <w:r>
        <w:t>die Voraussetzungen des Absatzes 4 Satz 2 Nummer 2 erfüllt sind.</w:t>
      </w:r>
    </w:p>
    <w:p>
      <w:r>
        <w:rPr>
          <w:rStyle w:val="Satznummer"/>
        </w:rPr>
        <w:t>2</w:t>
      </w:r>
      <w:r>
        <w:t xml:space="preserve">Übersteigt das Einkommen den Betrag von 35 000 Deutsche Mark, so vermindert sich der Betrag von 90 000 Deutsche Mark nach Satz 1 für jede angefangenen 500 Deutsche Mark des übersteigenden Einkommens um 15 000 Deutsche Mark;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veranlagt werden und bei denen das Einkommen den Betrag von 70 000 Deutsche Mark übersteigt, vermindert sich der Betrag von 90 000 Deutsche Mark nach Satz 1 für jede angefangenen 1 000 Deutsche Mark des übersteigenden Einkommens um 15 000 Deutsche Mark. </w:t>
      </w:r>
      <w:r>
        <w:rPr>
          <w:rStyle w:val="Satznummer"/>
        </w:rPr>
        <w:t>3</w:t>
      </w:r>
      <w:r>
        <w:t>Der Freibetrag von höchstens 90 000 Deutsche Mark wird für alle Veräußerungen im Sinne des Satzes 1 insgesamt nur einmal gewährt.</w:t>
      </w:r>
    </w:p>
    <w:p>
      <w:r>
        <w:t>(6) Verwendet der Steuerpflichtige den Veräußerungspreis oder entnimmt er den Grund und Boden nur zum Teil zu den in den Absätzen 4 und 5 angegebenen Zwecken, so ist nur der entsprechende Teil des Gewinns aus der Veräußerung oder Entnahme steuerfrei.</w:t>
      </w:r>
    </w:p>
    <w:p>
      <w:r>
        <w:t>(7) Auf die Freibeträge nach Absatz 4 in dieser Fassung sind die Freibeträge, die nach Absatz 4 in den vor dem 1. Januar 1986 geltenden Fassungen gewährt worden sind, anzurechnen.</w:t>
      </w:r>
    </w:p>
    <w:p>
      <w:pPr>
        <w:pStyle w:val="Heading3"/>
      </w:pPr>
      <w:bookmarkStart w:id="75" w:name="b74"/>
      <w:r>
        <w:t>b) Gewerbebetrieb (§ 2 Absatz 1 Satz 1 Nummer 2)</w:t>
      </w:r>
      <w:bookmarkEnd w:id="75"/>
    </w:p>
    <w:p>
      <w:pPr>
        <w:pStyle w:val="Heading4"/>
      </w:pPr>
      <w:bookmarkStart w:id="76" w:name="b75"/>
      <w:r>
        <w:t>§ 15 Einkünfte aus Gewerbebetrieb</w:t>
      </w:r>
      <w:r>
        <w:t xml:space="preserve"> </w:t>
      </w:r>
      <w:r>
        <w:rPr>
          <w:rStyle w:val="Suchmarke"/>
        </w:rPr>
        <w:t>#15#</w:t>
      </w:r>
      <w:bookmarkEnd w:id="76"/>
    </w:p>
    <w:p>
      <w:r>
        <w:t xml:space="preserve">(1) </w:t>
      </w:r>
      <w:r>
        <w:rPr>
          <w:rStyle w:val="Satznummer"/>
        </w:rPr>
        <w:t>1</w:t>
      </w:r>
      <w:r>
        <w:t>Einkünfte aus Gewerbebetrieb sind</w:t>
      </w:r>
    </w:p>
    <w:p>
      <w:pPr>
        <w:tabs>
          <w:tab w:pos="567" w:val="left"/>
        </w:tabs>
        <w:ind w:left="567" w:hanging="567"/>
      </w:pPr>
      <w:r>
        <w:t>1.</w:t>
      </w:r>
      <w:r>
        <w:tab/>
      </w:r>
      <w:r>
        <w:t xml:space="preserve">Einkünfte aus gewerblichen Unternehmen. </w:t>
      </w:r>
      <w:r>
        <w:rPr>
          <w:rStyle w:val="Satznummer"/>
        </w:rPr>
        <w:t>2</w:t>
      </w:r>
      <w:r>
        <w:t>Dazu gehören auch Einkünfte aus gewerblicher Bodenbewirtschaftung, z. B. aus Bergbauunternehmen und aus Betrieben zur Gewinnung von Torf, Steinen und Erden, soweit sie nicht land- oder forstwirtschaftliche Nebenbetriebe sind;</w:t>
      </w:r>
    </w:p>
    <w:p>
      <w:pPr>
        <w:tabs>
          <w:tab w:pos="567" w:val="left"/>
        </w:tabs>
        <w:ind w:left="567" w:hanging="567"/>
      </w:pPr>
      <w:r>
        <w:t>2.</w:t>
      </w:r>
      <w:r>
        <w:tab/>
      </w:r>
      <w:r>
        <w:t xml:space="preserve">die Gewinnanteile der Gesellschafter einer Offenen Handelsgesellschaft, einer Kommanditgesellschaft und einer anderen Gesellschaft, bei der der Gesellschafter als Unternehmer (Mitunternehmer) des Betriebs anzusehen ist, und die Vergütungen, die der Gesellschafter von der Gesellschaft für seine Tätigkeit im Dienst der Gesellschaft oder für die Hingabe von Darlehen oder für die Überlassung von Wirtschaftsgütern bezogen hat. </w:t>
      </w:r>
      <w:r>
        <w:rPr>
          <w:rStyle w:val="Satznummer"/>
        </w:rPr>
        <w:t>2</w:t>
      </w:r>
      <w:r>
        <w:t>Der mittelbar über eine oder mehrere Personengesellschaften beteiligte Gesellschafter steht dem unmittelbar beteiligten Gesellschafter gleich; er ist als Mitunternehmer des Betriebs der Gesellschaft anzusehen, an der er mittelbar beteiligt ist, wenn er und die Personengesellschaften, die seine Beteiligung vermitteln, jeweils als Mitunternehmer der Betriebe der Personengesellschaften anzusehen sind, an denen sie unmittelbar beteiligt sind;</w:t>
      </w:r>
    </w:p>
    <w:p>
      <w:pPr>
        <w:tabs>
          <w:tab w:pos="567" w:val="left"/>
        </w:tabs>
        <w:ind w:left="567" w:hanging="567"/>
      </w:pPr>
      <w:r>
        <w:t>3.</w:t>
      </w:r>
      <w:r>
        <w:tab/>
      </w:r>
      <w:r>
        <w:t>die Gewinnanteile der persönlich haftenden Gesellschafter einer Kommanditgesellschaft auf Aktien, soweit sie nicht auf Anteile am Grundkapital entfallen, und die Vergütungen, die der persönlich haftende Gesellschafter von der Gesellschaft für seine Tätigkeit im Dienst der Gesellschaft oder für die Hingabe von Darlehen oder für die Überlassung von Wirtschaftsgütern bezogen hat.</w:t>
      </w:r>
    </w:p>
    <w:p>
      <w:r>
        <w:rPr>
          <w:rStyle w:val="Satznummer"/>
        </w:rPr>
        <w:t>2</w:t>
      </w:r>
      <w:r>
        <w:t>Satz 1 Nummer 2 und 3 gilt auch für Vergütungen, die als nachträgliche Einkünfte (</w:t>
      </w:r>
      <w:hyperlink w:anchor="b94" w:history="1">
        <w:r>
          <w:rPr>
            <w:color w:val="0A3A8C"/>
            <w:u w:val="single"/>
          </w:rPr>
          <w:t xml:space="preserve">§ 24</w:t>
        </w:r>
      </w:hyperlink>
      <w:r>
        <w:t xml:space="preserve"> Nummer 2) bezogen werden. </w:t>
      </w:r>
      <w:r>
        <w:rPr>
          <w:rStyle w:val="Satznummer"/>
        </w:rPr>
        <w:t>3</w:t>
      </w:r>
      <w:hyperlink w:anchor="b69" w:history="1">
        <w:r>
          <w:rPr>
            <w:color w:val="0A3A8C"/>
            <w:u w:val="single"/>
          </w:rPr>
          <w:t xml:space="preserve">§ 13</w:t>
        </w:r>
      </w:hyperlink>
      <w:r>
        <w:t xml:space="preserve"> Absatz 5 gilt entsprechend, sofern das Grundstück im Veranlagungszeitraum 1986 zu einem gewerblichen Betriebsvermögen gehört hat.</w:t>
      </w:r>
    </w:p>
    <w:p>
      <w:r>
        <w:t xml:space="preserve">(1a) </w:t>
      </w:r>
      <w:r>
        <w:rPr>
          <w:rStyle w:val="Satznummer"/>
        </w:rPr>
        <w:t>1</w:t>
      </w:r>
      <w:r>
        <w:t xml:space="preserve">In den Fällen des </w:t>
      </w:r>
      <w:hyperlink w:anchor="b13" w:history="1">
        <w:r>
          <w:rPr>
            <w:color w:val="0A3A8C"/>
            <w:u w:val="single"/>
          </w:rPr>
          <w:t xml:space="preserve">§ 4</w:t>
        </w:r>
      </w:hyperlink>
      <w:r>
        <w:t xml:space="preserve"> Absatz 1 Satz 5 ist der Gewinn aus einer späteren Veräußerung der Anteile ungeachtet der Bestimmungen eines Abkommens zur Vermeidung der Doppelbesteuerung in der gleichen Art und Weise zu besteuern, wie die Veräußerung dieser Anteile an der Europäischen Gesellschaft oder Europäischen Genossenschaft zu besteuern gewesen wäre, wenn keine Sitzverlegung stattgefunden hätte. </w:t>
      </w:r>
      <w:r>
        <w:rPr>
          <w:rStyle w:val="Satznummer"/>
        </w:rPr>
        <w:t>2</w:t>
      </w:r>
      <w:r>
        <w:t>Dies gilt auch, wenn später die Anteile verdeckt in eine Kapitalgesellschaft eingelegt werden, die Europäische Gesellschaft oder Europäische Genossenschaft aufgelöst wird oder wenn ihr Kapital herabgesetzt und zurückgezahlt wird oder wenn Beträge aus dem steuerlichen Einlagenkonto im Sinne des § 27 des Körperschaftsteuergesetzes ausgeschüttet oder zurückgezahlt werden.</w:t>
      </w:r>
    </w:p>
    <w:p>
      <w:r>
        <w:t xml:space="preserve">(2) </w:t>
      </w:r>
      <w:r>
        <w:rPr>
          <w:rStyle w:val="Satznummer"/>
        </w:rPr>
        <w:t>1</w:t>
      </w:r>
      <w:r>
        <w:t xml:space="preserve">Eine selbständige nachhaltige Betätigung, die mit der Absicht, Gewinn zu erzielen, unternommen wird und sich als Beteiligung am allgemeinen wirtschaftlichen Verkehr darstellt, ist Gewerbebetrieb, wenn die Betätigung weder als Ausübung von Land- und Forstwirtschaft noch als Ausübung eines freien Berufs noch als eine andere selbständige Arbeit anzusehen ist. </w:t>
      </w:r>
      <w:r>
        <w:rPr>
          <w:rStyle w:val="Satznummer"/>
        </w:rPr>
        <w:t>2</w:t>
      </w:r>
      <w:r>
        <w:t xml:space="preserve">Eine durch die Betätigung verursachte Minderung der Steuern vom Einkommen ist kein Gewinn im Sinne des Satzes 1. </w:t>
      </w:r>
      <w:r>
        <w:rPr>
          <w:rStyle w:val="Satznummer"/>
        </w:rPr>
        <w:t>3</w:t>
      </w:r>
      <w:r>
        <w:t>Ein Gewerbebetrieb liegt, wenn seine Voraussetzungen im Übrigen gegeben sind, auch dann vor, wenn die Gewinnerzielungsabsicht nur ein Nebenzweck ist.</w:t>
      </w:r>
    </w:p>
    <w:p>
      <w:r>
        <w:t>(3) Als Gewerbebetrieb gilt in vollem Umfang die mit Einkünfteerzielungsabsicht unternommene Tätigkeit</w:t>
      </w:r>
    </w:p>
    <w:p>
      <w:pPr>
        <w:tabs>
          <w:tab w:pos="567" w:val="left"/>
        </w:tabs>
        <w:ind w:left="567" w:hanging="567"/>
      </w:pPr>
      <w:r>
        <w:t>1.</w:t>
      </w:r>
      <w:r>
        <w:tab/>
      </w:r>
      <w:r>
        <w:t xml:space="preserve">einer offenen Handelsgesellschaft, einer Kommanditgesellschaft oder einer anderen Personengesellschaft, wenn die Gesellschaft auch eine Tätigkeit im Sinne des Absatzes 1 Satz 1 Nummer 1 ausübt oder gewerbliche Einkünfte im Sinne des Absatzes 1 Satz 1 Nummer 2 bezieht. </w:t>
      </w:r>
      <w:r>
        <w:rPr>
          <w:rStyle w:val="Satznummer"/>
        </w:rPr>
        <w:t>2</w:t>
      </w:r>
      <w:r>
        <w:t>Dies gilt unabhängig davon, ob aus der Tätigkeit im Sinne des Absatzes 1 Satz 1 Nummer 1 ein Gewinn oder Verlust erzielt wird oder ob die gewerblichen Einkünfte im Sinne des Absatzes 1 Satz 1 Nummer 2 positiv oder negativ sind;</w:t>
      </w:r>
    </w:p>
    <w:p>
      <w:pPr>
        <w:tabs>
          <w:tab w:pos="567" w:val="left"/>
        </w:tabs>
        <w:ind w:left="567" w:hanging="567"/>
      </w:pPr>
      <w:r>
        <w:t>2.</w:t>
      </w:r>
      <w:r>
        <w:tab/>
      </w:r>
      <w:r>
        <w:t xml:space="preserve">einer Personengesellschaft, die keine Tätigkeit im Sinne des Absatzes 1 Satz 1 Nummer 1 ausübt und bei der ausschließlich eine oder mehrere Kapitalgesellschaften persönlich haftende Gesellschafter sind und nur diese oder Personen, die nicht Gesellschafter sind, zur Geschäftsführung befugt sind (gewerblich geprägte Personengesellschaft). </w:t>
      </w:r>
      <w:r>
        <w:rPr>
          <w:rStyle w:val="Satznummer"/>
        </w:rPr>
        <w:t>2</w:t>
      </w:r>
      <w:r>
        <w:t>Ist eine gewerblich geprägte Personengesellschaft als persönlich haftender Gesellschafter an einer anderen Personengesellschaft beteiligt, so steht für die Beurteilung, ob die Tätigkeit dieser Personengesellschaft als Gewerbebetrieb gilt, die gewerblich geprägte Personengesellschaft einer Kapitalgesellschaft gleich.</w:t>
      </w:r>
    </w:p>
    <w:p>
      <w:r>
        <w:t xml:space="preserve">(4) </w:t>
      </w:r>
      <w:r>
        <w:rPr>
          <w:rStyle w:val="Satznummer"/>
        </w:rPr>
        <w:t>1</w:t>
      </w:r>
      <w:r>
        <w:t xml:space="preserve">Verluste aus gewerblicher Tierzucht oder gewerblicher Tierhaltung dürfen weder mit anderen Einkünften aus Gewerbebetrieb noch mit Einkünften aus anderen Einkunftsarten ausgeglichen werden; sie dürfen auch nicht nach </w:t>
      </w:r>
      <w:hyperlink w:anchor="b55" w:history="1">
        <w:r>
          <w:rPr>
            <w:color w:val="0A3A8C"/>
            <w:u w:val="single"/>
          </w:rPr>
          <w:t xml:space="preserve">§ 10d</w:t>
        </w:r>
      </w:hyperlink>
      <w:r>
        <w:t xml:space="preserve"> abgezogen werden. </w:t>
      </w:r>
      <w:r>
        <w:rPr>
          <w:rStyle w:val="Satznummer"/>
        </w:rPr>
        <w:t>2</w:t>
      </w:r>
      <w:r>
        <w:t xml:space="preserve">Die Verluste mindern jedoch nach Maßgabe des </w:t>
      </w:r>
      <w:hyperlink w:anchor="b55" w:history="1">
        <w:r>
          <w:rPr>
            <w:color w:val="0A3A8C"/>
            <w:u w:val="single"/>
          </w:rPr>
          <w:t xml:space="preserve">§ 10d</w:t>
        </w:r>
      </w:hyperlink>
      <w:r>
        <w:t xml:space="preserve"> die Gewinne, die der Steuerpflichtige in dem unmittelbar vorangegangenen und in den folgenden Wirtschaftsjahren aus gewerblicher Tierzucht oder gewerblicher Tierhaltung erzielt hat oder erzielt; </w:t>
      </w:r>
      <w:hyperlink w:anchor="b55" w:history="1">
        <w:r>
          <w:rPr>
            <w:color w:val="0A3A8C"/>
            <w:u w:val="single"/>
          </w:rPr>
          <w:t xml:space="preserve">§ 10d</w:t>
        </w:r>
      </w:hyperlink>
      <w:r>
        <w:t xml:space="preserve"> Absatz 4 gilt entsprechend. </w:t>
      </w:r>
      <w:r>
        <w:rPr>
          <w:rStyle w:val="Satznummer"/>
        </w:rPr>
        <w:t>3</w:t>
      </w:r>
      <w:r>
        <w:t xml:space="preserve">Die Sätze 1 und 2 gelten entsprechend für Verluste aus Termingeschäften, durch die der Steuerpflichtige einen Differenzausgleich oder einen durch den Wert einer veränderlichen Bezugsgröße bestimmten Geldbetrag oder Vorteil erlangt. </w:t>
      </w:r>
      <w:r>
        <w:rPr>
          <w:rStyle w:val="Satznummer"/>
        </w:rPr>
        <w:t>4</w:t>
      </w:r>
      <w:r>
        <w:t xml:space="preserve">Satz 3 gilt nicht für die Geschäfte, die zum gewöhnlichen Geschäftsbetrieb bei Kreditinstituten, Finanzdienstleistungsinstituten und Finanzunternehmen im Sinne des Gesetzes über das Kreditwesen oder bei Wertpapierinstituten im Sinne des Wertpapierinstitutsgesetzes gehören oder die der Absicherung von Geschäften des gewöhnlichen Geschäftsbetriebs dienen. </w:t>
      </w:r>
      <w:r>
        <w:rPr>
          <w:rStyle w:val="Satznummer"/>
        </w:rPr>
        <w:t>5</w:t>
      </w:r>
      <w:r>
        <w:t xml:space="preserve">Satz 4 gilt nicht, wenn es sich um Geschäfte handelt, die der Absicherung von Aktiengeschäften dienen, bei denen der Veräußerungsgewinn nach § 3 Nummer 40 Satz 1 Buchstabe a und b in Verbindung mit </w:t>
      </w:r>
      <w:hyperlink w:anchor="b11" w:history="1">
        <w:r>
          <w:rPr>
            <w:color w:val="0A3A8C"/>
            <w:u w:val="single"/>
          </w:rPr>
          <w:t xml:space="preserve">§ 3c</w:t>
        </w:r>
      </w:hyperlink>
      <w:r>
        <w:t xml:space="preserve"> Absatz 2 teilweise steuerfrei ist, oder die nach § 8b Absatz 2 des Körperschaftsteuergesetzes bei der Ermittlung des Einkommens außer Ansatz bleiben. </w:t>
      </w:r>
      <w:r>
        <w:rPr>
          <w:rStyle w:val="Satznummer"/>
        </w:rPr>
        <w:t>6</w:t>
      </w:r>
      <w:r>
        <w:t xml:space="preserve">Verluste aus stillen Gesellschaften, Unterbeteiligungen oder sonstigen Innengesellschaften an Kapitalgesellschaften, bei denen der Gesellschafter oder Beteiligte als Mitunternehmer anzusehen ist, dürfen weder mit Einkünften aus Gewerbebetrieb noch aus anderen Einkunftsarten ausgeglichen werden; sie dürfen auch nicht nach </w:t>
      </w:r>
      <w:hyperlink w:anchor="b55" w:history="1">
        <w:r>
          <w:rPr>
            <w:color w:val="0A3A8C"/>
            <w:u w:val="single"/>
          </w:rPr>
          <w:t xml:space="preserve">§ 10d</w:t>
        </w:r>
      </w:hyperlink>
      <w:r>
        <w:t xml:space="preserve"> abgezogen werden. </w:t>
      </w:r>
      <w:r>
        <w:rPr>
          <w:rStyle w:val="Satznummer"/>
        </w:rPr>
        <w:t>7</w:t>
      </w:r>
      <w:r>
        <w:t xml:space="preserve">Die Verluste mindern jedoch nach Maßgabe des </w:t>
      </w:r>
      <w:hyperlink w:anchor="b55" w:history="1">
        <w:r>
          <w:rPr>
            <w:color w:val="0A3A8C"/>
            <w:u w:val="single"/>
          </w:rPr>
          <w:t xml:space="preserve">§ 10d</w:t>
        </w:r>
      </w:hyperlink>
      <w:r>
        <w:t xml:space="preserve"> die Gewinne, die der Gesellschafter oder Beteiligte in dem unmittelbar vorangegangenen Wirtschaftsjahr oder in den folgenden Wirtschaftsjahren aus derselben stillen Gesellschaft, Unterbeteiligung oder sonstigen Innengesellschaft bezieht; </w:t>
      </w:r>
      <w:hyperlink w:anchor="b55" w:history="1">
        <w:r>
          <w:rPr>
            <w:color w:val="0A3A8C"/>
            <w:u w:val="single"/>
          </w:rPr>
          <w:t xml:space="preserve">§ 10d</w:t>
        </w:r>
      </w:hyperlink>
      <w:r>
        <w:t xml:space="preserve"> Absatz 4 gilt entsprechend. </w:t>
      </w:r>
      <w:r>
        <w:rPr>
          <w:rStyle w:val="Satznummer"/>
        </w:rPr>
        <w:t>8</w:t>
      </w:r>
      <w:r>
        <w:t>Die Sätze 6 und 7 gelten nicht, soweit der Verlust auf eine natürliche Person als unmittelbar oder mittelbar beteiligter Mitunternehmer entfällt.</w:t>
      </w:r>
    </w:p>
    <w:p>
      <w:pPr>
        <w:pStyle w:val="Heading4"/>
      </w:pPr>
      <w:bookmarkStart w:id="77" w:name="b76"/>
      <w:r>
        <w:t>§ 15a Verluste bei beschränkter Haftung</w:t>
      </w:r>
      <w:r>
        <w:t xml:space="preserve"> </w:t>
      </w:r>
      <w:r>
        <w:rPr>
          <w:rStyle w:val="Suchmarke"/>
        </w:rPr>
        <w:t>#15a#</w:t>
      </w:r>
      <w:bookmarkEnd w:id="77"/>
    </w:p>
    <w:p>
      <w:r>
        <w:t xml:space="preserve">(1) </w:t>
      </w:r>
      <w:r>
        <w:rPr>
          <w:rStyle w:val="Satznummer"/>
        </w:rPr>
        <w:t>1</w:t>
      </w:r>
      <w:r>
        <w:t xml:space="preserve">Der einem Kommanditisten zuzurechnende Anteil am Verlust der Kommanditgesellschaft darf weder mit anderen Einkünften aus Gewerbebetrieb noch mit Einkünften aus anderen Einkunftsarten ausgeglichen werden, soweit ein negatives Kapitalkonto des Kommanditisten entsteht oder sich erhöht; er darf insoweit auch nicht nach </w:t>
      </w:r>
      <w:hyperlink w:anchor="b55" w:history="1">
        <w:r>
          <w:rPr>
            <w:color w:val="0A3A8C"/>
            <w:u w:val="single"/>
          </w:rPr>
          <w:t xml:space="preserve">§ 10d</w:t>
        </w:r>
      </w:hyperlink>
      <w:r>
        <w:t xml:space="preserve"> abgezogen werden. </w:t>
      </w:r>
      <w:r>
        <w:rPr>
          <w:rStyle w:val="Satznummer"/>
        </w:rPr>
        <w:t>2</w:t>
      </w:r>
      <w:r>
        <w:t xml:space="preserve">Haftet der Kommanditist am Bilanzstichtag den Gläubigern der Gesellschaft auf Grund des § 171 Absatz 1 des Handelsgesetzbuchs, so können abweichend von Satz 1 Verluste des Kommanditisten bis zur Höhe des Betrags, um den die im Handelsregister eingetragene Einlage des Kommanditisten seine geleistete Einlage übersteigt, auch ausgeglichen oder abgezogen werden, soweit durch den Verlust ein negatives Kapitalkonto entsteht oder sich erhöht. </w:t>
      </w:r>
      <w:r>
        <w:rPr>
          <w:rStyle w:val="Satznummer"/>
        </w:rPr>
        <w:t>3</w:t>
      </w:r>
      <w:r>
        <w:t>Satz 2 ist nur anzuwenden, wenn derjenige, dem der Anteil zuzurechnen ist, im Handelsregister eingetragen ist, das Bestehen der Haftung nachgewiesen wird und eine Vermögensminderung auf Grund der Haftung nicht durch Vertrag ausgeschlossen oder nach Art und Weise des Geschäftsbetriebs unwahrscheinlich ist.</w:t>
      </w:r>
    </w:p>
    <w:p>
      <w:r>
        <w:t>(1a)</w:t>
      </w:r>
      <w:r>
        <w:t xml:space="preserve"> </w:t>
      </w:r>
      <w:r>
        <w:rPr>
          <w:rStyle w:val="Satznummer"/>
        </w:rPr>
        <w:t>1</w:t>
      </w:r>
      <w:r>
        <w:t xml:space="preserve">Nachträgliche Einlagen führen weder zu einer nachträglichen Ausgleichs- oder Abzugsfähigkeit eines vorhandenen verrechenbaren Verlustes noch zu einer Ausgleichs- oder Abzugsfähigkeit des dem Kommanditisten zuzurechnenden Anteils am Verlust eines zukünftigen Wirtschaftsjahres, soweit durch den Verlust ein negatives Kapitalkonto des Kommanditisten entsteht oder sich erhöht. </w:t>
      </w:r>
      <w:r>
        <w:rPr>
          <w:rStyle w:val="Satznummer"/>
        </w:rPr>
        <w:t>2</w:t>
      </w:r>
      <w:r>
        <w:t>Nachträgliche Einlagen im Sinne des Satzes 1 sind Einlagen, die nach Ablauf eines Wirtschaftsjahres geleistet werden, in dem ein nicht ausgleichs- oder abzugsfähiger Verlust im Sinne des Absatzes 1 entstanden oder ein Gewinn im Sinne des Absatzes 3 Satz 1 zugerechnet worden ist.</w:t>
      </w:r>
    </w:p>
    <w:p>
      <w:r>
        <w:t xml:space="preserve">(2) </w:t>
      </w:r>
      <w:r>
        <w:rPr>
          <w:rStyle w:val="Satznummer"/>
        </w:rPr>
        <w:t>1</w:t>
      </w:r>
      <w:r>
        <w:t xml:space="preserve">Soweit der Verlust nach den Absätzen 1 und 1a nicht ausgeglichen oder abgezogen werden darf, mindert er die Gewinne, die dem Kommanditisten in späteren Wirtschaftsjahren aus seiner Beteiligung an der Kommanditgesellschaft zuzurechnen sind. </w:t>
      </w:r>
      <w:r>
        <w:rPr>
          <w:rStyle w:val="Satznummer"/>
        </w:rPr>
        <w:t>2</w:t>
      </w:r>
      <w:r>
        <w:t>Der verrechenbare Verlust, der nach Abzug von einem Veräußerungs- oder Aufgabegewinn verbleibt, ist im Zeitpunkt der Veräußerung oder Aufgabe des gesamten Mitunternehmeranteils oder der Betriebsveräußerung oder -aufgabe bis zur Höhe der nachträglichen Einlagen im Sinne des Absatzes 1a ausgleichs- oder abzugsfähig.</w:t>
      </w:r>
    </w:p>
    <w:p>
      <w:r>
        <w:t xml:space="preserve">(3) </w:t>
      </w:r>
      <w:r>
        <w:rPr>
          <w:rStyle w:val="Satznummer"/>
        </w:rPr>
        <w:t>1</w:t>
      </w:r>
      <w:r>
        <w:t xml:space="preserve">Soweit ein negatives Kapitalkonto des Kommanditisten durch Entnahmen entsteht oder sich erhöht (Einlageminderung) und soweit nicht auf Grund der Entnahmen eine nach Absatz 1 Satz 2 zu berücksichtigende Haftung besteht oder entsteht, ist dem Kommanditisten der Betrag der Einlageminderung als Gewinn zuzurechnen. </w:t>
      </w:r>
      <w:r>
        <w:rPr>
          <w:rStyle w:val="Satznummer"/>
        </w:rPr>
        <w:t>2</w:t>
      </w:r>
      <w:r>
        <w:t xml:space="preserve">Der nach Satz 1 zuzurechnende Betrag darf den Betrag der Anteile am Verlust der Kommanditgesellschaft nicht übersteigen, der im Wirtschaftsjahr der Einlageminderung und in den zehn vorangegangenen Wirtschaftsjahren ausgleichs- oder abzugsfähig gewesen ist. </w:t>
      </w:r>
      <w:r>
        <w:rPr>
          <w:rStyle w:val="Satznummer"/>
        </w:rPr>
        <w:t>3</w:t>
      </w:r>
      <w:r>
        <w:t xml:space="preserve">Wird der Haftungsbetrag im Sinne des Absatzes 1 Satz 2 gemindert (Haftungsminderung) und sind im Wirtschaftsjahr der Haftungsminderung und den zehn vorangegangenen Wirtschaftsjahren Verluste nach Absatz 1 Satz 2 ausgleichs- oder abzugsfähig gewesen, so ist dem Kommanditisten der Betrag der Haftungsminderung, vermindert um auf Grund der Haftung tatsächlich geleistete Beträge, als Gewinn zuzurechnen; Satz 2 gilt sinngemäß. </w:t>
      </w:r>
      <w:r>
        <w:rPr>
          <w:rStyle w:val="Satznummer"/>
        </w:rPr>
        <w:t>4</w:t>
      </w:r>
      <w:r>
        <w:t>Die nach den Sätzen 1 bis 3 zuzurechnenden Beträge mindern die Gewinne, die dem Kommanditisten im Wirtschaftsjahr der Zurechnung oder in späteren Wirtschaftsjahren aus seiner Beteiligung an der Kommanditgesellschaft zuzurechnen sind.</w:t>
      </w:r>
    </w:p>
    <w:p>
      <w:r>
        <w:t xml:space="preserve">(4) </w:t>
      </w:r>
      <w:r>
        <w:rPr>
          <w:rStyle w:val="Satznummer"/>
        </w:rPr>
        <w:t>1</w:t>
      </w:r>
      <w:r>
        <w:t xml:space="preserve">Der nach Absatz 1 nicht ausgleichs- oder abzugsfähige Verlust eines Kommanditisten, vermindert um die nach Absatz 2 abzuziehenden und vermehrt um die nach Absatz 3 hinzuzurechnenden Beträge (verrechenbarer Verlust), ist jährlich gesondert festzustellen. </w:t>
      </w:r>
      <w:r>
        <w:rPr>
          <w:rStyle w:val="Satznummer"/>
        </w:rPr>
        <w:t>2</w:t>
      </w:r>
      <w:r>
        <w:t xml:space="preserve">Dabei ist von dem verrechenbaren Verlust des vorangegangenen Wirtschaftsjahres auszugehen. </w:t>
      </w:r>
      <w:r>
        <w:rPr>
          <w:rStyle w:val="Satznummer"/>
        </w:rPr>
        <w:t>3</w:t>
      </w:r>
      <w:r>
        <w:t xml:space="preserve">Zuständig für den Erlass des Feststellungsbescheids ist das für die gesonderte Feststellung des Gewinns und Verlustes der Gesellschaft zuständige Finanzamt. </w:t>
      </w:r>
      <w:r>
        <w:rPr>
          <w:rStyle w:val="Satznummer"/>
        </w:rPr>
        <w:t>4</w:t>
      </w:r>
      <w:r>
        <w:t xml:space="preserve">Der Feststellungsbescheid kann nur insoweit angegriffen werden, als der verrechenbare Verlust gegenüber dem verrechenbaren Verlust des vorangegangenen Wirtschaftsjahres sich verändert hat. </w:t>
      </w:r>
      <w:r>
        <w:rPr>
          <w:rStyle w:val="Satznummer"/>
        </w:rPr>
        <w:t>5</w:t>
      </w:r>
      <w:r>
        <w:t xml:space="preserve">Die gesonderten Feststellungen nach Satz 1 können </w:t>
      </w:r>
      <w:r>
        <w:t>mit der</w:t>
      </w:r>
      <w:r>
        <w:t xml:space="preserve"> gesonderten und einheitlichen Feststellung der einkommensteuerpflichtigen und körperschaftsteuerpflichtigen Einkünfte verbunden werden. </w:t>
      </w:r>
      <w:r>
        <w:rPr>
          <w:rStyle w:val="Satznummer"/>
        </w:rPr>
        <w:t>6</w:t>
      </w:r>
      <w:r>
        <w:t>In diesen Fällen sind die gesonderten Feststellungen des verrechenbaren Verlustes einheitlich durchzuführen.</w:t>
      </w:r>
    </w:p>
    <w:p>
      <w:r>
        <w:t>(5) Absatz 1 Satz 1, Absatz 1a, 2 und 3 Satz 1, 2 und 4 sowie Absatz 4 gelten sinngemäß für andere Unternehmer, soweit deren Haftung der eines Kommanditisten vergleichbar ist, insbesondere für</w:t>
      </w:r>
    </w:p>
    <w:p>
      <w:pPr>
        <w:tabs>
          <w:tab w:pos="567" w:val="left"/>
        </w:tabs>
        <w:ind w:left="567" w:hanging="567"/>
      </w:pPr>
      <w:r>
        <w:t>1.</w:t>
      </w:r>
      <w:r>
        <w:tab/>
      </w:r>
      <w:r>
        <w:t>stille Gesellschafter einer stillen Gesellschaft im Sinne des § 230 des Handelsgesetzbuchs, bei der der stille Gesellschafter als Unternehmer (Mitunternehmer) anzusehen ist,</w:t>
      </w:r>
    </w:p>
    <w:p>
      <w:pPr>
        <w:tabs>
          <w:tab w:pos="567" w:val="left"/>
        </w:tabs>
        <w:ind w:left="567" w:hanging="567"/>
      </w:pPr>
      <w:r>
        <w:t>2.</w:t>
      </w:r>
      <w:r>
        <w:tab/>
      </w:r>
      <w:r>
        <w:t>Gesellschafter einer Gesellschaft im Sinne des Bürgerlichen Gesetzbuchs, bei der der Gesellschafter als Unternehmer (Mitunternehmer) anzusehen ist, soweit die Inanspruchnahme des Gesellschafters für Schulden in Zusammenhang mit dem Betrieb durch Vertrag ausgeschlossen oder nach Art und Weise des Geschäftsbetriebs unwahrscheinlich ist,</w:t>
      </w:r>
    </w:p>
    <w:p>
      <w:pPr>
        <w:tabs>
          <w:tab w:pos="567" w:val="left"/>
        </w:tabs>
        <w:ind w:left="567" w:hanging="567"/>
      </w:pPr>
      <w:r>
        <w:t>3.</w:t>
      </w:r>
      <w:r>
        <w:tab/>
      </w:r>
      <w:r>
        <w:t>Gesellschafter einer ausländischen Personengesellschaft, bei der der Gesellschafter als Unternehmer (Mitunternehmer) anzusehen ist, soweit die Haftung des Gesellschafters für Schulden in Zusammenhang mit dem Betrieb der eines Kommanditisten oder eines stillen Gesellschafters entspricht oder soweit die Inanspruchnahme des Gesellschafters für Schulden in Zusammenhang mit dem Betrieb durch Vertrag ausgeschlossen oder nach Art und Weise des Geschäftsbetriebs unwahrscheinlich ist,</w:t>
      </w:r>
    </w:p>
    <w:p>
      <w:pPr>
        <w:tabs>
          <w:tab w:pos="567" w:val="left"/>
        </w:tabs>
        <w:ind w:left="567" w:hanging="567"/>
      </w:pPr>
      <w:r>
        <w:t>4.</w:t>
      </w:r>
      <w:r>
        <w:tab/>
      </w:r>
      <w:r>
        <w:t>Unternehmer, soweit Verbindlichkeiten nur in Abhängigkeit von Erlösen oder Gewinnen aus der Nutzung, Veräußerung oder sonstigen Verwertung von Wirtschaftsgütern zu tilgen sind,</w:t>
      </w:r>
    </w:p>
    <w:p>
      <w:pPr>
        <w:tabs>
          <w:tab w:pos="567" w:val="left"/>
        </w:tabs>
        <w:ind w:left="567" w:hanging="567"/>
      </w:pPr>
      <w:r>
        <w:t>5.</w:t>
      </w:r>
      <w:r>
        <w:tab/>
      </w:r>
      <w:r>
        <w:t>Mitreeder einer Reederei im Sinne des § 489 des Handelsgesetzbuchs, bei der der Mitreeder als Unternehmer (Mitunternehmer) anzusehen ist, wenn die persönliche Haftung des Mitreeders für die Verbindlichkeiten der Reederei ganz oder teilweise ausgeschlossen oder soweit die Inanspruchnahme des Mitreeders für Verbindlichkeiten der Reederei nach Art und Weise des Geschäftsbetriebs unwahrscheinlich ist.</w:t>
      </w:r>
    </w:p>
    <w:p>
      <w:pPr>
        <w:pStyle w:val="Heading4"/>
      </w:pPr>
      <w:bookmarkStart w:id="78" w:name="b77"/>
      <w:r>
        <w:t>§ 15b Verluste im Zusammenhang mit Steuerstundungsmodellen</w:t>
      </w:r>
      <w:r>
        <w:t xml:space="preserve"> </w:t>
      </w:r>
      <w:r>
        <w:rPr>
          <w:rStyle w:val="Suchmarke"/>
        </w:rPr>
        <w:t>#15b#</w:t>
      </w:r>
      <w:bookmarkEnd w:id="78"/>
    </w:p>
    <w:p>
      <w:r>
        <w:t xml:space="preserve">(1) </w:t>
      </w:r>
      <w:r>
        <w:rPr>
          <w:rStyle w:val="Satznummer"/>
        </w:rPr>
        <w:t>1</w:t>
      </w:r>
      <w:r>
        <w:t xml:space="preserve">Verluste im Zusammenhang mit einem Steuerstundungsmodell dürfen weder mit Einkünften aus Gewerbebetrieb noch mit Einkünften aus anderen Einkunftsarten ausgeglichen werden; sie dürfen auch nicht nach </w:t>
      </w:r>
      <w:hyperlink w:anchor="b55" w:history="1">
        <w:r>
          <w:rPr>
            <w:color w:val="0A3A8C"/>
            <w:u w:val="single"/>
          </w:rPr>
          <w:t xml:space="preserve">§ 10d</w:t>
        </w:r>
      </w:hyperlink>
      <w:r>
        <w:t xml:space="preserve"> abgezogen werden. </w:t>
      </w:r>
      <w:r>
        <w:rPr>
          <w:rStyle w:val="Satznummer"/>
        </w:rPr>
        <w:t>2</w:t>
      </w:r>
      <w:r>
        <w:t xml:space="preserve">Die Verluste mindern jedoch die Einkünfte, die der Steuerpflichtige in den folgenden Wirtschaftsjahren aus derselben Einkunftsquelle erzielt. </w:t>
      </w:r>
      <w:r>
        <w:rPr>
          <w:rStyle w:val="Satznummer"/>
        </w:rPr>
        <w:t>3</w:t>
      </w:r>
      <w:hyperlink w:anchor="b76" w:history="1">
        <w:r>
          <w:rPr>
            <w:color w:val="0A3A8C"/>
            <w:u w:val="single"/>
          </w:rPr>
          <w:t xml:space="preserve">§ 15a</w:t>
        </w:r>
      </w:hyperlink>
      <w:r>
        <w:t xml:space="preserve"> ist insoweit nicht anzuwenden.</w:t>
      </w:r>
    </w:p>
    <w:p>
      <w:r>
        <w:t xml:space="preserve">(2) </w:t>
      </w:r>
      <w:r>
        <w:rPr>
          <w:rStyle w:val="Satznummer"/>
        </w:rPr>
        <w:t>1</w:t>
      </w:r>
      <w:r>
        <w:t xml:space="preserve">Ein Steuerstundungsmodell im Sinne des Absatzes 1 liegt vor, wenn auf Grund einer modellhaften Gestaltung steuerliche Vorteile in Form negativer Einkünfte erzielt werden sollen. </w:t>
      </w:r>
      <w:r>
        <w:rPr>
          <w:rStyle w:val="Satznummer"/>
        </w:rPr>
        <w:t>2</w:t>
      </w:r>
      <w:r>
        <w:t xml:space="preserve">Dies ist der Fall, wenn dem Steuerpflichtigen auf Grund eines vorgefertigten Konzepts die Möglichkeit geboten werden soll, zumindest in der Anfangsphase der Investition Verluste mit übrigen Einkünften zu verrechnen. </w:t>
      </w:r>
      <w:r>
        <w:rPr>
          <w:rStyle w:val="Satznummer"/>
        </w:rPr>
        <w:t>3</w:t>
      </w:r>
      <w:r>
        <w:t>Dabei ist es ohne Belang, auf welchen Vorschriften die negativen Einkünfte beruhen.</w:t>
      </w:r>
    </w:p>
    <w:p>
      <w:r>
        <w:t>(3) Absatz 1 ist nur anzuwenden, wenn innerhalb der Anfangsphase das Verhältnis der Summe der prognostizierten Verluste zur Höhe des gezeichneten und nach dem Konzept auch aufzubringenden Kapitals oder bei Einzelinvestoren des eingesetzten Eigenkapitals 10 Prozent übersteigt.</w:t>
      </w:r>
    </w:p>
    <w:p>
      <w:r>
        <w:t>(3a) Unabhängig von den Voraussetzungen nach den Absätzen 2 und 3 liegt ein Steuerstundungsmodell im Sinne des Absatzes 1 insbesondere vor, wenn ein Verlust aus Gewerbebetrieb entsteht oder sich erhöht, indem ein Steuerpflichtiger, der nicht auf Grund gesetzlicher Vorschriften verpflichtet ist, Bücher zu führen und regelmäßig Abschlüsse zu machen, auf Grund des Erwerbs von Wirtschaftsgütern des Umlaufvermögens sofort abziehbare Betriebsausgaben tätigt, wenn deren Übereignung ohne körperliche Übergabe durch Besitzkonstitut nach § 930 des Bürgerlichen Gesetzbuchs oder durch Abtretung des Herausgabeanspruchs nach § 931 des Bürgerlichen Gesetzbuchs erfolgt.</w:t>
      </w:r>
    </w:p>
    <w:p>
      <w:r>
        <w:t xml:space="preserve">(4) </w:t>
      </w:r>
      <w:r>
        <w:rPr>
          <w:rStyle w:val="Satznummer"/>
        </w:rPr>
        <w:t>1</w:t>
      </w:r>
      <w:r>
        <w:t xml:space="preserve">Der nach Absatz 1 nicht ausgleichsfähige Verlust ist jährlich gesondert festzustellen. </w:t>
      </w:r>
      <w:r>
        <w:rPr>
          <w:rStyle w:val="Satznummer"/>
        </w:rPr>
        <w:t>2</w:t>
      </w:r>
      <w:r>
        <w:t xml:space="preserve">Dabei ist von dem verrechenbaren Verlust des Vorjahres auszugehen. </w:t>
      </w:r>
      <w:r>
        <w:rPr>
          <w:rStyle w:val="Satznummer"/>
        </w:rPr>
        <w:t>3</w:t>
      </w:r>
      <w:r>
        <w:t xml:space="preserve">Der Feststellungsbescheid kann nur insoweit angegriffen werden, als der verrechenbare Verlust gegenüber dem verrechenbaren Verlust des Vorjahres sich verändert hat. </w:t>
      </w:r>
      <w:r>
        <w:rPr>
          <w:rStyle w:val="Satznummer"/>
        </w:rPr>
        <w:t>4</w:t>
      </w:r>
      <w:r>
        <w:t xml:space="preserve">Handelt es sich bei dem Steuerstundungsmodell um eine Gesellschaft oder Gemeinschaft im Sinne des § 180 Absatz 1 Satz 1 Nummer 2 Buchstabe a der Abgabenordnung, ist das für die gesonderte und einheitliche Feststellung der einkommensteuerpflichtigen und körperschaftsteuerpflichtigen Einkünfte aus dem Steuerstundungsmodell zuständige Finanzamt für den Erlass des Feststellungsbescheids nach Satz 1 zuständig; anderenfalls ist das Betriebsfinanzamt (§ 18 Absatz 1 Nummer 2 der Abgabenordnung) zuständig. </w:t>
      </w:r>
      <w:r>
        <w:rPr>
          <w:rStyle w:val="Satznummer"/>
        </w:rPr>
        <w:t>5</w:t>
      </w:r>
      <w:r>
        <w:t>Handelt es sich bei dem Steuerstundungsmodell um eine Gesellschaft oder Gemeinschaft im Sinne des § 180 Absatz 1 Satz 1 Nummer 2 Buchstabe a der Abgabenordnung, können die gesonderten Feststellungen nach Satz 1 mit der gesonderten und einheitlichen Feststellung der einkommensteuerpflichtigen und körperschaftsteuerpflichtigen Einkünfte aus dem Steuerstundungsmodell verbunden werden; in diesen Fällen sind die gesonderten Feststellungen nach Satz 1 einheitlich durchzuführen.</w:t>
      </w:r>
    </w:p>
    <w:p>
      <w:pPr>
        <w:pStyle w:val="Heading4"/>
      </w:pPr>
      <w:bookmarkStart w:id="79" w:name="b78"/>
      <w:r>
        <w:t>§ 16 Veräußerung des Betriebs</w:t>
      </w:r>
      <w:r>
        <w:t xml:space="preserve"> </w:t>
      </w:r>
      <w:r>
        <w:rPr>
          <w:rStyle w:val="Suchmarke"/>
        </w:rPr>
        <w:t>#16#</w:t>
      </w:r>
      <w:bookmarkEnd w:id="79"/>
    </w:p>
    <w:p>
      <w:r>
        <w:t xml:space="preserve">(1) </w:t>
      </w:r>
      <w:r>
        <w:rPr>
          <w:rStyle w:val="Satznummer"/>
        </w:rPr>
        <w:t>1</w:t>
      </w:r>
      <w:r>
        <w:t>Zu den Einkünften aus Gewerbebetrieb gehören auch Gewinne, die erzielt werden bei der Veräußerung</w:t>
      </w:r>
    </w:p>
    <w:p>
      <w:pPr>
        <w:tabs>
          <w:tab w:pos="567" w:val="left"/>
        </w:tabs>
        <w:ind w:left="567" w:hanging="567"/>
      </w:pPr>
      <w:r>
        <w:t>1.</w:t>
      </w:r>
      <w:r>
        <w:tab/>
      </w:r>
      <w:r>
        <w:t xml:space="preserve">des ganzen Gewerbebetriebs oder eines Teilbetriebs. </w:t>
      </w:r>
      <w:r>
        <w:rPr>
          <w:rStyle w:val="Satznummer"/>
        </w:rPr>
        <w:t>2</w:t>
      </w:r>
      <w:r>
        <w:t xml:space="preserve">Als Teilbetrieb gilt auch die das gesamte Nennkapital umfassende Beteiligung an einer Kapitalgesellschaft; im Fall der Auflösung der Kapitalgesellschaft ist </w:t>
      </w:r>
      <w:hyperlink w:anchor="b79" w:history="1">
        <w:r>
          <w:rPr>
            <w:color w:val="0A3A8C"/>
            <w:u w:val="single"/>
          </w:rPr>
          <w:t xml:space="preserve">§ 17</w:t>
        </w:r>
      </w:hyperlink>
      <w:r>
        <w:t xml:space="preserve"> Absatz 4 Satz 3 sinngemäß anzuwenden;</w:t>
      </w:r>
    </w:p>
    <w:p>
      <w:pPr>
        <w:tabs>
          <w:tab w:pos="567" w:val="left"/>
        </w:tabs>
        <w:ind w:left="567" w:hanging="567"/>
      </w:pPr>
      <w:r>
        <w:t>2.</w:t>
      </w:r>
      <w:r>
        <w:tab/>
      </w:r>
      <w:r>
        <w:t>des gesamten Anteils eines Gesellschafters, der als Unternehmer (Mitunternehmer) des Betriebs anzusehen ist (</w:t>
      </w:r>
      <w:hyperlink w:anchor="b75" w:history="1">
        <w:r>
          <w:rPr>
            <w:color w:val="0A3A8C"/>
            <w:u w:val="single"/>
          </w:rPr>
          <w:t xml:space="preserve">§ 15</w:t>
        </w:r>
      </w:hyperlink>
      <w:r>
        <w:t xml:space="preserve"> Absatz 1 Satz 1 Nummer 2);</w:t>
      </w:r>
    </w:p>
    <w:p>
      <w:pPr>
        <w:tabs>
          <w:tab w:pos="567" w:val="left"/>
        </w:tabs>
        <w:ind w:left="567" w:hanging="567"/>
      </w:pPr>
      <w:r>
        <w:t>3.</w:t>
      </w:r>
      <w:r>
        <w:tab/>
      </w:r>
      <w:r>
        <w:t>des gesamten Anteils eines persönlich haftenden Gesellschafters einer Kommanditgesellschaft auf Aktien (</w:t>
      </w:r>
      <w:hyperlink w:anchor="b75" w:history="1">
        <w:r>
          <w:rPr>
            <w:color w:val="0A3A8C"/>
            <w:u w:val="single"/>
          </w:rPr>
          <w:t xml:space="preserve">§ 15</w:t>
        </w:r>
      </w:hyperlink>
      <w:r>
        <w:t xml:space="preserve"> Absatz 1 Satz 1 Nummer 3).</w:t>
      </w:r>
    </w:p>
    <w:p>
      <w:r>
        <w:rPr>
          <w:rStyle w:val="Satznummer"/>
        </w:rPr>
        <w:t>2</w:t>
      </w:r>
      <w:r>
        <w:t>Gewinne, die bei der Veräußerung eines Teils eines Anteils im Sinne von Satz 1 Nummer 2 oder 3 erzielt werden, sind laufende Gewinne.</w:t>
      </w:r>
    </w:p>
    <w:p>
      <w:r>
        <w:t xml:space="preserve">(2) </w:t>
      </w:r>
      <w:r>
        <w:rPr>
          <w:rStyle w:val="Satznummer"/>
        </w:rPr>
        <w:t>1</w:t>
      </w:r>
      <w:r>
        <w:t xml:space="preserve">Veräußerungsgewinn im Sinne des Absatzes 1 ist der Betrag, um den der Veräußerungspreis nach Abzug der Veräußerungskosten den Wert des Betriebsvermögens (Absatz 1 Satz 1 Nummer 1) oder den Wert des Anteils am Betriebsvermögen (Absatz 1 Satz 1 Nummer 2 und 3) übersteigt. </w:t>
      </w:r>
      <w:r>
        <w:rPr>
          <w:rStyle w:val="Satznummer"/>
        </w:rPr>
        <w:t>2</w:t>
      </w:r>
      <w:r>
        <w:t xml:space="preserve">Der Wert des Betriebsvermögens oder des Anteils ist für den Zeitpunkt der Veräußerung nach </w:t>
      </w:r>
      <w:hyperlink w:anchor="b13" w:history="1">
        <w:r>
          <w:rPr>
            <w:color w:val="0A3A8C"/>
            <w:u w:val="single"/>
          </w:rPr>
          <w:t xml:space="preserve">§ 4</w:t>
        </w:r>
      </w:hyperlink>
      <w:r>
        <w:t xml:space="preserve"> Absatz 1 oder nach </w:t>
      </w:r>
      <w:hyperlink w:anchor="b25" w:history="1">
        <w:r>
          <w:rPr>
            <w:color w:val="0A3A8C"/>
            <w:u w:val="single"/>
          </w:rPr>
          <w:t xml:space="preserve">§ 5</w:t>
        </w:r>
      </w:hyperlink>
      <w:r>
        <w:t xml:space="preserve"> zu ermitteln. </w:t>
      </w:r>
      <w:r>
        <w:rPr>
          <w:rStyle w:val="Satznummer"/>
        </w:rPr>
        <w:t>3</w:t>
      </w:r>
      <w:r>
        <w:t>Soweit auf der Seite des Veräußerers und auf der Seite des Erwerbers dieselben Personen Unternehmer oder Mitunternehmer sind, gilt der Gewinn insoweit jedoch als laufender Gewinn.</w:t>
      </w:r>
    </w:p>
    <w:p>
      <w:r>
        <w:t xml:space="preserve">(3) </w:t>
      </w:r>
      <w:r>
        <w:rPr>
          <w:rStyle w:val="Satznummer"/>
        </w:rPr>
        <w:t>1</w:t>
      </w:r>
      <w:r>
        <w:t xml:space="preserve">Als Veräußerung gilt auch die Aufgabe des Gewerbebetriebs sowie eines Anteils im Sinne des Absatzes 1 Satz 1 Nummer 2 oder Nummer 3. </w:t>
      </w:r>
      <w:r>
        <w:rPr>
          <w:rStyle w:val="Satznummer"/>
        </w:rPr>
        <w:t>2</w:t>
      </w:r>
      <w:r>
        <w:t xml:space="preserve">Werden im Zuge der Realteilung einer Mitunternehmerschaft Teilbetriebe, Mitunternehmeranteile oder einzelne Wirtschaftsgüter in das jeweilige Betriebsvermögen der einzelnen Mitunternehmer übertragen, so sind bei der Ermittlung des Gewinns der Mitunternehmerschaft die Wirtschaftsgüter mit den Werten anzusetzen, die sich nach den Vorschriften über die Gewinnermittlung ergeben, sofern die Besteuerung der stillen Reserven sichergestellt ist; der übernehmende Mitunternehmer ist an diese Werte gebunden; </w:t>
      </w:r>
      <w:hyperlink w:anchor="b13" w:history="1">
        <w:r>
          <w:rPr>
            <w:color w:val="0A3A8C"/>
            <w:u w:val="single"/>
          </w:rPr>
          <w:t xml:space="preserve">§ 4</w:t>
        </w:r>
      </w:hyperlink>
      <w:r>
        <w:t xml:space="preserve"> Absatz 1 Satz 4 ist entsprechend anzuwenden. </w:t>
      </w:r>
      <w:r>
        <w:rPr>
          <w:rStyle w:val="Satznummer"/>
        </w:rPr>
        <w:t>3</w:t>
      </w:r>
      <w:r>
        <w:t xml:space="preserve">Dagegen ist für den jeweiligen Übertragungsvorgang rückwirkend der gemeine Wert anzusetzen, soweit bei einer Realteilung, bei der einzelne Wirtschaftsgüter übertragen worden sind, zum Buchwert übertragener Grund und Boden, übertragene Gebäude oder andere übertragene wesentliche Betriebsgrundlagen innerhalb einer Sperrfrist nach der Übertragung veräußert oder entnommen werden; diese Sperrfrist endet drei Jahre nach Abgabe der Steuererklärung der Mitunternehmerschaft für den Veranlagungszeitraum der Realteilung. </w:t>
      </w:r>
      <w:r>
        <w:rPr>
          <w:rStyle w:val="Satznummer"/>
        </w:rPr>
        <w:t>4</w:t>
      </w:r>
      <w:r>
        <w:t xml:space="preserve">Satz 2 ist bei einer Realteilung, bei der einzelne Wirtschaftsgüter übertragen werden, nicht anzuwenden, soweit die Wirtschaftsgüter unmittelbar oder mittelbar auf eine Körperschaft, Personenvereinigung oder Vermögensmasse übertragen werden; in diesem Fall ist bei der Übertragung der gemeine Wert anzusetzen. </w:t>
      </w:r>
      <w:r>
        <w:rPr>
          <w:rStyle w:val="Satznummer"/>
        </w:rPr>
        <w:t>5</w:t>
      </w:r>
      <w:hyperlink w:anchor="b28" w:history="1">
        <w:r>
          <w:rPr>
            <w:color w:val="0A3A8C"/>
            <w:u w:val="single"/>
          </w:rPr>
          <w:t xml:space="preserve">§ 6</w:t>
        </w:r>
      </w:hyperlink>
      <w:r>
        <w:t xml:space="preserve"> Absatz 5 Satz 7 gilt entsprechend. </w:t>
      </w:r>
      <w:r>
        <w:rPr>
          <w:rStyle w:val="Satznummer"/>
        </w:rPr>
        <w:t>6</w:t>
      </w:r>
      <w:r>
        <w:t xml:space="preserve">Soweit einzelne dem Betrieb gewidmete Wirtschaftsgüter im Rahmen der Aufgabe des Betriebs veräußert werden und soweit auf der Seite des Veräußerers und auf der Seite des Erwerbers dieselben Personen Unternehmer oder Mitunternehmer sind, gilt der Gewinn aus der Aufgabe des Gewerbebetriebs als laufender Gewinn. </w:t>
      </w:r>
      <w:r>
        <w:rPr>
          <w:rStyle w:val="Satznummer"/>
        </w:rPr>
        <w:t>7</w:t>
      </w:r>
      <w:r>
        <w:t xml:space="preserve">Werden die einzelnen dem Betrieb gewidmeten Wirtschaftsgüter im Rahmen der Aufgabe des Betriebs veräußert, so sind die Veräußerungspreise anzusetzen. </w:t>
      </w:r>
      <w:r>
        <w:rPr>
          <w:rStyle w:val="Satznummer"/>
        </w:rPr>
        <w:t>8</w:t>
      </w:r>
      <w:r>
        <w:t xml:space="preserve">Werden die Wirtschaftsgüter nicht veräußert, so ist der gemeine Wert im Zeitpunkt der Aufgabe anzusetzen. </w:t>
      </w:r>
      <w:r>
        <w:rPr>
          <w:rStyle w:val="Satznummer"/>
        </w:rPr>
        <w:t>9</w:t>
      </w:r>
      <w:r>
        <w:t>Bei Aufgabe eines Gewerbebetriebs, an dem mehrere Personen beteiligt waren, ist für jeden einzelnen Beteiligten der gemeine Wert der Wirtschaftsgüter anzusetzen, die er bei der Auseinandersetzung erhalten hat.</w:t>
      </w:r>
    </w:p>
    <w:p>
      <w:r>
        <w:t xml:space="preserve">(3a) Einer Aufgabe des Gewerbebetriebs steht der Ausschluss oder die Beschränkung des Besteuerungsrechts der Bundesrepublik Deutschland hinsichtlich des Gewinns aus der Veräußerung sämtlicher Wirtschaftsgüter des Betriebs oder eines Teilbetriebs gleich; </w:t>
      </w:r>
      <w:hyperlink w:anchor="b13" w:history="1">
        <w:r>
          <w:rPr>
            <w:color w:val="0A3A8C"/>
            <w:u w:val="single"/>
          </w:rPr>
          <w:t xml:space="preserve">§ 4</w:t>
        </w:r>
      </w:hyperlink>
      <w:r>
        <w:t xml:space="preserve"> Absatz 1 Satz 4 gilt entsprechend.</w:t>
      </w:r>
    </w:p>
    <w:p>
      <w:r>
        <w:t xml:space="preserve">(3b) </w:t>
      </w:r>
      <w:r>
        <w:rPr>
          <w:rStyle w:val="Satznummer"/>
        </w:rPr>
        <w:t>1</w:t>
      </w:r>
      <w:r>
        <w:t>In den Fällen der Betriebsunterbrechung und der Betriebsverpachtung im Ganzen gilt ein Gewerbebetrieb sowie ein Anteil im Sinne des Absatzes 1 Satz 1 Nummer 2 oder Nummer 3 nicht als aufgegeben, bis</w:t>
      </w:r>
    </w:p>
    <w:p>
      <w:pPr>
        <w:tabs>
          <w:tab w:pos="567" w:val="left"/>
        </w:tabs>
        <w:ind w:left="567" w:hanging="567"/>
      </w:pPr>
      <w:r>
        <w:t>1.</w:t>
      </w:r>
      <w:r>
        <w:tab/>
      </w:r>
      <w:r>
        <w:t>der Steuerpflichtige die Aufgabe im Sinne des Absatzes 3 Satz 1 ausdrücklich gegenüber dem Finanzamt erklärt oder</w:t>
      </w:r>
    </w:p>
    <w:p>
      <w:pPr>
        <w:tabs>
          <w:tab w:pos="567" w:val="left"/>
        </w:tabs>
        <w:ind w:left="567" w:hanging="567"/>
      </w:pPr>
      <w:r>
        <w:t>2.</w:t>
      </w:r>
      <w:r>
        <w:tab/>
      </w:r>
      <w:r>
        <w:t>dem Finanzamt Tatsachen bekannt werden, aus denen sich ergibt, dass die Voraussetzungen für eine Aufgabe im Sinne des Absatzes 3 Satz 1 erfüllt sind.</w:t>
      </w:r>
    </w:p>
    <w:p>
      <w:r>
        <w:rPr>
          <w:rStyle w:val="Satznummer"/>
        </w:rPr>
        <w:t>2</w:t>
      </w:r>
      <w:r>
        <w:t xml:space="preserve">Die Aufgabe des Gewerbebetriebs oder Anteils im Sinne des Absatzes 1 Satz 1 Nummer 2 oder Nummer 3 ist in den Fällen des Satzes 1 Nummer 1 rückwirkend für den vom Steuerpflichtigen gewählten Zeitpunkt anzuerkennen, wenn die Aufgabeerklärung spätestens drei Monate nach diesem Zeitpunkt abgegeben wird. </w:t>
      </w:r>
      <w:r>
        <w:rPr>
          <w:rStyle w:val="Satznummer"/>
        </w:rPr>
        <w:t>3</w:t>
      </w:r>
      <w:r>
        <w:t>Wird die Aufgabeerklärung nicht spätestens drei Monate nach dem vom Steuerpflichtigen gewählten Zeitpunkt abgegeben, gilt der Gewerbebetrieb oder Anteil im Sinne des Absatzes 1 Satz 1 Nummer 2 oder Nummer 3 erst in dem Zeitpunkt als aufgegeben, in dem die Aufgabeerklärung beim Finanzamt eingeht.</w:t>
      </w:r>
    </w:p>
    <w:p>
      <w:r>
        <w:t xml:space="preserve">(4) </w:t>
      </w:r>
      <w:r>
        <w:rPr>
          <w:rStyle w:val="Satznummer"/>
        </w:rPr>
        <w:t>1</w:t>
      </w:r>
      <w:r>
        <w:t xml:space="preserve">Hat der Steuerpflichtige das 55. Lebensjahr vollendet oder ist er im sozialversicherungsrechtlichen Sinne dauernd berufsunfähig, so wird der Veräußerungsgewinn auf Antrag zur Einkommensteuer nur herangezogen, soweit er 45 000 Euro übersteigt. </w:t>
      </w:r>
      <w:r>
        <w:rPr>
          <w:rStyle w:val="Satznummer"/>
        </w:rPr>
        <w:t>2</w:t>
      </w:r>
      <w:r>
        <w:t xml:space="preserve">Der Freibetrag ist dem Steuerpflichtigen nur einmal zu gewähren. </w:t>
      </w:r>
      <w:r>
        <w:rPr>
          <w:rStyle w:val="Satznummer"/>
        </w:rPr>
        <w:t>3</w:t>
      </w:r>
      <w:r>
        <w:t>Er ermäßigt sich um den Betrag, um den der Veräußerungsgewinn 136 000 Euro übersteigt.</w:t>
      </w:r>
    </w:p>
    <w:p>
      <w:r>
        <w:t>(5) Werden bei einer Realteilung, bei der Teilbetriebe auf einzelne Mitunternehmer übertragen werden, Anteile an einer Körperschaft, Personenvereinigung oder Vermögensmasse unmittelbar oder mittelbar von einem nicht von § 8b Absatz 2 des Körperschaftsteuergesetzes begünstigten Steuerpflichtigen auf einen von § 8b Absatz 2 des Körperschaftsteuergesetzes begünstigten Mitunternehmer übertragen, ist abweichend von Absatz 3 Satz 2 rückwirkend auf den Zeitpunkt der Realteilung der gemeine Wert anzusetzen, wenn der übernehmende Mitunternehmer die Anteile innerhalb eines Zeitraums von sieben Jahren nach der Realteilung unmittelbar oder mittelbar veräußert oder durch einen Vorgang nach § 22 Absatz 1 Satz 6 Nummer 1 bis 5 des Umwandlungssteuergesetzes weiter überträgt; § 22 Absatz 2 Satz 3 des Umwandlungssteuergesetzes gilt entsprechend.</w:t>
      </w:r>
    </w:p>
    <w:p>
      <w:pPr>
        <w:pStyle w:val="Heading4"/>
      </w:pPr>
      <w:bookmarkStart w:id="80" w:name="b79"/>
      <w:r>
        <w:t>§ 17 Veräußerung von Anteilen an Kapitalgesellschaften</w:t>
      </w:r>
      <w:r>
        <w:t xml:space="preserve"> </w:t>
      </w:r>
      <w:r>
        <w:rPr>
          <w:rStyle w:val="Suchmarke"/>
        </w:rPr>
        <w:t>#17#</w:t>
      </w:r>
      <w:bookmarkEnd w:id="80"/>
    </w:p>
    <w:p>
      <w:r>
        <w:t xml:space="preserve">(1) </w:t>
      </w:r>
      <w:r>
        <w:rPr>
          <w:rStyle w:val="Satznummer"/>
        </w:rPr>
        <w:t>1</w:t>
      </w:r>
      <w:r>
        <w:t xml:space="preserve">Zu den Einkünften aus Gewerbebetrieb gehört auch der Gewinn aus der Veräußerung von Anteilen an einer Kapitalgesellschaft, wenn der Veräußerer innerhalb der letzten fünf Jahre am Kapital der Gesellschaft unmittelbar oder mittelbar zu mindestens 1 Prozent beteiligt war. </w:t>
      </w:r>
      <w:r>
        <w:rPr>
          <w:rStyle w:val="Satznummer"/>
        </w:rPr>
        <w:t>2</w:t>
      </w:r>
      <w:r>
        <w:t xml:space="preserve">Die verdeckte Einlage von Anteilen an einer Kapitalgesellschaft in eine Kapitalgesellschaft steht der Veräußerung der Anteile gleich. </w:t>
      </w:r>
      <w:r>
        <w:rPr>
          <w:rStyle w:val="Satznummer"/>
        </w:rPr>
        <w:t>3</w:t>
      </w:r>
      <w:r>
        <w:t xml:space="preserve">Anteile an einer Kapitalgesellschaft sind Aktien, Anteile an einer Gesellschaft mit beschränkter Haftung, Genussscheine oder ähnliche Beteiligungen und Anwartschaften auf solche Beteiligungen sowie Anteile an einer optierenden Gesellschaft im Sinne des § 1a des Körperschaftsteuergesetzes. </w:t>
      </w:r>
      <w:r>
        <w:rPr>
          <w:rStyle w:val="Satznummer"/>
        </w:rPr>
        <w:t>4</w:t>
      </w:r>
      <w:r>
        <w:t>Hat der Veräußerer den veräußerten Anteil innerhalb der letzten fünf Jahre vor der Veräußerung unentgeltlich erworben, so gilt Satz 1 entsprechend, wenn der Veräußerer zwar nicht selbst, aber der Rechtsvorgänger oder, sofern der Anteil nacheinander unentgeltlich übertragen worden ist, einer der Rechtsvorgänger innerhalb der letzten fünf Jahre im Sinne von Satz 1 beteiligt war.</w:t>
      </w:r>
    </w:p>
    <w:p>
      <w:r>
        <w:t xml:space="preserve">(2) </w:t>
      </w:r>
      <w:r>
        <w:rPr>
          <w:rStyle w:val="Satznummer"/>
        </w:rPr>
        <w:t>1</w:t>
      </w:r>
      <w:r>
        <w:t xml:space="preserve">Veräußerungsgewinn im Sinne des Absatzes 1 ist der Betrag, um den der Veräußerungspreis nach Abzug der Veräußerungskosten die Anschaffungskosten übersteigt. </w:t>
      </w:r>
      <w:r>
        <w:rPr>
          <w:rStyle w:val="Satznummer"/>
        </w:rPr>
        <w:t>2</w:t>
      </w:r>
      <w:r>
        <w:t xml:space="preserve">In den Fällen des Absatzes 1 Satz 2 tritt an die Stelle des Veräußerungspreises der Anteile ihr gemeiner Wert. </w:t>
      </w:r>
      <w:r>
        <w:rPr>
          <w:rStyle w:val="Satznummer"/>
        </w:rPr>
        <w:t>3</w:t>
      </w:r>
      <w:r>
        <w:t xml:space="preserve">Weist der Veräußerer nach, dass ihm die Anteile bereits im Zeitpunkt der Begründung der unbeschränkten Steuerpflicht nach </w:t>
      </w:r>
      <w:hyperlink w:anchor="b1" w:history="1">
        <w:r>
          <w:rPr>
            <w:color w:val="0A3A8C"/>
            <w:u w:val="single"/>
          </w:rPr>
          <w:t xml:space="preserve">§ 1</w:t>
        </w:r>
      </w:hyperlink>
      <w:r>
        <w:t xml:space="preserve"> Absatz 1 zuzurechnen waren und dass der bis zu diesem Zeitpunkt entstandene Vermögenszuwachs auf Grund gesetzlicher Bestimmungen des Wegzugsstaats im Wegzugsstaat einer der Steuer nach § 6 des Außensteuergesetzes vergleichbaren Steuer unterlegen hat, tritt an die Stelle der Anschaffungskosten der Wert, den der Wegzugsstaat bei der Berechnung der der Steuer nach § 6 des Außensteuergesetzes vergleichbaren Steuer angesetzt hat, höchstens jedoch der gemeine Wert. </w:t>
      </w:r>
      <w:r>
        <w:rPr>
          <w:rStyle w:val="Satznummer"/>
        </w:rPr>
        <w:t>4</w:t>
      </w:r>
      <w:r>
        <w:t xml:space="preserve">Satz 3 ist in den Fällen des § 6 Absatz 3 des Außensteuergesetzes nicht anzuwenden. </w:t>
      </w:r>
      <w:r>
        <w:rPr>
          <w:rStyle w:val="Satznummer"/>
        </w:rPr>
        <w:t>5</w:t>
      </w:r>
      <w:r>
        <w:t xml:space="preserve">Hat der Veräußerer den veräußerten Anteil unentgeltlich erworben, so sind als Anschaffungskosten des Anteils die Anschaffungskosten des Rechtsvorgängers maßgebend, der den Anteil zuletzt entgeltlich erworben hat. </w:t>
      </w:r>
      <w:r>
        <w:rPr>
          <w:rStyle w:val="Satznummer"/>
        </w:rPr>
        <w:t>6</w:t>
      </w:r>
      <w:r>
        <w:t>Ein Veräußerungsverlust ist nicht zu berücksichtigen, soweit er auf Anteile entfällt,</w:t>
      </w:r>
    </w:p>
    <w:p>
      <w:pPr>
        <w:tabs>
          <w:tab w:pos="567" w:val="left"/>
        </w:tabs>
        <w:ind w:left="567" w:hanging="567"/>
      </w:pPr>
      <w:r>
        <w:t>a)</w:t>
      </w:r>
      <w:r>
        <w:tab/>
      </w:r>
      <w:r>
        <w:t xml:space="preserve">die der Steuerpflichtige innerhalb der letzten fünf Jahre unentgeltlich erworben hatte. </w:t>
      </w:r>
      <w:r>
        <w:rPr>
          <w:rStyle w:val="Satznummer"/>
        </w:rPr>
        <w:t>2</w:t>
      </w:r>
      <w:r>
        <w:t>Dies gilt nicht, soweit der Rechtsvorgänger anstelle des Steuerpflichtigen den Veräußerungsverlust hätte geltend machen können;</w:t>
      </w:r>
    </w:p>
    <w:p>
      <w:pPr>
        <w:tabs>
          <w:tab w:pos="567" w:val="left"/>
        </w:tabs>
        <w:ind w:left="567" w:hanging="567"/>
      </w:pPr>
      <w:r>
        <w:t>b)</w:t>
      </w:r>
      <w:r>
        <w:tab/>
      </w:r>
      <w:r>
        <w:t xml:space="preserve">die entgeltlich erworben worden sind und nicht innerhalb der gesamten letzten fünf Jahre zu einer Beteiligung des Steuerpflichtigen im Sinne von Absatz 1 Satz 1 gehört haben. </w:t>
      </w:r>
      <w:r>
        <w:rPr>
          <w:rStyle w:val="Satznummer"/>
        </w:rPr>
        <w:t>2</w:t>
      </w:r>
      <w:r>
        <w:t>Dies gilt nicht für innerhalb der letzten fünf Jahre erworbene Anteile, deren Erwerb zur Begründung einer Beteiligung des Steuerpflichtigen im Sinne von Absatz 1 Satz 1 geführt hat oder die nach Begründung der Beteiligung im Sinne von Absatz 1 Satz 1 erworben worden sind.</w:t>
      </w:r>
    </w:p>
    <w:p>
      <w:r>
        <w:t xml:space="preserve">(2a) </w:t>
      </w:r>
      <w:r>
        <w:rPr>
          <w:rStyle w:val="Satznummer"/>
        </w:rPr>
        <w:t>1</w:t>
      </w:r>
      <w:r>
        <w:t xml:space="preserve">Anschaffungskosten sind die Aufwendungen, die geleistet werden, um die Anteile im Sinne des Absatzes 1 zu erwerben. </w:t>
      </w:r>
      <w:r>
        <w:rPr>
          <w:rStyle w:val="Satznummer"/>
        </w:rPr>
        <w:t>2</w:t>
      </w:r>
      <w:r>
        <w:t xml:space="preserve">Zu den Anschaffungskosten gehören auch die Nebenkosten sowie die nachträglichen Anschaffungskosten. </w:t>
      </w:r>
      <w:r>
        <w:rPr>
          <w:rStyle w:val="Satznummer"/>
        </w:rPr>
        <w:t>3</w:t>
      </w:r>
      <w:r>
        <w:t>Zu den nachträglichen Anschaffungskosten im Sinne des Satzes 2 gehören insbesondere</w:t>
      </w:r>
    </w:p>
    <w:p>
      <w:pPr>
        <w:tabs>
          <w:tab w:pos="567" w:val="left"/>
        </w:tabs>
        <w:ind w:left="567" w:hanging="567"/>
      </w:pPr>
      <w:r>
        <w:t>1.</w:t>
      </w:r>
      <w:r>
        <w:tab/>
      </w:r>
      <w:r>
        <w:t>offene oder verdeckte Einlagen,</w:t>
      </w:r>
    </w:p>
    <w:p>
      <w:pPr>
        <w:tabs>
          <w:tab w:pos="567" w:val="left"/>
        </w:tabs>
        <w:ind w:left="567" w:hanging="567"/>
      </w:pPr>
      <w:r>
        <w:t>2.</w:t>
      </w:r>
      <w:r>
        <w:tab/>
      </w:r>
      <w:r>
        <w:t>Darlehensverluste, soweit die Gewährung des Darlehens oder das Stehenlassen des Darlehens in der Krise der Gesellschaft gesellschaftsrechtlich veranlasst war, und</w:t>
      </w:r>
    </w:p>
    <w:p>
      <w:pPr>
        <w:tabs>
          <w:tab w:pos="567" w:val="left"/>
        </w:tabs>
        <w:ind w:left="567" w:hanging="567"/>
      </w:pPr>
      <w:r>
        <w:t>3.</w:t>
      </w:r>
      <w:r>
        <w:tab/>
      </w:r>
      <w:r>
        <w:t>Ausfälle von Bürgschaftsregressforderungen und vergleichbaren Forderungen, soweit die Hingabe oder das Stehenlassen der betreffenden Sicherheit gesellschaftsrechtlich veranlasst war.</w:t>
      </w:r>
    </w:p>
    <w:p>
      <w:r>
        <w:rPr>
          <w:rStyle w:val="Satznummer"/>
        </w:rPr>
        <w:t>4</w:t>
      </w:r>
      <w:r>
        <w:t xml:space="preserve">Eine gesellschaftsrechtliche Veranlassung liegt regelmäßig vor, wenn ein fremder Dritter das Darlehen oder Sicherungsmittel im Sinne der Nummern 2 oder 3 bei sonst gleichen Umständen zurückgefordert oder nicht gewährt hätte. </w:t>
      </w:r>
      <w:r>
        <w:rPr>
          <w:rStyle w:val="Satznummer"/>
        </w:rPr>
        <w:t>5</w:t>
      </w:r>
      <w:r>
        <w:t>Leistet der Steuerpflichtige über den Nennbetrag seiner Anteile hinaus Einzahlungen in das Kapital der Gesellschaft, sind die Einzahlungen bei der Ermittlung der Anschaffungskosten gleichmäßig auf seine gesamten Anteile einschließlich seiner im Rahmen von Kapitalerhöhungen erhaltenen neuen Anteile aufzuteilen.</w:t>
      </w:r>
    </w:p>
    <w:p>
      <w:r>
        <w:t xml:space="preserve">(3) </w:t>
      </w:r>
      <w:r>
        <w:rPr>
          <w:rStyle w:val="Satznummer"/>
        </w:rPr>
        <w:t>1</w:t>
      </w:r>
      <w:r>
        <w:t xml:space="preserve">Der Veräußerungsgewinn wird zur Einkommensteuer nur herangezogen, soweit er den Teil von 9 060 Euro übersteigt, der dem veräußerten Anteil an der Kapitalgesellschaft entspricht. </w:t>
      </w:r>
      <w:r>
        <w:rPr>
          <w:rStyle w:val="Satznummer"/>
        </w:rPr>
        <w:t>2</w:t>
      </w:r>
      <w:r>
        <w:t>Der Freibetrag ermäßigt sich um den Betrag, um den der Veräußerungsgewinn den Teil von 36 100 Euro übersteigt, der dem veräußerten Anteil an der Kapitalgesellschaft entspricht.</w:t>
      </w:r>
    </w:p>
    <w:p>
      <w:r>
        <w:t xml:space="preserve">(4) </w:t>
      </w:r>
      <w:r>
        <w:rPr>
          <w:rStyle w:val="Satznummer"/>
        </w:rPr>
        <w:t>1</w:t>
      </w:r>
      <w:r>
        <w:t xml:space="preserve">Als Veräußerung im Sinne des Absatzes 1 gilt auch die Auflösung einer Kapitalgesellschaft, die Kapitalherabsetzung, wenn das Kapital zurückgezahlt wird, und die Ausschüttung oder Zurückzahlung von Beträgen aus dem steuerlichen Einlagenkonto im Sinne des § 27 des Körperschaftsteuergesetzes. </w:t>
      </w:r>
      <w:r>
        <w:rPr>
          <w:rStyle w:val="Satznummer"/>
        </w:rPr>
        <w:t>2</w:t>
      </w:r>
      <w:r>
        <w:t xml:space="preserve">In diesen Fällen ist als Veräußerungspreis der gemeine Wert des dem Steuerpflichtigen zugeteilten oder zurückgezahlten Vermögens der Kapitalgesellschaft anzusehen. </w:t>
      </w:r>
      <w:r>
        <w:rPr>
          <w:rStyle w:val="Satznummer"/>
        </w:rPr>
        <w:t>3</w:t>
      </w:r>
      <w:r>
        <w:t xml:space="preserve">Satz 1 gilt nicht, soweit die Bezüge nach </w:t>
      </w:r>
      <w:hyperlink w:anchor="b86" w:history="1">
        <w:r>
          <w:rPr>
            <w:color w:val="0A3A8C"/>
            <w:u w:val="single"/>
          </w:rPr>
          <w:t xml:space="preserve">§ 20</w:t>
        </w:r>
      </w:hyperlink>
      <w:r>
        <w:t xml:space="preserve"> Absatz 1 Nummer 1 oder 2 zu den Einnahmen aus Kapitalvermögen gehören.</w:t>
      </w:r>
    </w:p>
    <w:p>
      <w:r>
        <w:t xml:space="preserve">(5) </w:t>
      </w:r>
      <w:r>
        <w:rPr>
          <w:rStyle w:val="Satznummer"/>
        </w:rPr>
        <w:t>1</w:t>
      </w:r>
      <w:r>
        <w:t xml:space="preserve">Die Beschränkung oder der Ausschluss des Besteuerungsrechts der Bundesrepublik Deutschland hinsichtlich des Gewinns aus der Veräußerung der Anteile an einer Kapitalgesellschaft im Fall der Verlegung des Sitzes oder des Orts der Geschäftsleitung der Kapitalgesellschaft in einen anderen Staat stehen der Veräußerung der Anteile zum gemeinen Wert gleich. </w:t>
      </w:r>
      <w:r>
        <w:rPr>
          <w:rStyle w:val="Satznummer"/>
        </w:rPr>
        <w:t>2</w:t>
      </w:r>
      <w:r>
        <w:t xml:space="preserve">Dies gilt nicht in den Fällen der Sitzverlegung einer Europäischen Gesellschaft nach Artikel 8 der Verordnung (EG) Nr. 2157/2001 und der Sitzverlegung einer anderen Kapitalgesellschaft in einen anderen Mitgliedstaat der Europäischen Union. </w:t>
      </w:r>
      <w:r>
        <w:rPr>
          <w:rStyle w:val="Satznummer"/>
        </w:rPr>
        <w:t>3</w:t>
      </w:r>
      <w:r>
        <w:t xml:space="preserve">In diesen Fällen ist der Gewinn aus einer späteren Veräußerung der Anteile ungeachtet der Bestimmungen eines Abkommens zur Vermeidung der Doppelbesteuerung in der gleichen Art und Weise zu besteuern, wie die Veräußerung dieser Anteile zu besteuern gewesen wäre, wenn keine Sitzverlegung stattgefunden hätte. </w:t>
      </w:r>
      <w:r>
        <w:rPr>
          <w:rStyle w:val="Satznummer"/>
        </w:rPr>
        <w:t>4</w:t>
      </w:r>
      <w:hyperlink w:anchor="b75" w:history="1">
        <w:r>
          <w:rPr>
            <w:color w:val="0A3A8C"/>
            <w:u w:val="single"/>
          </w:rPr>
          <w:t xml:space="preserve">§ 15</w:t>
        </w:r>
      </w:hyperlink>
      <w:r>
        <w:t xml:space="preserve"> Absatz 1a Satz 2 ist entsprechend anzuwenden.</w:t>
      </w:r>
    </w:p>
    <w:p>
      <w:r>
        <w:t>(6) Als Anteile im Sinne des Absatzes 1 Satz 1 gelten auch Anteile an Kapitalgesellschaften, an denen der Veräußerer innerhalb der letzten fünf Jahre am Kapital der Gesellschaft nicht unmittelbar oder mittelbar zu mindestens 1 Prozent beteiligt war, wenn</w:t>
      </w:r>
    </w:p>
    <w:p>
      <w:pPr>
        <w:tabs>
          <w:tab w:pos="567" w:val="left"/>
        </w:tabs>
        <w:ind w:left="567" w:hanging="567"/>
      </w:pPr>
      <w:r>
        <w:t>1.</w:t>
      </w:r>
      <w:r>
        <w:tab/>
      </w:r>
      <w:r>
        <w:t>die Anteile auf Grund eines Einbringungsvorgangs im Sinne des Umwandlungssteuergesetzes, bei dem der Buchwert oder ein Zwischenwert zum Ansatz kam, erworben wurden und</w:t>
      </w:r>
    </w:p>
    <w:p>
      <w:pPr>
        <w:tabs>
          <w:tab w:pos="567" w:val="left"/>
        </w:tabs>
        <w:ind w:left="567" w:hanging="567"/>
      </w:pPr>
      <w:r>
        <w:t>2.</w:t>
      </w:r>
      <w:r>
        <w:tab/>
      </w:r>
      <w:r>
        <w:t>zum Einbringungszeitpunkt für die eingebrachten Anteile die Voraussetzungen von Absatz 1 Satz 1 erfüllt waren oder die Anteile auf einer Einbringung eines Betriebs, Teilbetriebs oder Mitunternehmeranteils im Sinne von § 20 Absatz 1 des Umwandlungssteuergesetzes beruhen.</w:t>
      </w:r>
    </w:p>
    <w:p>
      <w:r>
        <w:t>(7) Als Anteile im Sinne des Absatzes 1 Satz 1 gelten auch Anteile an einer Genossenschaft einschließlich der Europäischen Genossenschaft.</w:t>
      </w:r>
    </w:p>
    <w:p>
      <w:pPr>
        <w:pStyle w:val="Heading3"/>
      </w:pPr>
      <w:bookmarkStart w:id="81" w:name="b80"/>
      <w:r>
        <w:t>c) Selbständige Arbeit (§ 2 Absatz 1 Satz 1 Nummer 3)</w:t>
      </w:r>
      <w:bookmarkEnd w:id="81"/>
    </w:p>
    <w:p>
      <w:pPr>
        <w:pStyle w:val="Heading4"/>
      </w:pPr>
      <w:bookmarkStart w:id="82" w:name="b81"/>
      <w:r>
        <w:t>§ 18</w:t>
      </w:r>
      <w:r>
        <w:t xml:space="preserve"> </w:t>
      </w:r>
      <w:r>
        <w:rPr>
          <w:rStyle w:val="Suchmarke"/>
        </w:rPr>
        <w:t>#18#</w:t>
      </w:r>
      <w:bookmarkEnd w:id="82"/>
    </w:p>
    <w:p>
      <w:r>
        <w:t>(1) Einkünfte aus selbständiger Arbeit sind</w:t>
      </w:r>
    </w:p>
    <w:p>
      <w:pPr>
        <w:tabs>
          <w:tab w:pos="567" w:val="left"/>
        </w:tabs>
        <w:ind w:left="567" w:hanging="567"/>
      </w:pPr>
      <w:r>
        <w:t>1.</w:t>
      </w:r>
      <w:r>
        <w:tab/>
      </w:r>
      <w:r>
        <w:t xml:space="preserve">Einkünfte aus freiberuflicher Tätigkeit. </w:t>
      </w:r>
      <w:r>
        <w:rPr>
          <w:rStyle w:val="Satznummer"/>
        </w:rPr>
        <w:t>2</w:t>
      </w:r>
      <w:r>
        <w:t xml:space="preserve">Zu der freiberuflichen Tätigkeit gehören die selbständig ausgeübte wissenschaftliche, künstlerische, schriftstellerische, unterrichtende oder erzieherische Tätigkeit, die selbständige Berufstätigkeit der Ärzte, Zahnärzte, Tierärzte, Rechtsanwälte, Notare, Patentanwälte, Vermessungsingenieure, Ingenieure, Architekten, Handelschemiker, Wirtschaftsprüfer, Steuerberater, beratenden Volks- und Betriebswirte, vereidigten Buchprüfer, Steuerbevollmächtigten, Heilpraktiker, Dentisten, Krankengymnasten, Journalisten, Bildberichterstatter, Dolmetscher, Übersetzer, Lotsen und ähnlicher Berufe. </w:t>
      </w:r>
      <w:r>
        <w:rPr>
          <w:rStyle w:val="Satznummer"/>
        </w:rPr>
        <w:t>3</w:t>
      </w:r>
      <w:r>
        <w:t xml:space="preserve">Ein Angehöriger eines freien Berufs im Sinne der Sätze 1 und 2 ist auch dann freiberuflich tätig, wenn er sich der Mithilfe fachlich vorgebildeter Arbeitskräfte bedient; Voraussetzung ist, dass er auf Grund eigener Fachkenntnisse leitend und eigenverantwortlich tätig wird. </w:t>
      </w:r>
      <w:r>
        <w:rPr>
          <w:rStyle w:val="Satznummer"/>
        </w:rPr>
        <w:t>4</w:t>
      </w:r>
      <w:r>
        <w:t>Eine Vertretung im Fall vorübergehender Verhinderung steht der Annahme einer leitenden und eigenverantwortlichen Tätigkeit nicht entgegen;</w:t>
      </w:r>
    </w:p>
    <w:p>
      <w:pPr>
        <w:tabs>
          <w:tab w:pos="567" w:val="left"/>
        </w:tabs>
        <w:ind w:left="567" w:hanging="567"/>
      </w:pPr>
      <w:r>
        <w:t>2.</w:t>
      </w:r>
      <w:r>
        <w:tab/>
      </w:r>
      <w:r>
        <w:t>Einkünfte der Einnehmer einer staatlichen Lotterie, wenn sie nicht Einkünfte aus Gewerbebetrieb sind;</w:t>
      </w:r>
    </w:p>
    <w:p>
      <w:pPr>
        <w:tabs>
          <w:tab w:pos="567" w:val="left"/>
        </w:tabs>
        <w:ind w:left="567" w:hanging="567"/>
      </w:pPr>
      <w:r>
        <w:t>3.</w:t>
      </w:r>
      <w:r>
        <w:tab/>
      </w:r>
      <w:r>
        <w:t>Einkünfte aus sonstiger selbständiger Arbeit, z. B. Vergütungen für die Vollstreckung von Testamenten, für Vermögensverwaltung und für die Tätigkeit als Aufsichtsratsmitglied;</w:t>
      </w:r>
    </w:p>
    <w:p>
      <w:pPr>
        <w:tabs>
          <w:tab w:pos="567" w:val="left"/>
        </w:tabs>
        <w:ind w:left="567" w:hanging="567"/>
      </w:pPr>
      <w:r>
        <w:t>4.</w:t>
      </w:r>
      <w:r>
        <w:tab/>
      </w:r>
      <w:r>
        <w:t xml:space="preserve">Einkünfte, die ein Beteiligter an einer vermögensverwaltenden Gesellschaft oder Gemeinschaft, deren Zweck im Erwerb, Halten und in der Veräußerung von Anteilen an Kapitalgesellschaften besteht, als Vergütung für Leistungen zur Förderung des Gesellschafts- oder Gemeinschaftszwecks erzielt, wenn der Anspruch auf die Vergütung unter der Voraussetzung eingeräumt worden ist, dass die Gesellschafter oder Gemeinschafter ihr eingezahltes Kapital vollständig zurückerhalten haben; </w:t>
      </w:r>
      <w:hyperlink w:anchor="b75" w:history="1">
        <w:r>
          <w:rPr>
            <w:color w:val="0A3A8C"/>
            <w:u w:val="single"/>
          </w:rPr>
          <w:t xml:space="preserve">§ 15</w:t>
        </w:r>
      </w:hyperlink>
      <w:r>
        <w:t xml:space="preserve"> Absatz 3 ist nicht anzuwenden.</w:t>
      </w:r>
    </w:p>
    <w:p>
      <w:r>
        <w:t>(2) Einkünfte nach Absatz 1 sind auch dann steuerpflichtig, wenn es sich nur um eine vorübergehende Tätigkeit handelt.</w:t>
      </w:r>
    </w:p>
    <w:p>
      <w:r>
        <w:t xml:space="preserve">(3) </w:t>
      </w:r>
      <w:r>
        <w:rPr>
          <w:rStyle w:val="Satznummer"/>
        </w:rPr>
        <w:t>1</w:t>
      </w:r>
      <w:r>
        <w:t xml:space="preserve">Zu den Einkünften aus selbständiger Arbeit gehört auch der Gewinn, der bei der Veräußerung des Vermögens oder eines selbständigen Teils des Vermögens oder eines Anteils am Vermögen erzielt wird, das der selbständigen Arbeit dient. </w:t>
      </w:r>
      <w:r>
        <w:rPr>
          <w:rStyle w:val="Satznummer"/>
        </w:rPr>
        <w:t>2</w:t>
      </w:r>
      <w:hyperlink w:anchor="b78" w:history="1">
        <w:r>
          <w:rPr>
            <w:color w:val="0A3A8C"/>
            <w:u w:val="single"/>
          </w:rPr>
          <w:t xml:space="preserve">§ 16</w:t>
        </w:r>
      </w:hyperlink>
      <w:r>
        <w:t xml:space="preserve"> Absatz 1 Satz 1 Nummer 1 und 2 und Absatz 1 Satz 2 sowie Absatz 2 bis 4 gilt entsprechend.</w:t>
      </w:r>
    </w:p>
    <w:p>
      <w:r>
        <w:t xml:space="preserve">(4) </w:t>
      </w:r>
      <w:r>
        <w:rPr>
          <w:rStyle w:val="Satznummer"/>
        </w:rPr>
        <w:t>1</w:t>
      </w:r>
      <w:hyperlink w:anchor="b69" w:history="1">
        <w:r>
          <w:rPr>
            <w:color w:val="0A3A8C"/>
            <w:u w:val="single"/>
          </w:rPr>
          <w:t xml:space="preserve">§ 13</w:t>
        </w:r>
      </w:hyperlink>
      <w:r>
        <w:t xml:space="preserve"> Absatz 5 gilt entsprechend, sofern das Grundstück im Veranlagungszeitraum 1986 zu einem der selbständigen Arbeit dienenden Betriebsvermögen gehört hat. </w:t>
      </w:r>
      <w:r>
        <w:rPr>
          <w:rStyle w:val="Satznummer"/>
        </w:rPr>
        <w:t>2</w:t>
      </w:r>
      <w:hyperlink w:anchor="b75" w:history="1">
        <w:r>
          <w:rPr>
            <w:color w:val="0A3A8C"/>
            <w:u w:val="single"/>
          </w:rPr>
          <w:t xml:space="preserve">§ 15</w:t>
        </w:r>
      </w:hyperlink>
      <w:r>
        <w:t xml:space="preserve"> Absatz 1 Satz 1 Nummer 2, Absatz 1a, Absatz 2 Satz 2 und 3, </w:t>
      </w:r>
      <w:hyperlink w:anchor="b76" w:history="1">
        <w:r>
          <w:rPr>
            <w:color w:val="0A3A8C"/>
            <w:u w:val="single"/>
          </w:rPr>
          <w:t xml:space="preserve">§§ 15a</w:t>
        </w:r>
      </w:hyperlink>
      <w:r>
        <w:t xml:space="preserve"> und </w:t>
      </w:r>
      <w:hyperlink w:anchor="b77" w:history="1">
        <w:r>
          <w:rPr>
            <w:color w:val="0A3A8C"/>
            <w:u w:val="single"/>
          </w:rPr>
          <w:t xml:space="preserve">15b</w:t>
        </w:r>
      </w:hyperlink>
      <w:r>
        <w:t xml:space="preserve"> sind entsprechend anzuwenden.</w:t>
      </w:r>
    </w:p>
    <w:p>
      <w:pPr>
        <w:pStyle w:val="Heading3"/>
      </w:pPr>
      <w:bookmarkStart w:id="83" w:name="b82"/>
      <w:r>
        <w:t>d) Nichtselbständige Arbeit (§ 2 Absatz 1 Satz 1 Nummer 4)</w:t>
      </w:r>
      <w:bookmarkEnd w:id="83"/>
    </w:p>
    <w:p>
      <w:pPr>
        <w:pStyle w:val="Heading4"/>
      </w:pPr>
      <w:bookmarkStart w:id="84" w:name="b83"/>
      <w:r>
        <w:t>§ 19</w:t>
      </w:r>
      <w:r>
        <w:t xml:space="preserve"> </w:t>
      </w:r>
      <w:r>
        <w:rPr>
          <w:rStyle w:val="Suchmarke"/>
        </w:rPr>
        <w:t>#19#</w:t>
      </w:r>
      <w:bookmarkEnd w:id="84"/>
    </w:p>
    <w:p>
      <w:r>
        <w:t xml:space="preserve">(1) </w:t>
      </w:r>
      <w:r>
        <w:rPr>
          <w:rStyle w:val="Satznummer"/>
        </w:rPr>
        <w:t>1</w:t>
      </w:r>
      <w:r>
        <w:t>Zu den Einkünften aus nichtselbständiger Arbeit gehören</w:t>
      </w:r>
    </w:p>
    <w:p>
      <w:pPr>
        <w:tabs>
          <w:tab w:pos="567" w:val="left"/>
        </w:tabs>
        <w:ind w:left="567" w:hanging="567"/>
      </w:pPr>
      <w:r>
        <w:t>1.</w:t>
      </w:r>
      <w:r>
        <w:tab/>
      </w:r>
      <w:r>
        <w:t>Gehälter, Löhne, Gratifikationen, Tantiemen und andere Bezüge und Vorteile für eine Beschäftigung im öffentlichen oder privaten Dienst;</w:t>
      </w:r>
    </w:p>
    <w:p>
      <w:pPr>
        <w:tabs>
          <w:tab w:pos="567" w:val="left"/>
        </w:tabs>
        <w:ind w:left="567" w:hanging="567"/>
      </w:pPr>
      <w:r>
        <w:t>1a.</w:t>
      </w:r>
      <w:r>
        <w:tab/>
      </w:r>
      <w:r>
        <w:t xml:space="preserve">Zuwendungen des Arbeitgebers an seinen Arbeitnehmer und dessen Begleitpersonen anlässlich von Veranstaltungen auf betrieblicher Ebene mit gesellschaftlichem Charakter (Betriebsveranstaltung). </w:t>
      </w:r>
      <w:r>
        <w:rPr>
          <w:rStyle w:val="Satznummer"/>
        </w:rPr>
        <w:t>2</w:t>
      </w:r>
      <w:r>
        <w:t xml:space="preserve">Zuwendungen im Sinne des Satzes 1 sind alle Aufwendungen des Arbeitgebers einschließlich Umsatzsteuer unabhängig davon, ob sie einzelnen Arbeitnehmern individuell zurechenbar sind oder ob es sich um einen rechnerischen Anteil an den Kosten der Betriebsveranstaltung handelt, die der Arbeitgeber gegenüber Dritten für den äußeren Rahmen der Betriebsveranstaltung aufwendet. </w:t>
      </w:r>
      <w:r>
        <w:rPr>
          <w:rStyle w:val="Satznummer"/>
        </w:rPr>
        <w:t>3</w:t>
      </w:r>
      <w:r>
        <w:t xml:space="preserve">Soweit solche Zuwendungen den Betrag von 110 Euro je Betriebsveranstaltung und teilnehmenden Arbeitnehmer nicht übersteigen, gehören sie nicht zu den Einkünften aus nichtselbständiger Arbeit, wenn die Teilnahme an der Betriebsveranstaltung allen Angehörigen des Betriebs oder eines Betriebsteils offensteht. </w:t>
      </w:r>
      <w:r>
        <w:rPr>
          <w:rStyle w:val="Satznummer"/>
        </w:rPr>
        <w:t>4</w:t>
      </w:r>
      <w:r>
        <w:t xml:space="preserve">Satz 3 gilt für bis zu zwei Betriebsveranstaltungen jährlich. </w:t>
      </w:r>
      <w:r>
        <w:rPr>
          <w:rStyle w:val="Satznummer"/>
        </w:rPr>
        <w:t>5</w:t>
      </w:r>
      <w:r>
        <w:t xml:space="preserve">Die Zuwendungen im Sinne des Satzes 1 sind abweichend von </w:t>
      </w:r>
      <w:hyperlink w:anchor="b45" w:history="1">
        <w:r>
          <w:rPr>
            <w:color w:val="0A3A8C"/>
            <w:u w:val="single"/>
          </w:rPr>
          <w:t xml:space="preserve">§ 8</w:t>
        </w:r>
      </w:hyperlink>
      <w:r>
        <w:t xml:space="preserve"> Absatz 2 mit den anteilig auf den Arbeitnehmer und dessen Begleitpersonen entfallenden Aufwendungen des Arbeitgebers im Sinne des Satzes 2 anzusetzen;</w:t>
      </w:r>
    </w:p>
    <w:p>
      <w:pPr>
        <w:tabs>
          <w:tab w:pos="567" w:val="left"/>
        </w:tabs>
        <w:ind w:left="567" w:hanging="567"/>
      </w:pPr>
      <w:r>
        <w:t>2.</w:t>
      </w:r>
      <w:r>
        <w:tab/>
      </w:r>
      <w:r>
        <w:t>Wartegelder, Ruhegelder, Witwen- und Waisengelder und andere Bezüge und Vorteile aus früheren Dienstleistungen, auch soweit sie von Arbeitgebern ausgleichspflichtiger Personen an ausgleichsberechtigte Personen infolge einer nach § 10 oder § 14 des Versorgungsausgleichsgesetzes durchgeführten Teilung geleistet werden;</w:t>
      </w:r>
    </w:p>
    <w:p>
      <w:pPr>
        <w:tabs>
          <w:tab w:pos="567" w:val="left"/>
        </w:tabs>
        <w:ind w:left="567" w:hanging="567"/>
      </w:pPr>
      <w:r>
        <w:t>3.</w:t>
      </w:r>
      <w:r>
        <w:tab/>
      </w:r>
      <w:r>
        <w:t xml:space="preserve">laufende Beiträge und laufende Zuwendungen des Arbeitgebers aus einem bestehenden Dienstverhältnis an einen Pensionsfonds, eine Pensionskasse oder für eine Direktversicherung für eine betriebliche Altersversorgung. </w:t>
      </w:r>
      <w:r>
        <w:rPr>
          <w:rStyle w:val="Satznummer"/>
        </w:rPr>
        <w:t>2</w:t>
      </w:r>
      <w:r>
        <w:t>Zu den Einkünften aus nichtselbständiger Arbeit gehören auch Sonderzahlungen, die der Arbeitgeber neben den laufenden Beiträgen und Zuwendungen an eine solche Versorgungseinrichtung leistet, mit Ausnahme der Zahlungen des Arbeitgebers</w:t>
      </w:r>
    </w:p>
    <w:p>
      <w:pPr>
        <w:tabs>
          <w:tab w:pos="1134" w:val="left"/>
        </w:tabs>
        <w:ind w:left="1134" w:hanging="567"/>
      </w:pPr>
      <w:r>
        <w:t>a)</w:t>
      </w:r>
      <w:r>
        <w:tab/>
      </w:r>
      <w:r>
        <w:t>zur erstmaligen Bereitstellung der Kapitalausstattung zur Erfüllung der Solvabilitätskapitalanforderung nach den §§ 89, 213, 234g oder 238 des Versicherungsaufsichtsgesetzes,</w:t>
      </w:r>
    </w:p>
    <w:p>
      <w:pPr>
        <w:tabs>
          <w:tab w:pos="1134" w:val="left"/>
        </w:tabs>
        <w:ind w:left="1134" w:hanging="567"/>
      </w:pPr>
      <w:r>
        <w:t>b)</w:t>
      </w:r>
      <w:r>
        <w:tab/>
      </w:r>
      <w:r>
        <w:t>zur Wiederherstellung einer angemessenen Kapitalausstattung nach unvorhersehbaren Verlusten oder zur Finanzierung der Verstärkung der Rechnungsgrundlagen auf Grund einer unvorhersehbaren und nicht nur vorübergehenden Änderung der Verhältnisse, wobei die Sonderzahlungen nicht zu einer Absenkung des laufenden Beitrags führen oder durch die Absenkung des laufenden Beitrags Sonderzahlungen ausgelöst werden dürfen,</w:t>
      </w:r>
    </w:p>
    <w:p>
      <w:pPr>
        <w:tabs>
          <w:tab w:pos="1134" w:val="left"/>
        </w:tabs>
        <w:ind w:left="1134" w:hanging="567"/>
      </w:pPr>
      <w:r>
        <w:t>c)</w:t>
      </w:r>
      <w:r>
        <w:tab/>
      </w:r>
      <w:r>
        <w:t>in der Rentenbezugszeit nach § 236 Absatz 2 des Versicherungsaufsichtsgesetzes oder</w:t>
      </w:r>
    </w:p>
    <w:p>
      <w:pPr>
        <w:tabs>
          <w:tab w:pos="1134" w:val="left"/>
        </w:tabs>
        <w:ind w:left="1134" w:hanging="567"/>
      </w:pPr>
      <w:r>
        <w:t>d)</w:t>
      </w:r>
      <w:r>
        <w:tab/>
      </w:r>
      <w:r>
        <w:t>in Form von Sanierungsgeldern;</w:t>
      </w:r>
    </w:p>
    <w:p>
      <w:pPr>
        <w:ind w:left="567"/>
      </w:pPr>
      <w:r>
        <w:t>Sonderzahlungen des Arbeitgebers sind insbesondere Zahlungen an eine Pensionskasse anlässlich</w:t>
      </w:r>
    </w:p>
    <w:p>
      <w:pPr>
        <w:tabs>
          <w:tab w:pos="1134" w:val="left"/>
        </w:tabs>
        <w:ind w:left="1134" w:hanging="567"/>
      </w:pPr>
      <w:r>
        <w:t>a)</w:t>
      </w:r>
      <w:r>
        <w:tab/>
      </w:r>
      <w:r>
        <w:t>seines Ausscheidens aus einer nicht im Wege der Kapitaldeckung finanzierten betrieblichen Altersversorgung oder</w:t>
      </w:r>
    </w:p>
    <w:p>
      <w:pPr>
        <w:tabs>
          <w:tab w:pos="1134" w:val="left"/>
        </w:tabs>
        <w:ind w:left="1134" w:hanging="567"/>
      </w:pPr>
      <w:r>
        <w:t>b)</w:t>
      </w:r>
      <w:r>
        <w:tab/>
      </w:r>
      <w:r>
        <w:t>des Wechsels von einer nicht im Wege der Kapitaldeckung zu einer anderen nicht im Wege der Kapitaldeckung finanzierten betrieblichen Altersversorgung.</w:t>
      </w:r>
    </w:p>
    <w:p>
      <w:pPr>
        <w:ind w:left="567"/>
      </w:pPr>
      <w:r>
        <w:rPr>
          <w:rStyle w:val="Satznummer"/>
        </w:rPr>
        <w:t>3</w:t>
      </w:r>
      <w:r>
        <w:t xml:space="preserve">Von Sonderzahlungen im Sinne des Satzes 2 zweiter Halbsatz Buchstabe b ist bei laufenden und wiederkehrenden Zahlungen entsprechend dem periodischen Bedarf nur auszugehen, soweit die Bemessung der Zahlungsverpflichtungen des Arbeitgebers in das Versorgungssystem nach dem Wechsel die Bemessung der Zahlungsverpflichtung zum Zeitpunkt des Wechsels übersteigt. </w:t>
      </w:r>
      <w:r>
        <w:rPr>
          <w:rStyle w:val="Satznummer"/>
        </w:rPr>
        <w:t>4</w:t>
      </w:r>
      <w:r>
        <w:t>Sanierungsgelder sind Sonderzahlungen des Arbeitgebers an eine Pensionskasse anlässlich der Systemumstellung einer nicht im Wege der Kapitaldeckung finanzierten betrieblichen Altersversorgung auf der Finanzierungs- oder Leistungsseite, die der Finanzierung der zum Zeitpunkt der Umstellung bestehenden Versorgungsverpflichtungen oder Versorgungsanwartschaften dienen; bei laufenden und wiederkehrenden Zahlungen entsprechend dem periodischen Bedarf ist nur von Sanierungsgeldern auszugehen, soweit die Bemessung der Zahlungsverpflichtungen des Arbeitgebers in das Versorgungssystem nach der Systemumstellung die Bemessung der Zahlungsverpflichtung zum Zeitpunkt der Systemumstellung übersteigt.</w:t>
      </w:r>
    </w:p>
    <w:p>
      <w:r>
        <w:rPr>
          <w:rStyle w:val="Satznummer"/>
        </w:rPr>
        <w:t>2</w:t>
      </w:r>
      <w:r>
        <w:t>Es ist gleichgültig, ob es sich um laufende oder um einmalige Bezüge handelt und ob ein Rechtsanspruch auf sie besteht.</w:t>
      </w:r>
    </w:p>
    <w:p>
      <w:r>
        <w:t xml:space="preserve">(2) </w:t>
      </w:r>
      <w:r>
        <w:rPr>
          <w:rStyle w:val="Satznummer"/>
        </w:rPr>
        <w:t>1</w:t>
      </w:r>
      <w:r>
        <w:t xml:space="preserve">Von Versorgungsbezügen bleiben ein nach einem Prozentsatz ermittelter, auf einen Höchstbetrag begrenzter Betrag (Versorgungsfreibetrag) und ein Zuschlag zum Versorgungsfreibetrag steuerfrei. </w:t>
      </w:r>
      <w:r>
        <w:rPr>
          <w:rStyle w:val="Satznummer"/>
        </w:rPr>
        <w:t>2</w:t>
      </w:r>
      <w:r>
        <w:t>Versorgungsbezüge sind</w:t>
      </w:r>
    </w:p>
    <w:p>
      <w:pPr>
        <w:tabs>
          <w:tab w:pos="567" w:val="left"/>
        </w:tabs>
        <w:ind w:left="567" w:hanging="567"/>
      </w:pPr>
      <w:r>
        <w:t>1.</w:t>
      </w:r>
      <w:r>
        <w:tab/>
      </w:r>
      <w:r>
        <w:t>das Ruhegehalt, Witwen- oder Waisengeld, der Unterhaltsbeitrag oder ein gleichartiger Bezug</w:t>
      </w:r>
    </w:p>
    <w:p>
      <w:pPr>
        <w:tabs>
          <w:tab w:pos="1134" w:val="left"/>
        </w:tabs>
        <w:ind w:left="1134" w:hanging="567"/>
      </w:pPr>
      <w:r>
        <w:t>a)</w:t>
      </w:r>
      <w:r>
        <w:tab/>
      </w:r>
      <w:r>
        <w:t>auf Grund beamtenrechtlicher oder entsprechender gesetzlicher Vorschriften,</w:t>
      </w:r>
    </w:p>
    <w:p>
      <w:pPr>
        <w:tabs>
          <w:tab w:pos="1134" w:val="left"/>
        </w:tabs>
        <w:ind w:left="1134" w:hanging="567"/>
      </w:pPr>
      <w:r>
        <w:t>b)</w:t>
      </w:r>
      <w:r>
        <w:tab/>
      </w:r>
      <w:r>
        <w:t>nach beamtenrechtlichen Grundsätzen von Körperschaften, Anstalten oder Stiftungen des öffentlichen Rechts oder öffentlich-rechtlichen Verbänden von Körperschaften</w:t>
      </w:r>
    </w:p>
    <w:p>
      <w:pPr>
        <w:ind w:left="567"/>
      </w:pPr>
      <w:r>
        <w:t>oder</w:t>
      </w:r>
    </w:p>
    <w:p>
      <w:pPr>
        <w:tabs>
          <w:tab w:pos="567" w:val="left"/>
        </w:tabs>
        <w:ind w:left="567" w:hanging="567"/>
      </w:pPr>
      <w:r>
        <w:t>2.</w:t>
      </w:r>
      <w:r>
        <w:tab/>
      </w:r>
      <w:r>
        <w:t>in anderen Fällen Bezüge und Vorteile aus früheren Dienstleistungen wegen Erreichens einer Altersgrenze, verminderter Erwerbsfähigkeit oder Hinterbliebenenbezüge; Bezüge wegen Erreichens einer Altersgrenze gelten erst dann als Versorgungsbezüge, wenn der Steuerpflichtige das 63. Lebensjahr oder, wenn er schwerbehindert ist, das 60. Lebensjahr vollendet hat.</w:t>
      </w:r>
    </w:p>
    <w:p>
      <w:r>
        <w:rPr>
          <w:rStyle w:val="Satznummer"/>
        </w:rPr>
        <w:t>3</w:t>
      </w:r>
      <w:r>
        <w:t>Der maßgebende Prozentsatz, der Höchstbetrag des Versorgungsfreibetrags und der Zuschlag zum Versorgungsfreibetrag sind der nachstehenden Tabelle zu entnehmen:</w:t>
      </w:r>
    </w:p>
    <w:tbl>
      <w:tblPr>
        <w:tblStyle w:val="TableGrid"/>
        <w:tblW w:type="pct" w:w="5000"/>
        <w:tblLook w:firstColumn="1" w:firstRow="1" w:lastColumn="0" w:lastRow="0" w:noHBand="0" w:noVBand="1" w:val="04A0"/>
        <w:tblCaption w:val="Tabelle 1 zu § 19"/>
      </w:tblPr>
      <w:tblGrid>
        <w:gridCol w:w="2351"/>
        <w:gridCol w:w="2351"/>
        <w:gridCol w:w="2351"/>
        <w:gridCol w:w="2351"/>
      </w:tblGrid>
      <w:tr>
        <w:trPr>
          <w:cantSplit/>
          <w:tblHeader/>
        </w:trPr>
        <w:tc>
          <w:tcPr>
            <w:tcW w:type="dxa" w:w="2351"/>
            <w:vMerge w:val="restart"/>
          </w:tcPr>
          <w:p>
            <w:r>
              <w:rPr>
                <w:b/>
              </w:rPr>
              <w:t>Jahr des Versorgungsbeginns</w:t>
            </w:r>
          </w:p>
        </w:tc>
        <w:tc>
          <w:tcPr>
            <w:tcW w:type="dxa" w:w="4702"/>
            <w:gridSpan w:val="2"/>
          </w:tcPr>
          <w:p>
            <w:r>
              <w:rPr>
                <w:b/>
              </w:rPr>
              <w:t>Versorgungsfreibetrag</w:t>
            </w:r>
          </w:p>
        </w:tc>
        <w:tc>
          <w:tcPr>
            <w:tcW w:type="dxa" w:w="2351"/>
            <w:vMerge w:val="restart"/>
          </w:tcPr>
          <w:p>
            <w:r>
              <w:rPr>
                <w:b/>
              </w:rPr>
              <w:t>Zuschlag zum Versorgungsfreibetrag</w:t>
            </w:r>
            <w:r>
              <w:rPr>
                <w:b/>
              </w:rPr>
              <w:br/>
            </w:r>
            <w:r>
              <w:rPr>
                <w:b/>
              </w:rPr>
              <w:t>in Euro</w:t>
            </w:r>
          </w:p>
        </w:tc>
      </w:tr>
      <w:tr>
        <w:trPr>
          <w:cantSplit/>
          <w:tblHeader/>
        </w:trPr>
        <w:tc>
          <w:tcPr>
            <w:tcW w:type="dxa" w:w="2351"/>
            <w:vMerge/>
          </w:tcPr>
          <w:p/>
        </w:tc>
        <w:tc>
          <w:tcPr>
            <w:tcW w:type="dxa" w:w="2351"/>
          </w:tcPr>
          <w:p>
            <w:r>
              <w:rPr>
                <w:b/>
              </w:rPr>
              <w:t>in % der</w:t>
            </w:r>
            <w:r>
              <w:rPr>
                <w:b/>
              </w:rPr>
              <w:br/>
            </w:r>
            <w:r>
              <w:rPr>
                <w:b/>
              </w:rPr>
              <w:t>Versorgungsbezüge</w:t>
            </w:r>
          </w:p>
        </w:tc>
        <w:tc>
          <w:tcPr>
            <w:tcW w:type="dxa" w:w="2351"/>
          </w:tcPr>
          <w:p>
            <w:r>
              <w:rPr>
                <w:b/>
              </w:rPr>
              <w:t>Höchstbetrag in Euro</w:t>
            </w:r>
          </w:p>
        </w:tc>
        <w:tc>
          <w:tcPr>
            <w:tcW w:type="dxa" w:w="2351"/>
            <w:vMerge/>
          </w:tcPr>
          <w:p/>
        </w:tc>
      </w:tr>
      <w:tr>
        <w:trPr>
          <w:cantSplit/>
        </w:trPr>
        <w:tc>
          <w:tcPr>
            <w:tcW w:type="dxa" w:w="2351"/>
          </w:tcPr>
          <w:p>
            <w:r>
              <w:t>bis 2005</w:t>
            </w:r>
          </w:p>
        </w:tc>
        <w:tc>
          <w:tcPr>
            <w:tcW w:type="dxa" w:w="2351"/>
          </w:tcPr>
          <w:p>
            <w:r>
              <w:t>40,0</w:t>
            </w:r>
          </w:p>
        </w:tc>
        <w:tc>
          <w:tcPr>
            <w:tcW w:type="dxa" w:w="2351"/>
          </w:tcPr>
          <w:p>
            <w:r>
              <w:t>3 000</w:t>
            </w:r>
          </w:p>
        </w:tc>
        <w:tc>
          <w:tcPr>
            <w:tcW w:type="dxa" w:w="2351"/>
          </w:tcPr>
          <w:p>
            <w:r>
              <w:t>900</w:t>
            </w:r>
          </w:p>
        </w:tc>
      </w:tr>
      <w:tr>
        <w:trPr>
          <w:cantSplit/>
        </w:trPr>
        <w:tc>
          <w:tcPr>
            <w:tcW w:type="dxa" w:w="2351"/>
          </w:tcPr>
          <w:p>
            <w:r>
              <w:t>ab 2006</w:t>
            </w:r>
          </w:p>
        </w:tc>
        <w:tc>
          <w:tcPr>
            <w:tcW w:type="dxa" w:w="2351"/>
          </w:tcPr>
          <w:p>
            <w:r>
              <w:t>38,4</w:t>
            </w:r>
          </w:p>
        </w:tc>
        <w:tc>
          <w:tcPr>
            <w:tcW w:type="dxa" w:w="2351"/>
          </w:tcPr>
          <w:p>
            <w:r>
              <w:t>2 880</w:t>
            </w:r>
          </w:p>
        </w:tc>
        <w:tc>
          <w:tcPr>
            <w:tcW w:type="dxa" w:w="2351"/>
          </w:tcPr>
          <w:p>
            <w:r>
              <w:t>864</w:t>
            </w:r>
          </w:p>
        </w:tc>
      </w:tr>
      <w:tr>
        <w:trPr>
          <w:cantSplit/>
        </w:trPr>
        <w:tc>
          <w:tcPr>
            <w:tcW w:type="dxa" w:w="2351"/>
          </w:tcPr>
          <w:p>
            <w:r>
              <w:t>2007</w:t>
            </w:r>
          </w:p>
        </w:tc>
        <w:tc>
          <w:tcPr>
            <w:tcW w:type="dxa" w:w="2351"/>
          </w:tcPr>
          <w:p>
            <w:r>
              <w:t>36,8</w:t>
            </w:r>
          </w:p>
        </w:tc>
        <w:tc>
          <w:tcPr>
            <w:tcW w:type="dxa" w:w="2351"/>
          </w:tcPr>
          <w:p>
            <w:r>
              <w:t>2 760</w:t>
            </w:r>
          </w:p>
        </w:tc>
        <w:tc>
          <w:tcPr>
            <w:tcW w:type="dxa" w:w="2351"/>
          </w:tcPr>
          <w:p>
            <w:r>
              <w:t>828</w:t>
            </w:r>
          </w:p>
        </w:tc>
      </w:tr>
      <w:tr>
        <w:trPr>
          <w:cantSplit/>
        </w:trPr>
        <w:tc>
          <w:tcPr>
            <w:tcW w:type="dxa" w:w="2351"/>
          </w:tcPr>
          <w:p>
            <w:r>
              <w:t>2008</w:t>
            </w:r>
          </w:p>
        </w:tc>
        <w:tc>
          <w:tcPr>
            <w:tcW w:type="dxa" w:w="2351"/>
          </w:tcPr>
          <w:p>
            <w:r>
              <w:t>35,2</w:t>
            </w:r>
          </w:p>
        </w:tc>
        <w:tc>
          <w:tcPr>
            <w:tcW w:type="dxa" w:w="2351"/>
          </w:tcPr>
          <w:p>
            <w:r>
              <w:t>2 640</w:t>
            </w:r>
          </w:p>
        </w:tc>
        <w:tc>
          <w:tcPr>
            <w:tcW w:type="dxa" w:w="2351"/>
          </w:tcPr>
          <w:p>
            <w:r>
              <w:t>792</w:t>
            </w:r>
          </w:p>
        </w:tc>
      </w:tr>
      <w:tr>
        <w:trPr>
          <w:cantSplit/>
        </w:trPr>
        <w:tc>
          <w:tcPr>
            <w:tcW w:type="dxa" w:w="2351"/>
          </w:tcPr>
          <w:p>
            <w:r>
              <w:t>2009</w:t>
            </w:r>
          </w:p>
        </w:tc>
        <w:tc>
          <w:tcPr>
            <w:tcW w:type="dxa" w:w="2351"/>
          </w:tcPr>
          <w:p>
            <w:r>
              <w:t>33,6</w:t>
            </w:r>
          </w:p>
        </w:tc>
        <w:tc>
          <w:tcPr>
            <w:tcW w:type="dxa" w:w="2351"/>
          </w:tcPr>
          <w:p>
            <w:r>
              <w:t>2 520</w:t>
            </w:r>
          </w:p>
        </w:tc>
        <w:tc>
          <w:tcPr>
            <w:tcW w:type="dxa" w:w="2351"/>
          </w:tcPr>
          <w:p>
            <w:r>
              <w:t>756</w:t>
            </w:r>
          </w:p>
        </w:tc>
      </w:tr>
      <w:tr>
        <w:trPr>
          <w:cantSplit/>
        </w:trPr>
        <w:tc>
          <w:tcPr>
            <w:tcW w:type="dxa" w:w="2351"/>
          </w:tcPr>
          <w:p>
            <w:r>
              <w:t>2010</w:t>
            </w:r>
          </w:p>
        </w:tc>
        <w:tc>
          <w:tcPr>
            <w:tcW w:type="dxa" w:w="2351"/>
          </w:tcPr>
          <w:p>
            <w:r>
              <w:t>32,0</w:t>
            </w:r>
          </w:p>
        </w:tc>
        <w:tc>
          <w:tcPr>
            <w:tcW w:type="dxa" w:w="2351"/>
          </w:tcPr>
          <w:p>
            <w:r>
              <w:t>2 400</w:t>
            </w:r>
          </w:p>
        </w:tc>
        <w:tc>
          <w:tcPr>
            <w:tcW w:type="dxa" w:w="2351"/>
          </w:tcPr>
          <w:p>
            <w:r>
              <w:t>720</w:t>
            </w:r>
          </w:p>
        </w:tc>
      </w:tr>
      <w:tr>
        <w:trPr>
          <w:cantSplit/>
        </w:trPr>
        <w:tc>
          <w:tcPr>
            <w:tcW w:type="dxa" w:w="2351"/>
          </w:tcPr>
          <w:p>
            <w:r>
              <w:t>2011</w:t>
            </w:r>
          </w:p>
        </w:tc>
        <w:tc>
          <w:tcPr>
            <w:tcW w:type="dxa" w:w="2351"/>
          </w:tcPr>
          <w:p>
            <w:r>
              <w:t>30,4</w:t>
            </w:r>
          </w:p>
        </w:tc>
        <w:tc>
          <w:tcPr>
            <w:tcW w:type="dxa" w:w="2351"/>
          </w:tcPr>
          <w:p>
            <w:r>
              <w:t>2 280</w:t>
            </w:r>
          </w:p>
        </w:tc>
        <w:tc>
          <w:tcPr>
            <w:tcW w:type="dxa" w:w="2351"/>
          </w:tcPr>
          <w:p>
            <w:r>
              <w:t>684</w:t>
            </w:r>
          </w:p>
        </w:tc>
      </w:tr>
      <w:tr>
        <w:trPr>
          <w:cantSplit/>
        </w:trPr>
        <w:tc>
          <w:tcPr>
            <w:tcW w:type="dxa" w:w="2351"/>
          </w:tcPr>
          <w:p>
            <w:r>
              <w:t>2012</w:t>
            </w:r>
          </w:p>
        </w:tc>
        <w:tc>
          <w:tcPr>
            <w:tcW w:type="dxa" w:w="2351"/>
          </w:tcPr>
          <w:p>
            <w:r>
              <w:t>28,8</w:t>
            </w:r>
          </w:p>
        </w:tc>
        <w:tc>
          <w:tcPr>
            <w:tcW w:type="dxa" w:w="2351"/>
          </w:tcPr>
          <w:p>
            <w:r>
              <w:t>2 160</w:t>
            </w:r>
          </w:p>
        </w:tc>
        <w:tc>
          <w:tcPr>
            <w:tcW w:type="dxa" w:w="2351"/>
          </w:tcPr>
          <w:p>
            <w:r>
              <w:t>648</w:t>
            </w:r>
          </w:p>
        </w:tc>
      </w:tr>
      <w:tr>
        <w:trPr>
          <w:cantSplit/>
        </w:trPr>
        <w:tc>
          <w:tcPr>
            <w:tcW w:type="dxa" w:w="2351"/>
          </w:tcPr>
          <w:p>
            <w:r>
              <w:t>2013</w:t>
            </w:r>
          </w:p>
        </w:tc>
        <w:tc>
          <w:tcPr>
            <w:tcW w:type="dxa" w:w="2351"/>
          </w:tcPr>
          <w:p>
            <w:r>
              <w:t>27,2</w:t>
            </w:r>
          </w:p>
        </w:tc>
        <w:tc>
          <w:tcPr>
            <w:tcW w:type="dxa" w:w="2351"/>
          </w:tcPr>
          <w:p>
            <w:r>
              <w:t>2 040</w:t>
            </w:r>
          </w:p>
        </w:tc>
        <w:tc>
          <w:tcPr>
            <w:tcW w:type="dxa" w:w="2351"/>
          </w:tcPr>
          <w:p>
            <w:r>
              <w:t>612</w:t>
            </w:r>
          </w:p>
        </w:tc>
      </w:tr>
      <w:tr>
        <w:trPr>
          <w:cantSplit/>
        </w:trPr>
        <w:tc>
          <w:tcPr>
            <w:tcW w:type="dxa" w:w="2351"/>
          </w:tcPr>
          <w:p>
            <w:r>
              <w:t>2014</w:t>
            </w:r>
          </w:p>
        </w:tc>
        <w:tc>
          <w:tcPr>
            <w:tcW w:type="dxa" w:w="2351"/>
          </w:tcPr>
          <w:p>
            <w:r>
              <w:t>25,6</w:t>
            </w:r>
          </w:p>
        </w:tc>
        <w:tc>
          <w:tcPr>
            <w:tcW w:type="dxa" w:w="2351"/>
          </w:tcPr>
          <w:p>
            <w:r>
              <w:t>1 920</w:t>
            </w:r>
          </w:p>
        </w:tc>
        <w:tc>
          <w:tcPr>
            <w:tcW w:type="dxa" w:w="2351"/>
          </w:tcPr>
          <w:p>
            <w:r>
              <w:t>576</w:t>
            </w:r>
          </w:p>
        </w:tc>
      </w:tr>
      <w:tr>
        <w:trPr>
          <w:cantSplit/>
        </w:trPr>
        <w:tc>
          <w:tcPr>
            <w:tcW w:type="dxa" w:w="2351"/>
          </w:tcPr>
          <w:p>
            <w:r>
              <w:t>2015</w:t>
            </w:r>
          </w:p>
        </w:tc>
        <w:tc>
          <w:tcPr>
            <w:tcW w:type="dxa" w:w="2351"/>
          </w:tcPr>
          <w:p>
            <w:r>
              <w:t>24,0</w:t>
            </w:r>
          </w:p>
        </w:tc>
        <w:tc>
          <w:tcPr>
            <w:tcW w:type="dxa" w:w="2351"/>
          </w:tcPr>
          <w:p>
            <w:r>
              <w:t>1 800</w:t>
            </w:r>
          </w:p>
        </w:tc>
        <w:tc>
          <w:tcPr>
            <w:tcW w:type="dxa" w:w="2351"/>
          </w:tcPr>
          <w:p>
            <w:r>
              <w:t>540</w:t>
            </w:r>
          </w:p>
        </w:tc>
      </w:tr>
      <w:tr>
        <w:trPr>
          <w:cantSplit/>
        </w:trPr>
        <w:tc>
          <w:tcPr>
            <w:tcW w:type="dxa" w:w="2351"/>
          </w:tcPr>
          <w:p>
            <w:r>
              <w:t>2016</w:t>
            </w:r>
          </w:p>
        </w:tc>
        <w:tc>
          <w:tcPr>
            <w:tcW w:type="dxa" w:w="2351"/>
          </w:tcPr>
          <w:p>
            <w:r>
              <w:t>22,4</w:t>
            </w:r>
          </w:p>
        </w:tc>
        <w:tc>
          <w:tcPr>
            <w:tcW w:type="dxa" w:w="2351"/>
          </w:tcPr>
          <w:p>
            <w:r>
              <w:t>1 680</w:t>
            </w:r>
          </w:p>
        </w:tc>
        <w:tc>
          <w:tcPr>
            <w:tcW w:type="dxa" w:w="2351"/>
          </w:tcPr>
          <w:p>
            <w:r>
              <w:t>504</w:t>
            </w:r>
          </w:p>
        </w:tc>
      </w:tr>
      <w:tr>
        <w:trPr>
          <w:cantSplit/>
        </w:trPr>
        <w:tc>
          <w:tcPr>
            <w:tcW w:type="dxa" w:w="2351"/>
          </w:tcPr>
          <w:p>
            <w:r>
              <w:t>2017</w:t>
            </w:r>
          </w:p>
        </w:tc>
        <w:tc>
          <w:tcPr>
            <w:tcW w:type="dxa" w:w="2351"/>
          </w:tcPr>
          <w:p>
            <w:r>
              <w:t>20,8</w:t>
            </w:r>
          </w:p>
        </w:tc>
        <w:tc>
          <w:tcPr>
            <w:tcW w:type="dxa" w:w="2351"/>
          </w:tcPr>
          <w:p>
            <w:r>
              <w:t>1 560</w:t>
            </w:r>
          </w:p>
        </w:tc>
        <w:tc>
          <w:tcPr>
            <w:tcW w:type="dxa" w:w="2351"/>
          </w:tcPr>
          <w:p>
            <w:r>
              <w:t>468</w:t>
            </w:r>
          </w:p>
        </w:tc>
      </w:tr>
      <w:tr>
        <w:trPr>
          <w:cantSplit/>
        </w:trPr>
        <w:tc>
          <w:tcPr>
            <w:tcW w:type="dxa" w:w="2351"/>
          </w:tcPr>
          <w:p>
            <w:r>
              <w:t>2018</w:t>
            </w:r>
          </w:p>
        </w:tc>
        <w:tc>
          <w:tcPr>
            <w:tcW w:type="dxa" w:w="2351"/>
          </w:tcPr>
          <w:p>
            <w:r>
              <w:t>19,2</w:t>
            </w:r>
          </w:p>
        </w:tc>
        <w:tc>
          <w:tcPr>
            <w:tcW w:type="dxa" w:w="2351"/>
          </w:tcPr>
          <w:p>
            <w:r>
              <w:t>1 440</w:t>
            </w:r>
          </w:p>
        </w:tc>
        <w:tc>
          <w:tcPr>
            <w:tcW w:type="dxa" w:w="2351"/>
          </w:tcPr>
          <w:p>
            <w:r>
              <w:t>432</w:t>
            </w:r>
          </w:p>
        </w:tc>
      </w:tr>
      <w:tr>
        <w:trPr>
          <w:cantSplit/>
        </w:trPr>
        <w:tc>
          <w:tcPr>
            <w:tcW w:type="dxa" w:w="2351"/>
          </w:tcPr>
          <w:p>
            <w:r>
              <w:t>2019</w:t>
            </w:r>
          </w:p>
        </w:tc>
        <w:tc>
          <w:tcPr>
            <w:tcW w:type="dxa" w:w="2351"/>
          </w:tcPr>
          <w:p>
            <w:r>
              <w:t>17,6</w:t>
            </w:r>
          </w:p>
        </w:tc>
        <w:tc>
          <w:tcPr>
            <w:tcW w:type="dxa" w:w="2351"/>
          </w:tcPr>
          <w:p>
            <w:r>
              <w:t>1 320</w:t>
            </w:r>
          </w:p>
        </w:tc>
        <w:tc>
          <w:tcPr>
            <w:tcW w:type="dxa" w:w="2351"/>
          </w:tcPr>
          <w:p>
            <w:r>
              <w:t>396</w:t>
            </w:r>
          </w:p>
        </w:tc>
      </w:tr>
      <w:tr>
        <w:trPr>
          <w:cantSplit/>
        </w:trPr>
        <w:tc>
          <w:tcPr>
            <w:tcW w:type="dxa" w:w="2351"/>
          </w:tcPr>
          <w:p>
            <w:r>
              <w:t>2020</w:t>
            </w:r>
          </w:p>
        </w:tc>
        <w:tc>
          <w:tcPr>
            <w:tcW w:type="dxa" w:w="2351"/>
          </w:tcPr>
          <w:p>
            <w:r>
              <w:t>16,0</w:t>
            </w:r>
          </w:p>
        </w:tc>
        <w:tc>
          <w:tcPr>
            <w:tcW w:type="dxa" w:w="2351"/>
          </w:tcPr>
          <w:p>
            <w:r>
              <w:t>1 200</w:t>
            </w:r>
          </w:p>
        </w:tc>
        <w:tc>
          <w:tcPr>
            <w:tcW w:type="dxa" w:w="2351"/>
          </w:tcPr>
          <w:p>
            <w:r>
              <w:t>360</w:t>
            </w:r>
          </w:p>
        </w:tc>
      </w:tr>
      <w:tr>
        <w:trPr>
          <w:cantSplit/>
        </w:trPr>
        <w:tc>
          <w:tcPr>
            <w:tcW w:type="dxa" w:w="2351"/>
          </w:tcPr>
          <w:p>
            <w:r>
              <w:t>2021</w:t>
            </w:r>
          </w:p>
        </w:tc>
        <w:tc>
          <w:tcPr>
            <w:tcW w:type="dxa" w:w="2351"/>
          </w:tcPr>
          <w:p>
            <w:r>
              <w:t>15,2</w:t>
            </w:r>
          </w:p>
        </w:tc>
        <w:tc>
          <w:tcPr>
            <w:tcW w:type="dxa" w:w="2351"/>
          </w:tcPr>
          <w:p>
            <w:r>
              <w:t>1 140</w:t>
            </w:r>
          </w:p>
        </w:tc>
        <w:tc>
          <w:tcPr>
            <w:tcW w:type="dxa" w:w="2351"/>
          </w:tcPr>
          <w:p>
            <w:r>
              <w:t>342</w:t>
            </w:r>
          </w:p>
        </w:tc>
      </w:tr>
      <w:tr>
        <w:trPr>
          <w:cantSplit/>
        </w:trPr>
        <w:tc>
          <w:tcPr>
            <w:tcW w:type="dxa" w:w="2351"/>
          </w:tcPr>
          <w:p>
            <w:r>
              <w:t>2022</w:t>
            </w:r>
          </w:p>
        </w:tc>
        <w:tc>
          <w:tcPr>
            <w:tcW w:type="dxa" w:w="2351"/>
          </w:tcPr>
          <w:p>
            <w:r>
              <w:t>14,4</w:t>
            </w:r>
          </w:p>
        </w:tc>
        <w:tc>
          <w:tcPr>
            <w:tcW w:type="dxa" w:w="2351"/>
          </w:tcPr>
          <w:p>
            <w:r>
              <w:t>1 080</w:t>
            </w:r>
          </w:p>
        </w:tc>
        <w:tc>
          <w:tcPr>
            <w:tcW w:type="dxa" w:w="2351"/>
          </w:tcPr>
          <w:p>
            <w:r>
              <w:t>324</w:t>
            </w:r>
          </w:p>
        </w:tc>
      </w:tr>
      <w:tr>
        <w:trPr>
          <w:cantSplit/>
        </w:trPr>
        <w:tc>
          <w:tcPr>
            <w:tcW w:type="dxa" w:w="2351"/>
          </w:tcPr>
          <w:p>
            <w:r>
              <w:t>2023</w:t>
            </w:r>
          </w:p>
        </w:tc>
        <w:tc>
          <w:tcPr>
            <w:tcW w:type="dxa" w:w="2351"/>
          </w:tcPr>
          <w:p>
            <w:r>
              <w:t>14,0</w:t>
            </w:r>
          </w:p>
        </w:tc>
        <w:tc>
          <w:tcPr>
            <w:tcW w:type="dxa" w:w="2351"/>
          </w:tcPr>
          <w:p>
            <w:r>
              <w:t>1 050</w:t>
            </w:r>
          </w:p>
        </w:tc>
        <w:tc>
          <w:tcPr>
            <w:tcW w:type="dxa" w:w="2351"/>
          </w:tcPr>
          <w:p>
            <w:r>
              <w:t>315</w:t>
            </w:r>
          </w:p>
        </w:tc>
      </w:tr>
      <w:tr>
        <w:trPr>
          <w:cantSplit/>
        </w:trPr>
        <w:tc>
          <w:tcPr>
            <w:tcW w:type="dxa" w:w="2351"/>
          </w:tcPr>
          <w:p>
            <w:r>
              <w:t>2024</w:t>
            </w:r>
          </w:p>
        </w:tc>
        <w:tc>
          <w:tcPr>
            <w:tcW w:type="dxa" w:w="2351"/>
          </w:tcPr>
          <w:p>
            <w:r>
              <w:t>13,6</w:t>
            </w:r>
          </w:p>
        </w:tc>
        <w:tc>
          <w:tcPr>
            <w:tcW w:type="dxa" w:w="2351"/>
          </w:tcPr>
          <w:p>
            <w:r>
              <w:t>1 020</w:t>
            </w:r>
          </w:p>
        </w:tc>
        <w:tc>
          <w:tcPr>
            <w:tcW w:type="dxa" w:w="2351"/>
          </w:tcPr>
          <w:p>
            <w:r>
              <w:t>306</w:t>
            </w:r>
          </w:p>
        </w:tc>
      </w:tr>
      <w:tr>
        <w:trPr>
          <w:cantSplit/>
        </w:trPr>
        <w:tc>
          <w:tcPr>
            <w:tcW w:type="dxa" w:w="2351"/>
          </w:tcPr>
          <w:p>
            <w:r>
              <w:t>2025</w:t>
            </w:r>
          </w:p>
        </w:tc>
        <w:tc>
          <w:tcPr>
            <w:tcW w:type="dxa" w:w="2351"/>
          </w:tcPr>
          <w:p>
            <w:r>
              <w:t>13,2</w:t>
            </w:r>
          </w:p>
        </w:tc>
        <w:tc>
          <w:tcPr>
            <w:tcW w:type="dxa" w:w="2351"/>
          </w:tcPr>
          <w:p>
            <w:r>
              <w:t xml:space="preserve">  990</w:t>
            </w:r>
          </w:p>
        </w:tc>
        <w:tc>
          <w:tcPr>
            <w:tcW w:type="dxa" w:w="2351"/>
          </w:tcPr>
          <w:p>
            <w:r>
              <w:t>297</w:t>
            </w:r>
          </w:p>
        </w:tc>
      </w:tr>
      <w:tr>
        <w:trPr>
          <w:cantSplit/>
        </w:trPr>
        <w:tc>
          <w:tcPr>
            <w:tcW w:type="dxa" w:w="2351"/>
          </w:tcPr>
          <w:p>
            <w:r>
              <w:t>2026</w:t>
            </w:r>
          </w:p>
        </w:tc>
        <w:tc>
          <w:tcPr>
            <w:tcW w:type="dxa" w:w="2351"/>
          </w:tcPr>
          <w:p>
            <w:r>
              <w:t>12,8</w:t>
            </w:r>
          </w:p>
        </w:tc>
        <w:tc>
          <w:tcPr>
            <w:tcW w:type="dxa" w:w="2351"/>
          </w:tcPr>
          <w:p>
            <w:r>
              <w:t xml:space="preserve">  960</w:t>
            </w:r>
          </w:p>
        </w:tc>
        <w:tc>
          <w:tcPr>
            <w:tcW w:type="dxa" w:w="2351"/>
          </w:tcPr>
          <w:p>
            <w:r>
              <w:t>288</w:t>
            </w:r>
          </w:p>
        </w:tc>
      </w:tr>
      <w:tr>
        <w:trPr>
          <w:cantSplit/>
        </w:trPr>
        <w:tc>
          <w:tcPr>
            <w:tcW w:type="dxa" w:w="2351"/>
          </w:tcPr>
          <w:p>
            <w:r>
              <w:t>2027</w:t>
            </w:r>
          </w:p>
        </w:tc>
        <w:tc>
          <w:tcPr>
            <w:tcW w:type="dxa" w:w="2351"/>
          </w:tcPr>
          <w:p>
            <w:r>
              <w:t>12,4</w:t>
            </w:r>
          </w:p>
        </w:tc>
        <w:tc>
          <w:tcPr>
            <w:tcW w:type="dxa" w:w="2351"/>
          </w:tcPr>
          <w:p>
            <w:r>
              <w:t xml:space="preserve">  930</w:t>
            </w:r>
          </w:p>
        </w:tc>
        <w:tc>
          <w:tcPr>
            <w:tcW w:type="dxa" w:w="2351"/>
          </w:tcPr>
          <w:p>
            <w:r>
              <w:t>279</w:t>
            </w:r>
          </w:p>
        </w:tc>
      </w:tr>
      <w:tr>
        <w:trPr>
          <w:cantSplit/>
        </w:trPr>
        <w:tc>
          <w:tcPr>
            <w:tcW w:type="dxa" w:w="2351"/>
          </w:tcPr>
          <w:p>
            <w:r>
              <w:t>2028</w:t>
            </w:r>
          </w:p>
        </w:tc>
        <w:tc>
          <w:tcPr>
            <w:tcW w:type="dxa" w:w="2351"/>
          </w:tcPr>
          <w:p>
            <w:r>
              <w:t>12,0</w:t>
            </w:r>
          </w:p>
        </w:tc>
        <w:tc>
          <w:tcPr>
            <w:tcW w:type="dxa" w:w="2351"/>
          </w:tcPr>
          <w:p>
            <w:r>
              <w:t xml:space="preserve">  900</w:t>
            </w:r>
          </w:p>
        </w:tc>
        <w:tc>
          <w:tcPr>
            <w:tcW w:type="dxa" w:w="2351"/>
          </w:tcPr>
          <w:p>
            <w:r>
              <w:t>270</w:t>
            </w:r>
          </w:p>
        </w:tc>
      </w:tr>
      <w:tr>
        <w:trPr>
          <w:cantSplit/>
        </w:trPr>
        <w:tc>
          <w:tcPr>
            <w:tcW w:type="dxa" w:w="2351"/>
          </w:tcPr>
          <w:p>
            <w:r>
              <w:t>2029</w:t>
            </w:r>
          </w:p>
        </w:tc>
        <w:tc>
          <w:tcPr>
            <w:tcW w:type="dxa" w:w="2351"/>
          </w:tcPr>
          <w:p>
            <w:r>
              <w:t>11,6</w:t>
            </w:r>
          </w:p>
        </w:tc>
        <w:tc>
          <w:tcPr>
            <w:tcW w:type="dxa" w:w="2351"/>
          </w:tcPr>
          <w:p>
            <w:r>
              <w:t xml:space="preserve">  870</w:t>
            </w:r>
          </w:p>
        </w:tc>
        <w:tc>
          <w:tcPr>
            <w:tcW w:type="dxa" w:w="2351"/>
          </w:tcPr>
          <w:p>
            <w:r>
              <w:t>261</w:t>
            </w:r>
          </w:p>
        </w:tc>
      </w:tr>
      <w:tr>
        <w:trPr>
          <w:cantSplit/>
        </w:trPr>
        <w:tc>
          <w:tcPr>
            <w:tcW w:type="dxa" w:w="2351"/>
          </w:tcPr>
          <w:p>
            <w:r>
              <w:t>2030</w:t>
            </w:r>
          </w:p>
        </w:tc>
        <w:tc>
          <w:tcPr>
            <w:tcW w:type="dxa" w:w="2351"/>
          </w:tcPr>
          <w:p>
            <w:r>
              <w:t>11,2</w:t>
            </w:r>
          </w:p>
        </w:tc>
        <w:tc>
          <w:tcPr>
            <w:tcW w:type="dxa" w:w="2351"/>
          </w:tcPr>
          <w:p>
            <w:r>
              <w:t xml:space="preserve">  840</w:t>
            </w:r>
          </w:p>
        </w:tc>
        <w:tc>
          <w:tcPr>
            <w:tcW w:type="dxa" w:w="2351"/>
          </w:tcPr>
          <w:p>
            <w:r>
              <w:t>252</w:t>
            </w:r>
          </w:p>
        </w:tc>
      </w:tr>
      <w:tr>
        <w:trPr>
          <w:cantSplit/>
        </w:trPr>
        <w:tc>
          <w:tcPr>
            <w:tcW w:type="dxa" w:w="2351"/>
          </w:tcPr>
          <w:p>
            <w:r>
              <w:t>2031</w:t>
            </w:r>
          </w:p>
        </w:tc>
        <w:tc>
          <w:tcPr>
            <w:tcW w:type="dxa" w:w="2351"/>
          </w:tcPr>
          <w:p>
            <w:r>
              <w:t>10,8</w:t>
            </w:r>
          </w:p>
        </w:tc>
        <w:tc>
          <w:tcPr>
            <w:tcW w:type="dxa" w:w="2351"/>
          </w:tcPr>
          <w:p>
            <w:r>
              <w:t xml:space="preserve">  810</w:t>
            </w:r>
          </w:p>
        </w:tc>
        <w:tc>
          <w:tcPr>
            <w:tcW w:type="dxa" w:w="2351"/>
          </w:tcPr>
          <w:p>
            <w:r>
              <w:t>243</w:t>
            </w:r>
          </w:p>
        </w:tc>
      </w:tr>
      <w:tr>
        <w:trPr>
          <w:cantSplit/>
        </w:trPr>
        <w:tc>
          <w:tcPr>
            <w:tcW w:type="dxa" w:w="2351"/>
          </w:tcPr>
          <w:p>
            <w:r>
              <w:t>2032</w:t>
            </w:r>
          </w:p>
        </w:tc>
        <w:tc>
          <w:tcPr>
            <w:tcW w:type="dxa" w:w="2351"/>
          </w:tcPr>
          <w:p>
            <w:r>
              <w:t>10,4</w:t>
            </w:r>
          </w:p>
        </w:tc>
        <w:tc>
          <w:tcPr>
            <w:tcW w:type="dxa" w:w="2351"/>
          </w:tcPr>
          <w:p>
            <w:r>
              <w:t xml:space="preserve">  780</w:t>
            </w:r>
          </w:p>
        </w:tc>
        <w:tc>
          <w:tcPr>
            <w:tcW w:type="dxa" w:w="2351"/>
          </w:tcPr>
          <w:p>
            <w:r>
              <w:t>234</w:t>
            </w:r>
          </w:p>
        </w:tc>
      </w:tr>
      <w:tr>
        <w:trPr>
          <w:cantSplit/>
        </w:trPr>
        <w:tc>
          <w:tcPr>
            <w:tcW w:type="dxa" w:w="2351"/>
          </w:tcPr>
          <w:p>
            <w:r>
              <w:t>2033</w:t>
            </w:r>
          </w:p>
        </w:tc>
        <w:tc>
          <w:tcPr>
            <w:tcW w:type="dxa" w:w="2351"/>
          </w:tcPr>
          <w:p>
            <w:r>
              <w:t>10,0</w:t>
            </w:r>
          </w:p>
        </w:tc>
        <w:tc>
          <w:tcPr>
            <w:tcW w:type="dxa" w:w="2351"/>
          </w:tcPr>
          <w:p>
            <w:r>
              <w:t xml:space="preserve">  750</w:t>
            </w:r>
          </w:p>
        </w:tc>
        <w:tc>
          <w:tcPr>
            <w:tcW w:type="dxa" w:w="2351"/>
          </w:tcPr>
          <w:p>
            <w:r>
              <w:t>225</w:t>
            </w:r>
          </w:p>
        </w:tc>
      </w:tr>
      <w:tr>
        <w:trPr>
          <w:cantSplit/>
        </w:trPr>
        <w:tc>
          <w:tcPr>
            <w:tcW w:type="dxa" w:w="2351"/>
          </w:tcPr>
          <w:p>
            <w:r>
              <w:t>2034</w:t>
            </w:r>
          </w:p>
        </w:tc>
        <w:tc>
          <w:tcPr>
            <w:tcW w:type="dxa" w:w="2351"/>
          </w:tcPr>
          <w:p>
            <w:r>
              <w:t xml:space="preserve"> 9,6</w:t>
            </w:r>
          </w:p>
        </w:tc>
        <w:tc>
          <w:tcPr>
            <w:tcW w:type="dxa" w:w="2351"/>
          </w:tcPr>
          <w:p>
            <w:r>
              <w:t xml:space="preserve">  720</w:t>
            </w:r>
          </w:p>
        </w:tc>
        <w:tc>
          <w:tcPr>
            <w:tcW w:type="dxa" w:w="2351"/>
          </w:tcPr>
          <w:p>
            <w:r>
              <w:t>216</w:t>
            </w:r>
          </w:p>
        </w:tc>
      </w:tr>
      <w:tr>
        <w:trPr>
          <w:cantSplit/>
        </w:trPr>
        <w:tc>
          <w:tcPr>
            <w:tcW w:type="dxa" w:w="2351"/>
          </w:tcPr>
          <w:p>
            <w:r>
              <w:t>2035</w:t>
            </w:r>
          </w:p>
        </w:tc>
        <w:tc>
          <w:tcPr>
            <w:tcW w:type="dxa" w:w="2351"/>
          </w:tcPr>
          <w:p>
            <w:r>
              <w:t xml:space="preserve"> 9,2</w:t>
            </w:r>
          </w:p>
        </w:tc>
        <w:tc>
          <w:tcPr>
            <w:tcW w:type="dxa" w:w="2351"/>
          </w:tcPr>
          <w:p>
            <w:r>
              <w:t xml:space="preserve">  690</w:t>
            </w:r>
          </w:p>
        </w:tc>
        <w:tc>
          <w:tcPr>
            <w:tcW w:type="dxa" w:w="2351"/>
          </w:tcPr>
          <w:p>
            <w:r>
              <w:t>207</w:t>
            </w:r>
          </w:p>
        </w:tc>
      </w:tr>
      <w:tr>
        <w:trPr>
          <w:cantSplit/>
        </w:trPr>
        <w:tc>
          <w:tcPr>
            <w:tcW w:type="dxa" w:w="2351"/>
          </w:tcPr>
          <w:p>
            <w:r>
              <w:t>2036</w:t>
            </w:r>
          </w:p>
        </w:tc>
        <w:tc>
          <w:tcPr>
            <w:tcW w:type="dxa" w:w="2351"/>
          </w:tcPr>
          <w:p>
            <w:r>
              <w:t xml:space="preserve"> 8,8</w:t>
            </w:r>
          </w:p>
        </w:tc>
        <w:tc>
          <w:tcPr>
            <w:tcW w:type="dxa" w:w="2351"/>
          </w:tcPr>
          <w:p>
            <w:r>
              <w:t xml:space="preserve">  660</w:t>
            </w:r>
          </w:p>
        </w:tc>
        <w:tc>
          <w:tcPr>
            <w:tcW w:type="dxa" w:w="2351"/>
          </w:tcPr>
          <w:p>
            <w:r>
              <w:t>198</w:t>
            </w:r>
          </w:p>
        </w:tc>
      </w:tr>
      <w:tr>
        <w:trPr>
          <w:cantSplit/>
        </w:trPr>
        <w:tc>
          <w:tcPr>
            <w:tcW w:type="dxa" w:w="2351"/>
          </w:tcPr>
          <w:p>
            <w:r>
              <w:t>2037</w:t>
            </w:r>
          </w:p>
        </w:tc>
        <w:tc>
          <w:tcPr>
            <w:tcW w:type="dxa" w:w="2351"/>
          </w:tcPr>
          <w:p>
            <w:r>
              <w:t xml:space="preserve"> 8,4</w:t>
            </w:r>
          </w:p>
        </w:tc>
        <w:tc>
          <w:tcPr>
            <w:tcW w:type="dxa" w:w="2351"/>
          </w:tcPr>
          <w:p>
            <w:r>
              <w:t xml:space="preserve">  630</w:t>
            </w:r>
          </w:p>
        </w:tc>
        <w:tc>
          <w:tcPr>
            <w:tcW w:type="dxa" w:w="2351"/>
          </w:tcPr>
          <w:p>
            <w:r>
              <w:t>189</w:t>
            </w:r>
          </w:p>
        </w:tc>
      </w:tr>
      <w:tr>
        <w:trPr>
          <w:cantSplit/>
        </w:trPr>
        <w:tc>
          <w:tcPr>
            <w:tcW w:type="dxa" w:w="2351"/>
          </w:tcPr>
          <w:p>
            <w:r>
              <w:t>2038</w:t>
            </w:r>
          </w:p>
        </w:tc>
        <w:tc>
          <w:tcPr>
            <w:tcW w:type="dxa" w:w="2351"/>
          </w:tcPr>
          <w:p>
            <w:r>
              <w:t xml:space="preserve"> 8,0</w:t>
            </w:r>
          </w:p>
        </w:tc>
        <w:tc>
          <w:tcPr>
            <w:tcW w:type="dxa" w:w="2351"/>
          </w:tcPr>
          <w:p>
            <w:r>
              <w:t xml:space="preserve">  600</w:t>
            </w:r>
          </w:p>
        </w:tc>
        <w:tc>
          <w:tcPr>
            <w:tcW w:type="dxa" w:w="2351"/>
          </w:tcPr>
          <w:p>
            <w:r>
              <w:t>180</w:t>
            </w:r>
          </w:p>
        </w:tc>
      </w:tr>
      <w:tr>
        <w:trPr>
          <w:cantSplit/>
        </w:trPr>
        <w:tc>
          <w:tcPr>
            <w:tcW w:type="dxa" w:w="2351"/>
          </w:tcPr>
          <w:p>
            <w:r>
              <w:t>2039</w:t>
            </w:r>
          </w:p>
        </w:tc>
        <w:tc>
          <w:tcPr>
            <w:tcW w:type="dxa" w:w="2351"/>
          </w:tcPr>
          <w:p>
            <w:r>
              <w:t xml:space="preserve"> 7,6</w:t>
            </w:r>
          </w:p>
        </w:tc>
        <w:tc>
          <w:tcPr>
            <w:tcW w:type="dxa" w:w="2351"/>
          </w:tcPr>
          <w:p>
            <w:r>
              <w:t xml:space="preserve">  570</w:t>
            </w:r>
          </w:p>
        </w:tc>
        <w:tc>
          <w:tcPr>
            <w:tcW w:type="dxa" w:w="2351"/>
          </w:tcPr>
          <w:p>
            <w:r>
              <w:t>171</w:t>
            </w:r>
          </w:p>
        </w:tc>
      </w:tr>
      <w:tr>
        <w:trPr>
          <w:cantSplit/>
        </w:trPr>
        <w:tc>
          <w:tcPr>
            <w:tcW w:type="dxa" w:w="2351"/>
          </w:tcPr>
          <w:p>
            <w:r>
              <w:t>2040</w:t>
            </w:r>
          </w:p>
        </w:tc>
        <w:tc>
          <w:tcPr>
            <w:tcW w:type="dxa" w:w="2351"/>
          </w:tcPr>
          <w:p>
            <w:r>
              <w:t xml:space="preserve"> 7,2</w:t>
            </w:r>
          </w:p>
        </w:tc>
        <w:tc>
          <w:tcPr>
            <w:tcW w:type="dxa" w:w="2351"/>
          </w:tcPr>
          <w:p>
            <w:r>
              <w:t xml:space="preserve">  540</w:t>
            </w:r>
          </w:p>
        </w:tc>
        <w:tc>
          <w:tcPr>
            <w:tcW w:type="dxa" w:w="2351"/>
          </w:tcPr>
          <w:p>
            <w:r>
              <w:t>162</w:t>
            </w:r>
          </w:p>
        </w:tc>
      </w:tr>
      <w:tr>
        <w:trPr>
          <w:cantSplit/>
        </w:trPr>
        <w:tc>
          <w:tcPr>
            <w:tcW w:type="dxa" w:w="2351"/>
          </w:tcPr>
          <w:p>
            <w:r>
              <w:t>2041</w:t>
            </w:r>
          </w:p>
        </w:tc>
        <w:tc>
          <w:tcPr>
            <w:tcW w:type="dxa" w:w="2351"/>
          </w:tcPr>
          <w:p>
            <w:r>
              <w:t xml:space="preserve"> 6,8</w:t>
            </w:r>
          </w:p>
        </w:tc>
        <w:tc>
          <w:tcPr>
            <w:tcW w:type="dxa" w:w="2351"/>
          </w:tcPr>
          <w:p>
            <w:r>
              <w:t xml:space="preserve">  510</w:t>
            </w:r>
          </w:p>
        </w:tc>
        <w:tc>
          <w:tcPr>
            <w:tcW w:type="dxa" w:w="2351"/>
          </w:tcPr>
          <w:p>
            <w:r>
              <w:t>153</w:t>
            </w:r>
          </w:p>
        </w:tc>
      </w:tr>
      <w:tr>
        <w:trPr>
          <w:cantSplit/>
        </w:trPr>
        <w:tc>
          <w:tcPr>
            <w:tcW w:type="dxa" w:w="2351"/>
          </w:tcPr>
          <w:p>
            <w:r>
              <w:t>2042</w:t>
            </w:r>
          </w:p>
        </w:tc>
        <w:tc>
          <w:tcPr>
            <w:tcW w:type="dxa" w:w="2351"/>
          </w:tcPr>
          <w:p>
            <w:r>
              <w:t xml:space="preserve"> 6,4</w:t>
            </w:r>
          </w:p>
        </w:tc>
        <w:tc>
          <w:tcPr>
            <w:tcW w:type="dxa" w:w="2351"/>
          </w:tcPr>
          <w:p>
            <w:r>
              <w:t xml:space="preserve">  480</w:t>
            </w:r>
          </w:p>
        </w:tc>
        <w:tc>
          <w:tcPr>
            <w:tcW w:type="dxa" w:w="2351"/>
          </w:tcPr>
          <w:p>
            <w:r>
              <w:t>144</w:t>
            </w:r>
          </w:p>
        </w:tc>
      </w:tr>
      <w:tr>
        <w:trPr>
          <w:cantSplit/>
        </w:trPr>
        <w:tc>
          <w:tcPr>
            <w:tcW w:type="dxa" w:w="2351"/>
          </w:tcPr>
          <w:p>
            <w:r>
              <w:t>2043</w:t>
            </w:r>
          </w:p>
        </w:tc>
        <w:tc>
          <w:tcPr>
            <w:tcW w:type="dxa" w:w="2351"/>
          </w:tcPr>
          <w:p>
            <w:r>
              <w:t xml:space="preserve"> 6,0</w:t>
            </w:r>
          </w:p>
        </w:tc>
        <w:tc>
          <w:tcPr>
            <w:tcW w:type="dxa" w:w="2351"/>
          </w:tcPr>
          <w:p>
            <w:r>
              <w:t xml:space="preserve">  450</w:t>
            </w:r>
          </w:p>
        </w:tc>
        <w:tc>
          <w:tcPr>
            <w:tcW w:type="dxa" w:w="2351"/>
          </w:tcPr>
          <w:p>
            <w:r>
              <w:t>135</w:t>
            </w:r>
          </w:p>
        </w:tc>
      </w:tr>
      <w:tr>
        <w:trPr>
          <w:cantSplit/>
        </w:trPr>
        <w:tc>
          <w:tcPr>
            <w:tcW w:type="dxa" w:w="2351"/>
          </w:tcPr>
          <w:p>
            <w:r>
              <w:t>2044</w:t>
            </w:r>
          </w:p>
        </w:tc>
        <w:tc>
          <w:tcPr>
            <w:tcW w:type="dxa" w:w="2351"/>
          </w:tcPr>
          <w:p>
            <w:r>
              <w:t xml:space="preserve"> 5,6</w:t>
            </w:r>
          </w:p>
        </w:tc>
        <w:tc>
          <w:tcPr>
            <w:tcW w:type="dxa" w:w="2351"/>
          </w:tcPr>
          <w:p>
            <w:r>
              <w:t xml:space="preserve">  420</w:t>
            </w:r>
          </w:p>
        </w:tc>
        <w:tc>
          <w:tcPr>
            <w:tcW w:type="dxa" w:w="2351"/>
          </w:tcPr>
          <w:p>
            <w:r>
              <w:t>126</w:t>
            </w:r>
          </w:p>
        </w:tc>
      </w:tr>
      <w:tr>
        <w:trPr>
          <w:cantSplit/>
        </w:trPr>
        <w:tc>
          <w:tcPr>
            <w:tcW w:type="dxa" w:w="2351"/>
          </w:tcPr>
          <w:p>
            <w:r>
              <w:t>2045</w:t>
            </w:r>
          </w:p>
        </w:tc>
        <w:tc>
          <w:tcPr>
            <w:tcW w:type="dxa" w:w="2351"/>
          </w:tcPr>
          <w:p>
            <w:r>
              <w:t xml:space="preserve"> 5,2</w:t>
            </w:r>
          </w:p>
        </w:tc>
        <w:tc>
          <w:tcPr>
            <w:tcW w:type="dxa" w:w="2351"/>
          </w:tcPr>
          <w:p>
            <w:r>
              <w:t xml:space="preserve">  390</w:t>
            </w:r>
          </w:p>
        </w:tc>
        <w:tc>
          <w:tcPr>
            <w:tcW w:type="dxa" w:w="2351"/>
          </w:tcPr>
          <w:p>
            <w:r>
              <w:t>117</w:t>
            </w:r>
          </w:p>
        </w:tc>
      </w:tr>
      <w:tr>
        <w:trPr>
          <w:cantSplit/>
        </w:trPr>
        <w:tc>
          <w:tcPr>
            <w:tcW w:type="dxa" w:w="2351"/>
          </w:tcPr>
          <w:p>
            <w:r>
              <w:t>2046</w:t>
            </w:r>
          </w:p>
        </w:tc>
        <w:tc>
          <w:tcPr>
            <w:tcW w:type="dxa" w:w="2351"/>
          </w:tcPr>
          <w:p>
            <w:r>
              <w:t xml:space="preserve"> 4,8</w:t>
            </w:r>
          </w:p>
        </w:tc>
        <w:tc>
          <w:tcPr>
            <w:tcW w:type="dxa" w:w="2351"/>
          </w:tcPr>
          <w:p>
            <w:r>
              <w:t xml:space="preserve">  360</w:t>
            </w:r>
          </w:p>
        </w:tc>
        <w:tc>
          <w:tcPr>
            <w:tcW w:type="dxa" w:w="2351"/>
          </w:tcPr>
          <w:p>
            <w:r>
              <w:t>108</w:t>
            </w:r>
          </w:p>
        </w:tc>
      </w:tr>
      <w:tr>
        <w:trPr>
          <w:cantSplit/>
        </w:trPr>
        <w:tc>
          <w:tcPr>
            <w:tcW w:type="dxa" w:w="2351"/>
          </w:tcPr>
          <w:p>
            <w:r>
              <w:t>2047</w:t>
            </w:r>
          </w:p>
        </w:tc>
        <w:tc>
          <w:tcPr>
            <w:tcW w:type="dxa" w:w="2351"/>
          </w:tcPr>
          <w:p>
            <w:r>
              <w:t xml:space="preserve"> 4,4</w:t>
            </w:r>
          </w:p>
        </w:tc>
        <w:tc>
          <w:tcPr>
            <w:tcW w:type="dxa" w:w="2351"/>
          </w:tcPr>
          <w:p>
            <w:r>
              <w:t xml:space="preserve">  330</w:t>
            </w:r>
          </w:p>
        </w:tc>
        <w:tc>
          <w:tcPr>
            <w:tcW w:type="dxa" w:w="2351"/>
          </w:tcPr>
          <w:p>
            <w:r>
              <w:t xml:space="preserve"> 99</w:t>
            </w:r>
          </w:p>
        </w:tc>
      </w:tr>
      <w:tr>
        <w:trPr>
          <w:cantSplit/>
        </w:trPr>
        <w:tc>
          <w:tcPr>
            <w:tcW w:type="dxa" w:w="2351"/>
          </w:tcPr>
          <w:p>
            <w:r>
              <w:t>2048</w:t>
            </w:r>
          </w:p>
        </w:tc>
        <w:tc>
          <w:tcPr>
            <w:tcW w:type="dxa" w:w="2351"/>
          </w:tcPr>
          <w:p>
            <w:r>
              <w:t xml:space="preserve"> 4,0</w:t>
            </w:r>
          </w:p>
        </w:tc>
        <w:tc>
          <w:tcPr>
            <w:tcW w:type="dxa" w:w="2351"/>
          </w:tcPr>
          <w:p>
            <w:r>
              <w:t xml:space="preserve">  300</w:t>
            </w:r>
          </w:p>
        </w:tc>
        <w:tc>
          <w:tcPr>
            <w:tcW w:type="dxa" w:w="2351"/>
          </w:tcPr>
          <w:p>
            <w:r>
              <w:t xml:space="preserve"> 90</w:t>
            </w:r>
          </w:p>
        </w:tc>
      </w:tr>
      <w:tr>
        <w:trPr>
          <w:cantSplit/>
        </w:trPr>
        <w:tc>
          <w:tcPr>
            <w:tcW w:type="dxa" w:w="2351"/>
          </w:tcPr>
          <w:p>
            <w:r>
              <w:t>2049</w:t>
            </w:r>
          </w:p>
        </w:tc>
        <w:tc>
          <w:tcPr>
            <w:tcW w:type="dxa" w:w="2351"/>
          </w:tcPr>
          <w:p>
            <w:r>
              <w:t xml:space="preserve"> 3,6</w:t>
            </w:r>
          </w:p>
        </w:tc>
        <w:tc>
          <w:tcPr>
            <w:tcW w:type="dxa" w:w="2351"/>
          </w:tcPr>
          <w:p>
            <w:r>
              <w:t xml:space="preserve">  270</w:t>
            </w:r>
          </w:p>
        </w:tc>
        <w:tc>
          <w:tcPr>
            <w:tcW w:type="dxa" w:w="2351"/>
          </w:tcPr>
          <w:p>
            <w:r>
              <w:t xml:space="preserve"> 81</w:t>
            </w:r>
          </w:p>
        </w:tc>
      </w:tr>
      <w:tr>
        <w:trPr>
          <w:cantSplit/>
        </w:trPr>
        <w:tc>
          <w:tcPr>
            <w:tcW w:type="dxa" w:w="2351"/>
          </w:tcPr>
          <w:p>
            <w:r>
              <w:t>2050</w:t>
            </w:r>
          </w:p>
        </w:tc>
        <w:tc>
          <w:tcPr>
            <w:tcW w:type="dxa" w:w="2351"/>
          </w:tcPr>
          <w:p>
            <w:r>
              <w:t xml:space="preserve"> 3,2</w:t>
            </w:r>
          </w:p>
        </w:tc>
        <w:tc>
          <w:tcPr>
            <w:tcW w:type="dxa" w:w="2351"/>
          </w:tcPr>
          <w:p>
            <w:r>
              <w:t xml:space="preserve">  240</w:t>
            </w:r>
          </w:p>
        </w:tc>
        <w:tc>
          <w:tcPr>
            <w:tcW w:type="dxa" w:w="2351"/>
          </w:tcPr>
          <w:p>
            <w:r>
              <w:t xml:space="preserve"> 72</w:t>
            </w:r>
          </w:p>
        </w:tc>
      </w:tr>
      <w:tr>
        <w:trPr>
          <w:cantSplit/>
        </w:trPr>
        <w:tc>
          <w:tcPr>
            <w:tcW w:type="dxa" w:w="2351"/>
          </w:tcPr>
          <w:p>
            <w:r>
              <w:t>2051</w:t>
            </w:r>
          </w:p>
        </w:tc>
        <w:tc>
          <w:tcPr>
            <w:tcW w:type="dxa" w:w="2351"/>
          </w:tcPr>
          <w:p>
            <w:r>
              <w:t xml:space="preserve"> 2,8</w:t>
            </w:r>
          </w:p>
        </w:tc>
        <w:tc>
          <w:tcPr>
            <w:tcW w:type="dxa" w:w="2351"/>
          </w:tcPr>
          <w:p>
            <w:r>
              <w:t xml:space="preserve">  210</w:t>
            </w:r>
          </w:p>
        </w:tc>
        <w:tc>
          <w:tcPr>
            <w:tcW w:type="dxa" w:w="2351"/>
          </w:tcPr>
          <w:p>
            <w:r>
              <w:t xml:space="preserve"> 63</w:t>
            </w:r>
          </w:p>
        </w:tc>
      </w:tr>
      <w:tr>
        <w:trPr>
          <w:cantSplit/>
        </w:trPr>
        <w:tc>
          <w:tcPr>
            <w:tcW w:type="dxa" w:w="2351"/>
          </w:tcPr>
          <w:p>
            <w:r>
              <w:t>2052</w:t>
            </w:r>
          </w:p>
        </w:tc>
        <w:tc>
          <w:tcPr>
            <w:tcW w:type="dxa" w:w="2351"/>
          </w:tcPr>
          <w:p>
            <w:r>
              <w:t xml:space="preserve"> 2,4</w:t>
            </w:r>
          </w:p>
        </w:tc>
        <w:tc>
          <w:tcPr>
            <w:tcW w:type="dxa" w:w="2351"/>
          </w:tcPr>
          <w:p>
            <w:r>
              <w:t xml:space="preserve">  180</w:t>
            </w:r>
          </w:p>
        </w:tc>
        <w:tc>
          <w:tcPr>
            <w:tcW w:type="dxa" w:w="2351"/>
          </w:tcPr>
          <w:p>
            <w:r>
              <w:t xml:space="preserve"> 54</w:t>
            </w:r>
          </w:p>
        </w:tc>
      </w:tr>
      <w:tr>
        <w:trPr>
          <w:cantSplit/>
        </w:trPr>
        <w:tc>
          <w:tcPr>
            <w:tcW w:type="dxa" w:w="2351"/>
          </w:tcPr>
          <w:p>
            <w:r>
              <w:t>2053</w:t>
            </w:r>
          </w:p>
        </w:tc>
        <w:tc>
          <w:tcPr>
            <w:tcW w:type="dxa" w:w="2351"/>
          </w:tcPr>
          <w:p>
            <w:r>
              <w:t xml:space="preserve"> 2,0</w:t>
            </w:r>
          </w:p>
        </w:tc>
        <w:tc>
          <w:tcPr>
            <w:tcW w:type="dxa" w:w="2351"/>
          </w:tcPr>
          <w:p>
            <w:r>
              <w:t xml:space="preserve">  150</w:t>
            </w:r>
          </w:p>
        </w:tc>
        <w:tc>
          <w:tcPr>
            <w:tcW w:type="dxa" w:w="2351"/>
          </w:tcPr>
          <w:p>
            <w:r>
              <w:t xml:space="preserve"> 45</w:t>
            </w:r>
          </w:p>
        </w:tc>
      </w:tr>
      <w:tr>
        <w:trPr>
          <w:cantSplit/>
        </w:trPr>
        <w:tc>
          <w:tcPr>
            <w:tcW w:type="dxa" w:w="2351"/>
          </w:tcPr>
          <w:p>
            <w:r>
              <w:t>2054</w:t>
            </w:r>
          </w:p>
        </w:tc>
        <w:tc>
          <w:tcPr>
            <w:tcW w:type="dxa" w:w="2351"/>
          </w:tcPr>
          <w:p>
            <w:r>
              <w:t xml:space="preserve"> 1,6</w:t>
            </w:r>
          </w:p>
        </w:tc>
        <w:tc>
          <w:tcPr>
            <w:tcW w:type="dxa" w:w="2351"/>
          </w:tcPr>
          <w:p>
            <w:r>
              <w:t xml:space="preserve">  120</w:t>
            </w:r>
          </w:p>
        </w:tc>
        <w:tc>
          <w:tcPr>
            <w:tcW w:type="dxa" w:w="2351"/>
          </w:tcPr>
          <w:p>
            <w:r>
              <w:t xml:space="preserve"> 36</w:t>
            </w:r>
          </w:p>
        </w:tc>
      </w:tr>
      <w:tr>
        <w:trPr>
          <w:cantSplit/>
        </w:trPr>
        <w:tc>
          <w:tcPr>
            <w:tcW w:type="dxa" w:w="2351"/>
          </w:tcPr>
          <w:p>
            <w:r>
              <w:t>2055</w:t>
            </w:r>
          </w:p>
        </w:tc>
        <w:tc>
          <w:tcPr>
            <w:tcW w:type="dxa" w:w="2351"/>
          </w:tcPr>
          <w:p>
            <w:r>
              <w:t xml:space="preserve"> 1,2</w:t>
            </w:r>
          </w:p>
        </w:tc>
        <w:tc>
          <w:tcPr>
            <w:tcW w:type="dxa" w:w="2351"/>
          </w:tcPr>
          <w:p>
            <w:r>
              <w:t xml:space="preserve">   90</w:t>
            </w:r>
          </w:p>
        </w:tc>
        <w:tc>
          <w:tcPr>
            <w:tcW w:type="dxa" w:w="2351"/>
          </w:tcPr>
          <w:p>
            <w:r>
              <w:t xml:space="preserve"> 27</w:t>
            </w:r>
          </w:p>
        </w:tc>
      </w:tr>
      <w:tr>
        <w:trPr>
          <w:cantSplit/>
        </w:trPr>
        <w:tc>
          <w:tcPr>
            <w:tcW w:type="dxa" w:w="2351"/>
          </w:tcPr>
          <w:p>
            <w:r>
              <w:t>2056</w:t>
            </w:r>
          </w:p>
        </w:tc>
        <w:tc>
          <w:tcPr>
            <w:tcW w:type="dxa" w:w="2351"/>
          </w:tcPr>
          <w:p>
            <w:r>
              <w:t xml:space="preserve"> 0,8</w:t>
            </w:r>
          </w:p>
        </w:tc>
        <w:tc>
          <w:tcPr>
            <w:tcW w:type="dxa" w:w="2351"/>
          </w:tcPr>
          <w:p>
            <w:r>
              <w:t xml:space="preserve">   60</w:t>
            </w:r>
          </w:p>
        </w:tc>
        <w:tc>
          <w:tcPr>
            <w:tcW w:type="dxa" w:w="2351"/>
          </w:tcPr>
          <w:p>
            <w:r>
              <w:t xml:space="preserve"> 18</w:t>
            </w:r>
          </w:p>
        </w:tc>
      </w:tr>
      <w:tr>
        <w:trPr>
          <w:cantSplit/>
        </w:trPr>
        <w:tc>
          <w:tcPr>
            <w:tcW w:type="dxa" w:w="2351"/>
          </w:tcPr>
          <w:p>
            <w:r>
              <w:t>2057</w:t>
            </w:r>
          </w:p>
        </w:tc>
        <w:tc>
          <w:tcPr>
            <w:tcW w:type="dxa" w:w="2351"/>
          </w:tcPr>
          <w:p>
            <w:r>
              <w:t xml:space="preserve"> 0,4</w:t>
            </w:r>
          </w:p>
        </w:tc>
        <w:tc>
          <w:tcPr>
            <w:tcW w:type="dxa" w:w="2351"/>
          </w:tcPr>
          <w:p>
            <w:r>
              <w:t xml:space="preserve">   30</w:t>
            </w:r>
          </w:p>
        </w:tc>
        <w:tc>
          <w:tcPr>
            <w:tcW w:type="dxa" w:w="2351"/>
          </w:tcPr>
          <w:p>
            <w:r>
              <w:t xml:space="preserve">  9</w:t>
            </w:r>
          </w:p>
        </w:tc>
      </w:tr>
      <w:tr>
        <w:trPr>
          <w:cantSplit/>
        </w:trPr>
        <w:tc>
          <w:tcPr>
            <w:tcW w:type="dxa" w:w="2351"/>
          </w:tcPr>
          <w:p>
            <w:r>
              <w:t>2058</w:t>
            </w:r>
          </w:p>
        </w:tc>
        <w:tc>
          <w:tcPr>
            <w:tcW w:type="dxa" w:w="2351"/>
          </w:tcPr>
          <w:p>
            <w:r>
              <w:t xml:space="preserve"> 0,0</w:t>
            </w:r>
          </w:p>
        </w:tc>
        <w:tc>
          <w:tcPr>
            <w:tcW w:type="dxa" w:w="2351"/>
          </w:tcPr>
          <w:p>
            <w:r>
              <w:t xml:space="preserve">    0</w:t>
            </w:r>
          </w:p>
        </w:tc>
        <w:tc>
          <w:tcPr>
            <w:tcW w:type="dxa" w:w="2351"/>
          </w:tcPr>
          <w:p>
            <w:r>
              <w:t xml:space="preserve">   0</w:t>
            </w:r>
          </w:p>
        </w:tc>
      </w:tr>
    </w:tbl>
    <w:p>
      <w:pPr>
        <w:spacing w:after="0"/>
      </w:pPr>
    </w:p>
    <w:p>
      <w:r>
        <w:rPr>
          <w:rStyle w:val="Satznummer"/>
        </w:rPr>
        <w:t>4</w:t>
      </w:r>
      <w:r>
        <w:t>Bemessungsgrundlage für den Versorgungsfreibetrag ist</w:t>
      </w:r>
    </w:p>
    <w:p>
      <w:pPr>
        <w:tabs>
          <w:tab w:pos="567" w:val="left"/>
        </w:tabs>
        <w:ind w:left="567" w:hanging="567"/>
      </w:pPr>
      <w:r>
        <w:t>a)</w:t>
      </w:r>
      <w:r>
        <w:tab/>
      </w:r>
      <w:r>
        <w:t>bei Versorgungsbeginn vor 2005</w:t>
      </w:r>
    </w:p>
    <w:p>
      <w:pPr>
        <w:ind w:left="567"/>
      </w:pPr>
      <w:r>
        <w:t>das Zwölffache des Versorgungsbezugs für Januar 2005,</w:t>
      </w:r>
    </w:p>
    <w:p>
      <w:pPr>
        <w:tabs>
          <w:tab w:pos="567" w:val="left"/>
        </w:tabs>
        <w:ind w:left="567" w:hanging="567"/>
      </w:pPr>
      <w:r>
        <w:t>b)</w:t>
      </w:r>
      <w:r>
        <w:tab/>
      </w:r>
      <w:r>
        <w:t>bei Versorgungsbeginn ab 2005</w:t>
      </w:r>
    </w:p>
    <w:p>
      <w:pPr>
        <w:ind w:left="567"/>
      </w:pPr>
      <w:r>
        <w:t>das Zwölffache des Versorgungsbezugs für den ersten vollen Monat,</w:t>
      </w:r>
    </w:p>
    <w:p>
      <w:r>
        <w:t xml:space="preserve">jeweils zuzüglich voraussichtlicher Sonderzahlungen im Kalenderjahr, auf die zu diesem Zeitpunkt ein Rechtsanspruch besteht. </w:t>
      </w:r>
      <w:r>
        <w:rPr>
          <w:rStyle w:val="Satznummer"/>
        </w:rPr>
        <w:t>5</w:t>
      </w:r>
      <w:r>
        <w:t xml:space="preserve">Der Zuschlag zum Versorgungsfreibetrag darf nur bis zur Höhe der um den Versorgungsfreibetrag geminderten Bemessungsgrundlage berücksichtigt werden. </w:t>
      </w:r>
      <w:r>
        <w:rPr>
          <w:rStyle w:val="Satznummer"/>
        </w:rPr>
        <w:t>6</w:t>
      </w:r>
      <w:r>
        <w:t xml:space="preserve">Bei mehreren Versorgungsbezügen mit unterschiedlichem Bezugsbeginn bestimmen sich der insgesamt berücksichtigungsfähige Höchstbetrag des Versorgungsfreibetrags und der Zuschlag zum Versorgungsfreibetrag nach dem Jahr des Beginns des ersten Versorgungsbezugs. </w:t>
      </w:r>
      <w:r>
        <w:rPr>
          <w:rStyle w:val="Satznummer"/>
        </w:rPr>
        <w:t>7</w:t>
      </w:r>
      <w:r>
        <w:t xml:space="preserve">Folgt ein Hinterbliebenenbezug einem Versorgungsbezug, bestimmen sich der Prozentsatz, der Höchstbetrag des Versorgungsfreibetrags und der Zuschlag zum Versorgungsfreibetrag für den Hinterbliebenenbezug nach dem Jahr des Beginns des Versorgungsbezugs. </w:t>
      </w:r>
      <w:r>
        <w:rPr>
          <w:rStyle w:val="Satznummer"/>
        </w:rPr>
        <w:t>8</w:t>
      </w:r>
      <w:r>
        <w:t xml:space="preserve">Der nach den Sätzen 3 bis 7 berechnete Versorgungsfreibetrag und Zuschlag zum Versorgungsfreibetrag gelten für die gesamte Laufzeit des Versorgungsbezugs. </w:t>
      </w:r>
      <w:r>
        <w:rPr>
          <w:rStyle w:val="Satznummer"/>
        </w:rPr>
        <w:t>9</w:t>
      </w:r>
      <w:r>
        <w:t xml:space="preserve">Regelmäßige Anpassungen des Versorgungsbezugs führen nicht zu einer Neuberechnung. </w:t>
      </w:r>
      <w:r>
        <w:rPr>
          <w:rStyle w:val="Satznummer"/>
        </w:rPr>
        <w:t>10</w:t>
      </w:r>
      <w:r>
        <w:t xml:space="preserve">Abweichend hiervon sind der Versorgungsfreibetrag und der Zuschlag zum Versorgungsfreibetrag neu zu berechnen, wenn sich der Versorgungsbezug wegen Anwendung von Anrechnungs-, Ruhens-, Erhöhungs- oder Kürzungsregelungen erhöht oder vermindert. </w:t>
      </w:r>
      <w:r>
        <w:rPr>
          <w:rStyle w:val="Satznummer"/>
        </w:rPr>
        <w:t>11</w:t>
      </w:r>
      <w:r>
        <w:t xml:space="preserve">In diesen Fällen sind die Sätze 3 bis 7 mit dem geänderten Versorgungsbezug als Bemessungsgrundlage im Sinne des Satzes 4 anzuwenden; im Kalenderjahr der Änderung sind der höchste Versorgungsfreibetrag und Zuschlag zum Versorgungsfreibetrag maßgebend. </w:t>
      </w:r>
      <w:r>
        <w:rPr>
          <w:rStyle w:val="Satznummer"/>
        </w:rPr>
        <w:t>12</w:t>
      </w:r>
      <w:r>
        <w:t>Für jeden vollen Kalendermonat, für den keine Versorgungsbezüge gezahlt werden, ermäßigen sich der Versorgungsfreibetrag und der Zuschlag zum Versorgungsfreibetrag in diesem Kalenderjahr um je ein Zwölftel.</w:t>
      </w:r>
    </w:p>
    <w:p>
      <w:r>
        <w:t xml:space="preserve">(3) </w:t>
      </w:r>
      <w:r>
        <w:rPr>
          <w:rStyle w:val="Satznummer"/>
        </w:rPr>
        <w:t>1</w:t>
      </w:r>
      <w:r>
        <w:t xml:space="preserve">Die Energiepreispauschale nach dem Versorgungsrechtlichen Energiepreispauschalen-Gewährungsgesetz oder vergleichbare Leistungen zum Ausgleich gestiegener Energiepreise nach Landesrecht sind als Einnahmen nach Absatz 2 zu berücksichtigen. </w:t>
      </w:r>
      <w:r>
        <w:rPr>
          <w:rStyle w:val="Satznummer"/>
        </w:rPr>
        <w:t>2</w:t>
      </w:r>
      <w:r>
        <w:t xml:space="preserve">Sie gelten nicht als Sonderzahlung im Sinne von Absatz 2 Satz 4, jedoch als regelmäßige Anpassung des Versorgungsbezugs im Sinne von Absatz 2 Satz 9. </w:t>
      </w:r>
      <w:r>
        <w:rPr>
          <w:rStyle w:val="Satznummer"/>
        </w:rPr>
        <w:t>3</w:t>
      </w:r>
      <w:r>
        <w:t xml:space="preserve">Im Lohnsteuerabzugsverfahren sind die Energiepreispauschale und vergleichbare Leistungen bei der Berechnung einer Vorsorgepauschale nach § 39b Absatz 2 Satz 5 Nummer 3 Buchstabe b und c nicht zu berücksichtigen. </w:t>
      </w:r>
      <w:r>
        <w:rPr>
          <w:rStyle w:val="Satznummer"/>
        </w:rPr>
        <w:t>4</w:t>
      </w:r>
      <w:r>
        <w:t xml:space="preserve">In den Fällen des Satzes 1 sind die </w:t>
      </w:r>
      <w:hyperlink w:anchor="b8" w:history="1">
        <w:r>
          <w:rPr>
            <w:color w:val="0A3A8C"/>
            <w:u w:val="single"/>
          </w:rPr>
          <w:t xml:space="preserve">§§ 3</w:t>
        </w:r>
      </w:hyperlink>
      <w:r>
        <w:t xml:space="preserve"> und </w:t>
      </w:r>
      <w:hyperlink w:anchor="b95" w:history="1">
        <w:r>
          <w:rPr>
            <w:color w:val="0A3A8C"/>
            <w:u w:val="single"/>
          </w:rPr>
          <w:t xml:space="preserve">24a</w:t>
        </w:r>
      </w:hyperlink>
      <w:r>
        <w:t xml:space="preserve"> nicht anzuwenden.</w:t>
      </w:r>
    </w:p>
    <w:p>
      <w:pPr>
        <w:pStyle w:val="Heading4"/>
      </w:pPr>
      <w:bookmarkStart w:id="85" w:name="b84"/>
      <w:r>
        <w:t>§ 19a Sondervorschrift für Einkünfte aus nichtselbständiger Arbeit bei Vermögensbeteiligungen</w:t>
      </w:r>
      <w:r>
        <w:t xml:space="preserve"> </w:t>
      </w:r>
      <w:r>
        <w:rPr>
          <w:rStyle w:val="Suchmarke"/>
        </w:rPr>
        <w:t>#19a#</w:t>
      </w:r>
      <w:bookmarkEnd w:id="85"/>
    </w:p>
    <w:p>
      <w:r>
        <w:t xml:space="preserve">(1) </w:t>
      </w:r>
      <w:r>
        <w:rPr>
          <w:rStyle w:val="Satznummer"/>
        </w:rPr>
        <w:t>1</w:t>
      </w:r>
      <w:r>
        <w:t xml:space="preserve">Werden einem Arbeitnehmer von seinem Arbeitgeber oder einem Gesellschafter seines Arbeitgebers zusätzlich zum ohnehin geschuldeten Arbeitslohn Vermögensbeteiligungen im Sinne des § 2 Absatz 1 Nummer 1 Buchstabe a, b und f bis l und Absatz 2 bis 5 des Fünften Vermögensbildungsgesetzes an dem Unternehmen des Arbeitgebers unentgeltlich oder verbilligt übertragen, so unterliegt der Vorteil im Sinne des § 19 Absatz 1 Satz 1 Nummer 1 im Kalenderjahr der Übertragung nicht der Besteuerung. </w:t>
      </w:r>
      <w:r>
        <w:rPr>
          <w:rStyle w:val="Satznummer"/>
        </w:rPr>
        <w:t>2</w:t>
      </w:r>
      <w:r>
        <w:t xml:space="preserve">Dies gilt auch, wenn die Vermögensbeteiligungen mittelbar über Personengesellschaften gehalten werden. </w:t>
      </w:r>
      <w:r>
        <w:rPr>
          <w:rStyle w:val="Satznummer"/>
        </w:rPr>
        <w:t>3</w:t>
      </w:r>
      <w:r>
        <w:t xml:space="preserve">Als Unternehmen des Arbeitgebers im Sinne des Satzes 1 gilt auch ein Unternehmen im Sinne des § 18 des Aktiengesetzes, wenn die Schwellenwerte des Absatzes 3 in Bezug auf die Gesamtheit aller Konzernunternehmen nicht überschritten werden und die Gründung keines Konzernunternehmens mehr als 20 Jahre zurückliegt. </w:t>
      </w:r>
      <w:r>
        <w:rPr>
          <w:rStyle w:val="Satznummer"/>
        </w:rPr>
        <w:t>4</w:t>
      </w:r>
      <w:r>
        <w:t xml:space="preserve">Ein Vorteil im Sinne des Satzes 1 gilt in diesem Fall auch dann als zugeflossen, wenn es dem Arbeitnehmer rechtlich unmöglich ist, über die Vermögensbeteiligung zu verfügen. </w:t>
      </w:r>
      <w:r>
        <w:rPr>
          <w:rStyle w:val="Satznummer"/>
        </w:rPr>
        <w:t>5</w:t>
      </w:r>
      <w:r>
        <w:t xml:space="preserve">Bei der Ermittlung des Vorteils im Sinne des Satzes 1 ist der Freibetrag nach </w:t>
      </w:r>
      <w:hyperlink w:anchor="b8" w:history="1">
        <w:r>
          <w:rPr>
            <w:color w:val="0A3A8C"/>
            <w:u w:val="single"/>
          </w:rPr>
          <w:t xml:space="preserve">§ 3</w:t>
        </w:r>
      </w:hyperlink>
      <w:r>
        <w:t xml:space="preserve"> Nummer 39 abzuziehen, wenn die Voraussetzungen vorliegen. </w:t>
      </w:r>
      <w:r>
        <w:rPr>
          <w:rStyle w:val="Satznummer"/>
        </w:rPr>
        <w:t>6</w:t>
      </w:r>
      <w:r>
        <w:t>Ein nicht besteuerter Vorteil im Sinne des Satzes 1 ist bei der Berechnung der Vorsorgepauschale (</w:t>
      </w:r>
      <w:hyperlink w:anchor="b149" w:history="1">
        <w:r>
          <w:rPr>
            <w:color w:val="0A3A8C"/>
            <w:u w:val="single"/>
          </w:rPr>
          <w:t xml:space="preserve">§ 39b</w:t>
        </w:r>
      </w:hyperlink>
      <w:r>
        <w:t xml:space="preserve"> Absatz 2 Satz 5 Nummer 3) einzubeziehen. </w:t>
      </w:r>
      <w:r>
        <w:rPr>
          <w:rStyle w:val="Satznummer"/>
        </w:rPr>
        <w:t>7</w:t>
      </w:r>
      <w:r>
        <w:t>Die Anschaffungskosten sind mit dem gemeinen Wert der Vermögensbeteiligung anzusetzen.</w:t>
      </w:r>
    </w:p>
    <w:p>
      <w:r>
        <w:t xml:space="preserve">(2) </w:t>
      </w:r>
      <w:r>
        <w:rPr>
          <w:rStyle w:val="Satznummer"/>
        </w:rPr>
        <w:t>1</w:t>
      </w:r>
      <w:r>
        <w:t xml:space="preserve">Die vorläufige Nichtbesteuerung nach Absatz 1 kann im Lohnsteuerabzugsverfahren nur mit Zustimmung des Arbeitnehmers angewendet werden. </w:t>
      </w:r>
      <w:r>
        <w:rPr>
          <w:rStyle w:val="Satznummer"/>
        </w:rPr>
        <w:t>2</w:t>
      </w:r>
      <w:r>
        <w:t>Eine Nachholung der vorläufigen Nichtbesteuerung im Rahmen der Veranlagung zur Einkommensteuer ist ausgeschlossen.</w:t>
      </w:r>
    </w:p>
    <w:p>
      <w:r>
        <w:t xml:space="preserve">(3) </w:t>
      </w:r>
      <w:r>
        <w:rPr>
          <w:rStyle w:val="Satznummer"/>
        </w:rPr>
        <w:t>1</w:t>
      </w:r>
      <w:r>
        <w:t xml:space="preserve">Absatz 1 ist nur anzuwenden, wenn das Unternehmen des Arbeitgebers im Zeitpunkt der Übertragung der Vermögensbeteiligung betreffend den Jahresumsatz und die Jahresbilanzsumme das Doppelte und betreffend die Anzahl der beschäftigten Personen das Vierfache der in Artikel 2 Absatz 1 des Anhangs der Empfehlung der Kommission vom 6. Mai 2003 betreffend die Definition der Kleinstunternehmen sowie der kleinen und mittleren Unternehmen (ABl. L 124 vom 20.5.2003, S. 36) in der jeweils geltenden Fassung genannten Schwellenwerte nicht überschreitet oder in einem der sechs vorangegangenen Kalenderjahre nicht überschritten hat und seine Gründung nicht mehr als 20 Jahre zurückliegt. </w:t>
      </w:r>
      <w:r>
        <w:rPr>
          <w:rStyle w:val="Satznummer"/>
        </w:rPr>
        <w:t>2</w:t>
      </w:r>
      <w:r>
        <w:t>Die Ermittlung der Schwellenwerte nach Satz 1 erfolgt gemäß der Artikel 4 und 5 des Anhangs der Empfehlung.</w:t>
      </w:r>
    </w:p>
    <w:p>
      <w:r>
        <w:t xml:space="preserve">(4) </w:t>
      </w:r>
      <w:r>
        <w:rPr>
          <w:rStyle w:val="Satznummer"/>
        </w:rPr>
        <w:t>1</w:t>
      </w:r>
      <w:r>
        <w:t xml:space="preserve">Der nach Absatz 1 nicht besteuerte Arbeitslohn unterliegt erst dann der Besteuerung nach </w:t>
      </w:r>
      <w:hyperlink w:anchor="b83" w:history="1">
        <w:r>
          <w:rPr>
            <w:color w:val="0A3A8C"/>
            <w:u w:val="single"/>
          </w:rPr>
          <w:t xml:space="preserve">§ 19</w:t>
        </w:r>
      </w:hyperlink>
      <w:r>
        <w:t xml:space="preserve"> und dem Lohnsteuerabzug als sonstiger Bezug, wenn</w:t>
      </w:r>
    </w:p>
    <w:p>
      <w:pPr>
        <w:tabs>
          <w:tab w:pos="567" w:val="left"/>
        </w:tabs>
        <w:ind w:left="567" w:hanging="567"/>
      </w:pPr>
      <w:r>
        <w:t>1.</w:t>
      </w:r>
      <w:r>
        <w:tab/>
      </w:r>
      <w:r>
        <w:t xml:space="preserve">die Vermögensbeteiligung ganz oder teilweise entgeltlich oder unentgeltlich übertragen wird, insbesondere auch in den Fällen des </w:t>
      </w:r>
      <w:hyperlink w:anchor="b79" w:history="1">
        <w:r>
          <w:rPr>
            <w:color w:val="0A3A8C"/>
            <w:u w:val="single"/>
          </w:rPr>
          <w:t xml:space="preserve">§ 17</w:t>
        </w:r>
      </w:hyperlink>
      <w:r>
        <w:t xml:space="preserve"> Absatz 4 und des </w:t>
      </w:r>
      <w:hyperlink w:anchor="b86" w:history="1">
        <w:r>
          <w:rPr>
            <w:color w:val="0A3A8C"/>
            <w:u w:val="single"/>
          </w:rPr>
          <w:t xml:space="preserve">§ 20</w:t>
        </w:r>
      </w:hyperlink>
      <w:r>
        <w:t xml:space="preserve"> Absatz 2 Satz 2 oder bei Einlagen in ein Betriebsvermögen,</w:t>
      </w:r>
    </w:p>
    <w:p>
      <w:pPr>
        <w:tabs>
          <w:tab w:pos="567" w:val="left"/>
        </w:tabs>
        <w:ind w:left="567" w:hanging="567"/>
      </w:pPr>
      <w:r>
        <w:t>2.</w:t>
      </w:r>
      <w:r>
        <w:tab/>
      </w:r>
      <w:r>
        <w:t>seit der Übertragung der Vermögensbeteiligung 15 Jahre vergangen sind oder</w:t>
      </w:r>
    </w:p>
    <w:p>
      <w:pPr>
        <w:tabs>
          <w:tab w:pos="567" w:val="left"/>
        </w:tabs>
        <w:ind w:left="567" w:hanging="567"/>
      </w:pPr>
      <w:r>
        <w:t>3.</w:t>
      </w:r>
      <w:r>
        <w:tab/>
      </w:r>
      <w:r>
        <w:t xml:space="preserve">das Dienstverhältnis zu dem bisherigen Arbeitgeber beendet wird. </w:t>
      </w:r>
      <w:r>
        <w:rPr>
          <w:rStyle w:val="Satznummer"/>
        </w:rPr>
        <w:t>2</w:t>
      </w:r>
      <w:r>
        <w:t>Übernimmt der Arbeitgeber in diesem Fall die Lohnsteuer, ist der übernommene Abzugsbetrag nicht Teil des zu besteuernden Arbeitslohns.</w:t>
      </w:r>
    </w:p>
    <w:p>
      <w:r>
        <w:rPr>
          <w:rStyle w:val="Satznummer"/>
        </w:rPr>
        <w:t>2</w:t>
      </w:r>
      <w:r>
        <w:t xml:space="preserve">In den Fällen des Satzes 1 ist für die zu besteuernden Arbeitslöhne </w:t>
      </w:r>
      <w:hyperlink w:anchor="b115" w:history="1">
        <w:r>
          <w:rPr>
            <w:color w:val="0A3A8C"/>
            <w:u w:val="single"/>
          </w:rPr>
          <w:t xml:space="preserve">§ 34</w:t>
        </w:r>
      </w:hyperlink>
      <w:r>
        <w:t xml:space="preserve"> Absatz 1 entsprechend anzuwenden, wenn seit der Übertragung der Vermögensbeteiligung mindestens drei Jahre vergangen sind. </w:t>
      </w:r>
      <w:r>
        <w:rPr>
          <w:rStyle w:val="Satznummer"/>
        </w:rPr>
        <w:t>3</w:t>
      </w:r>
      <w:r>
        <w:t>Die nach Satz 1 zu besteuernden Arbeitslöhne sind bei der Berechnung der Vorsorgepauschale (</w:t>
      </w:r>
      <w:hyperlink w:anchor="b149" w:history="1">
        <w:r>
          <w:rPr>
            <w:color w:val="0A3A8C"/>
            <w:u w:val="single"/>
          </w:rPr>
          <w:t xml:space="preserve">§ 39b</w:t>
        </w:r>
      </w:hyperlink>
      <w:r>
        <w:t xml:space="preserve"> Absatz 2 Satz 5 Nummer 3) nicht einzubeziehen. </w:t>
      </w:r>
      <w:r>
        <w:rPr>
          <w:rStyle w:val="Satznummer"/>
        </w:rPr>
        <w:t>4</w:t>
      </w:r>
      <w:r>
        <w:t xml:space="preserve">Ist in den Fällen des Satzes 1 der gemeine Wert der Vermögensbeteiligung abzüglich geleisteter Zuzahlungen des Arbeitnehmers bei der verbilligten Übertragung niedriger als der nach Absatz 1 nicht besteuerte Arbeitslohn, so unterliegt nur der gemeine Wert der Vermögensbeteiligung abzüglich geleisteter Zuzahlungen der Besteuerung; in den Fällen des Satzes 1 Nummer 3 tritt bei einem Rückerwerb der Vermögensbeteiligung durch den Arbeitgeber, einen Gesellschafter des Arbeitgebers oder ein Unternehmen im Sinne des § 18 des Aktiengesetzes an die Stelle des gemeinen Werts die vom Arbeitgeber gewährte Vergütung. </w:t>
      </w:r>
      <w:r>
        <w:rPr>
          <w:rStyle w:val="Satznummer"/>
        </w:rPr>
        <w:t>5</w:t>
      </w:r>
      <w:r>
        <w:t xml:space="preserve">In den Fällen des Satzes 4 gilt neben den geleisteten Zuzahlungen nur der tatsächlich besteuerte Arbeitslohn als Anschaffungskosten im Sinne der </w:t>
      </w:r>
      <w:hyperlink w:anchor="b79" w:history="1">
        <w:r>
          <w:rPr>
            <w:color w:val="0A3A8C"/>
            <w:u w:val="single"/>
          </w:rPr>
          <w:t xml:space="preserve">§§ 17</w:t>
        </w:r>
      </w:hyperlink>
      <w:r>
        <w:t xml:space="preserve"> und </w:t>
      </w:r>
      <w:hyperlink w:anchor="b86" w:history="1">
        <w:r>
          <w:rPr>
            <w:color w:val="0A3A8C"/>
            <w:u w:val="single"/>
          </w:rPr>
          <w:t xml:space="preserve">20</w:t>
        </w:r>
      </w:hyperlink>
      <w:r>
        <w:t xml:space="preserve">. </w:t>
      </w:r>
      <w:r>
        <w:rPr>
          <w:rStyle w:val="Satznummer"/>
        </w:rPr>
        <w:t>6</w:t>
      </w:r>
      <w:r>
        <w:t>Die Sätze 4 und 5 sind nicht anzuwenden, soweit die Wertminderung nicht betrieblich veranlasst ist oder diese auf einer gesellschaftsrechtlichen Maßnahme, insbesondere einer Ausschüttung oder Einlagerückgewähr, beruht.</w:t>
      </w:r>
    </w:p>
    <w:p>
      <w:r>
        <w:t xml:space="preserve">(4a) </w:t>
      </w:r>
      <w:r>
        <w:rPr>
          <w:rStyle w:val="Satznummer"/>
        </w:rPr>
        <w:t>1</w:t>
      </w:r>
      <w:r>
        <w:t>Absatz 4 Satz 1 Nummer 2 und 3 ist nicht anzuwenden, wenn der Arbeitgeber spätestens mit der dem betreffenden Ereignis folgenden Lohnsteuer-Anmeldung unwiderruflich erklärt, bei Eintritt des in Absatz 4 Satz 1 Nummer 1 genannten Ereignisses für die betreffende Lohnsteuer zu haften (</w:t>
      </w:r>
      <w:hyperlink w:anchor="b164" w:history="1">
        <w:r>
          <w:rPr>
            <w:color w:val="0A3A8C"/>
            <w:u w:val="single"/>
          </w:rPr>
          <w:t xml:space="preserve">§ 42d</w:t>
        </w:r>
      </w:hyperlink>
      <w:r>
        <w:t xml:space="preserve">), ohne sich der Haftung durch eine Anzeige nach </w:t>
      </w:r>
      <w:hyperlink w:anchor="b144" w:history="1">
        <w:r>
          <w:rPr>
            <w:color w:val="0A3A8C"/>
            <w:u w:val="single"/>
          </w:rPr>
          <w:t xml:space="preserve">§ 38</w:t>
        </w:r>
      </w:hyperlink>
      <w:r>
        <w:t xml:space="preserve"> Absatz 4 Satz 2 in Verbindung mit </w:t>
      </w:r>
      <w:hyperlink w:anchor="b164" w:history="1">
        <w:r>
          <w:rPr>
            <w:color w:val="0A3A8C"/>
            <w:u w:val="single"/>
          </w:rPr>
          <w:t xml:space="preserve">§ 42d</w:t>
        </w:r>
      </w:hyperlink>
      <w:r>
        <w:t xml:space="preserve"> Absatz 2 entziehen zu können. </w:t>
      </w:r>
      <w:r>
        <w:rPr>
          <w:rStyle w:val="Satznummer"/>
        </w:rPr>
        <w:t>2</w:t>
      </w:r>
      <w:r>
        <w:t>Eine Haftungsinanspruchnahme erfordert dann keine weitere Ermessensprüfung mehr.</w:t>
      </w:r>
    </w:p>
    <w:p>
      <w:r>
        <w:t>(5) Das Betriebsstättenfinanzamt hat nach der Übertragung einer Vermögensbeteiligung im Rahmen einer Anrufungsauskunft (</w:t>
      </w:r>
      <w:hyperlink w:anchor="b165" w:history="1">
        <w:r>
          <w:rPr>
            <w:color w:val="0A3A8C"/>
            <w:u w:val="single"/>
          </w:rPr>
          <w:t xml:space="preserve">§ 42e</w:t>
        </w:r>
      </w:hyperlink>
      <w:r>
        <w:t>) den vom Arbeitgeber nicht besteuerten Vorteil im Sinne des Absatzes 1 zu bestätigen.</w:t>
      </w:r>
    </w:p>
    <w:p>
      <w:r>
        <w:t xml:space="preserve">(6) </w:t>
      </w:r>
      <w:r>
        <w:rPr>
          <w:rStyle w:val="Satznummer"/>
        </w:rPr>
        <w:t>1</w:t>
      </w:r>
      <w:r>
        <w:t xml:space="preserve">Der nach Absatz 1 nicht besteuerte gemeine Wert der Vermögensbeteiligung und die übrigen Angaben des nach den vorstehenden Absätzen durchgeführten Besteuerungsverfahrens sind vom Arbeitgeber im Lohnkonto aufzuzeichnen. </w:t>
      </w:r>
      <w:r>
        <w:rPr>
          <w:rStyle w:val="Satznummer"/>
        </w:rPr>
        <w:t>2</w:t>
      </w:r>
      <w:r>
        <w:t xml:space="preserve">Die Aufbewahrungsfrist nach </w:t>
      </w:r>
      <w:hyperlink w:anchor="b157" w:history="1">
        <w:r>
          <w:rPr>
            <w:color w:val="0A3A8C"/>
            <w:u w:val="single"/>
          </w:rPr>
          <w:t xml:space="preserve">§ 41</w:t>
        </w:r>
      </w:hyperlink>
      <w:r>
        <w:t xml:space="preserve"> Absatz 1 Satz 9 endet insoweit nicht vor Ablauf von sechs Jahren nach der Besteuerung im Sinne des Absatzes 4 Satz 1.</w:t>
      </w:r>
    </w:p>
    <w:p>
      <w:pPr>
        <w:pStyle w:val="Heading3"/>
      </w:pPr>
      <w:bookmarkStart w:id="86" w:name="b85"/>
      <w:r>
        <w:t>e) Kapitalvermögen (§ 2 Absatz 1 Satz 1 Nummer 5)</w:t>
      </w:r>
      <w:bookmarkEnd w:id="86"/>
    </w:p>
    <w:p>
      <w:pPr>
        <w:pStyle w:val="Heading4"/>
      </w:pPr>
      <w:bookmarkStart w:id="87" w:name="b86"/>
      <w:r>
        <w:t>§ 20</w:t>
      </w:r>
      <w:r>
        <w:t xml:space="preserve"> </w:t>
      </w:r>
      <w:r>
        <w:rPr>
          <w:rStyle w:val="Suchmarke"/>
        </w:rPr>
        <w:t>#20#</w:t>
      </w:r>
      <w:bookmarkEnd w:id="87"/>
    </w:p>
    <w:p>
      <w:r>
        <w:t>(1) Zu den Einkünften aus Kapitalvermögen gehören</w:t>
      </w:r>
    </w:p>
    <w:p>
      <w:pPr>
        <w:tabs>
          <w:tab w:pos="567" w:val="left"/>
        </w:tabs>
        <w:ind w:left="567" w:hanging="567"/>
      </w:pPr>
      <w:r>
        <w:t>1.</w:t>
      </w:r>
      <w:r>
        <w:tab/>
      </w:r>
      <w:r>
        <w:t xml:space="preserve">Gewinnanteile (Dividenden) und sonstige Bezüge aus Aktien, Genussrechten, mit denen das Recht am Gewinn und Liquidationserlös einer Kapitalgesellschaft verbunden ist, aus Anteilen an Gesellschaften mit beschränkter Haftung, an Genossenschaften sowie an einer optierenden Gesellschaft im Sinne des § 1a des Körperschaftsteuergesetzes. </w:t>
      </w:r>
      <w:r>
        <w:rPr>
          <w:rStyle w:val="Satznummer"/>
        </w:rPr>
        <w:t>2</w:t>
      </w:r>
      <w:r>
        <w:t xml:space="preserve">Zu den sonstigen Bezügen gehören auch verdeckte Gewinnausschüttungen. </w:t>
      </w:r>
      <w:r>
        <w:rPr>
          <w:rStyle w:val="Satznummer"/>
        </w:rPr>
        <w:t>3</w:t>
      </w:r>
      <w:r>
        <w:t xml:space="preserve">Die Bezüge gehören nicht zu den Einnahmen, soweit sie aus Ausschüttungen einer Körperschaft stammen, für die Beträge aus dem steuerlichen Einlagekonto im Sinne des § 27 des Körperschaftsteuergesetzes als verwendet gelten. </w:t>
      </w:r>
      <w:r>
        <w:rPr>
          <w:rStyle w:val="Satznummer"/>
        </w:rPr>
        <w:t>4</w:t>
      </w:r>
      <w:r>
        <w:t>Als sonstige Bezüge gelten auch Einnahmen, die anstelle der Bezüge im Sinne des Satzes 1 von einem anderen als dem Anteilseigner nach Absatz 5 bezogen werden, wenn die Aktien mit Dividendenberechtigung erworben, aber ohne Dividendenanspruch geliefert werden;</w:t>
      </w:r>
    </w:p>
    <w:p>
      <w:pPr>
        <w:tabs>
          <w:tab w:pos="567" w:val="left"/>
        </w:tabs>
        <w:ind w:left="567" w:hanging="567"/>
      </w:pPr>
      <w:r>
        <w:t>2.</w:t>
      </w:r>
      <w:r>
        <w:tab/>
      </w:r>
      <w:r>
        <w:t xml:space="preserve">Bezüge, die nach der Auflösung einer Körperschaft oder Personenvereinigung im Sinne der Nummer 1 anfallen und die nicht in der Rückzahlung von Nennkapital bestehen; Nummer 1 Satz 3 gilt entsprechend. </w:t>
      </w:r>
      <w:r>
        <w:rPr>
          <w:rStyle w:val="Satznummer"/>
        </w:rPr>
        <w:t>2</w:t>
      </w:r>
      <w:r>
        <w:t>Gleiches gilt für Bezüge, die auf Grund einer Kapitalherabsetzung oder nach der Auflösung einer unbeschränkt steuerpflichtigen Körperschaft oder Personenvereinigung im Sinne der Nummer 1 anfallen und die als Gewinnausschüttung im Sinne des § 28 Absatz 2 Satz 2 und 4 des Körperschaftsteuergesetzes gelten;</w:t>
      </w:r>
    </w:p>
    <w:p>
      <w:pPr>
        <w:tabs>
          <w:tab w:pos="567" w:val="left"/>
        </w:tabs>
        <w:ind w:left="567" w:hanging="567"/>
      </w:pPr>
      <w:r>
        <w:t>3.</w:t>
      </w:r>
      <w:r>
        <w:tab/>
      </w:r>
      <w:r>
        <w:t>Investmenterträge nach § 16 des Investmentsteuergesetzes;</w:t>
      </w:r>
    </w:p>
    <w:p>
      <w:pPr>
        <w:tabs>
          <w:tab w:pos="567" w:val="left"/>
        </w:tabs>
        <w:ind w:left="567" w:hanging="567"/>
      </w:pPr>
      <w:r>
        <w:t>3a.</w:t>
      </w:r>
      <w:r>
        <w:tab/>
      </w:r>
      <w:r>
        <w:t>Spezial-Investmenterträge nach § 34 des Investmentsteuergesetzes;</w:t>
      </w:r>
    </w:p>
    <w:p>
      <w:pPr>
        <w:tabs>
          <w:tab w:pos="567" w:val="left"/>
        </w:tabs>
        <w:ind w:left="567" w:hanging="567"/>
      </w:pPr>
      <w:r>
        <w:t>4.</w:t>
      </w:r>
      <w:r>
        <w:tab/>
      </w:r>
      <w:r>
        <w:t xml:space="preserve">Einnahmen aus der Beteiligung an einem Handelsgewerbe als stiller Gesellschafter und aus partiarischen Darlehen, es sei denn, dass der Gesellschafter oder Darlehensgeber als Mitunternehmer anzusehen ist. </w:t>
      </w:r>
      <w:r>
        <w:rPr>
          <w:rStyle w:val="Satznummer"/>
        </w:rPr>
        <w:t>2</w:t>
      </w:r>
      <w:r>
        <w:t xml:space="preserve">Auf Anteile des stillen Gesellschafters am Verlust des Betriebes sind </w:t>
      </w:r>
      <w:hyperlink w:anchor="b75" w:history="1">
        <w:r>
          <w:rPr>
            <w:color w:val="0A3A8C"/>
            <w:u w:val="single"/>
          </w:rPr>
          <w:t xml:space="preserve">§ 15</w:t>
        </w:r>
      </w:hyperlink>
      <w:r>
        <w:t xml:space="preserve"> Absatz 4 Satz 6 bis 8 und </w:t>
      </w:r>
      <w:hyperlink w:anchor="b76" w:history="1">
        <w:r>
          <w:rPr>
            <w:color w:val="0A3A8C"/>
            <w:u w:val="single"/>
          </w:rPr>
          <w:t xml:space="preserve">§ 15a</w:t>
        </w:r>
      </w:hyperlink>
      <w:r>
        <w:t xml:space="preserve"> sinngemäß anzuwenden;</w:t>
      </w:r>
    </w:p>
    <w:p>
      <w:pPr>
        <w:tabs>
          <w:tab w:pos="567" w:val="left"/>
        </w:tabs>
        <w:ind w:left="567" w:hanging="567"/>
      </w:pPr>
      <w:r>
        <w:t>5.</w:t>
      </w:r>
      <w:r>
        <w:tab/>
      </w:r>
      <w:r>
        <w:t xml:space="preserve">Zinsen aus Hypotheken und Grundschulden und Renten aus Rentenschulden. </w:t>
      </w:r>
      <w:r>
        <w:rPr>
          <w:rStyle w:val="Satznummer"/>
        </w:rPr>
        <w:t>2</w:t>
      </w:r>
      <w:r>
        <w:t>Bei Tilgungshypotheken und Tilgungsgrundschulden ist nur der Teil der Zahlungen anzusetzen, der als Zins auf den jeweiligen Kapitalrest entfällt;</w:t>
      </w:r>
    </w:p>
    <w:p>
      <w:pPr>
        <w:tabs>
          <w:tab w:pos="567" w:val="left"/>
        </w:tabs>
        <w:ind w:left="567" w:hanging="567"/>
      </w:pPr>
      <w:r>
        <w:t>6.</w:t>
      </w:r>
      <w:r>
        <w:tab/>
      </w:r>
      <w:r>
        <w:t xml:space="preserve">der Unterschiedsbetrag zwischen der Versicherungsleistung und der Summe der auf sie entrichteten Beiträge (Erträge) im Erlebensfall oder bei Rückkauf des Vertrags bei Rentenversicherungen mit Kapitalwahlrecht, soweit nicht die lebenslange Rentenzahlung gewählt und erbracht wird, und bei Kapitalversicherungen mit Sparanteil, wenn der Vertrag nach dem 31. Dezember 2004 abgeschlossen worden ist. </w:t>
      </w:r>
      <w:r>
        <w:rPr>
          <w:rStyle w:val="Satznummer"/>
        </w:rPr>
        <w:t>2</w:t>
      </w:r>
      <w:r>
        <w:t xml:space="preserve">Wird die Versicherungsleistung nach Vollendung des 60. Lebensjahres des Steuerpflichtigen und nach Ablauf von zwölf Jahren seit dem Vertragsabschluss ausgezahlt, ist die Hälfte des Unterschiedsbetrags anzusetzen. </w:t>
      </w:r>
      <w:r>
        <w:rPr>
          <w:rStyle w:val="Satznummer"/>
        </w:rPr>
        <w:t>3</w:t>
      </w:r>
      <w:r>
        <w:t xml:space="preserve">Bei entgeltlichem Erwerb des Anspruchs auf die Versicherungsleistung treten die Anschaffungskosten an die Stelle der vor dem Erwerb entrichteten Beiträge. </w:t>
      </w:r>
      <w:r>
        <w:rPr>
          <w:rStyle w:val="Satznummer"/>
        </w:rPr>
        <w:t>4</w:t>
      </w:r>
      <w:r>
        <w:t xml:space="preserve">Die Sätze 1 bis 3 sind auf Erträge aus fondsgebundenen Lebensversicherungen, auf Erträge im Erlebensfall bei Rentenversicherungen ohne Kapitalwahlrecht, soweit keine lebenslange Rentenzahlung vereinbart und erbracht wird, und auf Erträge bei Rückkauf des Vertrages bei Rentenversicherungen ohne Kapitalwahlrecht entsprechend anzuwenden. </w:t>
      </w:r>
      <w:r>
        <w:rPr>
          <w:rStyle w:val="Satznummer"/>
        </w:rPr>
        <w:t>5</w:t>
      </w:r>
      <w:r>
        <w:t xml:space="preserve">Ist in einem Versicherungsvertrag eine gesonderte Verwaltung von speziell für diesen Vertrag zusammengestellten Kapitalanlagen vereinbart, die nicht auf öffentlich vertriebene Investmentfondsanteile oder Anlagen, die die Entwicklung eines veröffentlichten Indexes abbilden, beschränkt ist, und kann der wirtschaftlich Berechtigte unmittelbar oder mittelbar über die Veräußerung der Vermögensgegenstände und die Wiederanlage der Erlöse bestimmen (vermögensverwaltender Versicherungsvertrag), sind die dem Versicherungsunternehmen zufließenden Erträge dem wirtschaftlich Berechtigten aus dem Versicherungsvertrag zuzurechnen; Sätze 1 bis 4 sind nicht anzuwenden. </w:t>
      </w:r>
      <w:r>
        <w:rPr>
          <w:rStyle w:val="Satznummer"/>
        </w:rPr>
        <w:t>6</w:t>
      </w:r>
      <w:r>
        <w:t>Satz 2 ist nicht anzuwenden, wenn</w:t>
      </w:r>
    </w:p>
    <w:p>
      <w:pPr>
        <w:tabs>
          <w:tab w:pos="1134" w:val="left"/>
        </w:tabs>
        <w:ind w:left="1134" w:hanging="567"/>
      </w:pPr>
      <w:r>
        <w:t>a)</w:t>
      </w:r>
      <w:r>
        <w:tab/>
      </w:r>
      <w:r>
        <w:t>in einem Kapitallebensversicherungsvertrag mit vereinbarter laufender Beitragszahlung in mindestens gleichbleibender Höhe bis zum Zeitpunkt des Erlebensfalls die vereinbarte Leistung bei Eintritt des versicherten Risikos weniger als 50 Prozent der Summe der für die gesamte Vertragsdauer zu zahlenden Beiträge beträgt und</w:t>
      </w:r>
    </w:p>
    <w:p>
      <w:pPr>
        <w:tabs>
          <w:tab w:pos="1134" w:val="left"/>
        </w:tabs>
        <w:ind w:left="1134" w:hanging="567"/>
      </w:pPr>
      <w:r>
        <w:t>b)</w:t>
      </w:r>
      <w:r>
        <w:tab/>
      </w:r>
      <w:r>
        <w:t xml:space="preserve">bei einem Kapitallebensversicherungsvertrag die vereinbarte Leistung bei Eintritt des versicherten Risikos das Deckungskapital oder den Zeitwert der Versicherung spätestens fünf Jahre nach Vertragsabschluss nicht um mindestens 10 Prozent des Deckungskapitals, des Zeitwerts oder der Summe der gezahlten Beiträge übersteigt. </w:t>
      </w:r>
      <w:r>
        <w:rPr>
          <w:rStyle w:val="Satznummer"/>
        </w:rPr>
        <w:t>2</w:t>
      </w:r>
      <w:r>
        <w:t>Dieser Prozentsatz darf bis zum Ende der Vertragslaufzeit in jährlich gleichen Schritten auf Null sinken.</w:t>
      </w:r>
    </w:p>
    <w:p>
      <w:pPr>
        <w:ind w:left="567"/>
      </w:pPr>
      <w:r>
        <w:rPr>
          <w:rStyle w:val="Satznummer"/>
        </w:rPr>
        <w:t>7</w:t>
      </w:r>
      <w:r>
        <w:t xml:space="preserve">Hat der Steuerpflichtige Ansprüche aus einem von einer anderen Person abgeschlossenen Vertrag entgeltlich erworben, gehört zu den Einkünften aus Kapitalvermögen auch der Unterschiedsbetrag zwischen der Versicherungsleistung bei Eintritt eines versicherten Risikos und den Aufwendungen für den Erwerb und Erhalt des Versicherungsanspruches; insoweit findet Satz 2 keine Anwendung. </w:t>
      </w:r>
      <w:r>
        <w:rPr>
          <w:rStyle w:val="Satznummer"/>
        </w:rPr>
        <w:t>8</w:t>
      </w:r>
      <w:r>
        <w:t xml:space="preserve">Satz 7 gilt nicht, wenn die versicherte Person den Versicherungsanspruch von einem Dritten erwirbt oder aus anderen Rechtsverhältnissen entstandene Abfindungs- und Ausgleichsansprüche arbeitsrechtlicher, erbrechtlicher oder familienrechtlicher Art durch Übertragung von Ansprüchen aus Versicherungsverträgen erfüllt werden. </w:t>
      </w:r>
      <w:r>
        <w:rPr>
          <w:rStyle w:val="Satznummer"/>
        </w:rPr>
        <w:t>9</w:t>
      </w:r>
      <w:r>
        <w:t>Bei fondsgebundenen Lebensversicherungen sind 15 Prozent des Unterschiedsbetrages steuerfrei oder dürfen nicht bei der Ermittlung der Einkünfte abgezogen werden, soweit der Unterschiedsbetrag aus Investmenterträgen stammt;</w:t>
      </w:r>
    </w:p>
    <w:p>
      <w:pPr>
        <w:tabs>
          <w:tab w:pos="567" w:val="left"/>
        </w:tabs>
        <w:ind w:left="567" w:hanging="567"/>
      </w:pPr>
      <w:r>
        <w:t>7.</w:t>
      </w:r>
      <w:r>
        <w:tab/>
      </w:r>
      <w:r>
        <w:t xml:space="preserve">Erträge aus sonstigen Kapitalforderungen jeder Art, wenn die Rückzahlung des Kapitalvermögens oder ein Entgelt für die Überlassung des Kapitalvermögens zur Nutzung zugesagt oder geleistet worden ist, auch wenn die Höhe der Rückzahlung oder des Entgelts von einem ungewissen Ereignis abhängt. </w:t>
      </w:r>
      <w:r>
        <w:rPr>
          <w:rStyle w:val="Satznummer"/>
        </w:rPr>
        <w:t>2</w:t>
      </w:r>
      <w:r>
        <w:t xml:space="preserve">Dies gilt unabhängig von der Bezeichnung und der zivilrechtlichen Ausgestaltung der Kapitalanlage. </w:t>
      </w:r>
      <w:r>
        <w:rPr>
          <w:rStyle w:val="Satznummer"/>
        </w:rPr>
        <w:t>3</w:t>
      </w:r>
      <w:r>
        <w:t>Erstattungszinsen im Sinne des § 233a der Abgabenordnung sind Erträge im Sinne des Satzes 1;</w:t>
      </w:r>
    </w:p>
    <w:p>
      <w:pPr>
        <w:tabs>
          <w:tab w:pos="567" w:val="left"/>
        </w:tabs>
        <w:ind w:left="567" w:hanging="567"/>
      </w:pPr>
      <w:r>
        <w:t>8.</w:t>
      </w:r>
      <w:r>
        <w:tab/>
      </w:r>
      <w:r>
        <w:t>Diskontbeträge von Wechseln und Anweisungen einschließlich der Schatzwechsel;</w:t>
      </w:r>
    </w:p>
    <w:p>
      <w:pPr>
        <w:tabs>
          <w:tab w:pos="567" w:val="left"/>
        </w:tabs>
        <w:ind w:left="567" w:hanging="567"/>
      </w:pPr>
      <w:r>
        <w:t>9.</w:t>
      </w:r>
      <w:r>
        <w:tab/>
      </w:r>
      <w:r>
        <w:t xml:space="preserve">Einnahmen aus Leistungen einer nicht von der Körperschaftsteuer befreiten Körperschaft, Personenvereinigung oder Vermögensmasse im Sinne des § 1 Absatz 1 Nummer 3 bis 5 des Körperschaftsteuergesetzes, die Gewinnausschüttungen im Sinne der Nummer 1 wirtschaftlich vergleichbar sind, soweit sie nicht bereits zu den Einnahmen im Sinne der Nummer 1 gehören; Nummer 1 Satz 2, 3 und Nummer 2 gelten entsprechend. </w:t>
      </w:r>
      <w:r>
        <w:rPr>
          <w:rStyle w:val="Satznummer"/>
        </w:rPr>
        <w:t>2</w:t>
      </w:r>
      <w:r>
        <w:t>Satz 1 ist auf Leistungen von vergleichbaren Körperschaften, Personenvereinigungen oder Vermögensmassen, die weder Sitz noch Geschäftsleitung im Inland haben, entsprechend anzuwenden;</w:t>
      </w:r>
    </w:p>
    <w:p>
      <w:pPr>
        <w:tabs>
          <w:tab w:pos="567" w:val="left"/>
        </w:tabs>
        <w:ind w:left="567" w:hanging="567"/>
      </w:pPr>
      <w:r>
        <w:t>10.</w:t>
      </w:r>
      <w:r>
        <w:tab/>
      </w:r>
    </w:p>
    <w:p>
      <w:pPr>
        <w:tabs>
          <w:tab w:pos="1134" w:val="left"/>
        </w:tabs>
        <w:ind w:left="1134" w:hanging="567"/>
      </w:pPr>
      <w:r>
        <w:t>a)</w:t>
      </w:r>
      <w:r>
        <w:tab/>
      </w:r>
      <w:r>
        <w:t>Leistungen eines nicht von der Körperschaftsteuer befreiten Betriebs gewerblicher Art im Sinne des § 4 des Körperschaftsteuergesetzes mit eigener Rechtspersönlichkeit, die zu mit Gewinnausschüttungen im Sinne der Nummer 1 Satz 1 wirtschaftlich vergleichbaren Einnahmen führen; Nummer 1 Satz 2, 3 und Nummer 2 gelten entsprechend;</w:t>
      </w:r>
    </w:p>
    <w:p>
      <w:pPr>
        <w:tabs>
          <w:tab w:pos="1134" w:val="left"/>
        </w:tabs>
        <w:ind w:left="1134" w:hanging="567"/>
      </w:pPr>
      <w:r>
        <w:t>b)</w:t>
      </w:r>
      <w:r>
        <w:tab/>
      </w:r>
      <w:r>
        <w:t xml:space="preserve">der nicht den Rücklagen zugeführte Gewinn und verdeckte Gewinnausschüttungen eines nicht von der Körperschaftsteuer befreiten Betriebs gewerblicher Art im Sinne des § 4 des Körperschaftsteuergesetzes ohne eigene Rechtspersönlichkeit, der den Gewinn durch Betriebsvermögensvergleich ermittelt oder Umsätze einschließlich der steuerfreien Umsätze, ausgenommen die Umsätze nach § 4 Nummer 8 bis 10 des Umsatzsteuergesetzes, von mehr als 350 000 Euro im Kalenderjahr oder einen Gewinn von mehr als 30 000 Euro im Wirtschaftsjahr hat, sowie der Gewinn im Sinne des § 22 Absatz 4 des Umwandlungssteuergesetzes. </w:t>
      </w:r>
      <w:r>
        <w:rPr>
          <w:rStyle w:val="Satznummer"/>
        </w:rPr>
        <w:t>2</w:t>
      </w:r>
      <w:r>
        <w:t xml:space="preserve">Die Auflösung der Rücklagen zu Zwecken außerhalb des Betriebs gewerblicher Art führt zu einem Gewinn im Sinne des Satzes 1; in Fällen der Einbringung nach dem Sechsten und des Formwechsels nach dem Achten Teil des Umwandlungssteuergesetzes gelten die Rücklagen als aufgelöst. </w:t>
      </w:r>
      <w:r>
        <w:rPr>
          <w:rStyle w:val="Satznummer"/>
        </w:rPr>
        <w:t>3</w:t>
      </w:r>
      <w:r>
        <w:t xml:space="preserve">Bei dem Geschäft der Veranstaltung von Werbesendungen der inländischen öffentlich-rechtlichen Rundfunkanstalten gelten drei Viertel des Einkommens im Sinne des § 8 Absatz 1 Satz 3 des Körperschaftsteuergesetzes als Gewinn im Sinne des Satzes 1. </w:t>
      </w:r>
      <w:r>
        <w:rPr>
          <w:rStyle w:val="Satznummer"/>
        </w:rPr>
        <w:t>4</w:t>
      </w:r>
      <w:r>
        <w:t xml:space="preserve">Die Sätze 1 und 2 sind bei wirtschaftlichen Geschäftsbetrieben der von der Körperschaftsteuer befreiten Körperschaften, Personenvereinigungen oder Vermögensmassen entsprechend anzuwenden. </w:t>
      </w:r>
      <w:r>
        <w:rPr>
          <w:rStyle w:val="Satznummer"/>
        </w:rPr>
        <w:t>5</w:t>
      </w:r>
      <w:r>
        <w:t>Nummer 1 Satz 3 gilt entsprechend.</w:t>
      </w:r>
    </w:p>
    <w:p>
      <w:pPr>
        <w:tabs>
          <w:tab w:pos="567" w:val="left"/>
        </w:tabs>
        <w:ind w:left="567" w:hanging="567"/>
      </w:pPr>
      <w:r>
        <w:t>11.</w:t>
      </w:r>
      <w:r>
        <w:tab/>
      </w:r>
      <w:r>
        <w:t>Stillhalterprämien, die für die Einräumung von Optionen vereinnahmt werden; schließt der Stillhalter ein Glattstellungsgeschäft ab, sind die im Glattstellungsgeschäft gezahlten Prämien zum Zeitpunkt der Zahlung als negative Einnahmen zu berücksichtigen.</w:t>
      </w:r>
    </w:p>
    <w:p>
      <w:r>
        <w:t xml:space="preserve">(2) </w:t>
      </w:r>
      <w:r>
        <w:rPr>
          <w:rStyle w:val="Satznummer"/>
        </w:rPr>
        <w:t>1</w:t>
      </w:r>
      <w:r>
        <w:t>Zu den Einkünften aus Kapitalvermögen gehören auch</w:t>
      </w:r>
    </w:p>
    <w:p>
      <w:pPr>
        <w:tabs>
          <w:tab w:pos="567" w:val="left"/>
        </w:tabs>
        <w:ind w:left="567" w:hanging="567"/>
      </w:pPr>
      <w:r>
        <w:t>1.</w:t>
      </w:r>
      <w:r>
        <w:tab/>
      </w:r>
      <w:r>
        <w:t xml:space="preserve">der Gewinn aus der Veräußerung von Anteilen an einer Körperschaft im Sinne des Absatzes 1 Nummer 1. </w:t>
      </w:r>
      <w:r>
        <w:rPr>
          <w:rStyle w:val="Satznummer"/>
        </w:rPr>
        <w:t>2</w:t>
      </w:r>
      <w:r>
        <w:t>Anteile an einer Körperschaft sind auch Genussrechte im Sinne des Absatzes 1 Nummer 1, den Anteilen im Sinne des Absatzes 1 Nummer 1 ähnliche Beteiligungen und Anwartschaften auf Anteile im Sinne des Absatzes 1 Nummer 1;</w:t>
      </w:r>
    </w:p>
    <w:p>
      <w:pPr>
        <w:tabs>
          <w:tab w:pos="567" w:val="left"/>
        </w:tabs>
        <w:ind w:left="567" w:hanging="567"/>
      </w:pPr>
      <w:r>
        <w:t>2.</w:t>
      </w:r>
      <w:r>
        <w:tab/>
      </w:r>
      <w:r>
        <w:t>der Gewinn aus der Veräußerung</w:t>
      </w:r>
    </w:p>
    <w:p>
      <w:pPr>
        <w:tabs>
          <w:tab w:pos="1134" w:val="left"/>
        </w:tabs>
        <w:ind w:left="1134" w:hanging="567"/>
      </w:pPr>
      <w:r>
        <w:t>a)</w:t>
      </w:r>
      <w:r>
        <w:tab/>
      </w:r>
      <w:r>
        <w:t xml:space="preserve">von Dividendenscheinen und sonstigen Ansprüchen durch den Inhaber des Stammrechts, wenn die dazugehörigen Aktien oder sonstigen Anteile nicht mitveräußert werden. </w:t>
      </w:r>
      <w:r>
        <w:rPr>
          <w:rStyle w:val="Satznummer"/>
        </w:rPr>
        <w:t>2</w:t>
      </w:r>
      <w:r>
        <w:t>Soweit eine Besteuerung nach Satz 1 erfolgt ist, tritt diese insoweit an die Stelle der Besteuerung nach Absatz 1;</w:t>
      </w:r>
    </w:p>
    <w:p>
      <w:pPr>
        <w:tabs>
          <w:tab w:pos="1134" w:val="left"/>
        </w:tabs>
        <w:ind w:left="1134" w:hanging="567"/>
      </w:pPr>
      <w:r>
        <w:t>b)</w:t>
      </w:r>
      <w:r>
        <w:tab/>
      </w:r>
      <w:r>
        <w:t xml:space="preserve">von Zinsscheinen und Zinsforderungen durch den Inhaber oder ehemaligen Inhaber der Schuldverschreibung, wenn die dazugehörigen Schuldverschreibungen nicht mitveräußert werden. </w:t>
      </w:r>
      <w:r>
        <w:rPr>
          <w:rStyle w:val="Satznummer"/>
        </w:rPr>
        <w:t>2</w:t>
      </w:r>
      <w:r>
        <w:t>Entsprechendes gilt für die Einlösung von Zinsscheinen und Zinsforderungen durch den ehemaligen Inhaber der Schuldverschreibung.</w:t>
      </w:r>
    </w:p>
    <w:p>
      <w:pPr>
        <w:ind w:left="567"/>
      </w:pPr>
      <w:r>
        <w:rPr>
          <w:rStyle w:val="Satznummer"/>
        </w:rPr>
        <w:t>2</w:t>
      </w:r>
      <w:r>
        <w:t xml:space="preserve">Satz 1 gilt sinngemäß für die Einnahmen aus der Abtretung von Dividenden- oder Zinsansprüchen oder sonstigen Ansprüchen im Sinne des Satzes 1, wenn die dazugehörigen Anteilsrechte oder Schuldverschreibungen nicht in einzelnen Wertpapieren verbrieft sind. </w:t>
      </w:r>
      <w:r>
        <w:rPr>
          <w:rStyle w:val="Satznummer"/>
        </w:rPr>
        <w:t>3</w:t>
      </w:r>
      <w:r>
        <w:t>Satz 2 gilt auch bei der Abtretung von Zinsansprüchen aus Schuldbuchforderungen, die in ein öffentliches Schuldbuch eingetragen sind;</w:t>
      </w:r>
    </w:p>
    <w:p>
      <w:pPr>
        <w:tabs>
          <w:tab w:pos="567" w:val="left"/>
        </w:tabs>
        <w:ind w:left="567" w:hanging="567"/>
      </w:pPr>
      <w:r>
        <w:t>3.</w:t>
      </w:r>
      <w:r>
        <w:tab/>
      </w:r>
      <w:r>
        <w:t>der Gewinn</w:t>
      </w:r>
    </w:p>
    <w:p>
      <w:pPr>
        <w:tabs>
          <w:tab w:pos="1134" w:val="left"/>
        </w:tabs>
        <w:ind w:left="1134" w:hanging="567"/>
      </w:pPr>
      <w:r>
        <w:t>a)</w:t>
      </w:r>
      <w:r>
        <w:tab/>
      </w:r>
      <w:r>
        <w:t>bei Termingeschäften, durch die der Steuerpflichtige einen Differenzausgleich oder einen durch den Wert einer veränderlichen Bezugsgröße bestimmten Geldbetrag oder Vorteil erlangt;</w:t>
      </w:r>
    </w:p>
    <w:p>
      <w:pPr>
        <w:tabs>
          <w:tab w:pos="1134" w:val="left"/>
        </w:tabs>
        <w:ind w:left="1134" w:hanging="567"/>
      </w:pPr>
      <w:r>
        <w:t>b)</w:t>
      </w:r>
      <w:r>
        <w:tab/>
      </w:r>
      <w:r>
        <w:t>aus der Veräußerung eines als Termingeschäft ausgestalteten Finanzinstruments;</w:t>
      </w:r>
    </w:p>
    <w:p>
      <w:pPr>
        <w:tabs>
          <w:tab w:pos="567" w:val="left"/>
        </w:tabs>
        <w:ind w:left="567" w:hanging="567"/>
      </w:pPr>
      <w:r>
        <w:t>4.</w:t>
      </w:r>
      <w:r>
        <w:tab/>
      </w:r>
      <w:r>
        <w:t>der Gewinn aus der Veräußerung von Wirtschaftsgütern, die Erträge im Sinne des Absatzes 1 Nummer 4 erzielen;</w:t>
      </w:r>
    </w:p>
    <w:p>
      <w:pPr>
        <w:tabs>
          <w:tab w:pos="567" w:val="left"/>
        </w:tabs>
        <w:ind w:left="567" w:hanging="567"/>
      </w:pPr>
      <w:r>
        <w:t>5.</w:t>
      </w:r>
      <w:r>
        <w:tab/>
      </w:r>
      <w:r>
        <w:t>der Gewinn aus der Übertragung von Rechten im Sinne des Absatzes 1 Nummer 5;</w:t>
      </w:r>
    </w:p>
    <w:p>
      <w:pPr>
        <w:tabs>
          <w:tab w:pos="567" w:val="left"/>
        </w:tabs>
        <w:ind w:left="567" w:hanging="567"/>
      </w:pPr>
      <w:r>
        <w:t>6.</w:t>
      </w:r>
      <w:r>
        <w:tab/>
      </w:r>
      <w:r>
        <w:t xml:space="preserve">der Gewinn aus der Veräußerung von Ansprüchen auf eine Versicherungsleistung im Sinne des Absatzes 1 Nummer 6. </w:t>
      </w:r>
      <w:r>
        <w:rPr>
          <w:rStyle w:val="Satznummer"/>
        </w:rPr>
        <w:t>2</w:t>
      </w:r>
      <w:r>
        <w:t>Das Versicherungsunternehmen hat nach Kenntniserlangung von einer Veräußerung unverzüglich Mitteilung an das für den Steuerpflichtigen zuständige Finanzamt zu machen und auf Verlangen des Steuerpflichtigen eine Bescheinigung über die Höhe der entrichteten Beiträge im Zeitpunkt der Veräußerung zu erteilen;</w:t>
      </w:r>
    </w:p>
    <w:p>
      <w:pPr>
        <w:tabs>
          <w:tab w:pos="567" w:val="left"/>
        </w:tabs>
        <w:ind w:left="567" w:hanging="567"/>
      </w:pPr>
      <w:r>
        <w:t>7.</w:t>
      </w:r>
      <w:r>
        <w:tab/>
      </w:r>
      <w:r>
        <w:t>der Gewinn aus der Veräußerung von sonstigen Kapitalforderungen jeder Art im Sinne des Absatzes 1 Nummer 7;</w:t>
      </w:r>
    </w:p>
    <w:p>
      <w:pPr>
        <w:tabs>
          <w:tab w:pos="567" w:val="left"/>
        </w:tabs>
        <w:ind w:left="567" w:hanging="567"/>
      </w:pPr>
      <w:r>
        <w:t>8.</w:t>
      </w:r>
      <w:r>
        <w:tab/>
      </w:r>
      <w:r>
        <w:t>der Gewinn aus der Übertragung oder Aufgabe einer die Einnahmen im Sinne des Absatzes 1 Nummer 9 vermittelnden Rechtsposition.</w:t>
      </w:r>
    </w:p>
    <w:p>
      <w:r>
        <w:rPr>
          <w:rStyle w:val="Satznummer"/>
        </w:rPr>
        <w:t>2</w:t>
      </w:r>
      <w:r>
        <w:t xml:space="preserve">Als Veräußerung im Sinne des Satzes 1 gilt auch die Einlösung, Rückzahlung, Abtretung oder verdeckte Einlage in eine Kapitalgesellschaft; in den Fällen von Satz 1 Nummer 4 gilt auch die Vereinnahmung eines Auseinandersetzungsguthabens als Veräußerung. </w:t>
      </w:r>
      <w:r>
        <w:rPr>
          <w:rStyle w:val="Satznummer"/>
        </w:rPr>
        <w:t>3</w:t>
      </w:r>
      <w:r>
        <w:t xml:space="preserve">Die Anschaffung oder Veräußerung einer unmittelbaren oder mittelbaren Beteiligung an einer Personengesellschaft gilt als Anschaffung oder Veräußerung der anteiligen Wirtschaftsgüter. </w:t>
      </w:r>
      <w:r>
        <w:rPr>
          <w:rStyle w:val="Satznummer"/>
        </w:rPr>
        <w:t>4</w:t>
      </w:r>
      <w:r>
        <w:t xml:space="preserve">Wird ein Zinsschein oder eine Zinsforderung vom Stammrecht abgetrennt, gilt dies als Veräußerung der Schuldverschreibung und als Anschaffung der durch die Trennung entstandenen Wirtschaftsgüter. </w:t>
      </w:r>
      <w:r>
        <w:rPr>
          <w:rStyle w:val="Satznummer"/>
        </w:rPr>
        <w:t>5</w:t>
      </w:r>
      <w:r>
        <w:t>Eine Trennung gilt als vollzogen, wenn dem Inhaber der Schuldverschreibung die Wertpapierkennnummern für die durch die Trennung entstandenen Wirtschaftsgüter zugehen.</w:t>
      </w:r>
    </w:p>
    <w:p>
      <w:r>
        <w:t xml:space="preserve">(3) </w:t>
      </w:r>
      <w:r>
        <w:rPr>
          <w:rStyle w:val="Satznummer"/>
        </w:rPr>
        <w:t>1</w:t>
      </w:r>
      <w:r>
        <w:t xml:space="preserve">Zu den Einkünften aus Kapitalvermögen gehören auch besondere Entgelte oder Vorteile, die neben den in den Absätzen 1 und 2 bezeichneten Einnahmen oder an deren Stelle gewährt werden. </w:t>
      </w:r>
      <w:r>
        <w:rPr>
          <w:rStyle w:val="Satznummer"/>
        </w:rPr>
        <w:t>2</w:t>
      </w:r>
      <w:r>
        <w:t>Besondere Entgelte oder Vorteile nach Satz 1 liegen auch vor, wenn Bestandsprovisionen, Verwaltungsentgelte oder sonstige Aufwendungen durch den Schuldner der Kapitalerträge nach Absatz 1 oder 2 oder durch einen Dritten erstattet werden.</w:t>
      </w:r>
    </w:p>
    <w:p>
      <w:r>
        <w:t xml:space="preserve">(3a) </w:t>
      </w:r>
      <w:r>
        <w:rPr>
          <w:rStyle w:val="Satznummer"/>
        </w:rPr>
        <w:t>1</w:t>
      </w:r>
      <w:r>
        <w:t xml:space="preserve">Korrekturen im Sinne des </w:t>
      </w:r>
      <w:hyperlink w:anchor="b170" w:history="1">
        <w:r>
          <w:rPr>
            <w:color w:val="0A3A8C"/>
            <w:u w:val="single"/>
          </w:rPr>
          <w:t xml:space="preserve">§ 43a</w:t>
        </w:r>
      </w:hyperlink>
      <w:r>
        <w:t xml:space="preserve"> Absatz 3 Satz 7 sind erst zu dem dort genannten Zeitpunkt zu berücksichtigen. </w:t>
      </w:r>
      <w:r>
        <w:rPr>
          <w:rStyle w:val="Satznummer"/>
        </w:rPr>
        <w:t>2</w:t>
      </w:r>
      <w:r>
        <w:t xml:space="preserve">Weist der Steuerpflichtige durch eine Bescheinigung der auszahlenden Stelle nach, dass sie die Korrektur nicht vorgenommen hat und auch nicht vornehmen wird, kann der Steuerpflichtige die Korrektur nach </w:t>
      </w:r>
      <w:hyperlink w:anchor="b111" w:history="1">
        <w:r>
          <w:rPr>
            <w:color w:val="0A3A8C"/>
            <w:u w:val="single"/>
          </w:rPr>
          <w:t xml:space="preserve">§ 32d</w:t>
        </w:r>
      </w:hyperlink>
      <w:r>
        <w:t xml:space="preserve"> Absatz 4 und 6 geltend machen.</w:t>
      </w:r>
    </w:p>
    <w:p>
      <w:r>
        <w:t xml:space="preserve">(4) </w:t>
      </w:r>
      <w:r>
        <w:rPr>
          <w:rStyle w:val="Satznummer"/>
        </w:rPr>
        <w:t>1</w:t>
      </w:r>
      <w:r>
        <w:t xml:space="preserve">Gewinn im Sinne des Absatzes 2 ist der Unterschied zwischen den Einnahmen aus der Veräußerung nach Abzug der Aufwendungen, die im unmittelbaren sachlichen Zusammenhang mit dem Veräußerungsgeschäft stehen, und den Anschaffungskosten; bei nicht in Euro getätigten Geschäften sind die Einnahmen im Zeitpunkt der Veräußerung und die Anschaffungskosten im Zeitpunkt der Anschaffung in Euro umzurechnen. </w:t>
      </w:r>
      <w:r>
        <w:rPr>
          <w:rStyle w:val="Satznummer"/>
        </w:rPr>
        <w:t>2</w:t>
      </w:r>
      <w:r>
        <w:t xml:space="preserve">In den Fällen der verdeckten Einlage tritt an die Stelle der Einnahmen aus der Veräußerung der Wirtschaftsgüter ihr gemeiner Wert; der Gewinn ist für das Kalenderjahr der verdeckten Einlage anzusetzen. </w:t>
      </w:r>
      <w:r>
        <w:rPr>
          <w:rStyle w:val="Satznummer"/>
        </w:rPr>
        <w:t>3</w:t>
      </w:r>
      <w:r>
        <w:t xml:space="preserve">Ist ein Wirtschaftsgut im Sinne des Absatzes 2 in das Privatvermögen durch Entnahme oder Betriebsaufgabe überführt worden, tritt an die Stelle der Anschaffungskosten der nach </w:t>
      </w:r>
      <w:hyperlink w:anchor="b28" w:history="1">
        <w:r>
          <w:rPr>
            <w:color w:val="0A3A8C"/>
            <w:u w:val="single"/>
          </w:rPr>
          <w:t xml:space="preserve">§ 6</w:t>
        </w:r>
      </w:hyperlink>
      <w:r>
        <w:t xml:space="preserve"> Absatz 1 Nummer 4 oder </w:t>
      </w:r>
      <w:hyperlink w:anchor="b78" w:history="1">
        <w:r>
          <w:rPr>
            <w:color w:val="0A3A8C"/>
            <w:u w:val="single"/>
          </w:rPr>
          <w:t xml:space="preserve">§ 16</w:t>
        </w:r>
      </w:hyperlink>
      <w:r>
        <w:t xml:space="preserve"> Absatz 3 angesetzte Wert. </w:t>
      </w:r>
      <w:r>
        <w:rPr>
          <w:rStyle w:val="Satznummer"/>
        </w:rPr>
        <w:t>4</w:t>
      </w:r>
      <w:r>
        <w:t xml:space="preserve">In den Fällen des Absatzes 2 Satz 1 Nummer 6 gelten die entrichteten Beiträge im Sinne des Absatzes 1 Nummer 6 Satz 1 als Anschaffungskosten; ist ein entgeltlicher Erwerb vorausgegangen, gelten auch die nach dem Erwerb entrichteten Beiträge als Anschaffungskosten. </w:t>
      </w:r>
      <w:r>
        <w:rPr>
          <w:rStyle w:val="Satznummer"/>
        </w:rPr>
        <w:t>5</w:t>
      </w:r>
      <w:r>
        <w:t xml:space="preserve">Gewinn bei einem Termingeschäft ist der Differenzausgleich oder der durch den Wert einer veränderlichen Bezugsgröße bestimmte Geldbetrag oder Vorteil abzüglich der Aufwendungen, die im unmittelbaren sachlichen Zusammenhang mit dem Termingeschäft stehen. </w:t>
      </w:r>
      <w:r>
        <w:rPr>
          <w:rStyle w:val="Satznummer"/>
        </w:rPr>
        <w:t>6</w:t>
      </w:r>
      <w:r>
        <w:t xml:space="preserve">Bei unentgeltlichem Erwerb sind dem Einzelrechtsnachfolger für Zwecke dieser Vorschrift die Anschaffung, die Überführung des Wirtschaftsguts in das Privatvermögen, der Erwerb eines Rechts aus Termingeschäften oder die Beiträge im Sinne des Absatzes 1 Nummer 6 Satz 1 durch den Rechtsvorgänger zuzurechnen. </w:t>
      </w:r>
      <w:r>
        <w:rPr>
          <w:rStyle w:val="Satznummer"/>
        </w:rPr>
        <w:t>7</w:t>
      </w:r>
      <w:r>
        <w:t xml:space="preserve">Bei vertretbaren Wertpapieren, die einem Verwahrer zur Sammelverwahrung im Sinne des § 5 des Depotgesetzes in der Fassung der Bekanntmachung vom 11. Januar 1995 (BGBl. I S. 34), das zuletzt durch Artikel 4 des Gesetzes vom 5. April 2004 (BGBl. I S. 502) geändert worden ist, in der jeweils geltenden Fassung anvertraut worden sind, ist zu unterstellen, dass die zuerst angeschafften Wertpapiere zuerst veräußert wurden. </w:t>
      </w:r>
      <w:r>
        <w:rPr>
          <w:rStyle w:val="Satznummer"/>
        </w:rPr>
        <w:t>8</w:t>
      </w:r>
      <w:r>
        <w:t xml:space="preserve">Ist ein Zinsschein oder eine Zinsforderung vom Stammrecht abgetrennt worden, gilt als Veräußerungserlös der Schuldverschreibung deren gemeiner Wert zum Zeitpunkt der Trennung. </w:t>
      </w:r>
      <w:r>
        <w:rPr>
          <w:rStyle w:val="Satznummer"/>
        </w:rPr>
        <w:t>9</w:t>
      </w:r>
      <w:r>
        <w:t>Für die Ermittlung der Anschaffungskosten ist der Wert nach Satz 8 entsprechend dem gemeinen Wert der neuen Wirtschaftsgüter aufzuteilen.</w:t>
      </w:r>
    </w:p>
    <w:p>
      <w:r>
        <w:t xml:space="preserve">(4a) </w:t>
      </w:r>
      <w:r>
        <w:rPr>
          <w:rStyle w:val="Satznummer"/>
        </w:rPr>
        <w:t>1</w:t>
      </w:r>
      <w:r>
        <w:t xml:space="preserve">Werden Anteile an einer Körperschaft, Vermögensmasse oder Personenvereinigung gegen Anteile an einer anderen Körperschaft, Vermögensmasse oder Personenvereinigung getauscht und wird der Tausch auf Grund gesellschaftsrechtlicher Maßnahmen vollzogen, die von den beteiligten Unternehmen ausgehen, treten abweichend von Absatz 2 Satz 1 und den §§ 13 und 21 des Umwandlungssteuergesetzes die übernommenen Anteile steuerlich an die Stelle der bisherigen Anteile, wenn das Recht der Bundesrepublik Deutschland hinsichtlich der Besteuerung des Gewinns aus der Veräußerung der erhaltenen Anteile nicht ausgeschlossen oder beschränkt ist oder die Mitgliedstaaten der Europäischen Union bei einer Verschmelzung Artikel 8 der Richtlinie 2009/133/EG des Rates vom 19. Oktober 2009 über das gemeinsame Steuersystem für Fusionen, Spaltungen, Abspaltungen, die Einbringung von Unternehmensteilen und den Austausch von Anteilen, die Gesellschaften verschiedener Mitgliedstaaten betreffen, sowie für die Verlegung des Sitzes einer Europäischen Gesellschaft oder einer Europäischen Genossenschaft von einem Mitgliedstaat in einen anderen Mitgliedstaat (ABl. L 310 vom 25.11.2009, S. 34) in der jeweils geltenden Fassung anzuwenden haben; in diesem Fall ist der Gewinn aus einer späteren Veräußerung der erworbenen Anteile ungeachtet der Bestimmungen eines Abkommens zur Vermeidung der Doppelbesteuerung in der gleichen Art und Weise zu besteuern, wie die Veräußerung der Anteile an der übertragenden Körperschaft zu besteuern wäre, und </w:t>
      </w:r>
      <w:hyperlink w:anchor="b75" w:history="1">
        <w:r>
          <w:rPr>
            <w:color w:val="0A3A8C"/>
            <w:u w:val="single"/>
          </w:rPr>
          <w:t xml:space="preserve">§ 15</w:t>
        </w:r>
      </w:hyperlink>
      <w:r>
        <w:t xml:space="preserve"> Absatz 1a Satz 2 entsprechend anzuwenden. </w:t>
      </w:r>
      <w:r>
        <w:rPr>
          <w:rStyle w:val="Satznummer"/>
        </w:rPr>
        <w:t>2</w:t>
      </w:r>
      <w:r>
        <w:t xml:space="preserve">Erhält der Steuerpflichtige in den Fällen des Satzes 1 zusätzlich zu den Anteilen eine Gegenleistung, gilt diese als Ertrag im Sinne des Absatzes 1 Nummer 1. </w:t>
      </w:r>
      <w:r>
        <w:rPr>
          <w:rStyle w:val="Satznummer"/>
        </w:rPr>
        <w:t>3</w:t>
      </w:r>
      <w:r>
        <w:t xml:space="preserve">Besitzt bei sonstigen Kapitalforderungen im Sinne des Absatzes 1 Nummer 7 der Inhaber das Recht, bei Fälligkeit anstelle der Zahlung eines Geldbetrags vom Emittenten die Lieferung von Wertpapieren im Sinne des Absatzes 1 Nummer 1 zu verlangen oder besitzt der Emittent das Recht, bei Fälligkeit dem Inhaber anstelle der Zahlung eines Geldbetrags solche Wertpapiere anzudienen und macht der Inhaber der Forderung oder der Emittent von diesem Recht Gebrauch, ist abweichend von Absatz 4 Satz 1 das Entgelt für den Erwerb der Forderung als Veräußerungspreis der Forderung und als Anschaffungskosten der erhaltenen Wertpapiere anzusetzen; Satz 2 gilt entsprechend. </w:t>
      </w:r>
      <w:r>
        <w:rPr>
          <w:rStyle w:val="Satznummer"/>
        </w:rPr>
        <w:t>4</w:t>
      </w:r>
      <w:r>
        <w:t xml:space="preserve">Werden Bezugsrechte veräußert oder ausgeübt, die nach § 186 des Aktiengesetzes, § 55 des Gesetzes betreffend die Gesellschaften mit beschränkter Haftung oder eines vergleichbaren ausländischen Rechts einen Anspruch auf Abschluss eines Zeichnungsvertrags begründen, wird der Teil der Anschaffungskosten der Altanteile, der auf das Bezugsrecht entfällt, bei der Ermittlung des Gewinns nach Absatz 4 Satz 1 mit 0 Euro angesetzt. </w:t>
      </w:r>
      <w:r>
        <w:rPr>
          <w:rStyle w:val="Satznummer"/>
        </w:rPr>
        <w:t>5</w:t>
      </w:r>
      <w:r>
        <w:t xml:space="preserve">Werden einem Steuerpflichtigen von einer Körperschaft, Personenvereinigung oder Vermögensmasse, die weder Geschäftsleitung noch Sitz im Inland hat, Anteile zugeteilt, ohne dass der Steuerpflichtige eine Gegenleistung zu erbringen hat, sind sowohl der Ertrag als auch die Anschaffungskosten der erhaltenen Anteile mit 0 Euro anzusetzen, wenn die Voraussetzungen der Sätze 3, 4 und 7 nicht vorliegen; die Anschaffungskosten der die Zuteilung begründenden Anteile bleiben unverändert. </w:t>
      </w:r>
      <w:r>
        <w:rPr>
          <w:rStyle w:val="Satznummer"/>
        </w:rPr>
        <w:t>6</w:t>
      </w:r>
      <w:r>
        <w:t xml:space="preserve">Soweit es auf die steuerliche Wirksamkeit einer Kapitalmaßnahme im Sinne der vorstehenden Sätze 1 bis 5 ankommt, ist auf den Zeitpunkt der Einbuchung in das Depot des Steuerpflichtigen abzustellen. </w:t>
      </w:r>
      <w:r>
        <w:rPr>
          <w:rStyle w:val="Satznummer"/>
        </w:rPr>
        <w:t>7</w:t>
      </w:r>
      <w:r>
        <w:t>Geht Vermögen einer Körperschaft durch Abspaltung auf andere Körperschaften über, gelten abweichend von Satz 5 und § 15 des Umwandlungssteuergesetzes die Sätze 1 und 2 entsprechend.</w:t>
      </w:r>
    </w:p>
    <w:p>
      <w:r>
        <w:t xml:space="preserve">(5) </w:t>
      </w:r>
      <w:r>
        <w:rPr>
          <w:rStyle w:val="Satznummer"/>
        </w:rPr>
        <w:t>1</w:t>
      </w:r>
      <w:r>
        <w:t xml:space="preserve">Einkünfte aus Kapitalvermögen im Sinne des Absatzes 1 Nummer 1 und 2 erzielt der Anteilseigner. </w:t>
      </w:r>
      <w:r>
        <w:rPr>
          <w:rStyle w:val="Satznummer"/>
        </w:rPr>
        <w:t>2</w:t>
      </w:r>
      <w:r>
        <w:t xml:space="preserve">Anteilseigner ist derjenige, dem nach § 39 der Abgabenordnung die Anteile an dem Kapitalvermögen im Sinne des Absatzes 1 Nummer 1 im Zeitpunkt des Gewinnverteilungsbeschlusses zuzurechnen sind. </w:t>
      </w:r>
      <w:r>
        <w:rPr>
          <w:rStyle w:val="Satznummer"/>
        </w:rPr>
        <w:t>3</w:t>
      </w:r>
      <w:r>
        <w:t>Sind einem Nießbraucher oder Pfandgläubiger die Einnahmen im Sinne des Absatzes 1 Nummer 1 oder 2 zuzurechnen, gilt er als Anteilseigner.</w:t>
      </w:r>
    </w:p>
    <w:p>
      <w:r>
        <w:t xml:space="preserve">(6) </w:t>
      </w:r>
      <w:r>
        <w:rPr>
          <w:rStyle w:val="Satznummer"/>
        </w:rPr>
        <w:t>1</w:t>
      </w:r>
      <w:r>
        <w:t xml:space="preserve">Verluste aus Kapitalvermögen dürfen nicht mit Einkünften aus anderen Einkunftsarten ausgeglichen werden; sie dürfen auch nicht nach </w:t>
      </w:r>
      <w:hyperlink w:anchor="b55" w:history="1">
        <w:r>
          <w:rPr>
            <w:color w:val="0A3A8C"/>
            <w:u w:val="single"/>
          </w:rPr>
          <w:t xml:space="preserve">§ 10d</w:t>
        </w:r>
      </w:hyperlink>
      <w:r>
        <w:t xml:space="preserve"> abgezogen werden. </w:t>
      </w:r>
      <w:r>
        <w:rPr>
          <w:rStyle w:val="Satznummer"/>
        </w:rPr>
        <w:t>2</w:t>
      </w:r>
      <w:r>
        <w:t xml:space="preserve">Die Verluste mindern jedoch die Einkünfte, die der Steuerpflichtige in den folgenden Veranlagungszeiträumen aus Kapitalvermögen erzielt. </w:t>
      </w:r>
      <w:r>
        <w:rPr>
          <w:rStyle w:val="Satznummer"/>
        </w:rPr>
        <w:t>3</w:t>
      </w:r>
      <w:hyperlink w:anchor="b55" w:history="1">
        <w:r>
          <w:rPr>
            <w:color w:val="0A3A8C"/>
            <w:u w:val="single"/>
          </w:rPr>
          <w:t xml:space="preserve">§ 10d</w:t>
        </w:r>
      </w:hyperlink>
      <w:r>
        <w:t xml:space="preserve"> Absatz 4 ist sinngemäß anzuwenden; im Fall von zusammenveranlagten Ehegatten erfolgt ein gemeinsamer Verlustausgleich vor der Verlustfeststellung. </w:t>
      </w:r>
      <w:r>
        <w:rPr>
          <w:rStyle w:val="Satznummer"/>
        </w:rPr>
        <w:t>4</w:t>
      </w:r>
      <w:r>
        <w:t xml:space="preserve">Verluste aus Kapitalvermögen im Sinne des Absatzes 2 Satz 1 Nummer 1 Satz 1, die aus der Veräußerung von Aktien entstehen, dürfen nur mit Gewinnen aus Kapitalvermögen im Sinne des Absatzes 2 Satz 1 Nummer 1 Satz 1, die aus der Veräußerung von Aktien entstehen, ausgeglichen werden; die Sätze 2 und 3 gelten sinngemäß. </w:t>
      </w:r>
      <w:r>
        <w:rPr>
          <w:rStyle w:val="Satznummer"/>
        </w:rPr>
        <w:t>5</w:t>
      </w:r>
      <w:r>
        <w:t xml:space="preserve">Verluste aus Kapitalvermögen, die der Kapitalertragsteuer unterliegen, dürfen nur verrechnet werden oder mindern die Einkünfte, die der Steuerpflichtige in den folgenden Veranlagungszeiträumen aus Kapitalvermögen erzielt, wenn eine Bescheinigung im Sinne des </w:t>
      </w:r>
      <w:hyperlink w:anchor="b170" w:history="1">
        <w:r>
          <w:rPr>
            <w:color w:val="0A3A8C"/>
            <w:u w:val="single"/>
          </w:rPr>
          <w:t xml:space="preserve">§ 43a</w:t>
        </w:r>
      </w:hyperlink>
      <w:r>
        <w:t xml:space="preserve"> Absatz 3 Satz 4 vorliegt.</w:t>
      </w:r>
    </w:p>
    <w:p>
      <w:r>
        <w:t xml:space="preserve">(7) </w:t>
      </w:r>
      <w:r>
        <w:rPr>
          <w:rStyle w:val="Satznummer"/>
        </w:rPr>
        <w:t>1</w:t>
      </w:r>
      <w:hyperlink w:anchor="b77" w:history="1">
        <w:r>
          <w:rPr>
            <w:color w:val="0A3A8C"/>
            <w:u w:val="single"/>
          </w:rPr>
          <w:t xml:space="preserve">§ 15b</w:t>
        </w:r>
      </w:hyperlink>
      <w:r>
        <w:t xml:space="preserve"> ist sinngemäß anzuwenden. </w:t>
      </w:r>
      <w:r>
        <w:rPr>
          <w:rStyle w:val="Satznummer"/>
        </w:rPr>
        <w:t>2</w:t>
      </w:r>
      <w:r>
        <w:t xml:space="preserve">Ein vorgefertigtes Konzept im Sinne des </w:t>
      </w:r>
      <w:hyperlink w:anchor="b77" w:history="1">
        <w:r>
          <w:rPr>
            <w:color w:val="0A3A8C"/>
            <w:u w:val="single"/>
          </w:rPr>
          <w:t xml:space="preserve">§ 15b</w:t>
        </w:r>
      </w:hyperlink>
      <w:r>
        <w:t xml:space="preserve"> Absatz 2 Satz 2 liegt auch vor, wenn die positiven Einkünfte nicht der tariflichen Einkommensteuer unterliegen.</w:t>
      </w:r>
    </w:p>
    <w:p>
      <w:r>
        <w:t xml:space="preserve">(8) </w:t>
      </w:r>
      <w:r>
        <w:rPr>
          <w:rStyle w:val="Satznummer"/>
        </w:rPr>
        <w:t>1</w:t>
      </w:r>
      <w:r>
        <w:t xml:space="preserve">Soweit Einkünfte der in den Absätzen 1, 2 und 3 bezeichneten Art zu den Einkünften aus Land- und Forstwirtschaft, aus Gewerbebetrieb, aus selbständiger Arbeit oder aus Vermietung und Verpachtung gehören, sind sie diesen Einkünften zuzurechnen. </w:t>
      </w:r>
      <w:r>
        <w:rPr>
          <w:rStyle w:val="Satznummer"/>
        </w:rPr>
        <w:t>2</w:t>
      </w:r>
      <w:r>
        <w:t>Absatz 4a findet insoweit keine Anwendung.</w:t>
      </w:r>
    </w:p>
    <w:p>
      <w:r>
        <w:t xml:space="preserve">(9) </w:t>
      </w:r>
      <w:r>
        <w:rPr>
          <w:rStyle w:val="Satznummer"/>
        </w:rPr>
        <w:t>1</w:t>
      </w:r>
      <w:r>
        <w:t xml:space="preserve">Bei der Ermittlung der Einkünfte aus Kapitalvermögen ist als Werbungskosten ein Betrag von 1 000 Euro abzuziehen (Sparer-Pauschbetrag); der Abzug der tatsächlichen Werbungskosten ist ausgeschlossen. </w:t>
      </w:r>
      <w:r>
        <w:rPr>
          <w:rStyle w:val="Satznummer"/>
        </w:rPr>
        <w:t>2</w:t>
      </w:r>
      <w:r>
        <w:t xml:space="preserve">Ehegatten, die zusammen veranlagt werden, wird ein gemeinsamer Sparer-Pauschbetrag von 2 000 Euro gewährt. </w:t>
      </w:r>
      <w:r>
        <w:rPr>
          <w:rStyle w:val="Satznummer"/>
        </w:rPr>
        <w:t>3</w:t>
      </w:r>
      <w:r>
        <w:t xml:space="preserve">Der gemeinsame Sparer-Pauschbetrag ist bei der Einkunftsermittlung bei jedem Ehegatten je zur Hälfte abzuziehen; sind die Kapitalerträge eines Ehegatten niedriger als 1 000 Euro, so ist der anteilige Sparer-Pauschbetrag insoweit, als er die Kapitalerträge dieses Ehegatten übersteigt, bei dem anderen Ehegatten abzuziehen. </w:t>
      </w:r>
      <w:r>
        <w:rPr>
          <w:rStyle w:val="Satznummer"/>
        </w:rPr>
        <w:t>4</w:t>
      </w:r>
      <w:r>
        <w:t>Der Sparer-Pauschbetrag und der gemeinsame Sparer-Pauschbetrag dürfen nicht höher sein als die nach Maßgabe des Absatzes 6 verrechneten Kapitalerträge.</w:t>
      </w:r>
    </w:p>
    <w:p>
      <w:pPr>
        <w:pStyle w:val="Heading3"/>
      </w:pPr>
      <w:bookmarkStart w:id="88" w:name="b87"/>
      <w:r>
        <w:t>f) Vermietung und Verpachtung (§ 2 Absatz 1 Satz 1 Nummer 6)</w:t>
      </w:r>
      <w:bookmarkEnd w:id="88"/>
    </w:p>
    <w:p>
      <w:pPr>
        <w:pStyle w:val="Heading4"/>
      </w:pPr>
      <w:bookmarkStart w:id="89" w:name="b88"/>
      <w:r>
        <w:t>§ 21</w:t>
      </w:r>
      <w:r>
        <w:t xml:space="preserve"> </w:t>
      </w:r>
      <w:r>
        <w:rPr>
          <w:rStyle w:val="Suchmarke"/>
        </w:rPr>
        <w:t>#21#</w:t>
      </w:r>
      <w:bookmarkEnd w:id="89"/>
    </w:p>
    <w:p>
      <w:r>
        <w:t xml:space="preserve">(1) </w:t>
      </w:r>
      <w:r>
        <w:rPr>
          <w:rStyle w:val="Satznummer"/>
        </w:rPr>
        <w:t>1</w:t>
      </w:r>
      <w:r>
        <w:t>Einkünfte aus Vermietung und Verpachtung sind</w:t>
      </w:r>
    </w:p>
    <w:p>
      <w:pPr>
        <w:tabs>
          <w:tab w:pos="567" w:val="left"/>
        </w:tabs>
        <w:ind w:left="567" w:hanging="567"/>
      </w:pPr>
      <w:r>
        <w:t>1.</w:t>
      </w:r>
      <w:r>
        <w:tab/>
      </w:r>
      <w:r>
        <w:t>Einkünfte aus Vermietung und Verpachtung von unbeweglichem Vermögen, insbesondere von Grundstücken, Gebäuden, Gebäudeteilen, Schiffen, die in ein Schiffsregister eingetragen sind, und Rechten, die den Vorschriften des bürgerlichen Rechts über Grundstücke unterliegen (z. B. Erbbaurecht, Mineralgewinnungsrecht);</w:t>
      </w:r>
    </w:p>
    <w:p>
      <w:pPr>
        <w:tabs>
          <w:tab w:pos="567" w:val="left"/>
        </w:tabs>
        <w:ind w:left="567" w:hanging="567"/>
      </w:pPr>
      <w:r>
        <w:t>2.</w:t>
      </w:r>
      <w:r>
        <w:tab/>
      </w:r>
      <w:r>
        <w:t>Einkünfte aus Vermietung und Verpachtung von Sachinbegriffen, insbesondere von beweglichem Betriebsvermögen;</w:t>
      </w:r>
    </w:p>
    <w:p>
      <w:pPr>
        <w:tabs>
          <w:tab w:pos="567" w:val="left"/>
        </w:tabs>
        <w:ind w:left="567" w:hanging="567"/>
      </w:pPr>
      <w:r>
        <w:t>3.</w:t>
      </w:r>
      <w:r>
        <w:tab/>
      </w:r>
      <w:r>
        <w:t>Einkünfte aus zeitlich begrenzter Überlassung von Rechten, insbesondere von schriftstellerischen, künstlerischen und gewerblichen Urheberrechten, von gewerblichen Erfahrungen und von Gerechtigkeiten und Gefällen;</w:t>
      </w:r>
    </w:p>
    <w:p>
      <w:pPr>
        <w:tabs>
          <w:tab w:pos="567" w:val="left"/>
        </w:tabs>
        <w:ind w:left="567" w:hanging="567"/>
      </w:pPr>
      <w:r>
        <w:t>4.</w:t>
      </w:r>
      <w:r>
        <w:tab/>
      </w:r>
      <w:r>
        <w:t>Einkünfte aus der Veräußerung von Miet- und Pachtzinsforderungen, auch dann, wenn die Einkünfte im Veräußerungspreis von Grundstücken enthalten sind und die Miet- oder Pachtzinsen sich auf einen Zeitraum beziehen, in dem der Veräußerer noch Besitzer war.</w:t>
      </w:r>
    </w:p>
    <w:p>
      <w:r>
        <w:rPr>
          <w:rStyle w:val="Satznummer"/>
        </w:rPr>
        <w:t>2</w:t>
      </w:r>
      <w:hyperlink w:anchor="b76" w:history="1">
        <w:r>
          <w:rPr>
            <w:color w:val="0A3A8C"/>
            <w:u w:val="single"/>
          </w:rPr>
          <w:t xml:space="preserve">§§ 15a</w:t>
        </w:r>
      </w:hyperlink>
      <w:r>
        <w:t xml:space="preserve"> und </w:t>
      </w:r>
      <w:hyperlink w:anchor="b77" w:history="1">
        <w:r>
          <w:rPr>
            <w:color w:val="0A3A8C"/>
            <w:u w:val="single"/>
          </w:rPr>
          <w:t xml:space="preserve">15b</w:t>
        </w:r>
      </w:hyperlink>
      <w:r>
        <w:t xml:space="preserve"> sind sinngemäß anzuwenden.</w:t>
      </w:r>
    </w:p>
    <w:p>
      <w:r>
        <w:t xml:space="preserve">(2) </w:t>
      </w:r>
      <w:r>
        <w:rPr>
          <w:rStyle w:val="Satznummer"/>
        </w:rPr>
        <w:t>1</w:t>
      </w:r>
      <w:r>
        <w:t xml:space="preserve">Beträgt das Entgelt für die Überlassung einer Wohnung zu Wohnzwecken weniger als 50 Prozent der ortsüblichen Marktmiete, so ist die Nutzungsüberlassung in einen entgeltlichen und einen unentgeltlichen Teil aufzuteilen. </w:t>
      </w:r>
      <w:r>
        <w:rPr>
          <w:rStyle w:val="Satznummer"/>
        </w:rPr>
        <w:t>2</w:t>
      </w:r>
      <w:r>
        <w:t>Beträgt das Entgelt bei auf Dauer angelegter Wohnungsvermietung mindestens 66 Prozent der ortsüblichen Miete, gilt die Wohnungsvermietung als entgeltlich.</w:t>
      </w:r>
    </w:p>
    <w:p>
      <w:r>
        <w:t>(3) Einkünfte der in den Absätzen 1 und 2 bezeichneten Art sind Einkünften aus anderen Einkunftsarten zuzurechnen, soweit sie zu diesen gehören.</w:t>
      </w:r>
    </w:p>
    <w:p>
      <w:pPr>
        <w:pStyle w:val="Heading3"/>
      </w:pPr>
      <w:bookmarkStart w:id="90" w:name="b89"/>
      <w:r>
        <w:t>g) Sonstige Einkünfte (§ 2 Absatz 1 Satz 1 Nummer 7)</w:t>
      </w:r>
      <w:bookmarkEnd w:id="90"/>
    </w:p>
    <w:p>
      <w:pPr>
        <w:pStyle w:val="Heading4"/>
      </w:pPr>
      <w:bookmarkStart w:id="91" w:name="b90"/>
      <w:r>
        <w:t>§ 22 Arten der sonstigen Einkünfte</w:t>
      </w:r>
      <w:r>
        <w:t xml:space="preserve"> </w:t>
      </w:r>
      <w:r>
        <w:rPr>
          <w:rStyle w:val="Suchmarke"/>
        </w:rPr>
        <w:t>#22#</w:t>
      </w:r>
      <w:bookmarkEnd w:id="91"/>
    </w:p>
    <w:p>
      <w:r>
        <w:t>Sonstige Einkünfte sind</w:t>
      </w:r>
    </w:p>
    <w:p>
      <w:pPr>
        <w:tabs>
          <w:tab w:pos="567" w:val="left"/>
        </w:tabs>
        <w:ind w:left="567" w:hanging="567"/>
      </w:pPr>
      <w:r>
        <w:t>1.</w:t>
      </w:r>
      <w:r>
        <w:tab/>
      </w:r>
      <w:r>
        <w:t xml:space="preserve">Einkünfte aus wiederkehrenden Bezügen, soweit sie nicht zu den in </w:t>
      </w:r>
      <w:hyperlink w:anchor="b5" w:history="1">
        <w:r>
          <w:rPr>
            <w:color w:val="0A3A8C"/>
            <w:u w:val="single"/>
          </w:rPr>
          <w:t xml:space="preserve">§ 2</w:t>
        </w:r>
      </w:hyperlink>
      <w:r>
        <w:t xml:space="preserve"> Absatz 1 Nummer 1 bis 6 bezeichneten Einkunftsarten gehören; </w:t>
      </w:r>
      <w:hyperlink w:anchor="b77" w:history="1">
        <w:r>
          <w:rPr>
            <w:color w:val="0A3A8C"/>
            <w:u w:val="single"/>
          </w:rPr>
          <w:t xml:space="preserve">§ 15b</w:t>
        </w:r>
      </w:hyperlink>
      <w:r>
        <w:t xml:space="preserve"> ist sinngemäß anzuwenden. </w:t>
      </w:r>
      <w:r>
        <w:rPr>
          <w:rStyle w:val="Satznummer"/>
        </w:rPr>
        <w:t>2</w:t>
      </w:r>
      <w:r>
        <w:t>Werden die Bezüge freiwillig oder auf Grund einer freiwillig begründeten Rechtspflicht oder einer gesetzlich unterhaltsberechtigten Person gewährt, so sind sie nicht dem Empfänger zuzurechnen; dem Empfänger sind dagegen zuzurechnen</w:t>
      </w:r>
    </w:p>
    <w:p>
      <w:pPr>
        <w:tabs>
          <w:tab w:pos="1134" w:val="left"/>
        </w:tabs>
        <w:ind w:left="1134" w:hanging="567"/>
      </w:pPr>
      <w:r>
        <w:t>a)</w:t>
      </w:r>
      <w:r>
        <w:tab/>
      </w:r>
      <w:r>
        <w:t>Bezüge, die von einer Körperschaft, Personenvereinigung oder Vermögensmasse außerhalb der Erfüllung steuerbegünstigter Zwecke im Sinne der §§ 52 bis 54 der Abgabenordnung gewährt werden, und</w:t>
      </w:r>
    </w:p>
    <w:p>
      <w:pPr>
        <w:tabs>
          <w:tab w:pos="1134" w:val="left"/>
        </w:tabs>
        <w:ind w:left="1134" w:hanging="567"/>
      </w:pPr>
      <w:r>
        <w:t>b)</w:t>
      </w:r>
      <w:r>
        <w:tab/>
      </w:r>
      <w:r>
        <w:t>Bezüge im Sinne des § 1 der Verordnung über die Steuerbegünstigung von Stiftungen, die an die Stelle von Familienfideikommissen getreten sind, in der im Bundesgesetzblatt Teil III, Gliederungsnummer 611-4-3, veröffentlichten bereinigten Fassung.</w:t>
      </w:r>
    </w:p>
    <w:p>
      <w:pPr>
        <w:ind w:left="567"/>
      </w:pPr>
      <w:r>
        <w:rPr>
          <w:rStyle w:val="Satznummer"/>
        </w:rPr>
        <w:t>3</w:t>
      </w:r>
      <w:r>
        <w:t>Zu den in Satz 1 bezeichneten Einkünften gehören auch</w:t>
      </w:r>
    </w:p>
    <w:p>
      <w:pPr>
        <w:tabs>
          <w:tab w:pos="1134" w:val="left"/>
        </w:tabs>
        <w:ind w:left="1134" w:hanging="567"/>
      </w:pPr>
      <w:r>
        <w:t>a)</w:t>
      </w:r>
      <w:r>
        <w:tab/>
      </w:r>
      <w:r>
        <w:t>Leibrenten und andere Leistungen,</w:t>
      </w:r>
    </w:p>
    <w:p>
      <w:pPr>
        <w:tabs>
          <w:tab w:pos="1701" w:val="left"/>
        </w:tabs>
        <w:ind w:left="1701" w:hanging="567"/>
      </w:pPr>
      <w:r>
        <w:t>aa)</w:t>
      </w:r>
      <w:r>
        <w:tab/>
      </w:r>
      <w:r>
        <w:t xml:space="preserve">die aus den gesetzlichen Rentenversicherungen, der landwirtschaftlichen Alterskasse, den berufsständischen Versorgungseinrichtungen und aus Rentenversicherungen im Sinne des § 10 Absatz 1 Nummer 2 Buchstabe b erbracht werden, soweit sie jeweils der Besteuerung unterliegen. </w:t>
      </w:r>
      <w:r>
        <w:rPr>
          <w:rStyle w:val="Satznummer"/>
        </w:rPr>
        <w:t>2</w:t>
      </w:r>
      <w:r>
        <w:t xml:space="preserve">Bemessungsgrundlage für den der Besteuerung unterliegenden Anteil ist der Jahresbetrag der Rente. </w:t>
      </w:r>
      <w:r>
        <w:rPr>
          <w:rStyle w:val="Satznummer"/>
        </w:rPr>
        <w:t>3</w:t>
      </w:r>
      <w:r>
        <w:t>Der der Besteuerung unterliegende Anteil ist nach dem Jahr des Rentenbeginns und dem in diesem Jahr maßgebenden Prozentsatz aus der nachstehenden Tabelle zu entnehmen:</w:t>
      </w:r>
    </w:p>
    <w:tbl>
      <w:tblPr>
        <w:tblStyle w:val="TableGrid"/>
        <w:tblW w:type="pct" w:w="5000"/>
        <w:tblLook w:firstColumn="1" w:firstRow="1" w:lastColumn="0" w:lastRow="0" w:noHBand="0" w:noVBand="1" w:val="04A0"/>
        <w:tblCaption w:val="Tabelle 1 zu § 22"/>
      </w:tblPr>
      <w:tblGrid>
        <w:gridCol w:w="2351"/>
        <w:gridCol w:w="2351"/>
        <w:gridCol w:w="2351"/>
        <w:gridCol w:w="2351"/>
      </w:tblGrid>
      <w:tr>
        <w:trPr>
          <w:cantSplit/>
          <w:tblHeader/>
        </w:trPr>
        <w:tc>
          <w:tcPr>
            <w:tcW w:type="dxa" w:w="2351"/>
          </w:tcPr>
          <w:p>
            <w:r>
              <w:rPr>
                <w:b/>
              </w:rPr>
              <w:t>Jahr des</w:t>
            </w:r>
            <w:r>
              <w:rPr>
                <w:b/>
              </w:rPr>
              <w:br/>
            </w:r>
            <w:r>
              <w:rPr>
                <w:b/>
              </w:rPr>
              <w:t>Rentenbeginns</w:t>
            </w:r>
          </w:p>
        </w:tc>
        <w:tc>
          <w:tcPr>
            <w:tcW w:type="dxa" w:w="2351"/>
          </w:tcPr>
          <w:p>
            <w:r>
              <w:rPr>
                <w:b/>
              </w:rPr>
              <w:t>Besteuerungsanteil</w:t>
            </w:r>
            <w:r>
              <w:rPr>
                <w:b/>
              </w:rPr>
              <w:br/>
            </w:r>
            <w:r>
              <w:rPr>
                <w:b/>
              </w:rPr>
              <w:t>in %</w:t>
            </w:r>
          </w:p>
        </w:tc>
        <w:tc>
          <w:tcPr>
            <w:tcW w:type="dxa" w:w="2351"/>
          </w:tcPr>
          <w:p>
            <w:r>
              <w:rPr>
                <w:b/>
              </w:rPr>
              <w:t>Jahr des</w:t>
            </w:r>
            <w:r>
              <w:rPr>
                <w:b/>
              </w:rPr>
              <w:br/>
            </w:r>
            <w:r>
              <w:rPr>
                <w:b/>
              </w:rPr>
              <w:t>Rentenbeginns</w:t>
            </w:r>
          </w:p>
        </w:tc>
        <w:tc>
          <w:tcPr>
            <w:tcW w:type="dxa" w:w="2351"/>
          </w:tcPr>
          <w:p>
            <w:r>
              <w:rPr>
                <w:b/>
              </w:rPr>
              <w:t>Besteuerungsanteil</w:t>
            </w:r>
            <w:r>
              <w:rPr>
                <w:b/>
              </w:rPr>
              <w:br/>
            </w:r>
            <w:r>
              <w:rPr>
                <w:b/>
              </w:rPr>
              <w:t>in %</w:t>
            </w:r>
          </w:p>
        </w:tc>
      </w:tr>
      <w:tr>
        <w:trPr>
          <w:cantSplit/>
        </w:trPr>
        <w:tc>
          <w:tcPr>
            <w:tcW w:type="dxa" w:w="2351"/>
          </w:tcPr>
          <w:p>
            <w:r>
              <w:t>bis 2005</w:t>
            </w:r>
          </w:p>
        </w:tc>
        <w:tc>
          <w:tcPr>
            <w:tcW w:type="dxa" w:w="2351"/>
          </w:tcPr>
          <w:p>
            <w:r>
              <w:t>50,0</w:t>
            </w:r>
          </w:p>
        </w:tc>
        <w:tc>
          <w:tcPr>
            <w:tcW w:type="dxa" w:w="2351"/>
          </w:tcPr>
          <w:p>
            <w:r>
              <w:t>2032</w:t>
            </w:r>
          </w:p>
        </w:tc>
        <w:tc>
          <w:tcPr>
            <w:tcW w:type="dxa" w:w="2351"/>
          </w:tcPr>
          <w:p>
            <w:r>
              <w:t>87,0</w:t>
            </w:r>
          </w:p>
        </w:tc>
      </w:tr>
      <w:tr>
        <w:trPr>
          <w:cantSplit/>
        </w:trPr>
        <w:tc>
          <w:tcPr>
            <w:tcW w:type="dxa" w:w="2351"/>
          </w:tcPr>
          <w:p>
            <w:r>
              <w:t>ab 2006</w:t>
            </w:r>
          </w:p>
        </w:tc>
        <w:tc>
          <w:tcPr>
            <w:tcW w:type="dxa" w:w="2351"/>
          </w:tcPr>
          <w:p>
            <w:r>
              <w:t>52,0</w:t>
            </w:r>
          </w:p>
        </w:tc>
        <w:tc>
          <w:tcPr>
            <w:tcW w:type="dxa" w:w="2351"/>
          </w:tcPr>
          <w:p>
            <w:r>
              <w:t>2033</w:t>
            </w:r>
          </w:p>
        </w:tc>
        <w:tc>
          <w:tcPr>
            <w:tcW w:type="dxa" w:w="2351"/>
          </w:tcPr>
          <w:p>
            <w:r>
              <w:t>87,5</w:t>
            </w:r>
          </w:p>
        </w:tc>
      </w:tr>
      <w:tr>
        <w:trPr>
          <w:cantSplit/>
        </w:trPr>
        <w:tc>
          <w:tcPr>
            <w:tcW w:type="dxa" w:w="2351"/>
          </w:tcPr>
          <w:p>
            <w:r>
              <w:t>2007</w:t>
            </w:r>
          </w:p>
        </w:tc>
        <w:tc>
          <w:tcPr>
            <w:tcW w:type="dxa" w:w="2351"/>
          </w:tcPr>
          <w:p>
            <w:r>
              <w:t>54,0</w:t>
            </w:r>
          </w:p>
        </w:tc>
        <w:tc>
          <w:tcPr>
            <w:tcW w:type="dxa" w:w="2351"/>
          </w:tcPr>
          <w:p>
            <w:r>
              <w:t>2034</w:t>
            </w:r>
          </w:p>
        </w:tc>
        <w:tc>
          <w:tcPr>
            <w:tcW w:type="dxa" w:w="2351"/>
          </w:tcPr>
          <w:p>
            <w:r>
              <w:t>88,0</w:t>
            </w:r>
          </w:p>
        </w:tc>
      </w:tr>
      <w:tr>
        <w:trPr>
          <w:cantSplit/>
        </w:trPr>
        <w:tc>
          <w:tcPr>
            <w:tcW w:type="dxa" w:w="2351"/>
          </w:tcPr>
          <w:p>
            <w:r>
              <w:t>2008</w:t>
            </w:r>
          </w:p>
        </w:tc>
        <w:tc>
          <w:tcPr>
            <w:tcW w:type="dxa" w:w="2351"/>
          </w:tcPr>
          <w:p>
            <w:r>
              <w:t>56,0</w:t>
            </w:r>
          </w:p>
        </w:tc>
        <w:tc>
          <w:tcPr>
            <w:tcW w:type="dxa" w:w="2351"/>
          </w:tcPr>
          <w:p>
            <w:r>
              <w:t>2035</w:t>
            </w:r>
          </w:p>
        </w:tc>
        <w:tc>
          <w:tcPr>
            <w:tcW w:type="dxa" w:w="2351"/>
          </w:tcPr>
          <w:p>
            <w:r>
              <w:t>88,5</w:t>
            </w:r>
          </w:p>
        </w:tc>
      </w:tr>
      <w:tr>
        <w:trPr>
          <w:cantSplit/>
        </w:trPr>
        <w:tc>
          <w:tcPr>
            <w:tcW w:type="dxa" w:w="2351"/>
          </w:tcPr>
          <w:p>
            <w:r>
              <w:t>2009</w:t>
            </w:r>
          </w:p>
        </w:tc>
        <w:tc>
          <w:tcPr>
            <w:tcW w:type="dxa" w:w="2351"/>
          </w:tcPr>
          <w:p>
            <w:r>
              <w:t>58,0</w:t>
            </w:r>
          </w:p>
        </w:tc>
        <w:tc>
          <w:tcPr>
            <w:tcW w:type="dxa" w:w="2351"/>
          </w:tcPr>
          <w:p>
            <w:r>
              <w:t>2036</w:t>
            </w:r>
          </w:p>
        </w:tc>
        <w:tc>
          <w:tcPr>
            <w:tcW w:type="dxa" w:w="2351"/>
          </w:tcPr>
          <w:p>
            <w:r>
              <w:t>89,0</w:t>
            </w:r>
          </w:p>
        </w:tc>
      </w:tr>
      <w:tr>
        <w:trPr>
          <w:cantSplit/>
        </w:trPr>
        <w:tc>
          <w:tcPr>
            <w:tcW w:type="dxa" w:w="2351"/>
          </w:tcPr>
          <w:p>
            <w:r>
              <w:t>2010</w:t>
            </w:r>
          </w:p>
        </w:tc>
        <w:tc>
          <w:tcPr>
            <w:tcW w:type="dxa" w:w="2351"/>
          </w:tcPr>
          <w:p>
            <w:r>
              <w:t>60,0</w:t>
            </w:r>
          </w:p>
        </w:tc>
        <w:tc>
          <w:tcPr>
            <w:tcW w:type="dxa" w:w="2351"/>
          </w:tcPr>
          <w:p>
            <w:r>
              <w:t>2037</w:t>
            </w:r>
          </w:p>
        </w:tc>
        <w:tc>
          <w:tcPr>
            <w:tcW w:type="dxa" w:w="2351"/>
          </w:tcPr>
          <w:p>
            <w:r>
              <w:t>89,5</w:t>
            </w:r>
          </w:p>
        </w:tc>
      </w:tr>
      <w:tr>
        <w:trPr>
          <w:cantSplit/>
        </w:trPr>
        <w:tc>
          <w:tcPr>
            <w:tcW w:type="dxa" w:w="2351"/>
          </w:tcPr>
          <w:p>
            <w:r>
              <w:t>2011</w:t>
            </w:r>
          </w:p>
        </w:tc>
        <w:tc>
          <w:tcPr>
            <w:tcW w:type="dxa" w:w="2351"/>
          </w:tcPr>
          <w:p>
            <w:r>
              <w:t>62,0</w:t>
            </w:r>
          </w:p>
        </w:tc>
        <w:tc>
          <w:tcPr>
            <w:tcW w:type="dxa" w:w="2351"/>
          </w:tcPr>
          <w:p>
            <w:r>
              <w:t>2038</w:t>
            </w:r>
          </w:p>
        </w:tc>
        <w:tc>
          <w:tcPr>
            <w:tcW w:type="dxa" w:w="2351"/>
          </w:tcPr>
          <w:p>
            <w:r>
              <w:t>90,0</w:t>
            </w:r>
          </w:p>
        </w:tc>
      </w:tr>
      <w:tr>
        <w:trPr>
          <w:cantSplit/>
        </w:trPr>
        <w:tc>
          <w:tcPr>
            <w:tcW w:type="dxa" w:w="2351"/>
          </w:tcPr>
          <w:p>
            <w:r>
              <w:t>2012</w:t>
            </w:r>
          </w:p>
        </w:tc>
        <w:tc>
          <w:tcPr>
            <w:tcW w:type="dxa" w:w="2351"/>
          </w:tcPr>
          <w:p>
            <w:r>
              <w:t>64,0</w:t>
            </w:r>
          </w:p>
        </w:tc>
        <w:tc>
          <w:tcPr>
            <w:tcW w:type="dxa" w:w="2351"/>
          </w:tcPr>
          <w:p>
            <w:r>
              <w:t>2039</w:t>
            </w:r>
          </w:p>
        </w:tc>
        <w:tc>
          <w:tcPr>
            <w:tcW w:type="dxa" w:w="2351"/>
          </w:tcPr>
          <w:p>
            <w:r>
              <w:t>90,5</w:t>
            </w:r>
          </w:p>
        </w:tc>
      </w:tr>
      <w:tr>
        <w:trPr>
          <w:cantSplit/>
        </w:trPr>
        <w:tc>
          <w:tcPr>
            <w:tcW w:type="dxa" w:w="2351"/>
          </w:tcPr>
          <w:p>
            <w:r>
              <w:t>2013</w:t>
            </w:r>
          </w:p>
        </w:tc>
        <w:tc>
          <w:tcPr>
            <w:tcW w:type="dxa" w:w="2351"/>
          </w:tcPr>
          <w:p>
            <w:r>
              <w:t>66,0</w:t>
            </w:r>
          </w:p>
        </w:tc>
        <w:tc>
          <w:tcPr>
            <w:tcW w:type="dxa" w:w="2351"/>
          </w:tcPr>
          <w:p>
            <w:r>
              <w:t>2040</w:t>
            </w:r>
          </w:p>
        </w:tc>
        <w:tc>
          <w:tcPr>
            <w:tcW w:type="dxa" w:w="2351"/>
          </w:tcPr>
          <w:p>
            <w:r>
              <w:t>91,0</w:t>
            </w:r>
          </w:p>
        </w:tc>
      </w:tr>
      <w:tr>
        <w:trPr>
          <w:cantSplit/>
        </w:trPr>
        <w:tc>
          <w:tcPr>
            <w:tcW w:type="dxa" w:w="2351"/>
          </w:tcPr>
          <w:p>
            <w:r>
              <w:t>2014</w:t>
            </w:r>
          </w:p>
        </w:tc>
        <w:tc>
          <w:tcPr>
            <w:tcW w:type="dxa" w:w="2351"/>
          </w:tcPr>
          <w:p>
            <w:r>
              <w:t>68,0</w:t>
            </w:r>
          </w:p>
        </w:tc>
        <w:tc>
          <w:tcPr>
            <w:tcW w:type="dxa" w:w="2351"/>
          </w:tcPr>
          <w:p>
            <w:r>
              <w:t>2041</w:t>
            </w:r>
          </w:p>
        </w:tc>
        <w:tc>
          <w:tcPr>
            <w:tcW w:type="dxa" w:w="2351"/>
          </w:tcPr>
          <w:p>
            <w:r>
              <w:t>91,5</w:t>
            </w:r>
          </w:p>
        </w:tc>
      </w:tr>
      <w:tr>
        <w:trPr>
          <w:cantSplit/>
        </w:trPr>
        <w:tc>
          <w:tcPr>
            <w:tcW w:type="dxa" w:w="2351"/>
          </w:tcPr>
          <w:p>
            <w:r>
              <w:t>2015</w:t>
            </w:r>
          </w:p>
        </w:tc>
        <w:tc>
          <w:tcPr>
            <w:tcW w:type="dxa" w:w="2351"/>
          </w:tcPr>
          <w:p>
            <w:r>
              <w:t>70,0</w:t>
            </w:r>
          </w:p>
        </w:tc>
        <w:tc>
          <w:tcPr>
            <w:tcW w:type="dxa" w:w="2351"/>
          </w:tcPr>
          <w:p>
            <w:r>
              <w:t>2042</w:t>
            </w:r>
          </w:p>
        </w:tc>
        <w:tc>
          <w:tcPr>
            <w:tcW w:type="dxa" w:w="2351"/>
          </w:tcPr>
          <w:p>
            <w:r>
              <w:t>92,0</w:t>
            </w:r>
          </w:p>
        </w:tc>
      </w:tr>
      <w:tr>
        <w:trPr>
          <w:cantSplit/>
        </w:trPr>
        <w:tc>
          <w:tcPr>
            <w:tcW w:type="dxa" w:w="2351"/>
          </w:tcPr>
          <w:p>
            <w:r>
              <w:t>2016</w:t>
            </w:r>
          </w:p>
        </w:tc>
        <w:tc>
          <w:tcPr>
            <w:tcW w:type="dxa" w:w="2351"/>
          </w:tcPr>
          <w:p>
            <w:r>
              <w:t>72,0</w:t>
            </w:r>
          </w:p>
        </w:tc>
        <w:tc>
          <w:tcPr>
            <w:tcW w:type="dxa" w:w="2351"/>
          </w:tcPr>
          <w:p>
            <w:r>
              <w:t>2043</w:t>
            </w:r>
          </w:p>
        </w:tc>
        <w:tc>
          <w:tcPr>
            <w:tcW w:type="dxa" w:w="2351"/>
          </w:tcPr>
          <w:p>
            <w:r>
              <w:t>92,5</w:t>
            </w:r>
          </w:p>
        </w:tc>
      </w:tr>
      <w:tr>
        <w:trPr>
          <w:cantSplit/>
        </w:trPr>
        <w:tc>
          <w:tcPr>
            <w:tcW w:type="dxa" w:w="2351"/>
          </w:tcPr>
          <w:p>
            <w:r>
              <w:t>2017</w:t>
            </w:r>
          </w:p>
        </w:tc>
        <w:tc>
          <w:tcPr>
            <w:tcW w:type="dxa" w:w="2351"/>
          </w:tcPr>
          <w:p>
            <w:r>
              <w:t>74,0</w:t>
            </w:r>
          </w:p>
        </w:tc>
        <w:tc>
          <w:tcPr>
            <w:tcW w:type="dxa" w:w="2351"/>
          </w:tcPr>
          <w:p>
            <w:r>
              <w:t>2044</w:t>
            </w:r>
          </w:p>
        </w:tc>
        <w:tc>
          <w:tcPr>
            <w:tcW w:type="dxa" w:w="2351"/>
          </w:tcPr>
          <w:p>
            <w:r>
              <w:t>93,0</w:t>
            </w:r>
          </w:p>
        </w:tc>
      </w:tr>
      <w:tr>
        <w:trPr>
          <w:cantSplit/>
        </w:trPr>
        <w:tc>
          <w:tcPr>
            <w:tcW w:type="dxa" w:w="2351"/>
          </w:tcPr>
          <w:p>
            <w:r>
              <w:t>2018</w:t>
            </w:r>
          </w:p>
        </w:tc>
        <w:tc>
          <w:tcPr>
            <w:tcW w:type="dxa" w:w="2351"/>
          </w:tcPr>
          <w:p>
            <w:r>
              <w:t>76,0</w:t>
            </w:r>
          </w:p>
        </w:tc>
        <w:tc>
          <w:tcPr>
            <w:tcW w:type="dxa" w:w="2351"/>
          </w:tcPr>
          <w:p>
            <w:r>
              <w:t>2045</w:t>
            </w:r>
          </w:p>
        </w:tc>
        <w:tc>
          <w:tcPr>
            <w:tcW w:type="dxa" w:w="2351"/>
          </w:tcPr>
          <w:p>
            <w:r>
              <w:t>93,5</w:t>
            </w:r>
          </w:p>
        </w:tc>
      </w:tr>
      <w:tr>
        <w:trPr>
          <w:cantSplit/>
        </w:trPr>
        <w:tc>
          <w:tcPr>
            <w:tcW w:type="dxa" w:w="2351"/>
          </w:tcPr>
          <w:p>
            <w:r>
              <w:t>2019</w:t>
            </w:r>
          </w:p>
        </w:tc>
        <w:tc>
          <w:tcPr>
            <w:tcW w:type="dxa" w:w="2351"/>
          </w:tcPr>
          <w:p>
            <w:r>
              <w:t>78,0</w:t>
            </w:r>
          </w:p>
        </w:tc>
        <w:tc>
          <w:tcPr>
            <w:tcW w:type="dxa" w:w="2351"/>
          </w:tcPr>
          <w:p>
            <w:r>
              <w:t>2046</w:t>
            </w:r>
          </w:p>
        </w:tc>
        <w:tc>
          <w:tcPr>
            <w:tcW w:type="dxa" w:w="2351"/>
          </w:tcPr>
          <w:p>
            <w:r>
              <w:t>94,0</w:t>
            </w:r>
          </w:p>
        </w:tc>
      </w:tr>
      <w:tr>
        <w:trPr>
          <w:cantSplit/>
        </w:trPr>
        <w:tc>
          <w:tcPr>
            <w:tcW w:type="dxa" w:w="2351"/>
          </w:tcPr>
          <w:p>
            <w:r>
              <w:t>2020</w:t>
            </w:r>
          </w:p>
        </w:tc>
        <w:tc>
          <w:tcPr>
            <w:tcW w:type="dxa" w:w="2351"/>
          </w:tcPr>
          <w:p>
            <w:r>
              <w:t>80,0</w:t>
            </w:r>
          </w:p>
        </w:tc>
        <w:tc>
          <w:tcPr>
            <w:tcW w:type="dxa" w:w="2351"/>
          </w:tcPr>
          <w:p>
            <w:r>
              <w:t>2047</w:t>
            </w:r>
          </w:p>
        </w:tc>
        <w:tc>
          <w:tcPr>
            <w:tcW w:type="dxa" w:w="2351"/>
          </w:tcPr>
          <w:p>
            <w:r>
              <w:t>94,5</w:t>
            </w:r>
          </w:p>
        </w:tc>
      </w:tr>
      <w:tr>
        <w:trPr>
          <w:cantSplit/>
        </w:trPr>
        <w:tc>
          <w:tcPr>
            <w:tcW w:type="dxa" w:w="2351"/>
          </w:tcPr>
          <w:p>
            <w:r>
              <w:t>2021</w:t>
            </w:r>
          </w:p>
        </w:tc>
        <w:tc>
          <w:tcPr>
            <w:tcW w:type="dxa" w:w="2351"/>
          </w:tcPr>
          <w:p>
            <w:r>
              <w:t>81,0</w:t>
            </w:r>
          </w:p>
        </w:tc>
        <w:tc>
          <w:tcPr>
            <w:tcW w:type="dxa" w:w="2351"/>
          </w:tcPr>
          <w:p>
            <w:r>
              <w:t>2048</w:t>
            </w:r>
          </w:p>
        </w:tc>
        <w:tc>
          <w:tcPr>
            <w:tcW w:type="dxa" w:w="2351"/>
          </w:tcPr>
          <w:p>
            <w:r>
              <w:t>95,0</w:t>
            </w:r>
          </w:p>
        </w:tc>
      </w:tr>
      <w:tr>
        <w:trPr>
          <w:cantSplit/>
        </w:trPr>
        <w:tc>
          <w:tcPr>
            <w:tcW w:type="dxa" w:w="2351"/>
          </w:tcPr>
          <w:p>
            <w:r>
              <w:t>2022</w:t>
            </w:r>
          </w:p>
        </w:tc>
        <w:tc>
          <w:tcPr>
            <w:tcW w:type="dxa" w:w="2351"/>
          </w:tcPr>
          <w:p>
            <w:r>
              <w:t>82,0</w:t>
            </w:r>
          </w:p>
        </w:tc>
        <w:tc>
          <w:tcPr>
            <w:tcW w:type="dxa" w:w="2351"/>
          </w:tcPr>
          <w:p>
            <w:r>
              <w:t>2049</w:t>
            </w:r>
          </w:p>
        </w:tc>
        <w:tc>
          <w:tcPr>
            <w:tcW w:type="dxa" w:w="2351"/>
          </w:tcPr>
          <w:p>
            <w:r>
              <w:t>95,5</w:t>
            </w:r>
          </w:p>
        </w:tc>
      </w:tr>
      <w:tr>
        <w:trPr>
          <w:cantSplit/>
        </w:trPr>
        <w:tc>
          <w:tcPr>
            <w:tcW w:type="dxa" w:w="2351"/>
          </w:tcPr>
          <w:p>
            <w:r>
              <w:t>2023</w:t>
            </w:r>
          </w:p>
        </w:tc>
        <w:tc>
          <w:tcPr>
            <w:tcW w:type="dxa" w:w="2351"/>
          </w:tcPr>
          <w:p>
            <w:r>
              <w:t>82,5</w:t>
            </w:r>
          </w:p>
        </w:tc>
        <w:tc>
          <w:tcPr>
            <w:tcW w:type="dxa" w:w="2351"/>
          </w:tcPr>
          <w:p>
            <w:r>
              <w:t>2050</w:t>
            </w:r>
          </w:p>
        </w:tc>
        <w:tc>
          <w:tcPr>
            <w:tcW w:type="dxa" w:w="2351"/>
          </w:tcPr>
          <w:p>
            <w:r>
              <w:t>96,0</w:t>
            </w:r>
          </w:p>
        </w:tc>
      </w:tr>
      <w:tr>
        <w:trPr>
          <w:cantSplit/>
        </w:trPr>
        <w:tc>
          <w:tcPr>
            <w:tcW w:type="dxa" w:w="2351"/>
          </w:tcPr>
          <w:p>
            <w:r>
              <w:t>2024</w:t>
            </w:r>
          </w:p>
        </w:tc>
        <w:tc>
          <w:tcPr>
            <w:tcW w:type="dxa" w:w="2351"/>
          </w:tcPr>
          <w:p>
            <w:r>
              <w:t>83,0</w:t>
            </w:r>
          </w:p>
        </w:tc>
        <w:tc>
          <w:tcPr>
            <w:tcW w:type="dxa" w:w="2351"/>
          </w:tcPr>
          <w:p>
            <w:r>
              <w:t>2051</w:t>
            </w:r>
          </w:p>
        </w:tc>
        <w:tc>
          <w:tcPr>
            <w:tcW w:type="dxa" w:w="2351"/>
          </w:tcPr>
          <w:p>
            <w:r>
              <w:t>96,5</w:t>
            </w:r>
          </w:p>
        </w:tc>
      </w:tr>
      <w:tr>
        <w:trPr>
          <w:cantSplit/>
        </w:trPr>
        <w:tc>
          <w:tcPr>
            <w:tcW w:type="dxa" w:w="2351"/>
          </w:tcPr>
          <w:p>
            <w:r>
              <w:t>2025</w:t>
            </w:r>
          </w:p>
        </w:tc>
        <w:tc>
          <w:tcPr>
            <w:tcW w:type="dxa" w:w="2351"/>
          </w:tcPr>
          <w:p>
            <w:r>
              <w:t>83,5</w:t>
            </w:r>
          </w:p>
        </w:tc>
        <w:tc>
          <w:tcPr>
            <w:tcW w:type="dxa" w:w="2351"/>
          </w:tcPr>
          <w:p>
            <w:r>
              <w:t>2052</w:t>
            </w:r>
          </w:p>
        </w:tc>
        <w:tc>
          <w:tcPr>
            <w:tcW w:type="dxa" w:w="2351"/>
          </w:tcPr>
          <w:p>
            <w:r>
              <w:t>97,0</w:t>
            </w:r>
          </w:p>
        </w:tc>
      </w:tr>
      <w:tr>
        <w:trPr>
          <w:cantSplit/>
        </w:trPr>
        <w:tc>
          <w:tcPr>
            <w:tcW w:type="dxa" w:w="2351"/>
          </w:tcPr>
          <w:p>
            <w:r>
              <w:t>2026</w:t>
            </w:r>
          </w:p>
        </w:tc>
        <w:tc>
          <w:tcPr>
            <w:tcW w:type="dxa" w:w="2351"/>
          </w:tcPr>
          <w:p>
            <w:r>
              <w:t>84,0</w:t>
            </w:r>
          </w:p>
        </w:tc>
        <w:tc>
          <w:tcPr>
            <w:tcW w:type="dxa" w:w="2351"/>
          </w:tcPr>
          <w:p>
            <w:r>
              <w:t>2053</w:t>
            </w:r>
          </w:p>
        </w:tc>
        <w:tc>
          <w:tcPr>
            <w:tcW w:type="dxa" w:w="2351"/>
          </w:tcPr>
          <w:p>
            <w:r>
              <w:t>97,5</w:t>
            </w:r>
          </w:p>
        </w:tc>
      </w:tr>
      <w:tr>
        <w:trPr>
          <w:cantSplit/>
        </w:trPr>
        <w:tc>
          <w:tcPr>
            <w:tcW w:type="dxa" w:w="2351"/>
          </w:tcPr>
          <w:p>
            <w:r>
              <w:t>2027</w:t>
            </w:r>
          </w:p>
        </w:tc>
        <w:tc>
          <w:tcPr>
            <w:tcW w:type="dxa" w:w="2351"/>
          </w:tcPr>
          <w:p>
            <w:r>
              <w:t>84,5</w:t>
            </w:r>
          </w:p>
        </w:tc>
        <w:tc>
          <w:tcPr>
            <w:tcW w:type="dxa" w:w="2351"/>
          </w:tcPr>
          <w:p>
            <w:r>
              <w:t>2054</w:t>
            </w:r>
          </w:p>
        </w:tc>
        <w:tc>
          <w:tcPr>
            <w:tcW w:type="dxa" w:w="2351"/>
          </w:tcPr>
          <w:p>
            <w:r>
              <w:t>98,0</w:t>
            </w:r>
          </w:p>
        </w:tc>
      </w:tr>
      <w:tr>
        <w:trPr>
          <w:cantSplit/>
        </w:trPr>
        <w:tc>
          <w:tcPr>
            <w:tcW w:type="dxa" w:w="2351"/>
          </w:tcPr>
          <w:p>
            <w:r>
              <w:t>2028</w:t>
            </w:r>
          </w:p>
        </w:tc>
        <w:tc>
          <w:tcPr>
            <w:tcW w:type="dxa" w:w="2351"/>
          </w:tcPr>
          <w:p>
            <w:r>
              <w:t>85,0</w:t>
            </w:r>
          </w:p>
        </w:tc>
        <w:tc>
          <w:tcPr>
            <w:tcW w:type="dxa" w:w="2351"/>
          </w:tcPr>
          <w:p>
            <w:r>
              <w:t>2055</w:t>
            </w:r>
          </w:p>
        </w:tc>
        <w:tc>
          <w:tcPr>
            <w:tcW w:type="dxa" w:w="2351"/>
          </w:tcPr>
          <w:p>
            <w:r>
              <w:t>98,5</w:t>
            </w:r>
          </w:p>
        </w:tc>
      </w:tr>
      <w:tr>
        <w:trPr>
          <w:cantSplit/>
        </w:trPr>
        <w:tc>
          <w:tcPr>
            <w:tcW w:type="dxa" w:w="2351"/>
          </w:tcPr>
          <w:p>
            <w:r>
              <w:t>2029</w:t>
            </w:r>
          </w:p>
        </w:tc>
        <w:tc>
          <w:tcPr>
            <w:tcW w:type="dxa" w:w="2351"/>
          </w:tcPr>
          <w:p>
            <w:r>
              <w:t>85,5</w:t>
            </w:r>
          </w:p>
        </w:tc>
        <w:tc>
          <w:tcPr>
            <w:tcW w:type="dxa" w:w="2351"/>
          </w:tcPr>
          <w:p>
            <w:r>
              <w:t>2056</w:t>
            </w:r>
          </w:p>
        </w:tc>
        <w:tc>
          <w:tcPr>
            <w:tcW w:type="dxa" w:w="2351"/>
          </w:tcPr>
          <w:p>
            <w:r>
              <w:t>99,0</w:t>
            </w:r>
          </w:p>
        </w:tc>
      </w:tr>
      <w:tr>
        <w:trPr>
          <w:cantSplit/>
        </w:trPr>
        <w:tc>
          <w:tcPr>
            <w:tcW w:type="dxa" w:w="2351"/>
          </w:tcPr>
          <w:p>
            <w:r>
              <w:t>2030</w:t>
            </w:r>
          </w:p>
        </w:tc>
        <w:tc>
          <w:tcPr>
            <w:tcW w:type="dxa" w:w="2351"/>
          </w:tcPr>
          <w:p>
            <w:r>
              <w:t>86,0</w:t>
            </w:r>
          </w:p>
        </w:tc>
        <w:tc>
          <w:tcPr>
            <w:tcW w:type="dxa" w:w="2351"/>
          </w:tcPr>
          <w:p>
            <w:r>
              <w:t>2057</w:t>
            </w:r>
          </w:p>
        </w:tc>
        <w:tc>
          <w:tcPr>
            <w:tcW w:type="dxa" w:w="2351"/>
          </w:tcPr>
          <w:p>
            <w:r>
              <w:t>99,5</w:t>
            </w:r>
          </w:p>
        </w:tc>
      </w:tr>
      <w:tr>
        <w:trPr>
          <w:cantSplit/>
        </w:trPr>
        <w:tc>
          <w:tcPr>
            <w:tcW w:type="dxa" w:w="2351"/>
          </w:tcPr>
          <w:p>
            <w:r>
              <w:t>2031</w:t>
            </w:r>
          </w:p>
        </w:tc>
        <w:tc>
          <w:tcPr>
            <w:tcW w:type="dxa" w:w="2351"/>
          </w:tcPr>
          <w:p>
            <w:r>
              <w:t>86,5</w:t>
            </w:r>
          </w:p>
        </w:tc>
        <w:tc>
          <w:tcPr>
            <w:tcW w:type="dxa" w:w="2351"/>
          </w:tcPr>
          <w:p>
            <w:r>
              <w:t>2058</w:t>
            </w:r>
          </w:p>
        </w:tc>
        <w:tc>
          <w:tcPr>
            <w:tcW w:type="dxa" w:w="2351"/>
          </w:tcPr>
          <w:p>
            <w:r>
              <w:t>100,0</w:t>
            </w:r>
          </w:p>
        </w:tc>
      </w:tr>
    </w:tbl>
    <w:p>
      <w:pPr>
        <w:spacing w:after="0"/>
      </w:pPr>
    </w:p>
    <w:p>
      <w:pPr>
        <w:ind w:left="1701"/>
      </w:pPr>
      <w:r>
        <w:rPr>
          <w:rStyle w:val="Satznummer"/>
        </w:rPr>
        <w:t>4</w:t>
      </w:r>
      <w:r>
        <w:t xml:space="preserve">Der Unterschiedsbetrag zwischen dem Jahresbetrag der Rente und dem der Besteuerung unterliegenden Anteil der Rente ist der steuerfreie Teil der Rente. </w:t>
      </w:r>
      <w:r>
        <w:rPr>
          <w:rStyle w:val="Satznummer"/>
        </w:rPr>
        <w:t>5</w:t>
      </w:r>
      <w:r>
        <w:t xml:space="preserve">Dieser gilt ab dem Jahr, das dem Jahr des Rentenbeginns folgt, für die gesamte Laufzeit des Rentenbezugs. </w:t>
      </w:r>
      <w:r>
        <w:rPr>
          <w:rStyle w:val="Satznummer"/>
        </w:rPr>
        <w:t>6</w:t>
      </w:r>
      <w:r>
        <w:t xml:space="preserve">Abweichend hiervon ist der steuerfreie Teil der Rente bei einer Veränderung des Jahresbetrags der Rente in dem Verhältnis anzupassen, in dem der veränderte Jahresbetrag der Rente zum Jahresbetrag der Rente steht, der der Ermittlung des steuerfreien Teils der Rente zugrunde liegt. </w:t>
      </w:r>
      <w:r>
        <w:rPr>
          <w:rStyle w:val="Satznummer"/>
        </w:rPr>
        <w:t>7</w:t>
      </w:r>
      <w:r>
        <w:t xml:space="preserve">Regelmäßige Anpassungen des Jahresbetrags der Rente führen nicht zu einer Neuberechnung und bleiben bei einer Neuberechnung außer Betracht. </w:t>
      </w:r>
      <w:r>
        <w:rPr>
          <w:rStyle w:val="Satznummer"/>
        </w:rPr>
        <w:t>8</w:t>
      </w:r>
      <w:r>
        <w:t xml:space="preserve">Folgen nach dem 31. Dezember 2004 Renten aus derselben Versicherung einander nach, gilt für die spätere Rente Satz 3 mit der Maßgabe, dass sich der Prozentsatz nach dem Jahr richtet, das sich ergibt, wenn die Laufzeit der vorhergehenden Renten von dem Jahr des Beginns der späteren Rente abgezogen wird; der Prozentsatz kann jedoch nicht niedriger bemessen werden als der für das Jahr 2005. </w:t>
      </w:r>
      <w:r>
        <w:rPr>
          <w:rStyle w:val="Satznummer"/>
        </w:rPr>
        <w:t>9</w:t>
      </w:r>
      <w:r>
        <w:t>Verstirbt der Rentenempfänger, ist ihm die Rente für den Sterbemonat noch zuzurechnen;</w:t>
      </w:r>
    </w:p>
    <w:p>
      <w:pPr>
        <w:tabs>
          <w:tab w:pos="1701" w:val="left"/>
        </w:tabs>
        <w:ind w:left="1701" w:hanging="567"/>
      </w:pPr>
      <w:r>
        <w:t>bb)</w:t>
      </w:r>
      <w:r>
        <w:tab/>
      </w:r>
      <w:r>
        <w:t xml:space="preserve">die nicht solche im Sinne des Doppelbuchstaben aa sind und bei denen in den einzelnen Bezügen Einkünfte aus Erträgen des Rentenrechts enthalten sind. </w:t>
      </w:r>
      <w:r>
        <w:rPr>
          <w:rStyle w:val="Satznummer"/>
        </w:rPr>
        <w:t>2</w:t>
      </w:r>
      <w:r>
        <w:t xml:space="preserve">Dies gilt auf Antrag auch für Leibrenten und andere Leistungen, soweit diese auf bis zum 31. Dezember 2004 geleisteten Beiträgen beruhen, welche oberhalb des Betrags des Höchstbeitrags zur gesetzlichen Rentenversicherung gezahlt wurden; der Steuerpflichtige muss nachweisen, dass der Betrag des Höchstbeitrags mindestens zehn Jahre überschritten wurde; soweit hiervon im Versorgungsausgleich übertragene Rentenanwartschaften betroffen sind, gilt § 4 Absatz 1 und 2 des Versorgungsausgleichsgesetzes entsprechend. </w:t>
      </w:r>
      <w:r>
        <w:rPr>
          <w:rStyle w:val="Satznummer"/>
        </w:rPr>
        <w:t>3</w:t>
      </w:r>
      <w:r>
        <w:t xml:space="preserve">Als Ertrag des Rentenrechts gilt für die gesamte Dauer des Rentenbezugs der Unterschiedsbetrag zwischen dem Jahresbetrag der Rente und dem Betrag, der sich bei gleichmäßiger Verteilung des Kapitalwerts der Rente auf ihre voraussichtliche Laufzeit ergibt; dabei ist der Kapitalwert nach dieser Laufzeit zu berechnen. </w:t>
      </w:r>
      <w:r>
        <w:rPr>
          <w:rStyle w:val="Satznummer"/>
        </w:rPr>
        <w:t>4</w:t>
      </w:r>
      <w:r>
        <w:t>Der Ertrag des Rentenrechts (Ertragsanteil) ist aus der nachstehenden Tabelle zu entnehmen:</w:t>
      </w:r>
    </w:p>
    <w:tbl>
      <w:tblPr>
        <w:tblStyle w:val="TableGrid"/>
        <w:tblW w:type="pct" w:w="5000"/>
        <w:tblLook w:firstColumn="1" w:firstRow="1" w:lastColumn="0" w:lastRow="0" w:noHBand="0" w:noVBand="1" w:val="04A0"/>
        <w:tblCaption w:val="Tabelle 2 zu § 22"/>
      </w:tblPr>
      <w:tblGrid>
        <w:gridCol w:w="4703"/>
        <w:gridCol w:w="4703"/>
      </w:tblGrid>
      <w:tr>
        <w:trPr>
          <w:cantSplit/>
          <w:tblHeader/>
        </w:trPr>
        <w:tc>
          <w:tcPr>
            <w:tcW w:type="dxa" w:w="4703"/>
          </w:tcPr>
          <w:p>
            <w:r>
              <w:rPr>
                <w:b/>
              </w:rPr>
              <w:t>Bei Beginn</w:t>
            </w:r>
            <w:r>
              <w:rPr>
                <w:b/>
              </w:rPr>
              <w:br/>
            </w:r>
            <w:r>
              <w:rPr>
                <w:b/>
              </w:rPr>
              <w:t>der Rente</w:t>
            </w:r>
            <w:r>
              <w:rPr>
                <w:b/>
              </w:rPr>
              <w:br/>
            </w:r>
            <w:r>
              <w:rPr>
                <w:b/>
              </w:rPr>
              <w:t>vollendetes</w:t>
            </w:r>
            <w:r>
              <w:rPr>
                <w:b/>
              </w:rPr>
              <w:br/>
            </w:r>
            <w:r>
              <w:rPr>
                <w:b/>
              </w:rPr>
              <w:t>Lebensjahr</w:t>
            </w:r>
            <w:r>
              <w:rPr>
                <w:b/>
              </w:rPr>
              <w:br/>
            </w:r>
            <w:r>
              <w:rPr>
                <w:b/>
              </w:rPr>
              <w:t>des Renten-</w:t>
            </w:r>
            <w:r>
              <w:rPr>
                <w:b/>
              </w:rPr>
              <w:br/>
            </w:r>
            <w:r>
              <w:rPr>
                <w:b/>
              </w:rPr>
              <w:t>berechtigten</w:t>
            </w:r>
          </w:p>
        </w:tc>
        <w:tc>
          <w:tcPr>
            <w:tcW w:type="dxa" w:w="4703"/>
          </w:tcPr>
          <w:p>
            <w:r>
              <w:rPr>
                <w:b/>
              </w:rPr>
              <w:t>Ertragsanteil</w:t>
            </w:r>
            <w:r>
              <w:rPr>
                <w:b/>
              </w:rPr>
              <w:br/>
            </w:r>
            <w:r>
              <w:rPr>
                <w:b/>
              </w:rPr>
              <w:t>in %</w:t>
            </w:r>
          </w:p>
        </w:tc>
      </w:tr>
      <w:tr>
        <w:trPr>
          <w:cantSplit/>
        </w:trPr>
        <w:tc>
          <w:tcPr>
            <w:tcW w:type="dxa" w:w="4703"/>
          </w:tcPr>
          <w:p>
            <w:r>
              <w:t>0 bis 1</w:t>
            </w:r>
          </w:p>
        </w:tc>
        <w:tc>
          <w:tcPr>
            <w:tcW w:type="dxa" w:w="4703"/>
          </w:tcPr>
          <w:p>
            <w:r>
              <w:t>59</w:t>
            </w:r>
          </w:p>
        </w:tc>
      </w:tr>
      <w:tr>
        <w:trPr>
          <w:cantSplit/>
        </w:trPr>
        <w:tc>
          <w:tcPr>
            <w:tcW w:type="dxa" w:w="4703"/>
          </w:tcPr>
          <w:p>
            <w:r>
              <w:t>2 bis 3</w:t>
            </w:r>
          </w:p>
        </w:tc>
        <w:tc>
          <w:tcPr>
            <w:tcW w:type="dxa" w:w="4703"/>
          </w:tcPr>
          <w:p>
            <w:r>
              <w:t>58</w:t>
            </w:r>
          </w:p>
        </w:tc>
      </w:tr>
      <w:tr>
        <w:trPr>
          <w:cantSplit/>
        </w:trPr>
        <w:tc>
          <w:tcPr>
            <w:tcW w:type="dxa" w:w="4703"/>
          </w:tcPr>
          <w:p>
            <w:r>
              <w:t>4 bis 5</w:t>
            </w:r>
          </w:p>
        </w:tc>
        <w:tc>
          <w:tcPr>
            <w:tcW w:type="dxa" w:w="4703"/>
          </w:tcPr>
          <w:p>
            <w:r>
              <w:t>57</w:t>
            </w:r>
          </w:p>
        </w:tc>
      </w:tr>
      <w:tr>
        <w:trPr>
          <w:cantSplit/>
        </w:trPr>
        <w:tc>
          <w:tcPr>
            <w:tcW w:type="dxa" w:w="4703"/>
          </w:tcPr>
          <w:p>
            <w:r>
              <w:t>6 bis 8</w:t>
            </w:r>
          </w:p>
        </w:tc>
        <w:tc>
          <w:tcPr>
            <w:tcW w:type="dxa" w:w="4703"/>
          </w:tcPr>
          <w:p>
            <w:r>
              <w:t>56</w:t>
            </w:r>
          </w:p>
        </w:tc>
      </w:tr>
      <w:tr>
        <w:trPr>
          <w:cantSplit/>
        </w:trPr>
        <w:tc>
          <w:tcPr>
            <w:tcW w:type="dxa" w:w="4703"/>
          </w:tcPr>
          <w:p>
            <w:r>
              <w:t>9 bis 10</w:t>
            </w:r>
          </w:p>
        </w:tc>
        <w:tc>
          <w:tcPr>
            <w:tcW w:type="dxa" w:w="4703"/>
          </w:tcPr>
          <w:p>
            <w:r>
              <w:t>55</w:t>
            </w:r>
          </w:p>
        </w:tc>
      </w:tr>
      <w:tr>
        <w:trPr>
          <w:cantSplit/>
        </w:trPr>
        <w:tc>
          <w:tcPr>
            <w:tcW w:type="dxa" w:w="4703"/>
          </w:tcPr>
          <w:p>
            <w:r>
              <w:t>11 bis 12</w:t>
            </w:r>
          </w:p>
        </w:tc>
        <w:tc>
          <w:tcPr>
            <w:tcW w:type="dxa" w:w="4703"/>
          </w:tcPr>
          <w:p>
            <w:r>
              <w:t>54</w:t>
            </w:r>
          </w:p>
        </w:tc>
      </w:tr>
      <w:tr>
        <w:trPr>
          <w:cantSplit/>
        </w:trPr>
        <w:tc>
          <w:tcPr>
            <w:tcW w:type="dxa" w:w="4703"/>
          </w:tcPr>
          <w:p>
            <w:r>
              <w:t>13 bis 14</w:t>
            </w:r>
          </w:p>
        </w:tc>
        <w:tc>
          <w:tcPr>
            <w:tcW w:type="dxa" w:w="4703"/>
          </w:tcPr>
          <w:p>
            <w:r>
              <w:t>53</w:t>
            </w:r>
          </w:p>
        </w:tc>
      </w:tr>
      <w:tr>
        <w:trPr>
          <w:cantSplit/>
        </w:trPr>
        <w:tc>
          <w:tcPr>
            <w:tcW w:type="dxa" w:w="4703"/>
          </w:tcPr>
          <w:p>
            <w:r>
              <w:t>15 bis 16</w:t>
            </w:r>
          </w:p>
        </w:tc>
        <w:tc>
          <w:tcPr>
            <w:tcW w:type="dxa" w:w="4703"/>
          </w:tcPr>
          <w:p>
            <w:r>
              <w:t>52</w:t>
            </w:r>
          </w:p>
        </w:tc>
      </w:tr>
      <w:tr>
        <w:trPr>
          <w:cantSplit/>
        </w:trPr>
        <w:tc>
          <w:tcPr>
            <w:tcW w:type="dxa" w:w="4703"/>
          </w:tcPr>
          <w:p>
            <w:r>
              <w:t>17 bis 18</w:t>
            </w:r>
          </w:p>
        </w:tc>
        <w:tc>
          <w:tcPr>
            <w:tcW w:type="dxa" w:w="4703"/>
          </w:tcPr>
          <w:p>
            <w:r>
              <w:t>51</w:t>
            </w:r>
          </w:p>
        </w:tc>
      </w:tr>
      <w:tr>
        <w:trPr>
          <w:cantSplit/>
        </w:trPr>
        <w:tc>
          <w:tcPr>
            <w:tcW w:type="dxa" w:w="4703"/>
          </w:tcPr>
          <w:p>
            <w:r>
              <w:t>19 bis 20</w:t>
            </w:r>
          </w:p>
        </w:tc>
        <w:tc>
          <w:tcPr>
            <w:tcW w:type="dxa" w:w="4703"/>
          </w:tcPr>
          <w:p>
            <w:r>
              <w:t>50</w:t>
            </w:r>
          </w:p>
        </w:tc>
      </w:tr>
      <w:tr>
        <w:trPr>
          <w:cantSplit/>
        </w:trPr>
        <w:tc>
          <w:tcPr>
            <w:tcW w:type="dxa" w:w="4703"/>
          </w:tcPr>
          <w:p>
            <w:r>
              <w:t>21 bis 22</w:t>
            </w:r>
          </w:p>
        </w:tc>
        <w:tc>
          <w:tcPr>
            <w:tcW w:type="dxa" w:w="4703"/>
          </w:tcPr>
          <w:p>
            <w:r>
              <w:t>49</w:t>
            </w:r>
          </w:p>
        </w:tc>
      </w:tr>
      <w:tr>
        <w:trPr>
          <w:cantSplit/>
        </w:trPr>
        <w:tc>
          <w:tcPr>
            <w:tcW w:type="dxa" w:w="4703"/>
          </w:tcPr>
          <w:p>
            <w:r>
              <w:t>23 bis 24</w:t>
            </w:r>
          </w:p>
        </w:tc>
        <w:tc>
          <w:tcPr>
            <w:tcW w:type="dxa" w:w="4703"/>
          </w:tcPr>
          <w:p>
            <w:r>
              <w:t>48</w:t>
            </w:r>
          </w:p>
        </w:tc>
      </w:tr>
      <w:tr>
        <w:trPr>
          <w:cantSplit/>
        </w:trPr>
        <w:tc>
          <w:tcPr>
            <w:tcW w:type="dxa" w:w="4703"/>
          </w:tcPr>
          <w:p>
            <w:r>
              <w:t>25 bis 26</w:t>
            </w:r>
          </w:p>
        </w:tc>
        <w:tc>
          <w:tcPr>
            <w:tcW w:type="dxa" w:w="4703"/>
          </w:tcPr>
          <w:p>
            <w:r>
              <w:t>47</w:t>
            </w:r>
          </w:p>
        </w:tc>
      </w:tr>
      <w:tr>
        <w:trPr>
          <w:cantSplit/>
        </w:trPr>
        <w:tc>
          <w:tcPr>
            <w:tcW w:type="dxa" w:w="4703"/>
          </w:tcPr>
          <w:p>
            <w:r>
              <w:t>27</w:t>
            </w:r>
          </w:p>
        </w:tc>
        <w:tc>
          <w:tcPr>
            <w:tcW w:type="dxa" w:w="4703"/>
          </w:tcPr>
          <w:p>
            <w:r>
              <w:t>46</w:t>
            </w:r>
          </w:p>
        </w:tc>
      </w:tr>
      <w:tr>
        <w:trPr>
          <w:cantSplit/>
        </w:trPr>
        <w:tc>
          <w:tcPr>
            <w:tcW w:type="dxa" w:w="4703"/>
          </w:tcPr>
          <w:p>
            <w:r>
              <w:t>28 bis 29</w:t>
            </w:r>
          </w:p>
        </w:tc>
        <w:tc>
          <w:tcPr>
            <w:tcW w:type="dxa" w:w="4703"/>
          </w:tcPr>
          <w:p>
            <w:r>
              <w:t>45</w:t>
            </w:r>
          </w:p>
        </w:tc>
      </w:tr>
      <w:tr>
        <w:trPr>
          <w:cantSplit/>
        </w:trPr>
        <w:tc>
          <w:tcPr>
            <w:tcW w:type="dxa" w:w="4703"/>
          </w:tcPr>
          <w:p>
            <w:r>
              <w:t>30 bis 31</w:t>
            </w:r>
          </w:p>
        </w:tc>
        <w:tc>
          <w:tcPr>
            <w:tcW w:type="dxa" w:w="4703"/>
          </w:tcPr>
          <w:p>
            <w:r>
              <w:t>44</w:t>
            </w:r>
          </w:p>
        </w:tc>
      </w:tr>
      <w:tr>
        <w:trPr>
          <w:cantSplit/>
        </w:trPr>
        <w:tc>
          <w:tcPr>
            <w:tcW w:type="dxa" w:w="4703"/>
          </w:tcPr>
          <w:p>
            <w:r>
              <w:t>32</w:t>
            </w:r>
          </w:p>
        </w:tc>
        <w:tc>
          <w:tcPr>
            <w:tcW w:type="dxa" w:w="4703"/>
          </w:tcPr>
          <w:p>
            <w:r>
              <w:t>43</w:t>
            </w:r>
          </w:p>
        </w:tc>
      </w:tr>
      <w:tr>
        <w:trPr>
          <w:cantSplit/>
        </w:trPr>
        <w:tc>
          <w:tcPr>
            <w:tcW w:type="dxa" w:w="4703"/>
          </w:tcPr>
          <w:p>
            <w:r>
              <w:t>33 bis 34</w:t>
            </w:r>
          </w:p>
        </w:tc>
        <w:tc>
          <w:tcPr>
            <w:tcW w:type="dxa" w:w="4703"/>
          </w:tcPr>
          <w:p>
            <w:r>
              <w:t>42</w:t>
            </w:r>
          </w:p>
        </w:tc>
      </w:tr>
      <w:tr>
        <w:trPr>
          <w:cantSplit/>
        </w:trPr>
        <w:tc>
          <w:tcPr>
            <w:tcW w:type="dxa" w:w="4703"/>
          </w:tcPr>
          <w:p>
            <w:r>
              <w:t>35</w:t>
            </w:r>
          </w:p>
        </w:tc>
        <w:tc>
          <w:tcPr>
            <w:tcW w:type="dxa" w:w="4703"/>
          </w:tcPr>
          <w:p>
            <w:r>
              <w:t>41</w:t>
            </w:r>
          </w:p>
        </w:tc>
      </w:tr>
      <w:tr>
        <w:trPr>
          <w:cantSplit/>
        </w:trPr>
        <w:tc>
          <w:tcPr>
            <w:tcW w:type="dxa" w:w="4703"/>
          </w:tcPr>
          <w:p>
            <w:r>
              <w:t>36 bis 37</w:t>
            </w:r>
          </w:p>
        </w:tc>
        <w:tc>
          <w:tcPr>
            <w:tcW w:type="dxa" w:w="4703"/>
          </w:tcPr>
          <w:p>
            <w:r>
              <w:t>40</w:t>
            </w:r>
          </w:p>
        </w:tc>
      </w:tr>
      <w:tr>
        <w:trPr>
          <w:cantSplit/>
        </w:trPr>
        <w:tc>
          <w:tcPr>
            <w:tcW w:type="dxa" w:w="4703"/>
          </w:tcPr>
          <w:p>
            <w:r>
              <w:t>38</w:t>
            </w:r>
          </w:p>
        </w:tc>
        <w:tc>
          <w:tcPr>
            <w:tcW w:type="dxa" w:w="4703"/>
          </w:tcPr>
          <w:p>
            <w:r>
              <w:t>39</w:t>
            </w:r>
          </w:p>
        </w:tc>
      </w:tr>
      <w:tr>
        <w:trPr>
          <w:cantSplit/>
        </w:trPr>
        <w:tc>
          <w:tcPr>
            <w:tcW w:type="dxa" w:w="4703"/>
          </w:tcPr>
          <w:p>
            <w:r>
              <w:t>39 bis 40</w:t>
            </w:r>
          </w:p>
        </w:tc>
        <w:tc>
          <w:tcPr>
            <w:tcW w:type="dxa" w:w="4703"/>
          </w:tcPr>
          <w:p>
            <w:r>
              <w:t>38</w:t>
            </w:r>
          </w:p>
        </w:tc>
      </w:tr>
      <w:tr>
        <w:trPr>
          <w:cantSplit/>
        </w:trPr>
        <w:tc>
          <w:tcPr>
            <w:tcW w:type="dxa" w:w="4703"/>
          </w:tcPr>
          <w:p>
            <w:r>
              <w:t>41</w:t>
            </w:r>
          </w:p>
        </w:tc>
        <w:tc>
          <w:tcPr>
            <w:tcW w:type="dxa" w:w="4703"/>
          </w:tcPr>
          <w:p>
            <w:r>
              <w:t>37</w:t>
            </w:r>
          </w:p>
        </w:tc>
      </w:tr>
      <w:tr>
        <w:trPr>
          <w:cantSplit/>
        </w:trPr>
        <w:tc>
          <w:tcPr>
            <w:tcW w:type="dxa" w:w="4703"/>
          </w:tcPr>
          <w:p>
            <w:r>
              <w:t>42</w:t>
            </w:r>
          </w:p>
        </w:tc>
        <w:tc>
          <w:tcPr>
            <w:tcW w:type="dxa" w:w="4703"/>
          </w:tcPr>
          <w:p>
            <w:r>
              <w:t>36</w:t>
            </w:r>
          </w:p>
        </w:tc>
      </w:tr>
      <w:tr>
        <w:trPr>
          <w:cantSplit/>
        </w:trPr>
        <w:tc>
          <w:tcPr>
            <w:tcW w:type="dxa" w:w="4703"/>
          </w:tcPr>
          <w:p>
            <w:r>
              <w:t>43 bis 44</w:t>
            </w:r>
          </w:p>
        </w:tc>
        <w:tc>
          <w:tcPr>
            <w:tcW w:type="dxa" w:w="4703"/>
          </w:tcPr>
          <w:p>
            <w:r>
              <w:t>35</w:t>
            </w:r>
          </w:p>
        </w:tc>
      </w:tr>
      <w:tr>
        <w:trPr>
          <w:cantSplit/>
        </w:trPr>
        <w:tc>
          <w:tcPr>
            <w:tcW w:type="dxa" w:w="4703"/>
          </w:tcPr>
          <w:p>
            <w:r>
              <w:t>45</w:t>
            </w:r>
          </w:p>
        </w:tc>
        <w:tc>
          <w:tcPr>
            <w:tcW w:type="dxa" w:w="4703"/>
          </w:tcPr>
          <w:p>
            <w:r>
              <w:t>34</w:t>
            </w:r>
          </w:p>
        </w:tc>
      </w:tr>
      <w:tr>
        <w:trPr>
          <w:cantSplit/>
        </w:trPr>
        <w:tc>
          <w:tcPr>
            <w:tcW w:type="dxa" w:w="4703"/>
          </w:tcPr>
          <w:p>
            <w:r>
              <w:t>46 bis 47</w:t>
            </w:r>
          </w:p>
        </w:tc>
        <w:tc>
          <w:tcPr>
            <w:tcW w:type="dxa" w:w="4703"/>
          </w:tcPr>
          <w:p>
            <w:r>
              <w:t>33</w:t>
            </w:r>
          </w:p>
        </w:tc>
      </w:tr>
      <w:tr>
        <w:trPr>
          <w:cantSplit/>
        </w:trPr>
        <w:tc>
          <w:tcPr>
            <w:tcW w:type="dxa" w:w="4703"/>
          </w:tcPr>
          <w:p>
            <w:r>
              <w:t>48</w:t>
            </w:r>
          </w:p>
        </w:tc>
        <w:tc>
          <w:tcPr>
            <w:tcW w:type="dxa" w:w="4703"/>
          </w:tcPr>
          <w:p>
            <w:r>
              <w:t>32</w:t>
            </w:r>
          </w:p>
        </w:tc>
      </w:tr>
      <w:tr>
        <w:trPr>
          <w:cantSplit/>
        </w:trPr>
        <w:tc>
          <w:tcPr>
            <w:tcW w:type="dxa" w:w="4703"/>
          </w:tcPr>
          <w:p>
            <w:r>
              <w:t>49</w:t>
            </w:r>
          </w:p>
        </w:tc>
        <w:tc>
          <w:tcPr>
            <w:tcW w:type="dxa" w:w="4703"/>
          </w:tcPr>
          <w:p>
            <w:r>
              <w:t>31</w:t>
            </w:r>
          </w:p>
        </w:tc>
      </w:tr>
      <w:tr>
        <w:trPr>
          <w:cantSplit/>
        </w:trPr>
        <w:tc>
          <w:tcPr>
            <w:tcW w:type="dxa" w:w="4703"/>
          </w:tcPr>
          <w:p>
            <w:r>
              <w:t>50</w:t>
            </w:r>
          </w:p>
        </w:tc>
        <w:tc>
          <w:tcPr>
            <w:tcW w:type="dxa" w:w="4703"/>
          </w:tcPr>
          <w:p>
            <w:r>
              <w:t>30</w:t>
            </w:r>
          </w:p>
        </w:tc>
      </w:tr>
      <w:tr>
        <w:trPr>
          <w:cantSplit/>
        </w:trPr>
        <w:tc>
          <w:tcPr>
            <w:tcW w:type="dxa" w:w="4703"/>
          </w:tcPr>
          <w:p>
            <w:r>
              <w:t>51 bis 52</w:t>
            </w:r>
          </w:p>
        </w:tc>
        <w:tc>
          <w:tcPr>
            <w:tcW w:type="dxa" w:w="4703"/>
          </w:tcPr>
          <w:p>
            <w:r>
              <w:t>29</w:t>
            </w:r>
          </w:p>
        </w:tc>
      </w:tr>
      <w:tr>
        <w:trPr>
          <w:cantSplit/>
        </w:trPr>
        <w:tc>
          <w:tcPr>
            <w:tcW w:type="dxa" w:w="4703"/>
          </w:tcPr>
          <w:p>
            <w:r>
              <w:t>53</w:t>
            </w:r>
          </w:p>
        </w:tc>
        <w:tc>
          <w:tcPr>
            <w:tcW w:type="dxa" w:w="4703"/>
          </w:tcPr>
          <w:p>
            <w:r>
              <w:t>28</w:t>
            </w:r>
          </w:p>
        </w:tc>
      </w:tr>
      <w:tr>
        <w:trPr>
          <w:cantSplit/>
        </w:trPr>
        <w:tc>
          <w:tcPr>
            <w:tcW w:type="dxa" w:w="4703"/>
          </w:tcPr>
          <w:p>
            <w:r>
              <w:t>54</w:t>
            </w:r>
          </w:p>
        </w:tc>
        <w:tc>
          <w:tcPr>
            <w:tcW w:type="dxa" w:w="4703"/>
          </w:tcPr>
          <w:p>
            <w:r>
              <w:t>27</w:t>
            </w:r>
          </w:p>
        </w:tc>
      </w:tr>
      <w:tr>
        <w:trPr>
          <w:cantSplit/>
        </w:trPr>
        <w:tc>
          <w:tcPr>
            <w:tcW w:type="dxa" w:w="4703"/>
          </w:tcPr>
          <w:p>
            <w:r>
              <w:t>55 bis 56</w:t>
            </w:r>
          </w:p>
        </w:tc>
        <w:tc>
          <w:tcPr>
            <w:tcW w:type="dxa" w:w="4703"/>
          </w:tcPr>
          <w:p>
            <w:r>
              <w:t>26</w:t>
            </w:r>
          </w:p>
        </w:tc>
      </w:tr>
      <w:tr>
        <w:trPr>
          <w:cantSplit/>
        </w:trPr>
        <w:tc>
          <w:tcPr>
            <w:tcW w:type="dxa" w:w="4703"/>
          </w:tcPr>
          <w:p>
            <w:r>
              <w:t>57</w:t>
            </w:r>
          </w:p>
        </w:tc>
        <w:tc>
          <w:tcPr>
            <w:tcW w:type="dxa" w:w="4703"/>
          </w:tcPr>
          <w:p>
            <w:r>
              <w:t>25</w:t>
            </w:r>
          </w:p>
        </w:tc>
      </w:tr>
      <w:tr>
        <w:trPr>
          <w:cantSplit/>
        </w:trPr>
        <w:tc>
          <w:tcPr>
            <w:tcW w:type="dxa" w:w="4703"/>
          </w:tcPr>
          <w:p>
            <w:r>
              <w:t>58</w:t>
            </w:r>
          </w:p>
        </w:tc>
        <w:tc>
          <w:tcPr>
            <w:tcW w:type="dxa" w:w="4703"/>
          </w:tcPr>
          <w:p>
            <w:r>
              <w:t>24</w:t>
            </w:r>
          </w:p>
        </w:tc>
      </w:tr>
      <w:tr>
        <w:trPr>
          <w:cantSplit/>
        </w:trPr>
        <w:tc>
          <w:tcPr>
            <w:tcW w:type="dxa" w:w="4703"/>
          </w:tcPr>
          <w:p>
            <w:r>
              <w:t>59</w:t>
            </w:r>
          </w:p>
        </w:tc>
        <w:tc>
          <w:tcPr>
            <w:tcW w:type="dxa" w:w="4703"/>
          </w:tcPr>
          <w:p>
            <w:r>
              <w:t>23</w:t>
            </w:r>
          </w:p>
        </w:tc>
      </w:tr>
      <w:tr>
        <w:trPr>
          <w:cantSplit/>
        </w:trPr>
        <w:tc>
          <w:tcPr>
            <w:tcW w:type="dxa" w:w="4703"/>
          </w:tcPr>
          <w:p>
            <w:r>
              <w:t>60 bis 61</w:t>
            </w:r>
          </w:p>
        </w:tc>
        <w:tc>
          <w:tcPr>
            <w:tcW w:type="dxa" w:w="4703"/>
          </w:tcPr>
          <w:p>
            <w:r>
              <w:t>22</w:t>
            </w:r>
          </w:p>
        </w:tc>
      </w:tr>
      <w:tr>
        <w:trPr>
          <w:cantSplit/>
        </w:trPr>
        <w:tc>
          <w:tcPr>
            <w:tcW w:type="dxa" w:w="4703"/>
          </w:tcPr>
          <w:p>
            <w:r>
              <w:t>62</w:t>
            </w:r>
          </w:p>
        </w:tc>
        <w:tc>
          <w:tcPr>
            <w:tcW w:type="dxa" w:w="4703"/>
          </w:tcPr>
          <w:p>
            <w:r>
              <w:t>21</w:t>
            </w:r>
          </w:p>
        </w:tc>
      </w:tr>
      <w:tr>
        <w:trPr>
          <w:cantSplit/>
        </w:trPr>
        <w:tc>
          <w:tcPr>
            <w:tcW w:type="dxa" w:w="4703"/>
          </w:tcPr>
          <w:p>
            <w:r>
              <w:t>63</w:t>
            </w:r>
          </w:p>
        </w:tc>
        <w:tc>
          <w:tcPr>
            <w:tcW w:type="dxa" w:w="4703"/>
          </w:tcPr>
          <w:p>
            <w:r>
              <w:t>20</w:t>
            </w:r>
          </w:p>
        </w:tc>
      </w:tr>
      <w:tr>
        <w:trPr>
          <w:cantSplit/>
        </w:trPr>
        <w:tc>
          <w:tcPr>
            <w:tcW w:type="dxa" w:w="4703"/>
          </w:tcPr>
          <w:p>
            <w:r>
              <w:t>64</w:t>
            </w:r>
          </w:p>
        </w:tc>
        <w:tc>
          <w:tcPr>
            <w:tcW w:type="dxa" w:w="4703"/>
          </w:tcPr>
          <w:p>
            <w:r>
              <w:t>19</w:t>
            </w:r>
          </w:p>
        </w:tc>
      </w:tr>
      <w:tr>
        <w:trPr>
          <w:cantSplit/>
        </w:trPr>
        <w:tc>
          <w:tcPr>
            <w:tcW w:type="dxa" w:w="4703"/>
          </w:tcPr>
          <w:p>
            <w:r>
              <w:t>65 bis 66</w:t>
            </w:r>
          </w:p>
        </w:tc>
        <w:tc>
          <w:tcPr>
            <w:tcW w:type="dxa" w:w="4703"/>
          </w:tcPr>
          <w:p>
            <w:r>
              <w:t>18</w:t>
            </w:r>
          </w:p>
        </w:tc>
      </w:tr>
      <w:tr>
        <w:trPr>
          <w:cantSplit/>
        </w:trPr>
        <w:tc>
          <w:tcPr>
            <w:tcW w:type="dxa" w:w="4703"/>
          </w:tcPr>
          <w:p>
            <w:r>
              <w:t>67</w:t>
            </w:r>
          </w:p>
        </w:tc>
        <w:tc>
          <w:tcPr>
            <w:tcW w:type="dxa" w:w="4703"/>
          </w:tcPr>
          <w:p>
            <w:r>
              <w:t>17</w:t>
            </w:r>
          </w:p>
        </w:tc>
      </w:tr>
      <w:tr>
        <w:trPr>
          <w:cantSplit/>
        </w:trPr>
        <w:tc>
          <w:tcPr>
            <w:tcW w:type="dxa" w:w="4703"/>
          </w:tcPr>
          <w:p>
            <w:r>
              <w:t>68</w:t>
            </w:r>
          </w:p>
        </w:tc>
        <w:tc>
          <w:tcPr>
            <w:tcW w:type="dxa" w:w="4703"/>
          </w:tcPr>
          <w:p>
            <w:r>
              <w:t>16</w:t>
            </w:r>
          </w:p>
        </w:tc>
      </w:tr>
      <w:tr>
        <w:trPr>
          <w:cantSplit/>
        </w:trPr>
        <w:tc>
          <w:tcPr>
            <w:tcW w:type="dxa" w:w="4703"/>
          </w:tcPr>
          <w:p>
            <w:r>
              <w:t>69 bis 70</w:t>
            </w:r>
          </w:p>
        </w:tc>
        <w:tc>
          <w:tcPr>
            <w:tcW w:type="dxa" w:w="4703"/>
          </w:tcPr>
          <w:p>
            <w:r>
              <w:t>15</w:t>
            </w:r>
          </w:p>
        </w:tc>
      </w:tr>
      <w:tr>
        <w:trPr>
          <w:cantSplit/>
        </w:trPr>
        <w:tc>
          <w:tcPr>
            <w:tcW w:type="dxa" w:w="4703"/>
          </w:tcPr>
          <w:p>
            <w:r>
              <w:t>71</w:t>
            </w:r>
          </w:p>
        </w:tc>
        <w:tc>
          <w:tcPr>
            <w:tcW w:type="dxa" w:w="4703"/>
          </w:tcPr>
          <w:p>
            <w:r>
              <w:t>14</w:t>
            </w:r>
          </w:p>
        </w:tc>
      </w:tr>
      <w:tr>
        <w:trPr>
          <w:cantSplit/>
        </w:trPr>
        <w:tc>
          <w:tcPr>
            <w:tcW w:type="dxa" w:w="4703"/>
          </w:tcPr>
          <w:p>
            <w:r>
              <w:t>72 bis 73</w:t>
            </w:r>
          </w:p>
        </w:tc>
        <w:tc>
          <w:tcPr>
            <w:tcW w:type="dxa" w:w="4703"/>
          </w:tcPr>
          <w:p>
            <w:r>
              <w:t>13</w:t>
            </w:r>
          </w:p>
        </w:tc>
      </w:tr>
      <w:tr>
        <w:trPr>
          <w:cantSplit/>
        </w:trPr>
        <w:tc>
          <w:tcPr>
            <w:tcW w:type="dxa" w:w="4703"/>
          </w:tcPr>
          <w:p>
            <w:r>
              <w:t>74</w:t>
            </w:r>
          </w:p>
        </w:tc>
        <w:tc>
          <w:tcPr>
            <w:tcW w:type="dxa" w:w="4703"/>
          </w:tcPr>
          <w:p>
            <w:r>
              <w:t>12</w:t>
            </w:r>
          </w:p>
        </w:tc>
      </w:tr>
      <w:tr>
        <w:trPr>
          <w:cantSplit/>
        </w:trPr>
        <w:tc>
          <w:tcPr>
            <w:tcW w:type="dxa" w:w="4703"/>
          </w:tcPr>
          <w:p>
            <w:r>
              <w:t>75</w:t>
            </w:r>
          </w:p>
        </w:tc>
        <w:tc>
          <w:tcPr>
            <w:tcW w:type="dxa" w:w="4703"/>
          </w:tcPr>
          <w:p>
            <w:r>
              <w:t>11</w:t>
            </w:r>
          </w:p>
        </w:tc>
      </w:tr>
      <w:tr>
        <w:trPr>
          <w:cantSplit/>
        </w:trPr>
        <w:tc>
          <w:tcPr>
            <w:tcW w:type="dxa" w:w="4703"/>
          </w:tcPr>
          <w:p>
            <w:r>
              <w:t>76 bis 77</w:t>
            </w:r>
          </w:p>
        </w:tc>
        <w:tc>
          <w:tcPr>
            <w:tcW w:type="dxa" w:w="4703"/>
          </w:tcPr>
          <w:p>
            <w:r>
              <w:t>10</w:t>
            </w:r>
          </w:p>
        </w:tc>
      </w:tr>
      <w:tr>
        <w:trPr>
          <w:cantSplit/>
        </w:trPr>
        <w:tc>
          <w:tcPr>
            <w:tcW w:type="dxa" w:w="4703"/>
          </w:tcPr>
          <w:p>
            <w:r>
              <w:t>78 bis 79</w:t>
            </w:r>
          </w:p>
        </w:tc>
        <w:tc>
          <w:tcPr>
            <w:tcW w:type="dxa" w:w="4703"/>
          </w:tcPr>
          <w:p>
            <w:r>
              <w:t xml:space="preserve"> 9</w:t>
            </w:r>
          </w:p>
        </w:tc>
      </w:tr>
      <w:tr>
        <w:trPr>
          <w:cantSplit/>
        </w:trPr>
        <w:tc>
          <w:tcPr>
            <w:tcW w:type="dxa" w:w="4703"/>
          </w:tcPr>
          <w:p>
            <w:r>
              <w:t>80</w:t>
            </w:r>
          </w:p>
        </w:tc>
        <w:tc>
          <w:tcPr>
            <w:tcW w:type="dxa" w:w="4703"/>
          </w:tcPr>
          <w:p>
            <w:r>
              <w:t xml:space="preserve"> 8</w:t>
            </w:r>
          </w:p>
        </w:tc>
      </w:tr>
      <w:tr>
        <w:trPr>
          <w:cantSplit/>
        </w:trPr>
        <w:tc>
          <w:tcPr>
            <w:tcW w:type="dxa" w:w="4703"/>
          </w:tcPr>
          <w:p>
            <w:r>
              <w:t>81 bis 82</w:t>
            </w:r>
          </w:p>
        </w:tc>
        <w:tc>
          <w:tcPr>
            <w:tcW w:type="dxa" w:w="4703"/>
          </w:tcPr>
          <w:p>
            <w:r>
              <w:t xml:space="preserve"> 7</w:t>
            </w:r>
          </w:p>
        </w:tc>
      </w:tr>
      <w:tr>
        <w:trPr>
          <w:cantSplit/>
        </w:trPr>
        <w:tc>
          <w:tcPr>
            <w:tcW w:type="dxa" w:w="4703"/>
          </w:tcPr>
          <w:p>
            <w:r>
              <w:t>83 bis 84</w:t>
            </w:r>
          </w:p>
        </w:tc>
        <w:tc>
          <w:tcPr>
            <w:tcW w:type="dxa" w:w="4703"/>
          </w:tcPr>
          <w:p>
            <w:r>
              <w:t xml:space="preserve"> 6</w:t>
            </w:r>
          </w:p>
        </w:tc>
      </w:tr>
      <w:tr>
        <w:trPr>
          <w:cantSplit/>
        </w:trPr>
        <w:tc>
          <w:tcPr>
            <w:tcW w:type="dxa" w:w="4703"/>
          </w:tcPr>
          <w:p>
            <w:r>
              <w:t>85 bis 87</w:t>
            </w:r>
          </w:p>
        </w:tc>
        <w:tc>
          <w:tcPr>
            <w:tcW w:type="dxa" w:w="4703"/>
          </w:tcPr>
          <w:p>
            <w:r>
              <w:t xml:space="preserve"> 5</w:t>
            </w:r>
          </w:p>
        </w:tc>
      </w:tr>
      <w:tr>
        <w:trPr>
          <w:cantSplit/>
        </w:trPr>
        <w:tc>
          <w:tcPr>
            <w:tcW w:type="dxa" w:w="4703"/>
          </w:tcPr>
          <w:p>
            <w:r>
              <w:t>88 bis 91</w:t>
            </w:r>
          </w:p>
        </w:tc>
        <w:tc>
          <w:tcPr>
            <w:tcW w:type="dxa" w:w="4703"/>
          </w:tcPr>
          <w:p>
            <w:r>
              <w:t xml:space="preserve"> 4</w:t>
            </w:r>
          </w:p>
        </w:tc>
      </w:tr>
      <w:tr>
        <w:trPr>
          <w:cantSplit/>
        </w:trPr>
        <w:tc>
          <w:tcPr>
            <w:tcW w:type="dxa" w:w="4703"/>
          </w:tcPr>
          <w:p>
            <w:r>
              <w:t>92 bis 93</w:t>
            </w:r>
          </w:p>
        </w:tc>
        <w:tc>
          <w:tcPr>
            <w:tcW w:type="dxa" w:w="4703"/>
          </w:tcPr>
          <w:p>
            <w:r>
              <w:t xml:space="preserve"> 3</w:t>
            </w:r>
          </w:p>
        </w:tc>
      </w:tr>
      <w:tr>
        <w:trPr>
          <w:cantSplit/>
        </w:trPr>
        <w:tc>
          <w:tcPr>
            <w:tcW w:type="dxa" w:w="4703"/>
          </w:tcPr>
          <w:p>
            <w:r>
              <w:t>94 bis 96</w:t>
            </w:r>
          </w:p>
        </w:tc>
        <w:tc>
          <w:tcPr>
            <w:tcW w:type="dxa" w:w="4703"/>
          </w:tcPr>
          <w:p>
            <w:r>
              <w:t xml:space="preserve"> 2</w:t>
            </w:r>
          </w:p>
        </w:tc>
      </w:tr>
      <w:tr>
        <w:trPr>
          <w:cantSplit/>
        </w:trPr>
        <w:tc>
          <w:tcPr>
            <w:tcW w:type="dxa" w:w="4703"/>
          </w:tcPr>
          <w:p>
            <w:r>
              <w:t>ab 97</w:t>
            </w:r>
          </w:p>
        </w:tc>
        <w:tc>
          <w:tcPr>
            <w:tcW w:type="dxa" w:w="4703"/>
          </w:tcPr>
          <w:p>
            <w:r>
              <w:t xml:space="preserve"> 1</w:t>
            </w:r>
          </w:p>
        </w:tc>
      </w:tr>
    </w:tbl>
    <w:p>
      <w:pPr>
        <w:spacing w:after="0"/>
      </w:pPr>
    </w:p>
    <w:p>
      <w:pPr>
        <w:ind w:left="1701"/>
      </w:pPr>
      <w:r>
        <w:rPr>
          <w:rStyle w:val="Satznummer"/>
        </w:rPr>
        <w:t>5</w:t>
      </w:r>
      <w:r>
        <w:t xml:space="preserve">Die Ermittlung des Ertrags aus Leibrenten, die vor dem 1. Januar 1955 zu laufen begonnen haben, und aus Renten, deren Dauer von der Lebenszeit mehrerer Personen oder einer anderen Person als des Rentenberechtigten abhängt, sowie aus Leibrenten, die auf eine bestimmte Zeit beschränkt sind, wird durch eine Rechtsverordnung bestimmt. </w:t>
      </w:r>
      <w:r>
        <w:rPr>
          <w:rStyle w:val="Satznummer"/>
        </w:rPr>
        <w:t>6</w:t>
      </w:r>
      <w:r>
        <w:t>Doppelbuchstabe aa Satz 9 gilt entsprechend;</w:t>
      </w:r>
    </w:p>
    <w:p>
      <w:pPr>
        <w:tabs>
          <w:tab w:pos="1134" w:val="left"/>
        </w:tabs>
        <w:ind w:left="1134" w:hanging="567"/>
      </w:pPr>
      <w:r>
        <w:t>b)</w:t>
      </w:r>
      <w:r>
        <w:tab/>
      </w:r>
      <w:r>
        <w:t>Einkünfte aus Zuschüssen und sonstigen Vorteilen, die als wiederkehrende Bezüge gewährt werden;</w:t>
      </w:r>
    </w:p>
    <w:p>
      <w:pPr>
        <w:tabs>
          <w:tab w:pos="1134" w:val="left"/>
        </w:tabs>
        <w:ind w:left="1134" w:hanging="567"/>
      </w:pPr>
      <w:r>
        <w:t>c)</w:t>
      </w:r>
      <w:r>
        <w:tab/>
      </w:r>
      <w:r>
        <w:t>die Energiepreispauschale nach dem Rentenbeziehende-Energiepreispauschalengesetz;</w:t>
      </w:r>
    </w:p>
    <w:p>
      <w:pPr>
        <w:tabs>
          <w:tab w:pos="567" w:val="left"/>
        </w:tabs>
        <w:ind w:left="567" w:hanging="567"/>
      </w:pPr>
      <w:r>
        <w:t>1a.</w:t>
      </w:r>
      <w:r>
        <w:tab/>
      </w:r>
      <w:r>
        <w:t xml:space="preserve">Einkünfte aus Leistungen und Zahlungen nach </w:t>
      </w:r>
      <w:hyperlink w:anchor="b51" w:history="1">
        <w:r>
          <w:rPr>
            <w:color w:val="0A3A8C"/>
            <w:u w:val="single"/>
          </w:rPr>
          <w:t xml:space="preserve">§ 10</w:t>
        </w:r>
      </w:hyperlink>
      <w:r>
        <w:t xml:space="preserve"> Absatz 1a, soweit für diese die Voraussetzungen für den Sonderausgabenabzug beim Leistungs- oder Zahlungsverpflichteten nach </w:t>
      </w:r>
      <w:hyperlink w:anchor="b51" w:history="1">
        <w:r>
          <w:rPr>
            <w:color w:val="0A3A8C"/>
            <w:u w:val="single"/>
          </w:rPr>
          <w:t xml:space="preserve">§ 10</w:t>
        </w:r>
      </w:hyperlink>
      <w:r>
        <w:t xml:space="preserve"> Absatz 1a erfüllt sind;</w:t>
      </w:r>
    </w:p>
    <w:p>
      <w:pPr>
        <w:tabs>
          <w:tab w:pos="567" w:val="left"/>
        </w:tabs>
        <w:ind w:left="567" w:hanging="567"/>
      </w:pPr>
      <w:r>
        <w:t>1b.</w:t>
      </w:r>
      <w:r>
        <w:tab/>
      </w:r>
      <w:r>
        <w:t>(weggefallen)</w:t>
      </w:r>
    </w:p>
    <w:p>
      <w:pPr>
        <w:tabs>
          <w:tab w:pos="567" w:val="left"/>
        </w:tabs>
        <w:ind w:left="567" w:hanging="567"/>
      </w:pPr>
      <w:r>
        <w:t>1c.</w:t>
      </w:r>
      <w:r>
        <w:tab/>
      </w:r>
      <w:r>
        <w:t>(weggefallen)</w:t>
      </w:r>
    </w:p>
    <w:p>
      <w:pPr>
        <w:tabs>
          <w:tab w:pos="567" w:val="left"/>
        </w:tabs>
        <w:ind w:left="567" w:hanging="567"/>
      </w:pPr>
      <w:r>
        <w:t>2.</w:t>
      </w:r>
      <w:r>
        <w:tab/>
      </w:r>
      <w:r>
        <w:t xml:space="preserve">Einkünfte aus privaten Veräußerungsgeschäften im Sinne des </w:t>
      </w:r>
      <w:hyperlink w:anchor="b92" w:history="1">
        <w:r>
          <w:rPr>
            <w:color w:val="0A3A8C"/>
            <w:u w:val="single"/>
          </w:rPr>
          <w:t xml:space="preserve">§ 23</w:t>
        </w:r>
      </w:hyperlink>
      <w:r>
        <w:t>;</w:t>
      </w:r>
    </w:p>
    <w:p>
      <w:pPr>
        <w:tabs>
          <w:tab w:pos="567" w:val="left"/>
        </w:tabs>
        <w:ind w:left="567" w:hanging="567"/>
      </w:pPr>
      <w:r>
        <w:t>3.</w:t>
      </w:r>
      <w:r>
        <w:tab/>
      </w:r>
      <w:r>
        <w:t>Einkünfte aus Leistungen, soweit sie weder zu anderen Einkunftsarten (</w:t>
      </w:r>
      <w:hyperlink w:anchor="b5" w:history="1">
        <w:r>
          <w:rPr>
            <w:color w:val="0A3A8C"/>
            <w:u w:val="single"/>
          </w:rPr>
          <w:t xml:space="preserve">§ 2</w:t>
        </w:r>
      </w:hyperlink>
      <w:r>
        <w:t xml:space="preserve"> Absatz 1 Satz 1 Nummer 1 bis 6) noch zu den Einkünften im Sinne der Nummern 1, 1a, 2 oder 4 gehören, z. B. Einkünfte aus gelegentlichen Vermittlungen und aus der Vermietung beweglicher Gegenstände. </w:t>
      </w:r>
      <w:r>
        <w:rPr>
          <w:rStyle w:val="Satznummer"/>
        </w:rPr>
        <w:t>2</w:t>
      </w:r>
      <w:r>
        <w:t xml:space="preserve">Solche Einkünfte sind nicht einkommensteuerpflichtig, wenn sie weniger als 256 Euro im Kalenderjahr betragen haben. </w:t>
      </w:r>
      <w:r>
        <w:rPr>
          <w:rStyle w:val="Satznummer"/>
        </w:rPr>
        <w:t>3</w:t>
      </w:r>
      <w:r>
        <w:t xml:space="preserve">Übersteigen die Werbungskosten die Einnahmen, so darf der übersteigende Betrag bei Ermittlung des Einkommens nicht ausgeglichen werden; er darf auch nicht nach </w:t>
      </w:r>
      <w:hyperlink w:anchor="b55" w:history="1">
        <w:r>
          <w:rPr>
            <w:color w:val="0A3A8C"/>
            <w:u w:val="single"/>
          </w:rPr>
          <w:t xml:space="preserve">§ 10d</w:t>
        </w:r>
      </w:hyperlink>
      <w:r>
        <w:t xml:space="preserve"> abgezogen werden. </w:t>
      </w:r>
      <w:r>
        <w:rPr>
          <w:rStyle w:val="Satznummer"/>
        </w:rPr>
        <w:t>4</w:t>
      </w:r>
      <w:r>
        <w:t xml:space="preserve">Die Verluste mindern jedoch nach Maßgabe des </w:t>
      </w:r>
      <w:hyperlink w:anchor="b55" w:history="1">
        <w:r>
          <w:rPr>
            <w:color w:val="0A3A8C"/>
            <w:u w:val="single"/>
          </w:rPr>
          <w:t xml:space="preserve">§ 10d</w:t>
        </w:r>
      </w:hyperlink>
      <w:r>
        <w:t xml:space="preserve"> die Einkünfte, die der Steuerpflichtige in dem unmittelbar vorangegangenen Veranlagungszeitraum oder in den folgenden Veranlagungszeiträumen aus Leistungen im Sinne des Satzes 1 erzielt hat oder erzielt; </w:t>
      </w:r>
      <w:hyperlink w:anchor="b55" w:history="1">
        <w:r>
          <w:rPr>
            <w:color w:val="0A3A8C"/>
            <w:u w:val="single"/>
          </w:rPr>
          <w:t xml:space="preserve">§ 10d</w:t>
        </w:r>
      </w:hyperlink>
      <w:r>
        <w:t xml:space="preserve"> Absatz 4 gilt entsprechend;</w:t>
      </w:r>
    </w:p>
    <w:p>
      <w:pPr>
        <w:tabs>
          <w:tab w:pos="567" w:val="left"/>
        </w:tabs>
        <w:ind w:left="567" w:hanging="567"/>
      </w:pPr>
      <w:r>
        <w:t>4.</w:t>
      </w:r>
      <w:r>
        <w:tab/>
      </w:r>
      <w:r>
        <w:t xml:space="preserve">Entschädigungen, Amtszulagen, Zuschüsse zu Kranken- und Pflegeversicherungsbeiträgen, Übergangsgelder, Überbrückungsgelder, Sterbegelder, Versorgungsabfindungen, Versorgungsbezüge, die auf Grund des Abgeordnetengesetzes oder des Europaabgeordnetengesetzes, sowie vergleichbare Bezüge, die auf Grund der entsprechenden Gesetze der Länder gezahlt werden, und die Entschädigungen, das Übergangsgeld, das Ruhegehalt und die Hinterbliebenenversorgung, die auf Grund des Abgeordnetenstatuts des Europäischen Parlaments von der Europäischen Union gezahlt werden. </w:t>
      </w:r>
      <w:r>
        <w:rPr>
          <w:rStyle w:val="Satznummer"/>
        </w:rPr>
        <w:t>2</w:t>
      </w:r>
      <w:r>
        <w:t xml:space="preserve">Werden zur Abgeltung des durch das Mandat veranlassten Aufwandes Aufwandsentschädigungen gezahlt, so dürfen die durch das Mandat veranlassten Aufwendungen nicht als Werbungskosten abgezogen werden. </w:t>
      </w:r>
      <w:r>
        <w:rPr>
          <w:rStyle w:val="Satznummer"/>
        </w:rPr>
        <w:t>3</w:t>
      </w:r>
      <w:r>
        <w:t xml:space="preserve">Wahlkampfkosten zur Erlangung eines Mandats im Bundestag, im Europäischen Parlament oder im Parlament eines Landes dürfen nicht als Werbungskosten abgezogen werden. </w:t>
      </w:r>
      <w:r>
        <w:rPr>
          <w:rStyle w:val="Satznummer"/>
        </w:rPr>
        <w:t>4</w:t>
      </w:r>
      <w:r>
        <w:t>Es gelten entsprechend</w:t>
      </w:r>
    </w:p>
    <w:p>
      <w:pPr>
        <w:tabs>
          <w:tab w:pos="1134" w:val="left"/>
        </w:tabs>
        <w:ind w:left="1134" w:hanging="567"/>
      </w:pPr>
      <w:r>
        <w:t>a)</w:t>
      </w:r>
      <w:r>
        <w:tab/>
      </w:r>
      <w:r>
        <w:t xml:space="preserve">für Nachversicherungsbeiträge auf Grund gesetzlicher Verpflichtung nach den Abgeordnetengesetzen im Sinne des Satzes 1 und für Zuschüsse zu Kranken- und Pflegeversicherungsbeiträgen </w:t>
      </w:r>
      <w:hyperlink w:anchor="b8" w:history="1">
        <w:r>
          <w:rPr>
            <w:color w:val="0A3A8C"/>
            <w:u w:val="single"/>
          </w:rPr>
          <w:t xml:space="preserve">§ 3</w:t>
        </w:r>
      </w:hyperlink>
      <w:r>
        <w:t xml:space="preserve"> Nummer 62,</w:t>
      </w:r>
    </w:p>
    <w:p>
      <w:pPr>
        <w:tabs>
          <w:tab w:pos="1134" w:val="left"/>
        </w:tabs>
        <w:ind w:left="1134" w:hanging="567"/>
      </w:pPr>
      <w:r>
        <w:t>b)</w:t>
      </w:r>
      <w:r>
        <w:tab/>
      </w:r>
      <w:r>
        <w:t xml:space="preserve">für Versorgungsbezüge </w:t>
      </w:r>
      <w:hyperlink w:anchor="b83" w:history="1">
        <w:r>
          <w:rPr>
            <w:color w:val="0A3A8C"/>
            <w:u w:val="single"/>
          </w:rPr>
          <w:t xml:space="preserve">§ 19</w:t>
        </w:r>
      </w:hyperlink>
      <w:r>
        <w:t xml:space="preserve"> Absatz 2 nur bezüglich des Versorgungsfreibetrags; beim Zusammentreffen mit Versorgungsbezügen im Sinne des </w:t>
      </w:r>
      <w:hyperlink w:anchor="b83" w:history="1">
        <w:r>
          <w:rPr>
            <w:color w:val="0A3A8C"/>
            <w:u w:val="single"/>
          </w:rPr>
          <w:t xml:space="preserve">§ 19</w:t>
        </w:r>
      </w:hyperlink>
      <w:r>
        <w:t xml:space="preserve"> Absatz 2 Satz 2 bleibt jedoch insgesamt höchstens ein Betrag in Höhe des Versorgungsfreibetrags nach § 19 Absatz 2 Satz 3 im Veranlagungszeitraum steuerfrei,</w:t>
      </w:r>
    </w:p>
    <w:p>
      <w:pPr>
        <w:tabs>
          <w:tab w:pos="1134" w:val="left"/>
        </w:tabs>
        <w:ind w:left="1134" w:hanging="567"/>
      </w:pPr>
      <w:r>
        <w:t>c)</w:t>
      </w:r>
      <w:r>
        <w:tab/>
      </w:r>
      <w:r>
        <w:t xml:space="preserve">für das Übergangsgeld, das in einer Summe gezahlt wird, und für die Versorgungsabfindung </w:t>
      </w:r>
      <w:hyperlink w:anchor="b115" w:history="1">
        <w:r>
          <w:rPr>
            <w:color w:val="0A3A8C"/>
            <w:u w:val="single"/>
          </w:rPr>
          <w:t xml:space="preserve">§ 34</w:t>
        </w:r>
      </w:hyperlink>
      <w:r>
        <w:t xml:space="preserve"> Absatz 1,</w:t>
      </w:r>
    </w:p>
    <w:p>
      <w:pPr>
        <w:tabs>
          <w:tab w:pos="1134" w:val="left"/>
        </w:tabs>
        <w:ind w:left="1134" w:hanging="567"/>
      </w:pPr>
      <w:r>
        <w:t>d)</w:t>
      </w:r>
      <w:r>
        <w:tab/>
      </w:r>
      <w:r>
        <w:t xml:space="preserve">für die Gemeinschaftssteuer, die auf die Entschädigungen, das Übergangsgeld, das Ruhegehalt und die Hinterbliebenenversorgung auf Grund des Abgeordnetenstatuts des Europäischen Parlaments von der Europäischen Union erhoben wird, </w:t>
      </w:r>
      <w:hyperlink w:anchor="b120" w:history="1">
        <w:r>
          <w:rPr>
            <w:color w:val="0A3A8C"/>
            <w:u w:val="single"/>
          </w:rPr>
          <w:t xml:space="preserve">§ 34c</w:t>
        </w:r>
      </w:hyperlink>
      <w:r>
        <w:t xml:space="preserve"> Absatz 1; dabei sind die im ersten Halbsatz genannten Einkünfte für die entsprechende Anwendung des </w:t>
      </w:r>
      <w:hyperlink w:anchor="b120" w:history="1">
        <w:r>
          <w:rPr>
            <w:color w:val="0A3A8C"/>
            <w:u w:val="single"/>
          </w:rPr>
          <w:t xml:space="preserve">§ 34c</w:t>
        </w:r>
      </w:hyperlink>
      <w:r>
        <w:t xml:space="preserve"> Absatz 1 wie ausländische Einkünfte und die Gemeinschaftssteuer wie eine der deutschen Einkommensteuer entsprechende ausländische Steuer zu behandeln;</w:t>
      </w:r>
    </w:p>
    <w:p>
      <w:pPr>
        <w:tabs>
          <w:tab w:pos="567" w:val="left"/>
        </w:tabs>
        <w:ind w:left="567" w:hanging="567"/>
      </w:pPr>
      <w:r>
        <w:t>5.</w:t>
      </w:r>
      <w:r>
        <w:tab/>
      </w:r>
      <w:r>
        <w:t xml:space="preserve">Leistungen aus Altersvorsorgeverträgen, Pensionsfonds, Pensionskassen und Direktversicherungen. </w:t>
      </w:r>
      <w:r>
        <w:rPr>
          <w:rStyle w:val="Satznummer"/>
        </w:rPr>
        <w:t>2</w:t>
      </w:r>
      <w:r>
        <w:t xml:space="preserve">Soweit die Leistungen nicht auf Beiträgen, auf die </w:t>
      </w:r>
      <w:hyperlink w:anchor="b8" w:history="1">
        <w:r>
          <w:rPr>
            <w:color w:val="0A3A8C"/>
            <w:u w:val="single"/>
          </w:rPr>
          <w:t xml:space="preserve">§ 3</w:t>
        </w:r>
      </w:hyperlink>
      <w:r>
        <w:t xml:space="preserve"> Nummer 63, 63a, </w:t>
      </w:r>
      <w:hyperlink w:anchor="b52" w:history="1">
        <w:r>
          <w:rPr>
            <w:color w:val="0A3A8C"/>
            <w:u w:val="single"/>
          </w:rPr>
          <w:t xml:space="preserve">§ 10a</w:t>
        </w:r>
      </w:hyperlink>
      <w:r>
        <w:t xml:space="preserve">, Abschnitt XI oder Abschnitt XII angewendet wurden, nicht auf Zulagen im Sinne des Abschnitts XI, nicht auf Zahlungen im Sinne des </w:t>
      </w:r>
      <w:hyperlink w:anchor="b251" w:history="1">
        <w:r>
          <w:rPr>
            <w:color w:val="0A3A8C"/>
            <w:u w:val="single"/>
          </w:rPr>
          <w:t xml:space="preserve">§ 92a</w:t>
        </w:r>
      </w:hyperlink>
      <w:r>
        <w:t xml:space="preserve"> Absatz 2 Satz 4 Nummer 1 und des </w:t>
      </w:r>
      <w:hyperlink w:anchor="b251" w:history="1">
        <w:r>
          <w:rPr>
            <w:color w:val="0A3A8C"/>
            <w:u w:val="single"/>
          </w:rPr>
          <w:t xml:space="preserve">§ 92a</w:t>
        </w:r>
      </w:hyperlink>
      <w:r>
        <w:t xml:space="preserve"> Absatz 3 Satz 9 Nummer 2, nicht auf steuerfreien Leistungen nach </w:t>
      </w:r>
      <w:hyperlink w:anchor="b8" w:history="1">
        <w:r>
          <w:rPr>
            <w:color w:val="0A3A8C"/>
            <w:u w:val="single"/>
          </w:rPr>
          <w:t xml:space="preserve">§ 3</w:t>
        </w:r>
      </w:hyperlink>
      <w:r>
        <w:t xml:space="preserve"> Nummer 66, nicht auf Ansprüchen beruhen, die durch steuerfreie Zuwendungen nach </w:t>
      </w:r>
      <w:hyperlink w:anchor="b8" w:history="1">
        <w:r>
          <w:rPr>
            <w:color w:val="0A3A8C"/>
            <w:u w:val="single"/>
          </w:rPr>
          <w:t xml:space="preserve">§ 3</w:t>
        </w:r>
      </w:hyperlink>
      <w:r>
        <w:t xml:space="preserve"> Nummer 56 oder die durch die nach </w:t>
      </w:r>
      <w:hyperlink w:anchor="b8" w:history="1">
        <w:r>
          <w:rPr>
            <w:color w:val="0A3A8C"/>
            <w:u w:val="single"/>
          </w:rPr>
          <w:t xml:space="preserve">§ 3</w:t>
        </w:r>
      </w:hyperlink>
      <w:r>
        <w:t xml:space="preserve"> Nummer 55b Satz 1 oder </w:t>
      </w:r>
      <w:hyperlink w:anchor="b8" w:history="1">
        <w:r>
          <w:rPr>
            <w:color w:val="0A3A8C"/>
            <w:u w:val="single"/>
          </w:rPr>
          <w:t xml:space="preserve">§ 3</w:t>
        </w:r>
      </w:hyperlink>
      <w:r>
        <w:t xml:space="preserve"> Nummer 55c steuerfreie Leistung aus einem neu begründeten Anrecht erworben wurden, und nicht auf Beiträgen in eine ausländische Versorgungseinrichtung beruhen, für die bei der deutschen Besteuerung oder der Besteuerung in einem anderen Staat eine vergleichbare steuerliche Freistellung oder Begünstigung gewährt wurde,</w:t>
      </w:r>
    </w:p>
    <w:p>
      <w:pPr>
        <w:tabs>
          <w:tab w:pos="1134" w:val="left"/>
        </w:tabs>
        <w:ind w:left="1134" w:hanging="567"/>
      </w:pPr>
      <w:r>
        <w:t>a)</w:t>
      </w:r>
      <w:r>
        <w:tab/>
      </w:r>
      <w:r>
        <w:t>ist bei lebenslangen Renten sowie bei Berufsunfähigkeits-, Erwerbsminderungs- und Hinterbliebenenrenten Nummer 1 Satz 3 Buchstabe a entsprechend anzuwenden,</w:t>
      </w:r>
    </w:p>
    <w:p>
      <w:pPr>
        <w:tabs>
          <w:tab w:pos="1134" w:val="left"/>
        </w:tabs>
        <w:ind w:left="1134" w:hanging="567"/>
      </w:pPr>
      <w:r>
        <w:t>b)</w:t>
      </w:r>
      <w:r>
        <w:tab/>
      </w:r>
      <w:r>
        <w:t>ist bei Leistungen aus Versicherungsverträgen, Pensionsfonds, Pensionskassen und Direktversicherungen, die nicht solche nach Buchstabe a sind, § 20 Absatz 1 Nummer 6 in der jeweils für den Vertrag geltenden Fassung entsprechend anzuwenden,</w:t>
      </w:r>
    </w:p>
    <w:p>
      <w:pPr>
        <w:tabs>
          <w:tab w:pos="1134" w:val="left"/>
        </w:tabs>
        <w:ind w:left="1134" w:hanging="567"/>
      </w:pPr>
      <w:r>
        <w:t>c)</w:t>
      </w:r>
      <w:r>
        <w:tab/>
      </w:r>
      <w:r>
        <w:t xml:space="preserve">unterliegt bei anderen Leistungen der Unterschiedsbetrag zwischen der Leistung und der Summe der auf sie entrichteten Beiträge der Besteuerung; </w:t>
      </w:r>
      <w:hyperlink w:anchor="b86" w:history="1">
        <w:r>
          <w:rPr>
            <w:color w:val="0A3A8C"/>
            <w:u w:val="single"/>
          </w:rPr>
          <w:t xml:space="preserve">§ 20</w:t>
        </w:r>
      </w:hyperlink>
      <w:r>
        <w:t xml:space="preserve"> Absatz 1 Nummer 6 Satz 2 gilt entsprechend.</w:t>
      </w:r>
    </w:p>
    <w:p>
      <w:pPr>
        <w:ind w:left="567"/>
      </w:pPr>
      <w:r>
        <w:rPr>
          <w:rStyle w:val="Satznummer"/>
        </w:rPr>
        <w:t>3</w:t>
      </w:r>
      <w:r>
        <w:t xml:space="preserve">In den Fällen des </w:t>
      </w:r>
      <w:hyperlink w:anchor="b253" w:history="1">
        <w:r>
          <w:rPr>
            <w:color w:val="0A3A8C"/>
            <w:u w:val="single"/>
          </w:rPr>
          <w:t xml:space="preserve">§ 93</w:t>
        </w:r>
      </w:hyperlink>
      <w:r>
        <w:t xml:space="preserve"> Absatz 1 Satz 1 und 2 gilt das ausgezahlte geförderte Altersvorsorgevermögen nach Abzug der Zulagen im Sinne des Abschnitts XI als Leistung im Sinne des Satzes 2. </w:t>
      </w:r>
      <w:r>
        <w:rPr>
          <w:rStyle w:val="Satznummer"/>
        </w:rPr>
        <w:t>4</w:t>
      </w:r>
      <w:r>
        <w:t xml:space="preserve">Als Leistung im Sinne des Satzes 1 gilt auch der Verminderungsbetrag nach </w:t>
      </w:r>
      <w:hyperlink w:anchor="b251" w:history="1">
        <w:r>
          <w:rPr>
            <w:color w:val="0A3A8C"/>
            <w:u w:val="single"/>
          </w:rPr>
          <w:t xml:space="preserve">§ 92a</w:t>
        </w:r>
      </w:hyperlink>
      <w:r>
        <w:t xml:space="preserve"> Absatz 2 Satz 5 und der Auflösungsbetrag nach </w:t>
      </w:r>
      <w:hyperlink w:anchor="b251" w:history="1">
        <w:r>
          <w:rPr>
            <w:color w:val="0A3A8C"/>
            <w:u w:val="single"/>
          </w:rPr>
          <w:t xml:space="preserve">§ 92a</w:t>
        </w:r>
      </w:hyperlink>
      <w:r>
        <w:t xml:space="preserve"> Absatz 3 Satz 5. </w:t>
      </w:r>
      <w:r>
        <w:rPr>
          <w:rStyle w:val="Satznummer"/>
        </w:rPr>
        <w:t>5</w:t>
      </w:r>
      <w:r>
        <w:t xml:space="preserve">Der Auflösungsbetrag nach </w:t>
      </w:r>
      <w:hyperlink w:anchor="b251" w:history="1">
        <w:r>
          <w:rPr>
            <w:color w:val="0A3A8C"/>
            <w:u w:val="single"/>
          </w:rPr>
          <w:t xml:space="preserve">§ 92a</w:t>
        </w:r>
      </w:hyperlink>
      <w:r>
        <w:t xml:space="preserve"> Absatz 2 Satz 6 wird zu 70 Prozent als Leistung nach Satz 1 erfasst. </w:t>
      </w:r>
      <w:r>
        <w:rPr>
          <w:rStyle w:val="Satznummer"/>
        </w:rPr>
        <w:t>6</w:t>
      </w:r>
      <w:r>
        <w:t xml:space="preserve">Tritt nach dem Beginn der Auszahlungsphase zu Lebzeiten des Zulageberechtigten der Fall des </w:t>
      </w:r>
      <w:hyperlink w:anchor="b251" w:history="1">
        <w:r>
          <w:rPr>
            <w:color w:val="0A3A8C"/>
            <w:u w:val="single"/>
          </w:rPr>
          <w:t xml:space="preserve">§ 92a</w:t>
        </w:r>
      </w:hyperlink>
      <w:r>
        <w:t xml:space="preserve"> Absatz 3 Satz 1 ein, dann ist</w:t>
      </w:r>
    </w:p>
    <w:p>
      <w:pPr>
        <w:tabs>
          <w:tab w:pos="1134" w:val="left"/>
        </w:tabs>
        <w:ind w:left="1134" w:hanging="567"/>
      </w:pPr>
      <w:r>
        <w:t>a)</w:t>
      </w:r>
      <w:r>
        <w:tab/>
      </w:r>
      <w:r>
        <w:t>innerhalb eines Zeitraums bis zum zehnten Jahr nach dem Beginn der Auszahlungsphase das Eineinhalbfache,</w:t>
      </w:r>
    </w:p>
    <w:p>
      <w:pPr>
        <w:tabs>
          <w:tab w:pos="1134" w:val="left"/>
        </w:tabs>
        <w:ind w:left="1134" w:hanging="567"/>
      </w:pPr>
      <w:r>
        <w:t>b)</w:t>
      </w:r>
      <w:r>
        <w:tab/>
      </w:r>
      <w:r>
        <w:t>innerhalb eines Zeitraums zwischen dem zehnten und 20. Jahr nach dem Beginn der Auszahlungsphase das Einfache</w:t>
      </w:r>
    </w:p>
    <w:p>
      <w:pPr>
        <w:ind w:left="567"/>
      </w:pPr>
      <w:r>
        <w:t xml:space="preserve">des nach Satz 5 noch nicht erfassten Auflösungsbetrags als Leistung nach Satz 1 zu erfassen; </w:t>
      </w:r>
      <w:hyperlink w:anchor="b251" w:history="1">
        <w:r>
          <w:rPr>
            <w:color w:val="0A3A8C"/>
            <w:u w:val="single"/>
          </w:rPr>
          <w:t xml:space="preserve">§ 92a</w:t>
        </w:r>
      </w:hyperlink>
      <w:r>
        <w:t xml:space="preserve"> Absatz 3 Satz 9 gilt entsprechend mit der Maßgabe, dass als noch nicht zurückgeführter Betrag im Wohnförderkonto der noch nicht erfasste Auflösungsbetrag gilt. </w:t>
      </w:r>
      <w:r>
        <w:rPr>
          <w:rStyle w:val="Satznummer"/>
        </w:rPr>
        <w:t>7</w:t>
      </w:r>
      <w:r>
        <w:t xml:space="preserve">Bei erstmaligem Bezug von Leistungen, in den Fällen des </w:t>
      </w:r>
      <w:hyperlink w:anchor="b253" w:history="1">
        <w:r>
          <w:rPr>
            <w:color w:val="0A3A8C"/>
            <w:u w:val="single"/>
          </w:rPr>
          <w:t xml:space="preserve">§ 93</w:t>
        </w:r>
      </w:hyperlink>
      <w:r>
        <w:t xml:space="preserve"> Absatz 1 sowie bei Änderung der im Kalenderjahr auszuzahlenden Leistung hat der Anbieter (</w:t>
      </w:r>
      <w:hyperlink w:anchor="b237" w:history="1">
        <w:r>
          <w:rPr>
            <w:color w:val="0A3A8C"/>
            <w:u w:val="single"/>
          </w:rPr>
          <w:t xml:space="preserve">§ 80</w:t>
        </w:r>
      </w:hyperlink>
      <w:r>
        <w:t xml:space="preserve">) nach Ablauf des Kalenderjahres dem Steuerpflichtigen nach amtlich vorgeschriebenem Muster den Betrag der im abgelaufenen Kalenderjahr zugeflossenen Leistungen im Sinne der Sätze 1 bis 3 je gesondert mitzuteilen; mit Einverständnis des Steuerpflichtigen kann die Mitteilung elektronisch bereitgestellt werden. </w:t>
      </w:r>
      <w:r>
        <w:rPr>
          <w:rStyle w:val="Satznummer"/>
        </w:rPr>
        <w:t>8</w:t>
      </w:r>
      <w:r>
        <w:t xml:space="preserve">Werden dem Steuerpflichtigen Abschluss- und Vertriebskosten eines Altersvorsorgevertrages erstattet, gilt der Erstattungsbetrag als Leistung im Sinne des Satzes 1. </w:t>
      </w:r>
      <w:r>
        <w:rPr>
          <w:rStyle w:val="Satznummer"/>
        </w:rPr>
        <w:t>9</w:t>
      </w:r>
      <w:r>
        <w:t xml:space="preserve">In den Fällen des </w:t>
      </w:r>
      <w:hyperlink w:anchor="b8" w:history="1">
        <w:r>
          <w:rPr>
            <w:color w:val="0A3A8C"/>
            <w:u w:val="single"/>
          </w:rPr>
          <w:t xml:space="preserve">§ 3</w:t>
        </w:r>
      </w:hyperlink>
      <w:r>
        <w:t xml:space="preserve"> Nummer 55a richtet sich die Zuordnung zu Satz 1 oder Satz 2 bei der ausgleichsberechtigten Person danach, wie eine nur auf die Ehezeit bezogene Zuordnung der sich aus dem übertragenen Anrecht ergebenden Leistung zu Satz 1 oder Satz 2 bei der ausgleichspflichtigen Person im Zeitpunkt der Übertragung ohne die Teilung vorzunehmen gewesen wäre. </w:t>
      </w:r>
      <w:r>
        <w:rPr>
          <w:rStyle w:val="Satznummer"/>
        </w:rPr>
        <w:t>10</w:t>
      </w:r>
      <w:r>
        <w:t xml:space="preserve">Dies gilt sinngemäß in den Fällen des </w:t>
      </w:r>
      <w:hyperlink w:anchor="b8" w:history="1">
        <w:r>
          <w:rPr>
            <w:color w:val="0A3A8C"/>
            <w:u w:val="single"/>
          </w:rPr>
          <w:t xml:space="preserve">§ 3</w:t>
        </w:r>
      </w:hyperlink>
      <w:r>
        <w:t xml:space="preserve"> Nummer 55 und 55e. </w:t>
      </w:r>
      <w:r>
        <w:rPr>
          <w:rStyle w:val="Satznummer"/>
        </w:rPr>
        <w:t>11</w:t>
      </w:r>
      <w:r>
        <w:t xml:space="preserve">Wird eine Versorgungsverpflichtung nach </w:t>
      </w:r>
      <w:hyperlink w:anchor="b8" w:history="1">
        <w:r>
          <w:rPr>
            <w:color w:val="0A3A8C"/>
            <w:u w:val="single"/>
          </w:rPr>
          <w:t xml:space="preserve">§ 3</w:t>
        </w:r>
      </w:hyperlink>
      <w:r>
        <w:t xml:space="preserve"> Nummer 66 auf einen Pensionsfonds übertragen und hat der Steuerpflichtige bereits vor dieser Übertragung Leistungen auf Grund dieser Versorgungsverpflichtung erhalten, so sind insoweit auf die Leistungen aus dem Pensionsfonds im Sinne des Satzes 1 die Beträge nach </w:t>
      </w:r>
      <w:hyperlink w:anchor="b47" w:history="1">
        <w:r>
          <w:rPr>
            <w:color w:val="0A3A8C"/>
            <w:u w:val="single"/>
          </w:rPr>
          <w:t xml:space="preserve">§ 9a</w:t>
        </w:r>
      </w:hyperlink>
      <w:r>
        <w:t xml:space="preserve"> Satz 1 Nummer 1 und </w:t>
      </w:r>
      <w:hyperlink w:anchor="b83" w:history="1">
        <w:r>
          <w:rPr>
            <w:color w:val="0A3A8C"/>
            <w:u w:val="single"/>
          </w:rPr>
          <w:t xml:space="preserve">§ 19</w:t>
        </w:r>
      </w:hyperlink>
      <w:r>
        <w:t xml:space="preserve"> Absatz 2 entsprechend anzuwenden; </w:t>
      </w:r>
      <w:hyperlink w:anchor="b47" w:history="1">
        <w:r>
          <w:rPr>
            <w:color w:val="0A3A8C"/>
            <w:u w:val="single"/>
          </w:rPr>
          <w:t xml:space="preserve">§ 9a</w:t>
        </w:r>
      </w:hyperlink>
      <w:r>
        <w:t xml:space="preserve"> Satz 1 Nummer 3 ist nicht anzuwenden. </w:t>
      </w:r>
      <w:r>
        <w:rPr>
          <w:rStyle w:val="Satznummer"/>
        </w:rPr>
        <w:t>12</w:t>
      </w:r>
      <w:r>
        <w:t xml:space="preserve">Wird auf Grund einer internen Teilung nach § 10 des Versorgungsausgleichsgesetzes oder einer externen Teilung nach § 14 des Versorgungsausgleichsgesetzes ein Anrecht zugunsten der ausgleichsberechtigten Person begründet, so gilt dieser Vertrag insoweit zu dem gleichen Zeitpunkt als abgeschlossen wie der Vertrag der ausgleichspflichtigen Person, wenn die aus dem Vertrag der ausgleichspflichtigen Person ausgezahlten Leistungen zu einer Besteuerung nach Satz 2 führen. </w:t>
      </w:r>
      <w:r>
        <w:rPr>
          <w:rStyle w:val="Satznummer"/>
        </w:rPr>
        <w:t>13</w:t>
      </w:r>
      <w:r>
        <w:t xml:space="preserve">Für Leistungen aus Altersvorsorgeverträgen nach </w:t>
      </w:r>
      <w:hyperlink w:anchor="b253" w:history="1">
        <w:r>
          <w:rPr>
            <w:color w:val="0A3A8C"/>
            <w:u w:val="single"/>
          </w:rPr>
          <w:t xml:space="preserve">§ 93</w:t>
        </w:r>
      </w:hyperlink>
      <w:r>
        <w:t xml:space="preserve"> Absatz 3 ist </w:t>
      </w:r>
      <w:hyperlink w:anchor="b115" w:history="1">
        <w:r>
          <w:rPr>
            <w:color w:val="0A3A8C"/>
            <w:u w:val="single"/>
          </w:rPr>
          <w:t xml:space="preserve">§ 34</w:t>
        </w:r>
      </w:hyperlink>
      <w:r>
        <w:t xml:space="preserve"> Absatz 1 entsprechend anzuwenden. </w:t>
      </w:r>
      <w:r>
        <w:rPr>
          <w:rStyle w:val="Satznummer"/>
        </w:rPr>
        <w:t>14</w:t>
      </w:r>
      <w:r>
        <w:t xml:space="preserve">§ 20 Absatz 1 Nummer 6 Satz 9 in der ab dem 27. Juli 2016 geltenden Fassung findet keine Anwendung. </w:t>
      </w:r>
      <w:r>
        <w:rPr>
          <w:rStyle w:val="Satznummer"/>
        </w:rPr>
        <w:t>15</w:t>
      </w:r>
      <w:r>
        <w:t>Nummer 1 Satz 3 Buchstabe a Doppelbuchstabe aa Satz 9 gilt entsprechend.</w:t>
      </w:r>
    </w:p>
    <w:p>
      <w:pPr>
        <w:pStyle w:val="Heading4"/>
      </w:pPr>
      <w:bookmarkStart w:id="92" w:name="b91"/>
      <w:r>
        <w:t>§ 22a Rentenbezugsmitteilungen an die zentrale Stelle</w:t>
      </w:r>
      <w:r>
        <w:t xml:space="preserve"> </w:t>
      </w:r>
      <w:r>
        <w:rPr>
          <w:rStyle w:val="Suchmarke"/>
        </w:rPr>
        <w:t>#22a#</w:t>
      </w:r>
      <w:bookmarkEnd w:id="92"/>
    </w:p>
    <w:p>
      <w:r>
        <w:t xml:space="preserve">(1) </w:t>
      </w:r>
      <w:r>
        <w:rPr>
          <w:rStyle w:val="Satznummer"/>
        </w:rPr>
        <w:t>1</w:t>
      </w:r>
      <w:r>
        <w:t xml:space="preserve">Nach Maßgabe des § 93c der Abgabenordnung haben die Träger der gesetzlichen Rentenversicherung, die landwirtschaftliche Alterskasse, die berufsständischen Versorgungseinrichtungen, die Pensionskassen, die Pensionsfonds, die Versicherungsunternehmen, die Unternehmen, die Verträge im Sinne des § 10 Absatz 1 Nummer 2 Buchstabe b anbieten, und die Anbieter im Sinne des </w:t>
      </w:r>
      <w:hyperlink w:anchor="b237" w:history="1">
        <w:r>
          <w:rPr>
            <w:color w:val="0A3A8C"/>
            <w:u w:val="single"/>
          </w:rPr>
          <w:t xml:space="preserve">§ 80</w:t>
        </w:r>
      </w:hyperlink>
      <w:r>
        <w:t xml:space="preserve"> als mitteilungspflichtige Stellen der zentralen Stelle (</w:t>
      </w:r>
      <w:hyperlink w:anchor="b238" w:history="1">
        <w:r>
          <w:rPr>
            <w:color w:val="0A3A8C"/>
            <w:u w:val="single"/>
          </w:rPr>
          <w:t xml:space="preserve">§ 81</w:t>
        </w:r>
      </w:hyperlink>
      <w:r>
        <w:t>) unter Beachtung der im Bundessteuerblatt veröffentlichten Auslegungsvorschriften der Finanzverwaltung folgende Daten zu übermitteln (Rentenbezugsmitteilung):</w:t>
      </w:r>
    </w:p>
    <w:p>
      <w:pPr>
        <w:tabs>
          <w:tab w:pos="567" w:val="left"/>
        </w:tabs>
        <w:ind w:left="567" w:hanging="567"/>
      </w:pPr>
      <w:r>
        <w:t>1.</w:t>
      </w:r>
      <w:r>
        <w:tab/>
      </w:r>
      <w:r>
        <w:t xml:space="preserve">die in § 93c Absatz 1 Nummer 2 Buchstabe c der Abgabenordnung genannten Daten mit der Maßgabe, dass der Leistungsempfänger als Steuerpflichtiger gilt. </w:t>
      </w:r>
      <w:r>
        <w:rPr>
          <w:rStyle w:val="Satznummer"/>
        </w:rPr>
        <w:t>2</w:t>
      </w:r>
      <w:r>
        <w:t xml:space="preserve">Eine inländische Anschrift des Leistungsempfängers ist nicht zu übermitteln. </w:t>
      </w:r>
      <w:r>
        <w:rPr>
          <w:rStyle w:val="Satznummer"/>
        </w:rPr>
        <w:t>3</w:t>
      </w:r>
      <w:r>
        <w:t xml:space="preserve">Ist der mitteilungspflichtigen Stelle eine ausländische Anschrift des Leistungsempfängers bekannt, ist diese anzugeben. </w:t>
      </w:r>
      <w:r>
        <w:rPr>
          <w:rStyle w:val="Satznummer"/>
        </w:rPr>
        <w:t>4</w:t>
      </w:r>
      <w:r>
        <w:t>In diesen Fällen ist auch die Staatsangehörigkeit des Leistungsempfängers, soweit bekannt, mitzuteilen;</w:t>
      </w:r>
    </w:p>
    <w:p>
      <w:pPr>
        <w:tabs>
          <w:tab w:pos="567" w:val="left"/>
        </w:tabs>
        <w:ind w:left="567" w:hanging="567"/>
      </w:pPr>
      <w:r>
        <w:t>2.</w:t>
      </w:r>
      <w:r>
        <w:tab/>
      </w:r>
      <w:r>
        <w:t xml:space="preserve">je gesondert den Betrag der Leibrenten und anderen Leistungen im Sinne des § 22 Nummer 1 Satz 3 Buchstabe a Doppelbuchstabe aa und bb Satz 4 sowie Doppelbuchstabe bb Satz 5 in Verbindung mit § 55 Absatz 2 der Einkommensteuer-Durchführungsverordnung sowie im Sinne des </w:t>
      </w:r>
      <w:hyperlink w:anchor="b90" w:history="1">
        <w:r>
          <w:rPr>
            <w:color w:val="0A3A8C"/>
            <w:u w:val="single"/>
          </w:rPr>
          <w:t xml:space="preserve">§ 22</w:t>
        </w:r>
      </w:hyperlink>
      <w:r>
        <w:t xml:space="preserve"> Nummer 5 Satz 1 bis 3. </w:t>
      </w:r>
      <w:r>
        <w:rPr>
          <w:rStyle w:val="Satznummer"/>
        </w:rPr>
        <w:t>2</w:t>
      </w:r>
      <w:r>
        <w:t>Der im Betrag der Rente enthaltene Teil, der ausschließlich auf einer Anpassung der Rente beruht, ist gesondert mitzuteilen;</w:t>
      </w:r>
    </w:p>
    <w:p>
      <w:pPr>
        <w:tabs>
          <w:tab w:pos="567" w:val="left"/>
        </w:tabs>
        <w:ind w:left="567" w:hanging="567"/>
      </w:pPr>
      <w:r>
        <w:t>3.</w:t>
      </w:r>
      <w:r>
        <w:tab/>
      </w:r>
      <w:r>
        <w:t>Zeitpunkt des Beginns und des Endes des jeweiligen Leistungsbezugs; folgen nach dem 31. Dezember 2004 Renten aus derselben Versicherung einander nach, so ist auch die Laufzeit der vorhergehenden Renten mitzuteilen;</w:t>
      </w:r>
    </w:p>
    <w:p>
      <w:pPr>
        <w:tabs>
          <w:tab w:pos="567" w:val="left"/>
        </w:tabs>
        <w:ind w:left="567" w:hanging="567"/>
      </w:pPr>
      <w:r>
        <w:t>4.</w:t>
      </w:r>
      <w:r>
        <w:tab/>
      </w:r>
      <w:r>
        <w:t>die Beiträge im Sinne des § 10 Absatz 1 Nummer 3 Buchstabe a Satz 1 und 2 und Buchstabe b, soweit diese von der mitteilungspflichtigen Stelle an die Träger der gesetzlichen Kranken- und Pflegeversicherung abgeführt werden;</w:t>
      </w:r>
    </w:p>
    <w:p>
      <w:pPr>
        <w:tabs>
          <w:tab w:pos="567" w:val="left"/>
        </w:tabs>
        <w:ind w:left="567" w:hanging="567"/>
      </w:pPr>
      <w:r>
        <w:t>5.</w:t>
      </w:r>
      <w:r>
        <w:tab/>
      </w:r>
      <w:r>
        <w:t>die dem Leistungsempfänger zustehenden Beitragszuschüsse nach § 106 des Sechsten Buches Sozialgesetzbuch;</w:t>
      </w:r>
    </w:p>
    <w:p>
      <w:pPr>
        <w:tabs>
          <w:tab w:pos="567" w:val="left"/>
        </w:tabs>
        <w:ind w:left="567" w:hanging="567"/>
      </w:pPr>
      <w:r>
        <w:t>6.</w:t>
      </w:r>
      <w:r>
        <w:tab/>
      </w:r>
      <w:r>
        <w:t>ab dem 1. Januar 2017 ein gesondertes Merkmal und ab dem 1. Januar 2019 zwei gesonderte Merkmale für Verträge, auf denen gefördertes Altersvorsorgevermögen gebildet wurde; die zentrale Stelle ist in diesen Fällen berechtigt, die Daten dieser Rentenbezugsmitteilung im Zulagekonto zu speichern und zu verarbeiten;</w:t>
      </w:r>
    </w:p>
    <w:p>
      <w:pPr>
        <w:tabs>
          <w:tab w:pos="567" w:val="left"/>
        </w:tabs>
        <w:ind w:left="567" w:hanging="567"/>
      </w:pPr>
      <w:r>
        <w:t>7.</w:t>
      </w:r>
      <w:r>
        <w:tab/>
      </w:r>
      <w:r>
        <w:t xml:space="preserve">ab dem 1. Januar 2019 die gesonderte Kennzeichnung einer Leistung aus einem Altersvorsorgevertrag nach </w:t>
      </w:r>
      <w:hyperlink w:anchor="b253" w:history="1">
        <w:r>
          <w:rPr>
            <w:color w:val="0A3A8C"/>
            <w:u w:val="single"/>
          </w:rPr>
          <w:t xml:space="preserve">§ 93</w:t>
        </w:r>
      </w:hyperlink>
      <w:r>
        <w:t xml:space="preserve"> Absatz 3;</w:t>
      </w:r>
    </w:p>
    <w:p>
      <w:pPr>
        <w:tabs>
          <w:tab w:pos="567" w:val="left"/>
        </w:tabs>
        <w:ind w:left="567" w:hanging="567"/>
      </w:pPr>
      <w:r>
        <w:t>8.</w:t>
      </w:r>
      <w:r>
        <w:tab/>
      </w:r>
      <w:r>
        <w:t xml:space="preserve">ab dem 1. Januar 2022 die durch Steuerabzug gemäß </w:t>
      </w:r>
      <w:hyperlink w:anchor="b193" w:history="1">
        <w:r>
          <w:rPr>
            <w:color w:val="0A3A8C"/>
            <w:u w:val="single"/>
          </w:rPr>
          <w:t xml:space="preserve">§ 50a</w:t>
        </w:r>
      </w:hyperlink>
      <w:r>
        <w:t xml:space="preserve"> Absatz 7 einbehaltenen Beträge.</w:t>
      </w:r>
    </w:p>
    <w:p>
      <w:r>
        <w:rPr>
          <w:rStyle w:val="Satznummer"/>
        </w:rPr>
        <w:t>2</w:t>
      </w:r>
      <w:r>
        <w:t xml:space="preserve">Die Träger der gesetzlichen Rentenversicherung und die landwirtschaftliche Alterskasse haben gesondert neben der nach Satz 1 zu übermittelnden Rentenbezugsmitteilung für Leistungsempfänger im Sinne des § 1 Absatz 2 des Rentenbeziehende-Energiepreispauschalengesetzes einmalig eine Rentenbezugsmitteilung nach Maßgabe des § 93c der Abgabenordnung mit den Daten nach Satz 1 Nummer 1 und 3 sowie den Betrag der Leistung nach § 1 Absatz 1 des Rentenbeziehende-Energiepreispauschalengesetzes zu übermitteln. </w:t>
      </w:r>
      <w:r>
        <w:rPr>
          <w:rStyle w:val="Satznummer"/>
        </w:rPr>
        <w:t>3</w:t>
      </w:r>
      <w:r>
        <w:t>§ 72a Absatz 4 und § 93c Absatz 1 Nummer 3 der Abgabenordnung finden keine Anwendung.</w:t>
      </w:r>
    </w:p>
    <w:p>
      <w:r>
        <w:t xml:space="preserve">(2) </w:t>
      </w:r>
      <w:r>
        <w:rPr>
          <w:rStyle w:val="Satznummer"/>
        </w:rPr>
        <w:t>1</w:t>
      </w:r>
      <w:r>
        <w:t xml:space="preserve">Der Leistungsempfänger hat der mitteilungspflichtigen Stelle seine Identifikationsnummer sowie den Tag seiner Geburt mitzuteilen. </w:t>
      </w:r>
      <w:r>
        <w:rPr>
          <w:rStyle w:val="Satznummer"/>
        </w:rPr>
        <w:t>2</w:t>
      </w:r>
      <w:r>
        <w:t xml:space="preserve">Teilt der Leistungsempfänger die Identifikationsnummer der mitteilungspflichtigen Stelle trotz Aufforderung nicht mit, übermittelt das Bundeszentralamt für Steuern der mitteilungspflichtigen Stelle auf deren Anfrage die Identifikationsnummer des Leistungsempfängers sowie, falls es sich bei der mitteilungspflichtigen Stelle um einen Träger der gesetzlichen Sozialversicherung handelt, auch den beim Bundeszentralamt für Steuern gespeicherten Tag der Geburt des Leistungsempfängers (§ 139b Absatz 3 Nummer 8 der Abgabenordnung), wenn dieser von dem in der Anfrage übermittelten Tag der Geburt abweicht und für die weitere Datenübermittlung benötigt wird; weitere Daten dürfen nicht übermittelt werden. </w:t>
      </w:r>
      <w:r>
        <w:rPr>
          <w:rStyle w:val="Satznummer"/>
        </w:rPr>
        <w:t>3</w:t>
      </w:r>
      <w:r>
        <w:t xml:space="preserve">In der Anfrage dürfen nur die in § 139b Absatz 3 der Abgabenordnung genannten Daten des Leistungsempfängers angegeben werden, soweit sie der mitteilungspflichtigen Stelle bekannt sind. </w:t>
      </w:r>
      <w:r>
        <w:rPr>
          <w:rStyle w:val="Satznummer"/>
        </w:rPr>
        <w:t>4</w:t>
      </w:r>
      <w:r>
        <w:t xml:space="preserve">Die Anfrage der mitteilungspflichtigen Stelle und die Antwort des Bundeszentralamtes für Steuern sind nach amtlich vorgeschriebenem Datensatz durch Datenfernübertragung über die zentrale Stelle zu übermitteln. </w:t>
      </w:r>
      <w:r>
        <w:rPr>
          <w:rStyle w:val="Satznummer"/>
        </w:rPr>
        <w:t>5</w:t>
      </w:r>
      <w:r>
        <w:t xml:space="preserve">Die zentrale Stelle führt eine ausschließlich automatisierte Prüfung der ihr übermittelten Daten daraufhin durch, ob sie vollständig und schlüssig sind und ob das vorgeschriebene Datenformat verwendet worden ist. </w:t>
      </w:r>
      <w:r>
        <w:rPr>
          <w:rStyle w:val="Satznummer"/>
        </w:rPr>
        <w:t>6</w:t>
      </w:r>
      <w:r>
        <w:t xml:space="preserve">Sie speichert die Daten des Leistungsempfängers nur für Zwecke dieser Prüfung bis zur Übermittlung an das Bundeszentralamt für Steuern oder an die mitteilungspflichtige Stelle. </w:t>
      </w:r>
      <w:r>
        <w:rPr>
          <w:rStyle w:val="Satznummer"/>
        </w:rPr>
        <w:t>7</w:t>
      </w:r>
      <w:r>
        <w:t xml:space="preserve">Die Daten sind für die Übermittlung zwischen der zentralen Stelle und dem Bundeszentralamt für Steuern zu verschlüsseln. </w:t>
      </w:r>
      <w:r>
        <w:rPr>
          <w:rStyle w:val="Satznummer"/>
        </w:rPr>
        <w:t>8</w:t>
      </w:r>
      <w:r>
        <w:t xml:space="preserve">Die mitteilungspflichtige Stelle darf die Identifikationsnummer sowie einen nach Satz 2 mitgeteilten Tag der Geburt nur verarbeiten, soweit dies für die Erfüllung der Mitteilungspflicht nach Absatz 1 Satz 1 erforderlich ist. </w:t>
      </w:r>
      <w:r>
        <w:rPr>
          <w:rStyle w:val="Satznummer"/>
        </w:rPr>
        <w:t>9</w:t>
      </w:r>
      <w:r>
        <w:t xml:space="preserve">§ 93c der Abgabenordnung ist für das Verfahren nach den Sätzen 1 bis 8 nicht anzuwenden. </w:t>
      </w:r>
      <w:r>
        <w:rPr>
          <w:rStyle w:val="Satznummer"/>
        </w:rPr>
        <w:t>10</w:t>
      </w:r>
      <w:r>
        <w:t xml:space="preserve">Die Sätze 1 bis 9 gelten ab dem 1. Januar 2027 für die mitteilungspflichtige Stelle nach Absatz 1 mit der Maßgabe, dass diese die Identifikationsnummer ihrer Versicherten oder ihrer Kunden zur Durchführung des Rentenübersichtsgesetzes bereits vor dem Leistungsbezug erheben können; in diesen Fällen teilt das Bundeszentralamt für Steuern der mitteilungspflichtigen Stelle auf deren Anfrage die Identifikationsnummer des Versicherten oder des Kunden nur mit, wenn die von der anfragenden Stelle übermittelten Daten mit den nach § 139b Absatz 3 der Abgabenordnung beim Bundeszentralamt für Steuern gespeicherten Daten im maschinellen Datenabgleich übereinstimmen. </w:t>
      </w:r>
      <w:r>
        <w:rPr>
          <w:rStyle w:val="Satznummer"/>
        </w:rPr>
        <w:t>11</w:t>
      </w:r>
      <w:r>
        <w:t>Wird im Rahmen einer Registermodernisierung ein gesondertes Erhebungsverfahren für die Erhebung der Identifikationsnummer eingerichtet, ist abweichend von Satz 10 das neu eingerichtete Erhebungsverfahren zu nutzen.</w:t>
      </w:r>
    </w:p>
    <w:p>
      <w:r>
        <w:t>(3) Die mitteilungspflichtige Stelle hat den Leistungsempfänger jeweils darüber zu unterrichten, dass die Leistung der zentralen Stelle mitgeteilt wird.</w:t>
      </w:r>
    </w:p>
    <w:p>
      <w:r>
        <w:t>(4) (weggefallen)</w:t>
      </w:r>
    </w:p>
    <w:p>
      <w:r>
        <w:t xml:space="preserve">(5) </w:t>
      </w:r>
      <w:r>
        <w:rPr>
          <w:rStyle w:val="Satznummer"/>
        </w:rPr>
        <w:t>1</w:t>
      </w:r>
      <w:r>
        <w:t xml:space="preserve">Wird eine Rentenbezugsmitteilung nicht innerhalb der in § 93c Absatz 1 Nummer 1 der Abgabenordnung genannten Frist übermittelt, so ist für jeden angefangenen Monat, in dem die Rentenbezugsmitteilung noch aussteht, ein Betrag in Höhe von 10 Euro für jede ausstehende Rentenbezugsmitteilung an die zentrale Stelle zu entrichten (Verspätungsgeld). </w:t>
      </w:r>
      <w:r>
        <w:rPr>
          <w:rStyle w:val="Satznummer"/>
        </w:rPr>
        <w:t>2</w:t>
      </w:r>
      <w:r>
        <w:t xml:space="preserve">Die Erhebung erfolgt durch die zentrale Stelle im Rahmen ihrer Prüfung nach § 93c Absatz 4 der Abgabenordnung. </w:t>
      </w:r>
      <w:r>
        <w:rPr>
          <w:rStyle w:val="Satznummer"/>
        </w:rPr>
        <w:t>3</w:t>
      </w:r>
      <w:r>
        <w:t xml:space="preserve">Von der Erhebung ist abzusehen, soweit die Fristüberschreitung auf Gründen beruht, die die mitteilungspflichtige Stelle nicht zu vertreten hat. </w:t>
      </w:r>
      <w:r>
        <w:rPr>
          <w:rStyle w:val="Satznummer"/>
        </w:rPr>
        <w:t>4</w:t>
      </w:r>
      <w:r>
        <w:t xml:space="preserve">Das Handeln eines gesetzlichen Vertreters oder eines Erfüllungsgehilfen steht dem eigenen Handeln gleich. </w:t>
      </w:r>
      <w:r>
        <w:rPr>
          <w:rStyle w:val="Satznummer"/>
        </w:rPr>
        <w:t>5</w:t>
      </w:r>
      <w:r>
        <w:t>Das von einer mitteilungspflichtigen Stelle zu entrichtende Verspätungsgeld darf 50 000 Euro für alle für einen Veranlagungszeitraum zu übermittelnden Rentenbezugsmitteilungen nicht übersteigen.</w:t>
      </w:r>
    </w:p>
    <w:p>
      <w:r>
        <w:t>(6) Die zentrale Stelle ist berechtigt, in den in § 151b Absatz 3 Satz 2 des Sechsten Buches Sozialgesetzbuch genannten Fällen die Rentenbezugsmitteilung an die Träger der gesetzlichen Rentenversicherung zu übermitteln.</w:t>
      </w:r>
    </w:p>
    <w:p>
      <w:pPr>
        <w:pStyle w:val="Heading4"/>
      </w:pPr>
      <w:bookmarkStart w:id="93" w:name="b92"/>
      <w:r>
        <w:t>§ 23 Private Veräußerungsgeschäfte</w:t>
      </w:r>
      <w:r>
        <w:t xml:space="preserve"> </w:t>
      </w:r>
      <w:r>
        <w:rPr>
          <w:rStyle w:val="Suchmarke"/>
        </w:rPr>
        <w:t>#23#</w:t>
      </w:r>
      <w:bookmarkEnd w:id="93"/>
    </w:p>
    <w:p>
      <w:r>
        <w:t xml:space="preserve">(1) </w:t>
      </w:r>
      <w:r>
        <w:rPr>
          <w:rStyle w:val="Satznummer"/>
        </w:rPr>
        <w:t>1</w:t>
      </w:r>
      <w:r>
        <w:t>Private Veräußerungsgeschäfte (</w:t>
      </w:r>
      <w:hyperlink w:anchor="b90" w:history="1">
        <w:r>
          <w:rPr>
            <w:color w:val="0A3A8C"/>
            <w:u w:val="single"/>
          </w:rPr>
          <w:t xml:space="preserve">§ 22</w:t>
        </w:r>
      </w:hyperlink>
      <w:r>
        <w:t xml:space="preserve"> Nummer 2) sind</w:t>
      </w:r>
    </w:p>
    <w:p>
      <w:pPr>
        <w:tabs>
          <w:tab w:pos="567" w:val="left"/>
        </w:tabs>
        <w:ind w:left="567" w:hanging="567"/>
      </w:pPr>
      <w:r>
        <w:t>1.</w:t>
      </w:r>
      <w:r>
        <w:tab/>
      </w:r>
      <w:r>
        <w:t xml:space="preserve">Veräußerungsgeschäfte bei Grundstücken und Rechten, die den Vorschriften des bürgerlichen Rechts über Grundstücke unterliegen (z. B. Erbbaurecht, Mineralgewinnungsrecht), bei denen der Zeitraum zwischen Anschaffung und Veräußerung nicht mehr als zehn Jahre beträgt. </w:t>
      </w:r>
      <w:r>
        <w:rPr>
          <w:rStyle w:val="Satznummer"/>
        </w:rPr>
        <w:t>2</w:t>
      </w:r>
      <w:r>
        <w:t xml:space="preserve">Gebäude und Außenanlagen sind einzubeziehen, soweit sie innerhalb dieses Zeitraums errichtet, ausgebaut oder erweitert werden; dies gilt entsprechend für Gebäudeteile, die selbständige unbewegliche Wirtschaftsgüter sind, sowie für Eigentumswohnungen und im Teileigentum stehende Räume. </w:t>
      </w:r>
      <w:r>
        <w:rPr>
          <w:rStyle w:val="Satznummer"/>
        </w:rPr>
        <w:t>3</w:t>
      </w:r>
      <w:r>
        <w:t>Ausgenommen sind Wirtschaftsgüter, die im Zeitraum zwischen Anschaffung oder Fertigstellung und Veräußerung ausschließlich zu eigenen Wohnzwecken oder im Jahr der Veräußerung und in den beiden vorangegangenen Jahren zu eigenen Wohnzwecken genutzt wurden;</w:t>
      </w:r>
    </w:p>
    <w:p>
      <w:pPr>
        <w:tabs>
          <w:tab w:pos="567" w:val="left"/>
        </w:tabs>
        <w:ind w:left="567" w:hanging="567"/>
      </w:pPr>
      <w:r>
        <w:t>2.</w:t>
      </w:r>
      <w:r>
        <w:tab/>
      </w:r>
      <w:r>
        <w:t xml:space="preserve">Veräußerungsgeschäfte bei anderen Wirtschaftsgütern, bei denen der Zeitraum zwischen Anschaffung und Veräußerung nicht mehr als ein Jahr beträgt. </w:t>
      </w:r>
      <w:r>
        <w:rPr>
          <w:rStyle w:val="Satznummer"/>
        </w:rPr>
        <w:t>2</w:t>
      </w:r>
      <w:r>
        <w:t xml:space="preserve">Ausgenommen sind Veräußerungen von Gegenständen des täglichen Gebrauchs. </w:t>
      </w:r>
      <w:r>
        <w:rPr>
          <w:rStyle w:val="Satznummer"/>
        </w:rPr>
        <w:t>3</w:t>
      </w:r>
      <w:r>
        <w:t xml:space="preserve">Bei Anschaffung und Veräußerung mehrerer gleichartiger Fremdwährungsbeträge ist zu unterstellen, dass die zuerst angeschafften Beträge zuerst veräußert wurden. </w:t>
      </w:r>
      <w:r>
        <w:rPr>
          <w:rStyle w:val="Satznummer"/>
        </w:rPr>
        <w:t>4</w:t>
      </w:r>
      <w:r>
        <w:t>Bei Wirtschaftsgütern im Sinne von Satz 1, aus deren Nutzung als Einkunftsquelle zumindest in einem Kalenderjahr Einkünfte erzielt werden, erhöht sich der Zeitraum auf zehn Jahre;</w:t>
      </w:r>
    </w:p>
    <w:p>
      <w:pPr>
        <w:tabs>
          <w:tab w:pos="567" w:val="left"/>
        </w:tabs>
        <w:ind w:left="567" w:hanging="567"/>
      </w:pPr>
      <w:r>
        <w:t>3.</w:t>
      </w:r>
      <w:r>
        <w:tab/>
      </w:r>
      <w:r>
        <w:t>Veräußerungsgeschäfte, bei denen die Veräußerung der Wirtschaftsgüter früher erfolgt als der Erwerb.</w:t>
      </w:r>
    </w:p>
    <w:p>
      <w:r>
        <w:rPr>
          <w:rStyle w:val="Satznummer"/>
        </w:rPr>
        <w:t>2</w:t>
      </w:r>
      <w:r>
        <w:t xml:space="preserve">Als Anschaffung gilt auch die Überführung eines Wirtschaftsguts in das Privatvermögen des Steuerpflichtigen durch Entnahme oder Betriebsaufgabe. </w:t>
      </w:r>
      <w:r>
        <w:rPr>
          <w:rStyle w:val="Satznummer"/>
        </w:rPr>
        <w:t>3</w:t>
      </w:r>
      <w:r>
        <w:t xml:space="preserve">Bei unentgeltlichem Erwerb ist dem Einzelrechtsnachfolger für Zwecke dieser Vorschrift die Anschaffung oder die Überführung des Wirtschaftsguts in das Privatvermögen durch den Rechtsvorgänger zuzurechnen. </w:t>
      </w:r>
      <w:r>
        <w:rPr>
          <w:rStyle w:val="Satznummer"/>
        </w:rPr>
        <w:t>4</w:t>
      </w:r>
      <w:r>
        <w:t xml:space="preserve">Die Anschaffung oder Veräußerung einer unmittelbaren oder mittelbaren Beteiligung an einer Personengesellschaft oder Gesamthandsgemeinschaft gilt als Anschaffung oder Veräußerung der anteiligen Wirtschaftsgüter. </w:t>
      </w:r>
      <w:r>
        <w:rPr>
          <w:rStyle w:val="Satznummer"/>
        </w:rPr>
        <w:t>5</w:t>
      </w:r>
      <w:r>
        <w:t>Als Veräußerung im Sinne des Satzes 1 Nummer 1 gilt auch</w:t>
      </w:r>
    </w:p>
    <w:p>
      <w:pPr>
        <w:tabs>
          <w:tab w:pos="567" w:val="left"/>
        </w:tabs>
        <w:ind w:left="567" w:hanging="567"/>
      </w:pPr>
      <w:r>
        <w:t>1.</w:t>
      </w:r>
      <w:r>
        <w:tab/>
      </w:r>
      <w:r>
        <w:t>die Einlage eines Wirtschaftsguts in das Betriebsvermögen, wenn die Veräußerung aus dem Betriebsvermögen innerhalb eines Zeitraums von zehn Jahren seit Anschaffung des Wirtschaftsguts erfolgt, und</w:t>
      </w:r>
    </w:p>
    <w:p>
      <w:pPr>
        <w:tabs>
          <w:tab w:pos="567" w:val="left"/>
        </w:tabs>
        <w:ind w:left="567" w:hanging="567"/>
      </w:pPr>
      <w:r>
        <w:t>2.</w:t>
      </w:r>
      <w:r>
        <w:tab/>
      </w:r>
      <w:r>
        <w:t>die verdeckte Einlage in eine Kapitalgesellschaft.</w:t>
      </w:r>
    </w:p>
    <w:p>
      <w:r>
        <w:t>(2) Einkünfte aus privaten Veräußerungsgeschäften der in Absatz 1 bezeichneten Art sind den Einkünften aus anderen Einkunftsarten zuzurechnen, soweit sie zu diesen gehören.</w:t>
      </w:r>
    </w:p>
    <w:p>
      <w:r>
        <w:t xml:space="preserve">(3) </w:t>
      </w:r>
      <w:r>
        <w:rPr>
          <w:rStyle w:val="Satznummer"/>
        </w:rPr>
        <w:t>1</w:t>
      </w:r>
      <w:r>
        <w:t xml:space="preserve">Gewinn oder Verlust aus Veräußerungsgeschäften nach Absatz 1 ist der Unterschied zwischen Veräußerungspreis einerseits und den Anschaffungs- oder Herstellungskosten und den Werbungskosten andererseits. </w:t>
      </w:r>
      <w:r>
        <w:rPr>
          <w:rStyle w:val="Satznummer"/>
        </w:rPr>
        <w:t>2</w:t>
      </w:r>
      <w:r>
        <w:t xml:space="preserve">In den Fällen des Absatzes 1 Satz 5 Nummer 1 tritt an die Stelle des Veräußerungspreises der für den Zeitpunkt der Einlage nach </w:t>
      </w:r>
      <w:hyperlink w:anchor="b28" w:history="1">
        <w:r>
          <w:rPr>
            <w:color w:val="0A3A8C"/>
            <w:u w:val="single"/>
          </w:rPr>
          <w:t xml:space="preserve">§ 6</w:t>
        </w:r>
      </w:hyperlink>
      <w:r>
        <w:t xml:space="preserve"> Absatz 1 Nummer 5 angesetzte Wert, in den Fällen des Absatzes 1 Satz 5 Nummer 2 der gemeine Wert. </w:t>
      </w:r>
      <w:r>
        <w:rPr>
          <w:rStyle w:val="Satznummer"/>
        </w:rPr>
        <w:t>3</w:t>
      </w:r>
      <w:r>
        <w:t xml:space="preserve">In den Fällen des Absatzes 1 Satz 2 tritt an die Stelle der Anschaffungs- oder Herstellungskosten der nach </w:t>
      </w:r>
      <w:hyperlink w:anchor="b28" w:history="1">
        <w:r>
          <w:rPr>
            <w:color w:val="0A3A8C"/>
            <w:u w:val="single"/>
          </w:rPr>
          <w:t xml:space="preserve">§ 6</w:t>
        </w:r>
      </w:hyperlink>
      <w:r>
        <w:t xml:space="preserve"> Absatz 1 Nummer 4 oder </w:t>
      </w:r>
      <w:hyperlink w:anchor="b78" w:history="1">
        <w:r>
          <w:rPr>
            <w:color w:val="0A3A8C"/>
            <w:u w:val="single"/>
          </w:rPr>
          <w:t xml:space="preserve">§ 16</w:t>
        </w:r>
      </w:hyperlink>
      <w:r>
        <w:t xml:space="preserve"> Absatz 3 angesetzte Wert. </w:t>
      </w:r>
      <w:r>
        <w:rPr>
          <w:rStyle w:val="Satznummer"/>
        </w:rPr>
        <w:t>4</w:t>
      </w:r>
      <w:r>
        <w:t xml:space="preserve">Die Anschaffungs- oder Herstellungskosten mindern sich um Absetzungen für Abnutzung, erhöhte Absetzungen und Sonderabschreibungen, soweit sie bei der Ermittlung der Einkünfte im Sinne des </w:t>
      </w:r>
      <w:hyperlink w:anchor="b5" w:history="1">
        <w:r>
          <w:rPr>
            <w:color w:val="0A3A8C"/>
            <w:u w:val="single"/>
          </w:rPr>
          <w:t xml:space="preserve">§ 2</w:t>
        </w:r>
      </w:hyperlink>
      <w:r>
        <w:t xml:space="preserve"> Absatz 1 Satz 1 Nummer 4 bis 7 abgezogen worden sind. </w:t>
      </w:r>
      <w:r>
        <w:rPr>
          <w:rStyle w:val="Satznummer"/>
        </w:rPr>
        <w:t>5</w:t>
      </w:r>
      <w:r>
        <w:t xml:space="preserve">Gewinne bleiben steuerfrei, wenn der aus den privaten Veräußerungsgeschäften erzielte Gesamtgewinn im Kalenderjahr weniger als 1 000 Euro betragen hat. </w:t>
      </w:r>
      <w:r>
        <w:rPr>
          <w:rStyle w:val="Satznummer"/>
        </w:rPr>
        <w:t>6</w:t>
      </w:r>
      <w:r>
        <w:t xml:space="preserve">In den Fällen des Absatzes 1 Satz 5 Nummer 1 sind Gewinne oder Verluste für das Kalenderjahr, in dem der Preis für die Veräußerung aus dem Betriebsvermögen zugeflossen ist, in den Fällen des Absatzes 1 Satz 5 Nummer 2 für das Kalenderjahr der verdeckten Einlage anzusetzen. </w:t>
      </w:r>
      <w:r>
        <w:rPr>
          <w:rStyle w:val="Satznummer"/>
        </w:rPr>
        <w:t>7</w:t>
      </w:r>
      <w:r>
        <w:t xml:space="preserve">Verluste dürfen nur bis zur Höhe des Gewinns, den der Steuerpflichtige im gleichen Kalenderjahr aus privaten Veräußerungsgeschäften erzielt hat, ausgeglichen werden; sie dürfen nicht nach </w:t>
      </w:r>
      <w:hyperlink w:anchor="b55" w:history="1">
        <w:r>
          <w:rPr>
            <w:color w:val="0A3A8C"/>
            <w:u w:val="single"/>
          </w:rPr>
          <w:t xml:space="preserve">§ 10d</w:t>
        </w:r>
      </w:hyperlink>
      <w:r>
        <w:t xml:space="preserve"> abgezogen werden. </w:t>
      </w:r>
      <w:r>
        <w:rPr>
          <w:rStyle w:val="Satznummer"/>
        </w:rPr>
        <w:t>8</w:t>
      </w:r>
      <w:r>
        <w:t xml:space="preserve">Die Verluste mindern jedoch nach Maßgabe des </w:t>
      </w:r>
      <w:hyperlink w:anchor="b55" w:history="1">
        <w:r>
          <w:rPr>
            <w:color w:val="0A3A8C"/>
            <w:u w:val="single"/>
          </w:rPr>
          <w:t xml:space="preserve">§ 10d</w:t>
        </w:r>
      </w:hyperlink>
      <w:r>
        <w:t xml:space="preserve"> die Einkünfte, die der Steuerpflichtige in dem unmittelbar vorangegangenen Veranlagungszeitraum oder in den folgenden Veranlagungszeiträumen aus privaten Veräußerungsgeschäften nach Absatz 1 erzielt hat oder erzielt; </w:t>
      </w:r>
      <w:hyperlink w:anchor="b55" w:history="1">
        <w:r>
          <w:rPr>
            <w:color w:val="0A3A8C"/>
            <w:u w:val="single"/>
          </w:rPr>
          <w:t xml:space="preserve">§ 10d</w:t>
        </w:r>
      </w:hyperlink>
      <w:r>
        <w:t xml:space="preserve"> Absatz 4 gilt entsprechend.</w:t>
      </w:r>
    </w:p>
    <w:p>
      <w:pPr>
        <w:pStyle w:val="Heading3"/>
      </w:pPr>
      <w:bookmarkStart w:id="94" w:name="b93"/>
      <w:r>
        <w:t>h) Gemeinsame Vorschriften</w:t>
      </w:r>
      <w:bookmarkEnd w:id="94"/>
    </w:p>
    <w:p>
      <w:pPr>
        <w:pStyle w:val="Heading4"/>
      </w:pPr>
      <w:bookmarkStart w:id="95" w:name="b94"/>
      <w:r>
        <w:t>§ 24</w:t>
      </w:r>
      <w:r>
        <w:t xml:space="preserve"> </w:t>
      </w:r>
      <w:r>
        <w:rPr>
          <w:rStyle w:val="Suchmarke"/>
        </w:rPr>
        <w:t>#24#</w:t>
      </w:r>
      <w:bookmarkEnd w:id="95"/>
    </w:p>
    <w:p>
      <w:r>
        <w:t xml:space="preserve">Zu den Einkünften im Sinne des </w:t>
      </w:r>
      <w:hyperlink w:anchor="b5" w:history="1">
        <w:r>
          <w:rPr>
            <w:color w:val="0A3A8C"/>
            <w:u w:val="single"/>
          </w:rPr>
          <w:t xml:space="preserve">§ 2</w:t>
        </w:r>
      </w:hyperlink>
      <w:r>
        <w:t xml:space="preserve"> Absatz 1 gehören auch</w:t>
      </w:r>
    </w:p>
    <w:p>
      <w:pPr>
        <w:tabs>
          <w:tab w:pos="567" w:val="left"/>
        </w:tabs>
        <w:ind w:left="567" w:hanging="567"/>
      </w:pPr>
      <w:r>
        <w:t>1.</w:t>
      </w:r>
      <w:r>
        <w:tab/>
      </w:r>
      <w:r>
        <w:t>Entschädigungen, die gewährt worden sind</w:t>
      </w:r>
    </w:p>
    <w:p>
      <w:pPr>
        <w:tabs>
          <w:tab w:pos="1134" w:val="left"/>
        </w:tabs>
        <w:ind w:left="1134" w:hanging="567"/>
      </w:pPr>
      <w:r>
        <w:t>a)</w:t>
      </w:r>
      <w:r>
        <w:tab/>
      </w:r>
      <w:r>
        <w:t>als Ersatz für entgangene oder entgehende Einnahmen oder</w:t>
      </w:r>
    </w:p>
    <w:p>
      <w:pPr>
        <w:tabs>
          <w:tab w:pos="1134" w:val="left"/>
        </w:tabs>
        <w:ind w:left="1134" w:hanging="567"/>
      </w:pPr>
      <w:r>
        <w:t>b)</w:t>
      </w:r>
      <w:r>
        <w:tab/>
      </w:r>
      <w:r>
        <w:t>für die Aufgabe oder Nichtausübung einer Tätigkeit, für die Aufgabe einer Gewinnbeteiligung oder einer Anwartschaft auf eine solche;</w:t>
      </w:r>
    </w:p>
    <w:p>
      <w:pPr>
        <w:tabs>
          <w:tab w:pos="1134" w:val="left"/>
        </w:tabs>
        <w:ind w:left="1134" w:hanging="567"/>
      </w:pPr>
      <w:r>
        <w:t>c)</w:t>
      </w:r>
      <w:r>
        <w:tab/>
      </w:r>
      <w:r>
        <w:t>als Ausgleichszahlungen an Handelsvertreter nach § 89b des Handelsgesetzbuchs;</w:t>
      </w:r>
    </w:p>
    <w:p>
      <w:pPr>
        <w:tabs>
          <w:tab w:pos="567" w:val="left"/>
        </w:tabs>
        <w:ind w:left="567" w:hanging="567"/>
      </w:pPr>
      <w:r>
        <w:t>2.</w:t>
      </w:r>
      <w:r>
        <w:tab/>
      </w:r>
      <w:r>
        <w:t xml:space="preserve">Einkünfte aus einer ehemaligen Tätigkeit im Sinne des </w:t>
      </w:r>
      <w:hyperlink w:anchor="b5" w:history="1">
        <w:r>
          <w:rPr>
            <w:color w:val="0A3A8C"/>
            <w:u w:val="single"/>
          </w:rPr>
          <w:t xml:space="preserve">§ 2</w:t>
        </w:r>
      </w:hyperlink>
      <w:r>
        <w:t xml:space="preserve"> Absatz 1 Satz 1 Nummer 1 bis 4 oder aus einem früheren Rechtsverhältnis im Sinne des </w:t>
      </w:r>
      <w:hyperlink w:anchor="b5" w:history="1">
        <w:r>
          <w:rPr>
            <w:color w:val="0A3A8C"/>
            <w:u w:val="single"/>
          </w:rPr>
          <w:t xml:space="preserve">§ 2</w:t>
        </w:r>
      </w:hyperlink>
      <w:r>
        <w:t xml:space="preserve"> Absatz 1 Satz 1 Nummer 5 bis 7, und zwar auch dann, wenn sie dem Steuerpflichtigen als Rechtsnachfolger zufließen;</w:t>
      </w:r>
    </w:p>
    <w:p>
      <w:pPr>
        <w:tabs>
          <w:tab w:pos="567" w:val="left"/>
        </w:tabs>
        <w:ind w:left="567" w:hanging="567"/>
      </w:pPr>
      <w:r>
        <w:t>3.</w:t>
      </w:r>
      <w:r>
        <w:tab/>
      </w:r>
      <w:r>
        <w:t>Nutzungsvergütungen für die Inanspruchnahme von Grundstücken für öffentliche Zwecke sowie Zinsen auf solche Nutzungsvergütungen und auf Entschädigungen, die mit der Inanspruchnahme von Grundstücken für öffentliche Zwecke zusammenhängen.</w:t>
      </w:r>
    </w:p>
    <w:p>
      <w:pPr>
        <w:pStyle w:val="Heading4"/>
      </w:pPr>
      <w:bookmarkStart w:id="96" w:name="b95"/>
      <w:r>
        <w:t>§ 24a Altersentlastungsbetrag</w:t>
      </w:r>
      <w:r>
        <w:t xml:space="preserve"> </w:t>
      </w:r>
      <w:r>
        <w:rPr>
          <w:rStyle w:val="Suchmarke"/>
        </w:rPr>
        <w:t>#24a#</w:t>
      </w:r>
      <w:bookmarkEnd w:id="96"/>
    </w:p>
    <w:p>
      <w:r>
        <w:rPr>
          <w:rStyle w:val="Satznummer"/>
        </w:rPr>
        <w:t>1</w:t>
      </w:r>
      <w:r>
        <w:t xml:space="preserve">Der Altersentlastungsbetrag ist bis zu einem Höchstbetrag im Kalenderjahr ein nach einem Prozentsatz ermittelter Betrag des Arbeitslohns und der positiven Summe der Einkünfte, die nicht solche aus nichtselbständiger Arbeit sind. </w:t>
      </w:r>
      <w:r>
        <w:rPr>
          <w:rStyle w:val="Satznummer"/>
        </w:rPr>
        <w:t>2</w:t>
      </w:r>
      <w:r>
        <w:t>Bei der Bemessung des Betrags bleiben außer Betracht:</w:t>
      </w:r>
    </w:p>
    <w:p>
      <w:pPr>
        <w:tabs>
          <w:tab w:pos="567" w:val="left"/>
        </w:tabs>
        <w:ind w:left="567" w:hanging="567"/>
      </w:pPr>
      <w:r>
        <w:t>1.</w:t>
      </w:r>
      <w:r>
        <w:tab/>
      </w:r>
      <w:r>
        <w:t xml:space="preserve">Versorgungsbezüge im Sinne des </w:t>
      </w:r>
      <w:hyperlink w:anchor="b83" w:history="1">
        <w:r>
          <w:rPr>
            <w:color w:val="0A3A8C"/>
            <w:u w:val="single"/>
          </w:rPr>
          <w:t xml:space="preserve">§ 19</w:t>
        </w:r>
      </w:hyperlink>
      <w:r>
        <w:t xml:space="preserve"> Absatz 2;</w:t>
      </w:r>
    </w:p>
    <w:p>
      <w:pPr>
        <w:tabs>
          <w:tab w:pos="567" w:val="left"/>
        </w:tabs>
        <w:ind w:left="567" w:hanging="567"/>
      </w:pPr>
      <w:r>
        <w:t>2.</w:t>
      </w:r>
      <w:r>
        <w:tab/>
      </w:r>
      <w:r>
        <w:t>Einkünfte aus Leibrenten im Sinne des § 22 Nummer 1 Satz 3 Buchstabe a;</w:t>
      </w:r>
    </w:p>
    <w:p>
      <w:pPr>
        <w:tabs>
          <w:tab w:pos="567" w:val="left"/>
        </w:tabs>
        <w:ind w:left="567" w:hanging="567"/>
      </w:pPr>
      <w:r>
        <w:t>3.</w:t>
      </w:r>
      <w:r>
        <w:tab/>
      </w:r>
      <w:r>
        <w:t>Einkünfte im Sinne des § 22 Nummer 4 Satz 4 Buchstabe b;</w:t>
      </w:r>
    </w:p>
    <w:p>
      <w:pPr>
        <w:tabs>
          <w:tab w:pos="567" w:val="left"/>
        </w:tabs>
        <w:ind w:left="567" w:hanging="567"/>
      </w:pPr>
      <w:r>
        <w:t>4.</w:t>
      </w:r>
      <w:r>
        <w:tab/>
      </w:r>
      <w:r>
        <w:t xml:space="preserve">Einkünfte im Sinne des </w:t>
      </w:r>
      <w:hyperlink w:anchor="b90" w:history="1">
        <w:r>
          <w:rPr>
            <w:color w:val="0A3A8C"/>
            <w:u w:val="single"/>
          </w:rPr>
          <w:t xml:space="preserve">§ 22</w:t>
        </w:r>
      </w:hyperlink>
      <w:r>
        <w:t xml:space="preserve"> Nummer 5 Satz 1, soweit </w:t>
      </w:r>
      <w:hyperlink w:anchor="b90" w:history="1">
        <w:r>
          <w:rPr>
            <w:color w:val="0A3A8C"/>
            <w:u w:val="single"/>
          </w:rPr>
          <w:t xml:space="preserve">§ 22</w:t>
        </w:r>
      </w:hyperlink>
      <w:r>
        <w:t xml:space="preserve"> Nummer 5 Satz 11 anzuwenden ist;</w:t>
      </w:r>
    </w:p>
    <w:p>
      <w:pPr>
        <w:tabs>
          <w:tab w:pos="567" w:val="left"/>
        </w:tabs>
        <w:ind w:left="567" w:hanging="567"/>
      </w:pPr>
      <w:r>
        <w:t>5.</w:t>
      </w:r>
      <w:r>
        <w:tab/>
      </w:r>
      <w:r>
        <w:t>Einkünfte im Sinne des § 22 Nummer 5 Satz 2 Buchstabe a.</w:t>
      </w:r>
    </w:p>
    <w:p>
      <w:r>
        <w:rPr>
          <w:rStyle w:val="Satznummer"/>
        </w:rPr>
        <w:t>3</w:t>
      </w:r>
      <w:r>
        <w:t xml:space="preserve">Der Altersentlastungsbetrag wird einem Steuerpflichtigen gewährt, der vor dem Beginn des Kalenderjahres, in dem er sein Einkommen bezogen hat, das 64. Lebensjahr vollendet hatte. </w:t>
      </w:r>
      <w:r>
        <w:rPr>
          <w:rStyle w:val="Satznummer"/>
        </w:rPr>
        <w:t>4</w:t>
      </w:r>
      <w:r>
        <w:t xml:space="preserve">Im Fall der Zusammenveranlagung von Ehegatten zur Einkommensteuer sind die Sätze 1 bis 3 für jeden Ehegatten gesondert anzuwenden. </w:t>
      </w:r>
      <w:r>
        <w:rPr>
          <w:rStyle w:val="Satznummer"/>
        </w:rPr>
        <w:t>5</w:t>
      </w:r>
      <w:r>
        <w:t>Der maßgebende Prozentsatz und der Höchstbetrag des Altersentlastungsbetrags sind der nachstehenden Tabelle zu entnehmen:</w:t>
      </w:r>
    </w:p>
    <w:tbl>
      <w:tblPr>
        <w:tblStyle w:val="TableGrid"/>
        <w:tblW w:type="pct" w:w="5000"/>
        <w:tblLook w:firstColumn="1" w:firstRow="1" w:lastColumn="0" w:lastRow="0" w:noHBand="0" w:noVBand="1" w:val="04A0"/>
        <w:tblCaption w:val="Tabelle 1 zu § 24a"/>
      </w:tblPr>
      <w:tblGrid>
        <w:gridCol w:w="3135"/>
        <w:gridCol w:w="3135"/>
        <w:gridCol w:w="3135"/>
      </w:tblGrid>
      <w:tr>
        <w:trPr>
          <w:cantSplit/>
          <w:tblHeader/>
        </w:trPr>
        <w:tc>
          <w:tcPr>
            <w:tcW w:type="dxa" w:w="3135"/>
            <w:vMerge w:val="restart"/>
          </w:tcPr>
          <w:p>
            <w:r>
              <w:rPr>
                <w:b/>
              </w:rPr>
              <w:t>Das auf die Vollendung des</w:t>
            </w:r>
            <w:r>
              <w:rPr>
                <w:b/>
              </w:rPr>
              <w:br/>
            </w:r>
            <w:r>
              <w:rPr>
                <w:b/>
              </w:rPr>
              <w:t>64. Lebensjahres folgende Kalenderjahr</w:t>
            </w:r>
          </w:p>
        </w:tc>
        <w:tc>
          <w:tcPr>
            <w:tcW w:type="dxa" w:w="6270"/>
            <w:gridSpan w:val="2"/>
          </w:tcPr>
          <w:p>
            <w:r>
              <w:rPr>
                <w:b/>
              </w:rPr>
              <w:t>Altersentlastungsbetrag</w:t>
            </w:r>
          </w:p>
        </w:tc>
      </w:tr>
      <w:tr>
        <w:trPr>
          <w:cantSplit/>
          <w:tblHeader/>
        </w:trPr>
        <w:tc>
          <w:tcPr>
            <w:tcW w:type="dxa" w:w="3135"/>
            <w:vMerge/>
          </w:tcPr>
          <w:p/>
        </w:tc>
        <w:tc>
          <w:tcPr>
            <w:tcW w:type="dxa" w:w="3135"/>
          </w:tcPr>
          <w:p>
            <w:r>
              <w:rPr>
                <w:b/>
              </w:rPr>
              <w:t>in % der Einkünfte</w:t>
            </w:r>
          </w:p>
        </w:tc>
        <w:tc>
          <w:tcPr>
            <w:tcW w:type="dxa" w:w="3135"/>
          </w:tcPr>
          <w:p>
            <w:r>
              <w:rPr>
                <w:b/>
              </w:rPr>
              <w:t>Höchstbetrag in Euro</w:t>
            </w:r>
          </w:p>
        </w:tc>
      </w:tr>
      <w:tr>
        <w:trPr>
          <w:cantSplit/>
        </w:trPr>
        <w:tc>
          <w:tcPr>
            <w:tcW w:type="dxa" w:w="3135"/>
          </w:tcPr>
          <w:p>
            <w:r>
              <w:t>2005</w:t>
            </w:r>
          </w:p>
        </w:tc>
        <w:tc>
          <w:tcPr>
            <w:tcW w:type="dxa" w:w="3135"/>
          </w:tcPr>
          <w:p>
            <w:r>
              <w:t>40,0</w:t>
            </w:r>
          </w:p>
        </w:tc>
        <w:tc>
          <w:tcPr>
            <w:tcW w:type="dxa" w:w="3135"/>
          </w:tcPr>
          <w:p>
            <w:r>
              <w:t>1 900</w:t>
            </w:r>
          </w:p>
        </w:tc>
      </w:tr>
      <w:tr>
        <w:trPr>
          <w:cantSplit/>
        </w:trPr>
        <w:tc>
          <w:tcPr>
            <w:tcW w:type="dxa" w:w="3135"/>
          </w:tcPr>
          <w:p>
            <w:r>
              <w:t>2006</w:t>
            </w:r>
          </w:p>
        </w:tc>
        <w:tc>
          <w:tcPr>
            <w:tcW w:type="dxa" w:w="3135"/>
          </w:tcPr>
          <w:p>
            <w:r>
              <w:t>38,4</w:t>
            </w:r>
          </w:p>
        </w:tc>
        <w:tc>
          <w:tcPr>
            <w:tcW w:type="dxa" w:w="3135"/>
          </w:tcPr>
          <w:p>
            <w:r>
              <w:t>1 824</w:t>
            </w:r>
          </w:p>
        </w:tc>
      </w:tr>
      <w:tr>
        <w:trPr>
          <w:cantSplit/>
        </w:trPr>
        <w:tc>
          <w:tcPr>
            <w:tcW w:type="dxa" w:w="3135"/>
          </w:tcPr>
          <w:p>
            <w:r>
              <w:t>2007</w:t>
            </w:r>
          </w:p>
        </w:tc>
        <w:tc>
          <w:tcPr>
            <w:tcW w:type="dxa" w:w="3135"/>
          </w:tcPr>
          <w:p>
            <w:r>
              <w:t>36,8</w:t>
            </w:r>
          </w:p>
        </w:tc>
        <w:tc>
          <w:tcPr>
            <w:tcW w:type="dxa" w:w="3135"/>
          </w:tcPr>
          <w:p>
            <w:r>
              <w:t>1 748</w:t>
            </w:r>
          </w:p>
        </w:tc>
      </w:tr>
      <w:tr>
        <w:trPr>
          <w:cantSplit/>
        </w:trPr>
        <w:tc>
          <w:tcPr>
            <w:tcW w:type="dxa" w:w="3135"/>
          </w:tcPr>
          <w:p>
            <w:r>
              <w:t>2008</w:t>
            </w:r>
          </w:p>
        </w:tc>
        <w:tc>
          <w:tcPr>
            <w:tcW w:type="dxa" w:w="3135"/>
          </w:tcPr>
          <w:p>
            <w:r>
              <w:t>35,2</w:t>
            </w:r>
          </w:p>
        </w:tc>
        <w:tc>
          <w:tcPr>
            <w:tcW w:type="dxa" w:w="3135"/>
          </w:tcPr>
          <w:p>
            <w:r>
              <w:t>1 672</w:t>
            </w:r>
          </w:p>
        </w:tc>
      </w:tr>
      <w:tr>
        <w:trPr>
          <w:cantSplit/>
        </w:trPr>
        <w:tc>
          <w:tcPr>
            <w:tcW w:type="dxa" w:w="3135"/>
          </w:tcPr>
          <w:p>
            <w:r>
              <w:t>2009</w:t>
            </w:r>
          </w:p>
        </w:tc>
        <w:tc>
          <w:tcPr>
            <w:tcW w:type="dxa" w:w="3135"/>
          </w:tcPr>
          <w:p>
            <w:r>
              <w:t>33,6</w:t>
            </w:r>
          </w:p>
        </w:tc>
        <w:tc>
          <w:tcPr>
            <w:tcW w:type="dxa" w:w="3135"/>
          </w:tcPr>
          <w:p>
            <w:r>
              <w:t>1 596</w:t>
            </w:r>
          </w:p>
        </w:tc>
      </w:tr>
      <w:tr>
        <w:trPr>
          <w:cantSplit/>
        </w:trPr>
        <w:tc>
          <w:tcPr>
            <w:tcW w:type="dxa" w:w="3135"/>
          </w:tcPr>
          <w:p>
            <w:r>
              <w:t>2010</w:t>
            </w:r>
          </w:p>
        </w:tc>
        <w:tc>
          <w:tcPr>
            <w:tcW w:type="dxa" w:w="3135"/>
          </w:tcPr>
          <w:p>
            <w:r>
              <w:t>32,0</w:t>
            </w:r>
          </w:p>
        </w:tc>
        <w:tc>
          <w:tcPr>
            <w:tcW w:type="dxa" w:w="3135"/>
          </w:tcPr>
          <w:p>
            <w:r>
              <w:t>1 520</w:t>
            </w:r>
          </w:p>
        </w:tc>
      </w:tr>
      <w:tr>
        <w:trPr>
          <w:cantSplit/>
        </w:trPr>
        <w:tc>
          <w:tcPr>
            <w:tcW w:type="dxa" w:w="3135"/>
          </w:tcPr>
          <w:p>
            <w:r>
              <w:t>2011</w:t>
            </w:r>
          </w:p>
        </w:tc>
        <w:tc>
          <w:tcPr>
            <w:tcW w:type="dxa" w:w="3135"/>
          </w:tcPr>
          <w:p>
            <w:r>
              <w:t>30,4</w:t>
            </w:r>
          </w:p>
        </w:tc>
        <w:tc>
          <w:tcPr>
            <w:tcW w:type="dxa" w:w="3135"/>
          </w:tcPr>
          <w:p>
            <w:r>
              <w:t>1 444</w:t>
            </w:r>
          </w:p>
        </w:tc>
      </w:tr>
      <w:tr>
        <w:trPr>
          <w:cantSplit/>
        </w:trPr>
        <w:tc>
          <w:tcPr>
            <w:tcW w:type="dxa" w:w="3135"/>
          </w:tcPr>
          <w:p>
            <w:r>
              <w:t>2012</w:t>
            </w:r>
          </w:p>
        </w:tc>
        <w:tc>
          <w:tcPr>
            <w:tcW w:type="dxa" w:w="3135"/>
          </w:tcPr>
          <w:p>
            <w:r>
              <w:t>28,8</w:t>
            </w:r>
          </w:p>
        </w:tc>
        <w:tc>
          <w:tcPr>
            <w:tcW w:type="dxa" w:w="3135"/>
          </w:tcPr>
          <w:p>
            <w:r>
              <w:t>1 368</w:t>
            </w:r>
          </w:p>
        </w:tc>
      </w:tr>
      <w:tr>
        <w:trPr>
          <w:cantSplit/>
        </w:trPr>
        <w:tc>
          <w:tcPr>
            <w:tcW w:type="dxa" w:w="3135"/>
          </w:tcPr>
          <w:p>
            <w:r>
              <w:t>2013</w:t>
            </w:r>
          </w:p>
        </w:tc>
        <w:tc>
          <w:tcPr>
            <w:tcW w:type="dxa" w:w="3135"/>
          </w:tcPr>
          <w:p>
            <w:r>
              <w:t>27,2</w:t>
            </w:r>
          </w:p>
        </w:tc>
        <w:tc>
          <w:tcPr>
            <w:tcW w:type="dxa" w:w="3135"/>
          </w:tcPr>
          <w:p>
            <w:r>
              <w:t>1 292</w:t>
            </w:r>
          </w:p>
        </w:tc>
      </w:tr>
      <w:tr>
        <w:trPr>
          <w:cantSplit/>
        </w:trPr>
        <w:tc>
          <w:tcPr>
            <w:tcW w:type="dxa" w:w="3135"/>
          </w:tcPr>
          <w:p>
            <w:r>
              <w:t>2014</w:t>
            </w:r>
          </w:p>
        </w:tc>
        <w:tc>
          <w:tcPr>
            <w:tcW w:type="dxa" w:w="3135"/>
          </w:tcPr>
          <w:p>
            <w:r>
              <w:t>25,6</w:t>
            </w:r>
          </w:p>
        </w:tc>
        <w:tc>
          <w:tcPr>
            <w:tcW w:type="dxa" w:w="3135"/>
          </w:tcPr>
          <w:p>
            <w:r>
              <w:t>1 216</w:t>
            </w:r>
          </w:p>
        </w:tc>
      </w:tr>
      <w:tr>
        <w:trPr>
          <w:cantSplit/>
        </w:trPr>
        <w:tc>
          <w:tcPr>
            <w:tcW w:type="dxa" w:w="3135"/>
          </w:tcPr>
          <w:p>
            <w:r>
              <w:t>2015</w:t>
            </w:r>
          </w:p>
        </w:tc>
        <w:tc>
          <w:tcPr>
            <w:tcW w:type="dxa" w:w="3135"/>
          </w:tcPr>
          <w:p>
            <w:r>
              <w:t>24,0</w:t>
            </w:r>
          </w:p>
        </w:tc>
        <w:tc>
          <w:tcPr>
            <w:tcW w:type="dxa" w:w="3135"/>
          </w:tcPr>
          <w:p>
            <w:r>
              <w:t>1 140</w:t>
            </w:r>
          </w:p>
        </w:tc>
      </w:tr>
      <w:tr>
        <w:trPr>
          <w:cantSplit/>
        </w:trPr>
        <w:tc>
          <w:tcPr>
            <w:tcW w:type="dxa" w:w="3135"/>
          </w:tcPr>
          <w:p>
            <w:r>
              <w:t>2016</w:t>
            </w:r>
          </w:p>
        </w:tc>
        <w:tc>
          <w:tcPr>
            <w:tcW w:type="dxa" w:w="3135"/>
          </w:tcPr>
          <w:p>
            <w:r>
              <w:t>22,4</w:t>
            </w:r>
          </w:p>
        </w:tc>
        <w:tc>
          <w:tcPr>
            <w:tcW w:type="dxa" w:w="3135"/>
          </w:tcPr>
          <w:p>
            <w:r>
              <w:t>1 064</w:t>
            </w:r>
          </w:p>
        </w:tc>
      </w:tr>
      <w:tr>
        <w:trPr>
          <w:cantSplit/>
        </w:trPr>
        <w:tc>
          <w:tcPr>
            <w:tcW w:type="dxa" w:w="3135"/>
          </w:tcPr>
          <w:p>
            <w:r>
              <w:t>2017</w:t>
            </w:r>
          </w:p>
        </w:tc>
        <w:tc>
          <w:tcPr>
            <w:tcW w:type="dxa" w:w="3135"/>
          </w:tcPr>
          <w:p>
            <w:r>
              <w:t>20,8</w:t>
            </w:r>
          </w:p>
        </w:tc>
        <w:tc>
          <w:tcPr>
            <w:tcW w:type="dxa" w:w="3135"/>
          </w:tcPr>
          <w:p>
            <w:r>
              <w:t xml:space="preserve">  988</w:t>
            </w:r>
          </w:p>
        </w:tc>
      </w:tr>
      <w:tr>
        <w:trPr>
          <w:cantSplit/>
        </w:trPr>
        <w:tc>
          <w:tcPr>
            <w:tcW w:type="dxa" w:w="3135"/>
          </w:tcPr>
          <w:p>
            <w:r>
              <w:t>2018</w:t>
            </w:r>
          </w:p>
        </w:tc>
        <w:tc>
          <w:tcPr>
            <w:tcW w:type="dxa" w:w="3135"/>
          </w:tcPr>
          <w:p>
            <w:r>
              <w:t>19,2</w:t>
            </w:r>
          </w:p>
        </w:tc>
        <w:tc>
          <w:tcPr>
            <w:tcW w:type="dxa" w:w="3135"/>
          </w:tcPr>
          <w:p>
            <w:r>
              <w:t xml:space="preserve">  912</w:t>
            </w:r>
          </w:p>
        </w:tc>
      </w:tr>
      <w:tr>
        <w:trPr>
          <w:cantSplit/>
        </w:trPr>
        <w:tc>
          <w:tcPr>
            <w:tcW w:type="dxa" w:w="3135"/>
          </w:tcPr>
          <w:p>
            <w:r>
              <w:t>2019</w:t>
            </w:r>
          </w:p>
        </w:tc>
        <w:tc>
          <w:tcPr>
            <w:tcW w:type="dxa" w:w="3135"/>
          </w:tcPr>
          <w:p>
            <w:r>
              <w:t>17,6</w:t>
            </w:r>
          </w:p>
        </w:tc>
        <w:tc>
          <w:tcPr>
            <w:tcW w:type="dxa" w:w="3135"/>
          </w:tcPr>
          <w:p>
            <w:r>
              <w:t xml:space="preserve">  836</w:t>
            </w:r>
          </w:p>
        </w:tc>
      </w:tr>
      <w:tr>
        <w:trPr>
          <w:cantSplit/>
        </w:trPr>
        <w:tc>
          <w:tcPr>
            <w:tcW w:type="dxa" w:w="3135"/>
          </w:tcPr>
          <w:p>
            <w:r>
              <w:t>2020</w:t>
            </w:r>
          </w:p>
        </w:tc>
        <w:tc>
          <w:tcPr>
            <w:tcW w:type="dxa" w:w="3135"/>
          </w:tcPr>
          <w:p>
            <w:r>
              <w:t>16,0</w:t>
            </w:r>
          </w:p>
        </w:tc>
        <w:tc>
          <w:tcPr>
            <w:tcW w:type="dxa" w:w="3135"/>
          </w:tcPr>
          <w:p>
            <w:r>
              <w:t xml:space="preserve">  760</w:t>
            </w:r>
          </w:p>
        </w:tc>
      </w:tr>
      <w:tr>
        <w:trPr>
          <w:cantSplit/>
        </w:trPr>
        <w:tc>
          <w:tcPr>
            <w:tcW w:type="dxa" w:w="3135"/>
          </w:tcPr>
          <w:p>
            <w:r>
              <w:t>2021</w:t>
            </w:r>
          </w:p>
        </w:tc>
        <w:tc>
          <w:tcPr>
            <w:tcW w:type="dxa" w:w="3135"/>
          </w:tcPr>
          <w:p>
            <w:r>
              <w:t>15,2</w:t>
            </w:r>
          </w:p>
        </w:tc>
        <w:tc>
          <w:tcPr>
            <w:tcW w:type="dxa" w:w="3135"/>
          </w:tcPr>
          <w:p>
            <w:r>
              <w:t xml:space="preserve">  722</w:t>
            </w:r>
          </w:p>
        </w:tc>
      </w:tr>
      <w:tr>
        <w:trPr>
          <w:cantSplit/>
        </w:trPr>
        <w:tc>
          <w:tcPr>
            <w:tcW w:type="dxa" w:w="3135"/>
          </w:tcPr>
          <w:p>
            <w:r>
              <w:t>2022</w:t>
            </w:r>
          </w:p>
        </w:tc>
        <w:tc>
          <w:tcPr>
            <w:tcW w:type="dxa" w:w="3135"/>
          </w:tcPr>
          <w:p>
            <w:r>
              <w:t>14,4</w:t>
            </w:r>
          </w:p>
        </w:tc>
        <w:tc>
          <w:tcPr>
            <w:tcW w:type="dxa" w:w="3135"/>
          </w:tcPr>
          <w:p>
            <w:r>
              <w:t xml:space="preserve">  684</w:t>
            </w:r>
          </w:p>
        </w:tc>
      </w:tr>
      <w:tr>
        <w:trPr>
          <w:cantSplit/>
        </w:trPr>
        <w:tc>
          <w:tcPr>
            <w:tcW w:type="dxa" w:w="3135"/>
          </w:tcPr>
          <w:p>
            <w:r>
              <w:t>2023</w:t>
            </w:r>
          </w:p>
        </w:tc>
        <w:tc>
          <w:tcPr>
            <w:tcW w:type="dxa" w:w="3135"/>
          </w:tcPr>
          <w:p>
            <w:r>
              <w:t>14,0</w:t>
            </w:r>
          </w:p>
        </w:tc>
        <w:tc>
          <w:tcPr>
            <w:tcW w:type="dxa" w:w="3135"/>
          </w:tcPr>
          <w:p>
            <w:r>
              <w:t xml:space="preserve">  665</w:t>
            </w:r>
          </w:p>
        </w:tc>
      </w:tr>
      <w:tr>
        <w:trPr>
          <w:cantSplit/>
        </w:trPr>
        <w:tc>
          <w:tcPr>
            <w:tcW w:type="dxa" w:w="3135"/>
          </w:tcPr>
          <w:p>
            <w:r>
              <w:t>2024</w:t>
            </w:r>
          </w:p>
        </w:tc>
        <w:tc>
          <w:tcPr>
            <w:tcW w:type="dxa" w:w="3135"/>
          </w:tcPr>
          <w:p>
            <w:r>
              <w:t>13,6</w:t>
            </w:r>
          </w:p>
        </w:tc>
        <w:tc>
          <w:tcPr>
            <w:tcW w:type="dxa" w:w="3135"/>
          </w:tcPr>
          <w:p>
            <w:r>
              <w:t xml:space="preserve">  646</w:t>
            </w:r>
          </w:p>
        </w:tc>
      </w:tr>
      <w:tr>
        <w:trPr>
          <w:cantSplit/>
        </w:trPr>
        <w:tc>
          <w:tcPr>
            <w:tcW w:type="dxa" w:w="3135"/>
          </w:tcPr>
          <w:p>
            <w:r>
              <w:t>2025</w:t>
            </w:r>
          </w:p>
        </w:tc>
        <w:tc>
          <w:tcPr>
            <w:tcW w:type="dxa" w:w="3135"/>
          </w:tcPr>
          <w:p>
            <w:r>
              <w:t>13,2</w:t>
            </w:r>
          </w:p>
        </w:tc>
        <w:tc>
          <w:tcPr>
            <w:tcW w:type="dxa" w:w="3135"/>
          </w:tcPr>
          <w:p>
            <w:r>
              <w:t xml:space="preserve">  627</w:t>
            </w:r>
          </w:p>
        </w:tc>
      </w:tr>
      <w:tr>
        <w:trPr>
          <w:cantSplit/>
        </w:trPr>
        <w:tc>
          <w:tcPr>
            <w:tcW w:type="dxa" w:w="3135"/>
          </w:tcPr>
          <w:p>
            <w:r>
              <w:t>2026</w:t>
            </w:r>
          </w:p>
        </w:tc>
        <w:tc>
          <w:tcPr>
            <w:tcW w:type="dxa" w:w="3135"/>
          </w:tcPr>
          <w:p>
            <w:r>
              <w:t>12,8</w:t>
            </w:r>
          </w:p>
        </w:tc>
        <w:tc>
          <w:tcPr>
            <w:tcW w:type="dxa" w:w="3135"/>
          </w:tcPr>
          <w:p>
            <w:r>
              <w:t xml:space="preserve">  608</w:t>
            </w:r>
          </w:p>
        </w:tc>
      </w:tr>
      <w:tr>
        <w:trPr>
          <w:cantSplit/>
        </w:trPr>
        <w:tc>
          <w:tcPr>
            <w:tcW w:type="dxa" w:w="3135"/>
          </w:tcPr>
          <w:p>
            <w:r>
              <w:t>2027</w:t>
            </w:r>
          </w:p>
        </w:tc>
        <w:tc>
          <w:tcPr>
            <w:tcW w:type="dxa" w:w="3135"/>
          </w:tcPr>
          <w:p>
            <w:r>
              <w:t>12,4</w:t>
            </w:r>
          </w:p>
        </w:tc>
        <w:tc>
          <w:tcPr>
            <w:tcW w:type="dxa" w:w="3135"/>
          </w:tcPr>
          <w:p>
            <w:r>
              <w:t xml:space="preserve">  589</w:t>
            </w:r>
          </w:p>
        </w:tc>
      </w:tr>
      <w:tr>
        <w:trPr>
          <w:cantSplit/>
        </w:trPr>
        <w:tc>
          <w:tcPr>
            <w:tcW w:type="dxa" w:w="3135"/>
          </w:tcPr>
          <w:p>
            <w:r>
              <w:t>2028</w:t>
            </w:r>
          </w:p>
        </w:tc>
        <w:tc>
          <w:tcPr>
            <w:tcW w:type="dxa" w:w="3135"/>
          </w:tcPr>
          <w:p>
            <w:r>
              <w:t>12,0</w:t>
            </w:r>
          </w:p>
        </w:tc>
        <w:tc>
          <w:tcPr>
            <w:tcW w:type="dxa" w:w="3135"/>
          </w:tcPr>
          <w:p>
            <w:r>
              <w:t xml:space="preserve">  570</w:t>
            </w:r>
          </w:p>
        </w:tc>
      </w:tr>
      <w:tr>
        <w:trPr>
          <w:cantSplit/>
        </w:trPr>
        <w:tc>
          <w:tcPr>
            <w:tcW w:type="dxa" w:w="3135"/>
          </w:tcPr>
          <w:p>
            <w:r>
              <w:t>2029</w:t>
            </w:r>
          </w:p>
        </w:tc>
        <w:tc>
          <w:tcPr>
            <w:tcW w:type="dxa" w:w="3135"/>
          </w:tcPr>
          <w:p>
            <w:r>
              <w:t>11,6</w:t>
            </w:r>
          </w:p>
        </w:tc>
        <w:tc>
          <w:tcPr>
            <w:tcW w:type="dxa" w:w="3135"/>
          </w:tcPr>
          <w:p>
            <w:r>
              <w:t xml:space="preserve">  551</w:t>
            </w:r>
          </w:p>
        </w:tc>
      </w:tr>
      <w:tr>
        <w:trPr>
          <w:cantSplit/>
        </w:trPr>
        <w:tc>
          <w:tcPr>
            <w:tcW w:type="dxa" w:w="3135"/>
          </w:tcPr>
          <w:p>
            <w:r>
              <w:t>2030</w:t>
            </w:r>
          </w:p>
        </w:tc>
        <w:tc>
          <w:tcPr>
            <w:tcW w:type="dxa" w:w="3135"/>
          </w:tcPr>
          <w:p>
            <w:r>
              <w:t>11,2</w:t>
            </w:r>
          </w:p>
        </w:tc>
        <w:tc>
          <w:tcPr>
            <w:tcW w:type="dxa" w:w="3135"/>
          </w:tcPr>
          <w:p>
            <w:r>
              <w:t xml:space="preserve">  532</w:t>
            </w:r>
          </w:p>
        </w:tc>
      </w:tr>
      <w:tr>
        <w:trPr>
          <w:cantSplit/>
        </w:trPr>
        <w:tc>
          <w:tcPr>
            <w:tcW w:type="dxa" w:w="3135"/>
          </w:tcPr>
          <w:p>
            <w:r>
              <w:t>2031</w:t>
            </w:r>
          </w:p>
        </w:tc>
        <w:tc>
          <w:tcPr>
            <w:tcW w:type="dxa" w:w="3135"/>
          </w:tcPr>
          <w:p>
            <w:r>
              <w:t>10,8</w:t>
            </w:r>
          </w:p>
        </w:tc>
        <w:tc>
          <w:tcPr>
            <w:tcW w:type="dxa" w:w="3135"/>
          </w:tcPr>
          <w:p>
            <w:r>
              <w:t xml:space="preserve">  513</w:t>
            </w:r>
          </w:p>
        </w:tc>
      </w:tr>
      <w:tr>
        <w:trPr>
          <w:cantSplit/>
        </w:trPr>
        <w:tc>
          <w:tcPr>
            <w:tcW w:type="dxa" w:w="3135"/>
          </w:tcPr>
          <w:p>
            <w:r>
              <w:t>2032</w:t>
            </w:r>
          </w:p>
        </w:tc>
        <w:tc>
          <w:tcPr>
            <w:tcW w:type="dxa" w:w="3135"/>
          </w:tcPr>
          <w:p>
            <w:r>
              <w:t>10,4</w:t>
            </w:r>
          </w:p>
        </w:tc>
        <w:tc>
          <w:tcPr>
            <w:tcW w:type="dxa" w:w="3135"/>
          </w:tcPr>
          <w:p>
            <w:r>
              <w:t xml:space="preserve">  494</w:t>
            </w:r>
          </w:p>
        </w:tc>
      </w:tr>
      <w:tr>
        <w:trPr>
          <w:cantSplit/>
        </w:trPr>
        <w:tc>
          <w:tcPr>
            <w:tcW w:type="dxa" w:w="3135"/>
          </w:tcPr>
          <w:p>
            <w:r>
              <w:t>2033</w:t>
            </w:r>
          </w:p>
        </w:tc>
        <w:tc>
          <w:tcPr>
            <w:tcW w:type="dxa" w:w="3135"/>
          </w:tcPr>
          <w:p>
            <w:r>
              <w:t>10,0</w:t>
            </w:r>
          </w:p>
        </w:tc>
        <w:tc>
          <w:tcPr>
            <w:tcW w:type="dxa" w:w="3135"/>
          </w:tcPr>
          <w:p>
            <w:r>
              <w:t xml:space="preserve">  475</w:t>
            </w:r>
          </w:p>
        </w:tc>
      </w:tr>
      <w:tr>
        <w:trPr>
          <w:cantSplit/>
        </w:trPr>
        <w:tc>
          <w:tcPr>
            <w:tcW w:type="dxa" w:w="3135"/>
          </w:tcPr>
          <w:p>
            <w:r>
              <w:t>2034</w:t>
            </w:r>
          </w:p>
        </w:tc>
        <w:tc>
          <w:tcPr>
            <w:tcW w:type="dxa" w:w="3135"/>
          </w:tcPr>
          <w:p>
            <w:r>
              <w:t xml:space="preserve"> 9,6</w:t>
            </w:r>
          </w:p>
        </w:tc>
        <w:tc>
          <w:tcPr>
            <w:tcW w:type="dxa" w:w="3135"/>
          </w:tcPr>
          <w:p>
            <w:r>
              <w:t xml:space="preserve">  456</w:t>
            </w:r>
          </w:p>
        </w:tc>
      </w:tr>
      <w:tr>
        <w:trPr>
          <w:cantSplit/>
        </w:trPr>
        <w:tc>
          <w:tcPr>
            <w:tcW w:type="dxa" w:w="3135"/>
          </w:tcPr>
          <w:p>
            <w:r>
              <w:t>2035</w:t>
            </w:r>
          </w:p>
        </w:tc>
        <w:tc>
          <w:tcPr>
            <w:tcW w:type="dxa" w:w="3135"/>
          </w:tcPr>
          <w:p>
            <w:r>
              <w:t xml:space="preserve"> 9,2</w:t>
            </w:r>
          </w:p>
        </w:tc>
        <w:tc>
          <w:tcPr>
            <w:tcW w:type="dxa" w:w="3135"/>
          </w:tcPr>
          <w:p>
            <w:r>
              <w:t xml:space="preserve">  437</w:t>
            </w:r>
          </w:p>
        </w:tc>
      </w:tr>
      <w:tr>
        <w:trPr>
          <w:cantSplit/>
        </w:trPr>
        <w:tc>
          <w:tcPr>
            <w:tcW w:type="dxa" w:w="3135"/>
          </w:tcPr>
          <w:p>
            <w:r>
              <w:t>2036</w:t>
            </w:r>
          </w:p>
        </w:tc>
        <w:tc>
          <w:tcPr>
            <w:tcW w:type="dxa" w:w="3135"/>
          </w:tcPr>
          <w:p>
            <w:r>
              <w:t xml:space="preserve"> 8,8</w:t>
            </w:r>
          </w:p>
        </w:tc>
        <w:tc>
          <w:tcPr>
            <w:tcW w:type="dxa" w:w="3135"/>
          </w:tcPr>
          <w:p>
            <w:r>
              <w:t xml:space="preserve">  418</w:t>
            </w:r>
          </w:p>
        </w:tc>
      </w:tr>
      <w:tr>
        <w:trPr>
          <w:cantSplit/>
        </w:trPr>
        <w:tc>
          <w:tcPr>
            <w:tcW w:type="dxa" w:w="3135"/>
          </w:tcPr>
          <w:p>
            <w:r>
              <w:t>2037</w:t>
            </w:r>
          </w:p>
        </w:tc>
        <w:tc>
          <w:tcPr>
            <w:tcW w:type="dxa" w:w="3135"/>
          </w:tcPr>
          <w:p>
            <w:r>
              <w:t xml:space="preserve"> 8,4</w:t>
            </w:r>
          </w:p>
        </w:tc>
        <w:tc>
          <w:tcPr>
            <w:tcW w:type="dxa" w:w="3135"/>
          </w:tcPr>
          <w:p>
            <w:r>
              <w:t xml:space="preserve">  399</w:t>
            </w:r>
          </w:p>
        </w:tc>
      </w:tr>
      <w:tr>
        <w:trPr>
          <w:cantSplit/>
        </w:trPr>
        <w:tc>
          <w:tcPr>
            <w:tcW w:type="dxa" w:w="3135"/>
          </w:tcPr>
          <w:p>
            <w:r>
              <w:t>2038</w:t>
            </w:r>
          </w:p>
        </w:tc>
        <w:tc>
          <w:tcPr>
            <w:tcW w:type="dxa" w:w="3135"/>
          </w:tcPr>
          <w:p>
            <w:r>
              <w:t xml:space="preserve"> 8,0</w:t>
            </w:r>
          </w:p>
        </w:tc>
        <w:tc>
          <w:tcPr>
            <w:tcW w:type="dxa" w:w="3135"/>
          </w:tcPr>
          <w:p>
            <w:r>
              <w:t xml:space="preserve">  380</w:t>
            </w:r>
          </w:p>
        </w:tc>
      </w:tr>
      <w:tr>
        <w:trPr>
          <w:cantSplit/>
        </w:trPr>
        <w:tc>
          <w:tcPr>
            <w:tcW w:type="dxa" w:w="3135"/>
          </w:tcPr>
          <w:p>
            <w:r>
              <w:t>2039</w:t>
            </w:r>
          </w:p>
        </w:tc>
        <w:tc>
          <w:tcPr>
            <w:tcW w:type="dxa" w:w="3135"/>
          </w:tcPr>
          <w:p>
            <w:r>
              <w:t xml:space="preserve"> 7,6</w:t>
            </w:r>
          </w:p>
        </w:tc>
        <w:tc>
          <w:tcPr>
            <w:tcW w:type="dxa" w:w="3135"/>
          </w:tcPr>
          <w:p>
            <w:r>
              <w:t xml:space="preserve">  361</w:t>
            </w:r>
          </w:p>
        </w:tc>
      </w:tr>
      <w:tr>
        <w:trPr>
          <w:cantSplit/>
        </w:trPr>
        <w:tc>
          <w:tcPr>
            <w:tcW w:type="dxa" w:w="3135"/>
          </w:tcPr>
          <w:p>
            <w:r>
              <w:t>2040</w:t>
            </w:r>
          </w:p>
        </w:tc>
        <w:tc>
          <w:tcPr>
            <w:tcW w:type="dxa" w:w="3135"/>
          </w:tcPr>
          <w:p>
            <w:r>
              <w:t xml:space="preserve"> 7,2</w:t>
            </w:r>
          </w:p>
        </w:tc>
        <w:tc>
          <w:tcPr>
            <w:tcW w:type="dxa" w:w="3135"/>
          </w:tcPr>
          <w:p>
            <w:r>
              <w:t xml:space="preserve">  342</w:t>
            </w:r>
          </w:p>
        </w:tc>
      </w:tr>
      <w:tr>
        <w:trPr>
          <w:cantSplit/>
        </w:trPr>
        <w:tc>
          <w:tcPr>
            <w:tcW w:type="dxa" w:w="3135"/>
          </w:tcPr>
          <w:p>
            <w:r>
              <w:t>2041</w:t>
            </w:r>
          </w:p>
        </w:tc>
        <w:tc>
          <w:tcPr>
            <w:tcW w:type="dxa" w:w="3135"/>
          </w:tcPr>
          <w:p>
            <w:r>
              <w:t xml:space="preserve"> 6,8</w:t>
            </w:r>
          </w:p>
        </w:tc>
        <w:tc>
          <w:tcPr>
            <w:tcW w:type="dxa" w:w="3135"/>
          </w:tcPr>
          <w:p>
            <w:r>
              <w:t xml:space="preserve">  323</w:t>
            </w:r>
          </w:p>
        </w:tc>
      </w:tr>
      <w:tr>
        <w:trPr>
          <w:cantSplit/>
        </w:trPr>
        <w:tc>
          <w:tcPr>
            <w:tcW w:type="dxa" w:w="3135"/>
          </w:tcPr>
          <w:p>
            <w:r>
              <w:t>2042</w:t>
            </w:r>
          </w:p>
        </w:tc>
        <w:tc>
          <w:tcPr>
            <w:tcW w:type="dxa" w:w="3135"/>
          </w:tcPr>
          <w:p>
            <w:r>
              <w:t xml:space="preserve"> 6,4</w:t>
            </w:r>
          </w:p>
        </w:tc>
        <w:tc>
          <w:tcPr>
            <w:tcW w:type="dxa" w:w="3135"/>
          </w:tcPr>
          <w:p>
            <w:r>
              <w:t xml:space="preserve">  304</w:t>
            </w:r>
          </w:p>
        </w:tc>
      </w:tr>
      <w:tr>
        <w:trPr>
          <w:cantSplit/>
        </w:trPr>
        <w:tc>
          <w:tcPr>
            <w:tcW w:type="dxa" w:w="3135"/>
          </w:tcPr>
          <w:p>
            <w:r>
              <w:t>2043</w:t>
            </w:r>
          </w:p>
        </w:tc>
        <w:tc>
          <w:tcPr>
            <w:tcW w:type="dxa" w:w="3135"/>
          </w:tcPr>
          <w:p>
            <w:r>
              <w:t xml:space="preserve"> 6,0</w:t>
            </w:r>
          </w:p>
        </w:tc>
        <w:tc>
          <w:tcPr>
            <w:tcW w:type="dxa" w:w="3135"/>
          </w:tcPr>
          <w:p>
            <w:r>
              <w:t xml:space="preserve">  285</w:t>
            </w:r>
          </w:p>
        </w:tc>
      </w:tr>
      <w:tr>
        <w:trPr>
          <w:cantSplit/>
        </w:trPr>
        <w:tc>
          <w:tcPr>
            <w:tcW w:type="dxa" w:w="3135"/>
          </w:tcPr>
          <w:p>
            <w:r>
              <w:t>2044</w:t>
            </w:r>
          </w:p>
        </w:tc>
        <w:tc>
          <w:tcPr>
            <w:tcW w:type="dxa" w:w="3135"/>
          </w:tcPr>
          <w:p>
            <w:r>
              <w:t xml:space="preserve"> 5,6</w:t>
            </w:r>
          </w:p>
        </w:tc>
        <w:tc>
          <w:tcPr>
            <w:tcW w:type="dxa" w:w="3135"/>
          </w:tcPr>
          <w:p>
            <w:r>
              <w:t xml:space="preserve">  266</w:t>
            </w:r>
          </w:p>
        </w:tc>
      </w:tr>
      <w:tr>
        <w:trPr>
          <w:cantSplit/>
        </w:trPr>
        <w:tc>
          <w:tcPr>
            <w:tcW w:type="dxa" w:w="3135"/>
          </w:tcPr>
          <w:p>
            <w:r>
              <w:t>2045</w:t>
            </w:r>
          </w:p>
        </w:tc>
        <w:tc>
          <w:tcPr>
            <w:tcW w:type="dxa" w:w="3135"/>
          </w:tcPr>
          <w:p>
            <w:r>
              <w:t xml:space="preserve"> 5,2</w:t>
            </w:r>
          </w:p>
        </w:tc>
        <w:tc>
          <w:tcPr>
            <w:tcW w:type="dxa" w:w="3135"/>
          </w:tcPr>
          <w:p>
            <w:r>
              <w:t xml:space="preserve">  247</w:t>
            </w:r>
          </w:p>
        </w:tc>
      </w:tr>
      <w:tr>
        <w:trPr>
          <w:cantSplit/>
        </w:trPr>
        <w:tc>
          <w:tcPr>
            <w:tcW w:type="dxa" w:w="3135"/>
          </w:tcPr>
          <w:p>
            <w:r>
              <w:t>2046</w:t>
            </w:r>
          </w:p>
        </w:tc>
        <w:tc>
          <w:tcPr>
            <w:tcW w:type="dxa" w:w="3135"/>
          </w:tcPr>
          <w:p>
            <w:r>
              <w:t xml:space="preserve"> 4,8</w:t>
            </w:r>
          </w:p>
        </w:tc>
        <w:tc>
          <w:tcPr>
            <w:tcW w:type="dxa" w:w="3135"/>
          </w:tcPr>
          <w:p>
            <w:r>
              <w:t xml:space="preserve">  228</w:t>
            </w:r>
          </w:p>
        </w:tc>
      </w:tr>
      <w:tr>
        <w:trPr>
          <w:cantSplit/>
        </w:trPr>
        <w:tc>
          <w:tcPr>
            <w:tcW w:type="dxa" w:w="3135"/>
          </w:tcPr>
          <w:p>
            <w:r>
              <w:t>2047</w:t>
            </w:r>
          </w:p>
        </w:tc>
        <w:tc>
          <w:tcPr>
            <w:tcW w:type="dxa" w:w="3135"/>
          </w:tcPr>
          <w:p>
            <w:r>
              <w:t xml:space="preserve"> 4,4</w:t>
            </w:r>
          </w:p>
        </w:tc>
        <w:tc>
          <w:tcPr>
            <w:tcW w:type="dxa" w:w="3135"/>
          </w:tcPr>
          <w:p>
            <w:r>
              <w:t xml:space="preserve">  209</w:t>
            </w:r>
          </w:p>
        </w:tc>
      </w:tr>
      <w:tr>
        <w:trPr>
          <w:cantSplit/>
        </w:trPr>
        <w:tc>
          <w:tcPr>
            <w:tcW w:type="dxa" w:w="3135"/>
          </w:tcPr>
          <w:p>
            <w:r>
              <w:t>2048</w:t>
            </w:r>
          </w:p>
        </w:tc>
        <w:tc>
          <w:tcPr>
            <w:tcW w:type="dxa" w:w="3135"/>
          </w:tcPr>
          <w:p>
            <w:r>
              <w:t xml:space="preserve"> 4,0</w:t>
            </w:r>
          </w:p>
        </w:tc>
        <w:tc>
          <w:tcPr>
            <w:tcW w:type="dxa" w:w="3135"/>
          </w:tcPr>
          <w:p>
            <w:r>
              <w:t xml:space="preserve">  190</w:t>
            </w:r>
          </w:p>
        </w:tc>
      </w:tr>
      <w:tr>
        <w:trPr>
          <w:cantSplit/>
        </w:trPr>
        <w:tc>
          <w:tcPr>
            <w:tcW w:type="dxa" w:w="3135"/>
          </w:tcPr>
          <w:p>
            <w:r>
              <w:t>2049</w:t>
            </w:r>
          </w:p>
        </w:tc>
        <w:tc>
          <w:tcPr>
            <w:tcW w:type="dxa" w:w="3135"/>
          </w:tcPr>
          <w:p>
            <w:r>
              <w:t xml:space="preserve"> 3,6</w:t>
            </w:r>
          </w:p>
        </w:tc>
        <w:tc>
          <w:tcPr>
            <w:tcW w:type="dxa" w:w="3135"/>
          </w:tcPr>
          <w:p>
            <w:r>
              <w:t xml:space="preserve">  171</w:t>
            </w:r>
          </w:p>
        </w:tc>
      </w:tr>
      <w:tr>
        <w:trPr>
          <w:cantSplit/>
        </w:trPr>
        <w:tc>
          <w:tcPr>
            <w:tcW w:type="dxa" w:w="3135"/>
          </w:tcPr>
          <w:p>
            <w:r>
              <w:t>2050</w:t>
            </w:r>
          </w:p>
        </w:tc>
        <w:tc>
          <w:tcPr>
            <w:tcW w:type="dxa" w:w="3135"/>
          </w:tcPr>
          <w:p>
            <w:r>
              <w:t xml:space="preserve"> 3,2</w:t>
            </w:r>
          </w:p>
        </w:tc>
        <w:tc>
          <w:tcPr>
            <w:tcW w:type="dxa" w:w="3135"/>
          </w:tcPr>
          <w:p>
            <w:r>
              <w:t xml:space="preserve">  152</w:t>
            </w:r>
          </w:p>
        </w:tc>
      </w:tr>
      <w:tr>
        <w:trPr>
          <w:cantSplit/>
        </w:trPr>
        <w:tc>
          <w:tcPr>
            <w:tcW w:type="dxa" w:w="3135"/>
          </w:tcPr>
          <w:p>
            <w:r>
              <w:t>2051</w:t>
            </w:r>
          </w:p>
        </w:tc>
        <w:tc>
          <w:tcPr>
            <w:tcW w:type="dxa" w:w="3135"/>
          </w:tcPr>
          <w:p>
            <w:r>
              <w:t xml:space="preserve"> 2,8</w:t>
            </w:r>
          </w:p>
        </w:tc>
        <w:tc>
          <w:tcPr>
            <w:tcW w:type="dxa" w:w="3135"/>
          </w:tcPr>
          <w:p>
            <w:r>
              <w:t xml:space="preserve">  133</w:t>
            </w:r>
          </w:p>
        </w:tc>
      </w:tr>
      <w:tr>
        <w:trPr>
          <w:cantSplit/>
        </w:trPr>
        <w:tc>
          <w:tcPr>
            <w:tcW w:type="dxa" w:w="3135"/>
          </w:tcPr>
          <w:p>
            <w:r>
              <w:t>2052</w:t>
            </w:r>
          </w:p>
        </w:tc>
        <w:tc>
          <w:tcPr>
            <w:tcW w:type="dxa" w:w="3135"/>
          </w:tcPr>
          <w:p>
            <w:r>
              <w:t xml:space="preserve"> 2,4</w:t>
            </w:r>
          </w:p>
        </w:tc>
        <w:tc>
          <w:tcPr>
            <w:tcW w:type="dxa" w:w="3135"/>
          </w:tcPr>
          <w:p>
            <w:r>
              <w:t xml:space="preserve">  114</w:t>
            </w:r>
          </w:p>
        </w:tc>
      </w:tr>
      <w:tr>
        <w:trPr>
          <w:cantSplit/>
        </w:trPr>
        <w:tc>
          <w:tcPr>
            <w:tcW w:type="dxa" w:w="3135"/>
          </w:tcPr>
          <w:p>
            <w:r>
              <w:t>2053</w:t>
            </w:r>
          </w:p>
        </w:tc>
        <w:tc>
          <w:tcPr>
            <w:tcW w:type="dxa" w:w="3135"/>
          </w:tcPr>
          <w:p>
            <w:r>
              <w:t xml:space="preserve"> 2,0</w:t>
            </w:r>
          </w:p>
        </w:tc>
        <w:tc>
          <w:tcPr>
            <w:tcW w:type="dxa" w:w="3135"/>
          </w:tcPr>
          <w:p>
            <w:r>
              <w:t xml:space="preserve">   95</w:t>
            </w:r>
          </w:p>
        </w:tc>
      </w:tr>
      <w:tr>
        <w:trPr>
          <w:cantSplit/>
        </w:trPr>
        <w:tc>
          <w:tcPr>
            <w:tcW w:type="dxa" w:w="3135"/>
          </w:tcPr>
          <w:p>
            <w:r>
              <w:t>2054</w:t>
            </w:r>
          </w:p>
        </w:tc>
        <w:tc>
          <w:tcPr>
            <w:tcW w:type="dxa" w:w="3135"/>
          </w:tcPr>
          <w:p>
            <w:r>
              <w:t xml:space="preserve"> 1,6</w:t>
            </w:r>
          </w:p>
        </w:tc>
        <w:tc>
          <w:tcPr>
            <w:tcW w:type="dxa" w:w="3135"/>
          </w:tcPr>
          <w:p>
            <w:r>
              <w:t xml:space="preserve">   76</w:t>
            </w:r>
          </w:p>
        </w:tc>
      </w:tr>
      <w:tr>
        <w:trPr>
          <w:cantSplit/>
        </w:trPr>
        <w:tc>
          <w:tcPr>
            <w:tcW w:type="dxa" w:w="3135"/>
          </w:tcPr>
          <w:p>
            <w:r>
              <w:t>2055</w:t>
            </w:r>
          </w:p>
        </w:tc>
        <w:tc>
          <w:tcPr>
            <w:tcW w:type="dxa" w:w="3135"/>
          </w:tcPr>
          <w:p>
            <w:r>
              <w:t xml:space="preserve"> 1,2</w:t>
            </w:r>
          </w:p>
        </w:tc>
        <w:tc>
          <w:tcPr>
            <w:tcW w:type="dxa" w:w="3135"/>
          </w:tcPr>
          <w:p>
            <w:r>
              <w:t xml:space="preserve">   57</w:t>
            </w:r>
          </w:p>
        </w:tc>
      </w:tr>
      <w:tr>
        <w:trPr>
          <w:cantSplit/>
        </w:trPr>
        <w:tc>
          <w:tcPr>
            <w:tcW w:type="dxa" w:w="3135"/>
          </w:tcPr>
          <w:p>
            <w:r>
              <w:t>2056</w:t>
            </w:r>
          </w:p>
        </w:tc>
        <w:tc>
          <w:tcPr>
            <w:tcW w:type="dxa" w:w="3135"/>
          </w:tcPr>
          <w:p>
            <w:r>
              <w:t xml:space="preserve"> 0,8</w:t>
            </w:r>
          </w:p>
        </w:tc>
        <w:tc>
          <w:tcPr>
            <w:tcW w:type="dxa" w:w="3135"/>
          </w:tcPr>
          <w:p>
            <w:r>
              <w:t xml:space="preserve">   38</w:t>
            </w:r>
          </w:p>
        </w:tc>
      </w:tr>
      <w:tr>
        <w:trPr>
          <w:cantSplit/>
        </w:trPr>
        <w:tc>
          <w:tcPr>
            <w:tcW w:type="dxa" w:w="3135"/>
          </w:tcPr>
          <w:p>
            <w:r>
              <w:t>2057</w:t>
            </w:r>
          </w:p>
        </w:tc>
        <w:tc>
          <w:tcPr>
            <w:tcW w:type="dxa" w:w="3135"/>
          </w:tcPr>
          <w:p>
            <w:r>
              <w:t xml:space="preserve"> 0,4</w:t>
            </w:r>
          </w:p>
        </w:tc>
        <w:tc>
          <w:tcPr>
            <w:tcW w:type="dxa" w:w="3135"/>
          </w:tcPr>
          <w:p>
            <w:r>
              <w:t xml:space="preserve">   19</w:t>
            </w:r>
          </w:p>
        </w:tc>
      </w:tr>
      <w:tr>
        <w:trPr>
          <w:cantSplit/>
        </w:trPr>
        <w:tc>
          <w:tcPr>
            <w:tcW w:type="dxa" w:w="3135"/>
          </w:tcPr>
          <w:p>
            <w:r>
              <w:t>2058</w:t>
            </w:r>
          </w:p>
        </w:tc>
        <w:tc>
          <w:tcPr>
            <w:tcW w:type="dxa" w:w="3135"/>
          </w:tcPr>
          <w:p>
            <w:r>
              <w:t xml:space="preserve"> 0,0</w:t>
            </w:r>
          </w:p>
        </w:tc>
        <w:tc>
          <w:tcPr>
            <w:tcW w:type="dxa" w:w="3135"/>
          </w:tcPr>
          <w:p>
            <w:r>
              <w:t xml:space="preserve">     0</w:t>
            </w:r>
          </w:p>
        </w:tc>
      </w:tr>
    </w:tbl>
    <w:p>
      <w:pPr>
        <w:spacing w:after="0"/>
      </w:pPr>
    </w:p>
    <w:p>
      <w:pPr>
        <w:pStyle w:val="Heading4"/>
      </w:pPr>
      <w:bookmarkStart w:id="97" w:name="b96"/>
      <w:r>
        <w:t>§ 24b Entlastungsbetrag für Alleinerziehende</w:t>
      </w:r>
      <w:r>
        <w:t xml:space="preserve"> </w:t>
      </w:r>
      <w:r>
        <w:rPr>
          <w:rStyle w:val="Suchmarke"/>
        </w:rPr>
        <w:t>#24b#</w:t>
      </w:r>
      <w:bookmarkEnd w:id="97"/>
    </w:p>
    <w:p>
      <w:r>
        <w:t xml:space="preserve">(1) </w:t>
      </w:r>
      <w:r>
        <w:rPr>
          <w:rStyle w:val="Satznummer"/>
        </w:rPr>
        <w:t>1</w:t>
      </w:r>
      <w:r>
        <w:t xml:space="preserve">Allein stehende Steuerpflichtige können einen Entlastungsbetrag von der Summe der Einkünfte abziehen, wenn zu ihrem Haushalt mindestens ein Kind gehört, für das ihnen ein Freibetrag nach </w:t>
      </w:r>
      <w:hyperlink w:anchor="b107" w:history="1">
        <w:r>
          <w:rPr>
            <w:color w:val="0A3A8C"/>
            <w:u w:val="single"/>
          </w:rPr>
          <w:t xml:space="preserve">§ 32</w:t>
        </w:r>
      </w:hyperlink>
      <w:r>
        <w:t xml:space="preserve"> Absatz 6 oder Kindergeld zusteht. </w:t>
      </w:r>
      <w:r>
        <w:rPr>
          <w:rStyle w:val="Satznummer"/>
        </w:rPr>
        <w:t>2</w:t>
      </w:r>
      <w:r>
        <w:t xml:space="preserve">Die Zugehörigkeit zum Haushalt ist anzunehmen, wenn das Kind in der Wohnung des allein stehenden Steuerpflichtigen gemeldet ist. </w:t>
      </w:r>
      <w:r>
        <w:rPr>
          <w:rStyle w:val="Satznummer"/>
        </w:rPr>
        <w:t>3</w:t>
      </w:r>
      <w:r>
        <w:t xml:space="preserve">Ist das Kind bei mehreren Steuerpflichtigen gemeldet, steht der Entlastungsbetrag nach Satz 1 demjenigen Alleinstehenden zu, der die Voraussetzungen auf Auszahlung des Kindergeldes nach </w:t>
      </w:r>
      <w:hyperlink w:anchor="b219" w:history="1">
        <w:r>
          <w:rPr>
            <w:color w:val="0A3A8C"/>
            <w:u w:val="single"/>
          </w:rPr>
          <w:t xml:space="preserve">§ 64</w:t>
        </w:r>
      </w:hyperlink>
      <w:r>
        <w:t xml:space="preserve"> Absatz 2 Satz 1 erfüllt oder erfüllen würde in Fällen, in denen nur ein Anspruch auf einen Freibetrag nach </w:t>
      </w:r>
      <w:hyperlink w:anchor="b107" w:history="1">
        <w:r>
          <w:rPr>
            <w:color w:val="0A3A8C"/>
            <w:u w:val="single"/>
          </w:rPr>
          <w:t xml:space="preserve">§ 32</w:t>
        </w:r>
      </w:hyperlink>
      <w:r>
        <w:t xml:space="preserve"> Absatz 6 besteht. </w:t>
      </w:r>
      <w:r>
        <w:rPr>
          <w:rStyle w:val="Satznummer"/>
        </w:rPr>
        <w:t>4</w:t>
      </w:r>
      <w:r>
        <w:t xml:space="preserve">Voraussetzung für die Berücksichtigung ist die Identifizierung des Kindes durch die an dieses Kind vergebene Identifikationsnummer (§ 139b der Abgabenordnung). </w:t>
      </w:r>
      <w:r>
        <w:rPr>
          <w:rStyle w:val="Satznummer"/>
        </w:rPr>
        <w:t>5</w:t>
      </w:r>
      <w:r>
        <w:t xml:space="preserve">Ist das Kind nicht nach einem Steuergesetz steuerpflichtig (§ 139a Absatz 2 der Abgabenordnung), ist es in anderer geeigneter Weise zu identifizieren. </w:t>
      </w:r>
      <w:r>
        <w:rPr>
          <w:rStyle w:val="Satznummer"/>
        </w:rPr>
        <w:t>6</w:t>
      </w:r>
      <w:r>
        <w:t>Die nachträgliche Vergabe der Identifikationsnummer wirkt auf Monate zurück, in denen die Voraussetzungen der Sätze 1 bis 3 vorliegen.</w:t>
      </w:r>
    </w:p>
    <w:p>
      <w:r>
        <w:t xml:space="preserve">(2) </w:t>
      </w:r>
      <w:r>
        <w:rPr>
          <w:rStyle w:val="Satznummer"/>
        </w:rPr>
        <w:t>1</w:t>
      </w:r>
      <w:r>
        <w:t xml:space="preserve">Gehört zum Haushalt des allein stehenden Steuerpflichtigen ein Kind im Sinne des Absatzes 1, beträgt der Entlastungsbetrag im Kalenderjahr 4 260 Euro. </w:t>
      </w:r>
      <w:r>
        <w:rPr>
          <w:rStyle w:val="Satznummer"/>
        </w:rPr>
        <w:t>2</w:t>
      </w:r>
      <w:r>
        <w:t>Für jedes weitere Kind im Sinne des Absatzes 1 erhöht sich der Betrag nach Satz 1 um 240 Euro je weiterem Kind.</w:t>
      </w:r>
    </w:p>
    <w:p>
      <w:r>
        <w:t xml:space="preserve">(3) </w:t>
      </w:r>
      <w:r>
        <w:rPr>
          <w:rStyle w:val="Satznummer"/>
        </w:rPr>
        <w:t>1</w:t>
      </w:r>
      <w:r>
        <w:t>Allein stehend im Sinne des Absatzes 1 sind Steuerpflichtige, die nicht die Voraussetzungen für die Anwendung des Splitting-Verfahrens (</w:t>
      </w:r>
      <w:hyperlink w:anchor="b99" w:history="1">
        <w:r>
          <w:rPr>
            <w:color w:val="0A3A8C"/>
            <w:u w:val="single"/>
          </w:rPr>
          <w:t xml:space="preserve">§ 26</w:t>
        </w:r>
      </w:hyperlink>
      <w:r>
        <w:t xml:space="preserve"> Absatz 1) erfüllen oder verwitwet sind und keine Haushaltsgemeinschaft mit einer anderen volljährigen Person bilden, es sei denn, für diese steht ihnen ein Freibetrag nach </w:t>
      </w:r>
      <w:hyperlink w:anchor="b107" w:history="1">
        <w:r>
          <w:rPr>
            <w:color w:val="0A3A8C"/>
            <w:u w:val="single"/>
          </w:rPr>
          <w:t xml:space="preserve">§ 32</w:t>
        </w:r>
      </w:hyperlink>
      <w:r>
        <w:t xml:space="preserve"> Absatz 6 oder Kindergeld zu oder es handelt sich um ein Kind im Sinne des </w:t>
      </w:r>
      <w:hyperlink w:anchor="b218" w:history="1">
        <w:r>
          <w:rPr>
            <w:color w:val="0A3A8C"/>
            <w:u w:val="single"/>
          </w:rPr>
          <w:t xml:space="preserve">§ 63</w:t>
        </w:r>
      </w:hyperlink>
      <w:r>
        <w:t xml:space="preserve"> Absatz 1 Satz 1, das einen Dienst nach </w:t>
      </w:r>
      <w:hyperlink w:anchor="b107" w:history="1">
        <w:r>
          <w:rPr>
            <w:color w:val="0A3A8C"/>
            <w:u w:val="single"/>
          </w:rPr>
          <w:t xml:space="preserve">§ 32</w:t>
        </w:r>
      </w:hyperlink>
      <w:r>
        <w:t xml:space="preserve"> Absatz 5 Satz 1 Nummer 1 und 2 leistet oder eine Tätigkeit nach </w:t>
      </w:r>
      <w:hyperlink w:anchor="b107" w:history="1">
        <w:r>
          <w:rPr>
            <w:color w:val="0A3A8C"/>
            <w:u w:val="single"/>
          </w:rPr>
          <w:t xml:space="preserve">§ 32</w:t>
        </w:r>
      </w:hyperlink>
      <w:r>
        <w:t xml:space="preserve"> Absatz 5 Satz 1 Nummer 3 ausübt. </w:t>
      </w:r>
      <w:r>
        <w:rPr>
          <w:rStyle w:val="Satznummer"/>
        </w:rPr>
        <w:t>2</w:t>
      </w:r>
      <w:r>
        <w:t xml:space="preserve">Ist die andere Person mit Haupt- oder Nebenwohnsitz in der Wohnung des Steuerpflichtigen gemeldet, wird vermutet, dass sie mit dem Steuerpflichtigen gemeinsam wirtschaftet (Haushaltsgemeinschaft). </w:t>
      </w:r>
      <w:r>
        <w:rPr>
          <w:rStyle w:val="Satznummer"/>
        </w:rPr>
        <w:t>3</w:t>
      </w:r>
      <w:r>
        <w:t>Diese Vermutung ist widerlegbar, es sei denn, der Steuerpflichtige und die andere Person leben in einer eheähnlichen oder lebenspartnerschaftsähnlichen Gemeinschaft.</w:t>
      </w:r>
    </w:p>
    <w:p>
      <w:r>
        <w:t>(4) Für jeden vollen Kalendermonat, in dem die Voraussetzungen des Absatzes 1 nicht vorgelegen haben, ermäßigt sich der Entlastungsbetrag nach Absatz 2 um ein Zwölftel.</w:t>
      </w:r>
    </w:p>
    <w:p>
      <w:pPr>
        <w:pStyle w:val="Heading1"/>
      </w:pPr>
      <w:bookmarkStart w:id="98" w:name="b97"/>
      <w:r>
        <w:t>III. Veranlagung</w:t>
      </w:r>
      <w:bookmarkEnd w:id="98"/>
    </w:p>
    <w:p>
      <w:pPr>
        <w:pStyle w:val="Heading2"/>
      </w:pPr>
      <w:bookmarkStart w:id="99" w:name="b98"/>
      <w:r>
        <w:t>§ 25 Veranlagungszeitraum, Steuererklärungspflicht</w:t>
      </w:r>
      <w:r>
        <w:t xml:space="preserve"> </w:t>
      </w:r>
      <w:r>
        <w:rPr>
          <w:rStyle w:val="Suchmarke"/>
        </w:rPr>
        <w:t>#25#</w:t>
      </w:r>
      <w:bookmarkEnd w:id="99"/>
    </w:p>
    <w:p>
      <w:r>
        <w:t xml:space="preserve">(1) Die Einkommensteuer wird nach Ablauf des Kalenderjahres (Veranlagungszeitraum) nach dem Einkommen veranlagt, das der Steuerpflichtige in diesem Veranlagungszeitraum bezogen hat, soweit nicht nach </w:t>
      </w:r>
      <w:hyperlink w:anchor="b169" w:history="1">
        <w:r>
          <w:rPr>
            <w:color w:val="0A3A8C"/>
            <w:u w:val="single"/>
          </w:rPr>
          <w:t xml:space="preserve">§ 43</w:t>
        </w:r>
      </w:hyperlink>
      <w:r>
        <w:t xml:space="preserve"> Absatz 5 und </w:t>
      </w:r>
      <w:hyperlink w:anchor="b182" w:history="1">
        <w:r>
          <w:rPr>
            <w:color w:val="0A3A8C"/>
            <w:u w:val="single"/>
          </w:rPr>
          <w:t xml:space="preserve">§ 46</w:t>
        </w:r>
      </w:hyperlink>
      <w:r>
        <w:t xml:space="preserve"> eine Veranlagung unterbleibt.</w:t>
      </w:r>
    </w:p>
    <w:p>
      <w:r>
        <w:t>(2) (weggefallen)</w:t>
      </w:r>
    </w:p>
    <w:p>
      <w:r>
        <w:t xml:space="preserve">(3) </w:t>
      </w:r>
      <w:r>
        <w:rPr>
          <w:rStyle w:val="Satznummer"/>
        </w:rPr>
        <w:t>1</w:t>
      </w:r>
      <w:r>
        <w:t xml:space="preserve">Die steuerpflichtige Person hat für den Veranlagungszeitraum eine eigenhändig unterschriebene Einkommensteuererklärung abzugeben. </w:t>
      </w:r>
      <w:r>
        <w:rPr>
          <w:rStyle w:val="Satznummer"/>
        </w:rPr>
        <w:t>2</w:t>
      </w:r>
      <w:r>
        <w:t>Wählen Ehegatten die Zusammenveranlagung (</w:t>
      </w:r>
      <w:hyperlink w:anchor="b101" w:history="1">
        <w:r>
          <w:rPr>
            <w:color w:val="0A3A8C"/>
            <w:u w:val="single"/>
          </w:rPr>
          <w:t xml:space="preserve">§ 26b</w:t>
        </w:r>
      </w:hyperlink>
      <w:r>
        <w:t>), haben sie eine gemeinsame Steuererklärung abzugeben, die von beiden eigenhändig zu unterschreiben ist.</w:t>
      </w:r>
    </w:p>
    <w:p>
      <w:r>
        <w:t xml:space="preserve">(4) </w:t>
      </w:r>
      <w:r>
        <w:rPr>
          <w:rStyle w:val="Satznummer"/>
        </w:rPr>
        <w:t>1</w:t>
      </w:r>
      <w:r>
        <w:t xml:space="preserve">Die Erklärung nach Absatz 3 ist nach amtlich vorgeschriebenem Datensatz durch Datenfernübertragung zu übermitteln, wenn Einkünfte nach </w:t>
      </w:r>
      <w:hyperlink w:anchor="b5" w:history="1">
        <w:r>
          <w:rPr>
            <w:color w:val="0A3A8C"/>
            <w:u w:val="single"/>
          </w:rPr>
          <w:t xml:space="preserve">§ 2</w:t>
        </w:r>
      </w:hyperlink>
      <w:r>
        <w:t xml:space="preserve"> Absatz 1 Satz 1 Nummer 1 bis 3 erzielt werden und es sich nicht um einen der Veranlagungsfälle gemäß </w:t>
      </w:r>
      <w:hyperlink w:anchor="b182" w:history="1">
        <w:r>
          <w:rPr>
            <w:color w:val="0A3A8C"/>
            <w:u w:val="single"/>
          </w:rPr>
          <w:t xml:space="preserve">§ 46</w:t>
        </w:r>
      </w:hyperlink>
      <w:r>
        <w:t xml:space="preserve"> Absatz 2 Nummer 2 bis 8 handelt. </w:t>
      </w:r>
      <w:r>
        <w:rPr>
          <w:rStyle w:val="Satznummer"/>
        </w:rPr>
        <w:t>2</w:t>
      </w:r>
      <w:r>
        <w:t>Auf Antrag kann die Finanzbehörde zur Vermeidung unbilliger Härten auf eine Übermittlung durch Datenfernübertragung verzichten.</w:t>
      </w:r>
    </w:p>
    <w:p>
      <w:pPr>
        <w:pStyle w:val="Heading2"/>
      </w:pPr>
      <w:bookmarkStart w:id="100" w:name="b99"/>
      <w:r>
        <w:t>§ 26 Veranlagung von Ehegatten</w:t>
      </w:r>
      <w:r>
        <w:t xml:space="preserve"> </w:t>
      </w:r>
      <w:r>
        <w:rPr>
          <w:rStyle w:val="Suchmarke"/>
        </w:rPr>
        <w:t>#26#</w:t>
      </w:r>
      <w:bookmarkEnd w:id="100"/>
    </w:p>
    <w:p>
      <w:r>
        <w:t xml:space="preserve">(1) </w:t>
      </w:r>
      <w:r>
        <w:rPr>
          <w:rStyle w:val="Satznummer"/>
        </w:rPr>
        <w:t>1</w:t>
      </w:r>
      <w:r>
        <w:t>Ehegatten können zwischen der Einzelveranlagung (</w:t>
      </w:r>
      <w:hyperlink w:anchor="b100" w:history="1">
        <w:r>
          <w:rPr>
            <w:color w:val="0A3A8C"/>
            <w:u w:val="single"/>
          </w:rPr>
          <w:t xml:space="preserve">§ 26a</w:t>
        </w:r>
      </w:hyperlink>
      <w:r>
        <w:t>) und der Zusammenveranlagung (</w:t>
      </w:r>
      <w:hyperlink w:anchor="b101" w:history="1">
        <w:r>
          <w:rPr>
            <w:color w:val="0A3A8C"/>
            <w:u w:val="single"/>
          </w:rPr>
          <w:t xml:space="preserve">§ 26b</w:t>
        </w:r>
      </w:hyperlink>
      <w:r>
        <w:t>) wählen, wenn</w:t>
      </w:r>
    </w:p>
    <w:p>
      <w:pPr>
        <w:tabs>
          <w:tab w:pos="567" w:val="left"/>
        </w:tabs>
        <w:ind w:left="567" w:hanging="567"/>
      </w:pPr>
      <w:r>
        <w:t>1.</w:t>
      </w:r>
      <w:r>
        <w:tab/>
      </w:r>
      <w:r>
        <w:t xml:space="preserve">beide unbeschränkt einkommensteuerpflichtig im Sinne des </w:t>
      </w:r>
      <w:hyperlink w:anchor="b1" w:history="1">
        <w:r>
          <w:rPr>
            <w:color w:val="0A3A8C"/>
            <w:u w:val="single"/>
          </w:rPr>
          <w:t xml:space="preserve">§ 1</w:t>
        </w:r>
      </w:hyperlink>
      <w:r>
        <w:t xml:space="preserve"> Absatz 1 oder 2 oder des </w:t>
      </w:r>
      <w:hyperlink w:anchor="b2" w:history="1">
        <w:r>
          <w:rPr>
            <w:color w:val="0A3A8C"/>
            <w:u w:val="single"/>
          </w:rPr>
          <w:t xml:space="preserve">§ 1a</w:t>
        </w:r>
      </w:hyperlink>
      <w:r>
        <w:t xml:space="preserve"> sind,</w:t>
      </w:r>
    </w:p>
    <w:p>
      <w:pPr>
        <w:tabs>
          <w:tab w:pos="567" w:val="left"/>
        </w:tabs>
        <w:ind w:left="567" w:hanging="567"/>
      </w:pPr>
      <w:r>
        <w:t>2.</w:t>
      </w:r>
      <w:r>
        <w:tab/>
      </w:r>
      <w:r>
        <w:t>sie nicht dauernd getrennt leben und</w:t>
      </w:r>
    </w:p>
    <w:p>
      <w:pPr>
        <w:tabs>
          <w:tab w:pos="567" w:val="left"/>
        </w:tabs>
        <w:ind w:left="567" w:hanging="567"/>
      </w:pPr>
      <w:r>
        <w:t>3.</w:t>
      </w:r>
      <w:r>
        <w:tab/>
      </w:r>
      <w:r>
        <w:t>bei ihnen die Voraussetzungen aus den Nummern 1 und 2 zu Beginn des Veranlagungszeitraums vorgelegen haben oder im Laufe des Veranlagungszeitraums eingetreten sind.</w:t>
      </w:r>
    </w:p>
    <w:p>
      <w:r>
        <w:rPr>
          <w:rStyle w:val="Satznummer"/>
        </w:rPr>
        <w:t>2</w:t>
      </w:r>
      <w:r>
        <w:t>Hat ein Ehegatte in dem Veranlagungszeitraum, in dem seine zuvor bestehende Ehe aufgelöst worden ist, eine neue Ehe geschlossen und liegen bei ihm und dem neuen Ehegatten die Voraussetzungen des Satzes 1 vor, bleibt die zuvor bestehende Ehe für die Anwendung des Satzes 1 unberücksichtigt.</w:t>
      </w:r>
    </w:p>
    <w:p>
      <w:r>
        <w:t xml:space="preserve">(2) </w:t>
      </w:r>
      <w:r>
        <w:rPr>
          <w:rStyle w:val="Satznummer"/>
        </w:rPr>
        <w:t>1</w:t>
      </w:r>
      <w:r>
        <w:t xml:space="preserve">Ehegatten werden einzeln veranlagt, wenn einer der Ehegatten die Einzelveranlagung wählt. </w:t>
      </w:r>
      <w:r>
        <w:rPr>
          <w:rStyle w:val="Satznummer"/>
        </w:rPr>
        <w:t>2</w:t>
      </w:r>
      <w:r>
        <w:t xml:space="preserve">Ehegatten werden zusammen veranlagt, wenn beide Ehegatten die Zusammenveranlagung wählen. </w:t>
      </w:r>
      <w:r>
        <w:rPr>
          <w:rStyle w:val="Satznummer"/>
        </w:rPr>
        <w:t>3</w:t>
      </w:r>
      <w:r>
        <w:t xml:space="preserve">Die Wahl wird für den betreffenden Veranlagungszeitraum durch Angabe in der Steuererklärung getroffen. </w:t>
      </w:r>
      <w:r>
        <w:rPr>
          <w:rStyle w:val="Satznummer"/>
        </w:rPr>
        <w:t>4</w:t>
      </w:r>
      <w:r>
        <w:t>Die Wahl der Veranlagungsart innerhalb eines Veranlagungszeitraums kann nach Eintritt der Unanfechtbarkeit des Steuerbescheids nur noch geändert werden, wenn</w:t>
      </w:r>
    </w:p>
    <w:p>
      <w:pPr>
        <w:tabs>
          <w:tab w:pos="567" w:val="left"/>
        </w:tabs>
        <w:ind w:left="567" w:hanging="567"/>
      </w:pPr>
      <w:r>
        <w:t>1.</w:t>
      </w:r>
      <w:r>
        <w:tab/>
      </w:r>
      <w:r>
        <w:t>ein Steuerbescheid, der die Ehegatten betrifft, aufgehoben, geändert oder berichtigt wird und</w:t>
      </w:r>
    </w:p>
    <w:p>
      <w:pPr>
        <w:tabs>
          <w:tab w:pos="567" w:val="left"/>
        </w:tabs>
        <w:ind w:left="567" w:hanging="567"/>
      </w:pPr>
      <w:r>
        <w:t>2.</w:t>
      </w:r>
      <w:r>
        <w:tab/>
      </w:r>
      <w:r>
        <w:t>die Änderung der Wahl der Veranlagungsart der zuständigen Finanzbehörde bis zum Eintritt der Unanfechtbarkeit des Änderungs- oder Berichtigungsbescheids schriftlich oder elektronisch mitgeteilt oder zur Niederschrift erklärt worden ist und</w:t>
      </w:r>
    </w:p>
    <w:p>
      <w:pPr>
        <w:tabs>
          <w:tab w:pos="567" w:val="left"/>
        </w:tabs>
        <w:ind w:left="567" w:hanging="567"/>
      </w:pPr>
      <w:r>
        <w:t>3.</w:t>
      </w:r>
      <w:r>
        <w:tab/>
      </w:r>
      <w:r>
        <w:t xml:space="preserve">der Unterschiedsbetrag aus der Differenz der festgesetzten Einkommensteuer entsprechend der bisher gewählten Veranlagungsart und der festzusetzenden Einkommensteuer, die sich bei einer geänderten Ausübung der Wahl der Veranlagungsarten ergeben würde, positiv ist. </w:t>
      </w:r>
      <w:r>
        <w:rPr>
          <w:rStyle w:val="Satznummer"/>
        </w:rPr>
        <w:t>2</w:t>
      </w:r>
      <w:r>
        <w:t>Die Einkommensteuer der einzeln veranlagten Ehegatten ist hierbei zusammenzurechnen.</w:t>
      </w:r>
    </w:p>
    <w:p>
      <w:r>
        <w:t>(3) Wird von dem Wahlrecht nach Absatz 2 nicht oder nicht wirksam Gebrauch gemacht, so ist eine Zusammenveranlagung durchzuführen.</w:t>
      </w:r>
    </w:p>
    <w:p>
      <w:pPr>
        <w:pStyle w:val="Heading2"/>
      </w:pPr>
      <w:bookmarkStart w:id="101" w:name="b100"/>
      <w:r>
        <w:t>§ 26a Einzelveranlagung von Ehegatten</w:t>
      </w:r>
      <w:r>
        <w:t xml:space="preserve"> </w:t>
      </w:r>
      <w:r>
        <w:rPr>
          <w:rStyle w:val="Suchmarke"/>
        </w:rPr>
        <w:t>#26a#</w:t>
      </w:r>
      <w:bookmarkEnd w:id="101"/>
    </w:p>
    <w:p>
      <w:r>
        <w:t xml:space="preserve">(1) </w:t>
      </w:r>
      <w:r>
        <w:rPr>
          <w:rStyle w:val="Satznummer"/>
        </w:rPr>
        <w:t>1</w:t>
      </w:r>
      <w:r>
        <w:t xml:space="preserve">Bei der Einzelveranlagung von Ehegatten sind jedem Ehegatten die von ihm bezogenen Einkünfte zuzurechnen. </w:t>
      </w:r>
      <w:r>
        <w:rPr>
          <w:rStyle w:val="Satznummer"/>
        </w:rPr>
        <w:t>2</w:t>
      </w:r>
      <w:r>
        <w:t>Einkünfte eines Ehegatten sind nicht allein deshalb zum Teil dem anderen Ehegatten zuzurechnen, weil dieser bei der Erzielung der Einkünfte mitgewirkt hat.</w:t>
      </w:r>
    </w:p>
    <w:p>
      <w:r>
        <w:t xml:space="preserve">(2) </w:t>
      </w:r>
      <w:r>
        <w:rPr>
          <w:rStyle w:val="Satznummer"/>
        </w:rPr>
        <w:t>1</w:t>
      </w:r>
      <w:r>
        <w:t xml:space="preserve">Sonderausgaben, außergewöhnliche Belastungen und die Steuerermäßigungen nach den </w:t>
      </w:r>
      <w:hyperlink w:anchor="b131" w:history="1">
        <w:r>
          <w:rPr>
            <w:color w:val="0A3A8C"/>
            <w:u w:val="single"/>
          </w:rPr>
          <w:t xml:space="preserve">§§ 35a</w:t>
        </w:r>
      </w:hyperlink>
      <w:r>
        <w:t xml:space="preserve"> und </w:t>
      </w:r>
      <w:hyperlink w:anchor="b135" w:history="1">
        <w:r>
          <w:rPr>
            <w:color w:val="0A3A8C"/>
            <w:u w:val="single"/>
          </w:rPr>
          <w:t xml:space="preserve">35c</w:t>
        </w:r>
      </w:hyperlink>
      <w:r>
        <w:t xml:space="preserve"> werden demjenigen Ehegatten zugerechnet, der die Aufwendungen wirtschaftlich getragen hat. </w:t>
      </w:r>
      <w:r>
        <w:rPr>
          <w:rStyle w:val="Satznummer"/>
        </w:rPr>
        <w:t>2</w:t>
      </w:r>
      <w:r>
        <w:t xml:space="preserve">Auf übereinstimmenden Antrag der Ehegatten werden sie jeweils zur Hälfte abgezogen. </w:t>
      </w:r>
      <w:r>
        <w:rPr>
          <w:rStyle w:val="Satznummer"/>
        </w:rPr>
        <w:t>3</w:t>
      </w:r>
      <w:r>
        <w:t xml:space="preserve">Der Antrag des Ehegatten, der die Aufwendungen wirtschaftlich getragen hat, ist in begründeten Einzelfällen ausreichend. </w:t>
      </w:r>
      <w:r>
        <w:rPr>
          <w:rStyle w:val="Satznummer"/>
        </w:rPr>
        <w:t>4</w:t>
      </w:r>
      <w:hyperlink w:anchor="b99" w:history="1">
        <w:r>
          <w:rPr>
            <w:color w:val="0A3A8C"/>
            <w:u w:val="single"/>
          </w:rPr>
          <w:t xml:space="preserve">§ 26</w:t>
        </w:r>
      </w:hyperlink>
      <w:r>
        <w:t xml:space="preserve"> Absatz 2 Satz 3 gilt entsprechend.</w:t>
      </w:r>
    </w:p>
    <w:p>
      <w:r>
        <w:t xml:space="preserve">(3) Die Anwendung des </w:t>
      </w:r>
      <w:hyperlink w:anchor="b55" w:history="1">
        <w:r>
          <w:rPr>
            <w:color w:val="0A3A8C"/>
            <w:u w:val="single"/>
          </w:rPr>
          <w:t xml:space="preserve">§ 10d</w:t>
        </w:r>
      </w:hyperlink>
      <w:r>
        <w:t xml:space="preserve"> für den Fall des Übergangs von der Einzelveranlagung zur Zusammenveranlagung und von der Zusammenveranlagung zur Einzelveranlagung zwischen zwei Veranlagungszeiträumen, wenn bei beiden Ehegatten nicht ausgeglichene Verluste vorliegen, wird durch Rechtsverordnung der Bundesregierung mit Zustimmung des Bundesrates geregelt.</w:t>
      </w:r>
    </w:p>
    <w:p>
      <w:pPr>
        <w:pStyle w:val="Heading2"/>
      </w:pPr>
      <w:bookmarkStart w:id="102" w:name="b101"/>
      <w:r>
        <w:t>§ 26b Zusammenveranlagung von Ehegatten</w:t>
      </w:r>
      <w:r>
        <w:t xml:space="preserve"> </w:t>
      </w:r>
      <w:r>
        <w:rPr>
          <w:rStyle w:val="Suchmarke"/>
        </w:rPr>
        <w:t>#26b#</w:t>
      </w:r>
      <w:bookmarkEnd w:id="102"/>
    </w:p>
    <w:p>
      <w:r>
        <w:t>Bei der Zusammenveranlagung von Ehegatten werden die Einkünfte, die die Ehegatten erzielt haben, zusammengerechnet, den Ehegatten gemeinsam zugerechnet und, soweit nichts anderes vorgeschrieben ist, die Ehegatten sodann gemeinsam als Steuerpflichtiger behandelt.</w:t>
      </w:r>
    </w:p>
    <w:p>
      <w:pPr>
        <w:pStyle w:val="Heading2"/>
      </w:pPr>
      <w:bookmarkStart w:id="103" w:name="b102"/>
      <w:r>
        <w:t>§ 27 (weggefallen)</w:t>
      </w:r>
      <w:r>
        <w:t xml:space="preserve"> </w:t>
      </w:r>
      <w:r>
        <w:rPr>
          <w:rStyle w:val="Suchmarke"/>
        </w:rPr>
        <w:t>#27#</w:t>
      </w:r>
      <w:bookmarkEnd w:id="103"/>
    </w:p>
    <w:p>
      <w:r>
        <w:t>-</w:t>
      </w:r>
    </w:p>
    <w:p>
      <w:pPr>
        <w:pStyle w:val="Heading2"/>
      </w:pPr>
      <w:bookmarkStart w:id="104" w:name="b103"/>
      <w:r>
        <w:t>§ 28 Besteuerung bei fortgesetzter Gütergemeinschaft</w:t>
      </w:r>
      <w:r>
        <w:t xml:space="preserve"> </w:t>
      </w:r>
      <w:r>
        <w:rPr>
          <w:rStyle w:val="Suchmarke"/>
        </w:rPr>
        <w:t>#28#</w:t>
      </w:r>
      <w:bookmarkEnd w:id="104"/>
    </w:p>
    <w:p>
      <w:r>
        <w:t>Bei fortgesetzter Gütergemeinschaft gelten Einkünfte, die in das Gesamtgut fallen, als Einkünfte des überlebenden Ehegatten, wenn dieser unbeschränkt steuerpflichtig ist.</w:t>
      </w:r>
    </w:p>
    <w:p>
      <w:pPr>
        <w:pStyle w:val="Heading2"/>
      </w:pPr>
      <w:bookmarkStart w:id="105" w:name="b104"/>
      <w:r>
        <w:t>§§ 29 und 30 (weggefallen)</w:t>
      </w:r>
      <w:bookmarkEnd w:id="105"/>
    </w:p>
    <w:p>
      <w:pPr>
        <w:pStyle w:val="Heading1"/>
      </w:pPr>
      <w:bookmarkStart w:id="106" w:name="b105"/>
      <w:r>
        <w:t>IV. Tarif</w:t>
      </w:r>
      <w:bookmarkEnd w:id="106"/>
    </w:p>
    <w:p>
      <w:pPr>
        <w:pStyle w:val="Heading2"/>
      </w:pPr>
      <w:bookmarkStart w:id="107" w:name="b106"/>
      <w:r>
        <w:t>§ 31 Familienleistungsausgleich</w:t>
      </w:r>
      <w:r>
        <w:t xml:space="preserve"> </w:t>
      </w:r>
      <w:r>
        <w:rPr>
          <w:rStyle w:val="Suchmarke"/>
        </w:rPr>
        <w:t>#31#</w:t>
      </w:r>
      <w:bookmarkEnd w:id="107"/>
    </w:p>
    <w:p>
      <w:r>
        <w:rPr>
          <w:rStyle w:val="Satznummer"/>
        </w:rPr>
        <w:t>1</w:t>
      </w:r>
      <w:r>
        <w:t xml:space="preserve">Die steuerliche Freistellung eines Einkommensbetrags in Höhe des Existenzminimums eines Kindes einschließlich der Bedarfe für Betreuung und Erziehung oder Ausbildung wird im gesamten Veranlagungszeitraum entweder durch die Freibeträge nach </w:t>
      </w:r>
      <w:hyperlink w:anchor="b107" w:history="1">
        <w:r>
          <w:rPr>
            <w:color w:val="0A3A8C"/>
            <w:u w:val="single"/>
          </w:rPr>
          <w:t xml:space="preserve">§ 32</w:t>
        </w:r>
      </w:hyperlink>
      <w:r>
        <w:t xml:space="preserve"> Absatz 6 oder durch Kindergeld nach Abschnitt X bewirkt. </w:t>
      </w:r>
      <w:r>
        <w:rPr>
          <w:rStyle w:val="Satznummer"/>
        </w:rPr>
        <w:t>2</w:t>
      </w:r>
      <w:r>
        <w:t xml:space="preserve">Soweit das Kindergeld dafür nicht erforderlich ist, dient es der Förderung der Familie. </w:t>
      </w:r>
      <w:r>
        <w:rPr>
          <w:rStyle w:val="Satznummer"/>
        </w:rPr>
        <w:t>3</w:t>
      </w:r>
      <w:r>
        <w:t xml:space="preserve">Im laufenden Kalenderjahr wird Kindergeld als Steuervergütung monatlich gezahlt. </w:t>
      </w:r>
      <w:r>
        <w:rPr>
          <w:rStyle w:val="Satznummer"/>
        </w:rPr>
        <w:t>4</w:t>
      </w:r>
      <w:r>
        <w:t xml:space="preserve">Bewirkt der Anspruch auf Kindergeld für den gesamten Veranlagungszeitraum die nach Satz 1 gebotene steuerliche Freistellung nicht vollständig und werden deshalb bei der Veranlagung zur Einkommensteuer die Freibeträge nach § 32 Absatz 6 vom Einkommen abgezogen, erhöht sich die unter Abzug dieser Freibeträge ermittelte tarifliche Einkommensteuer um den Anspruch auf Kindergeld für den gesamten Veranlagungszeitraum; bei nicht zusammenveranlagten Eltern wird der Kindergeldanspruch im Umfang des Kinderfreibetrags angesetzt. </w:t>
      </w:r>
      <w:r>
        <w:rPr>
          <w:rStyle w:val="Satznummer"/>
        </w:rPr>
        <w:t>5</w:t>
      </w:r>
      <w:r>
        <w:t xml:space="preserve">Bei der Prüfung der Steuerfreistellung und der Hinzurechnung nach Satz 4 bleibt der Anspruch auf Kindergeld für Kalendermonate unberücksichtigt, in denen durch Bescheid der Familienkasse ein Anspruch auf Kindergeld festgesetzt, aber wegen </w:t>
      </w:r>
      <w:hyperlink w:anchor="b225" w:history="1">
        <w:r>
          <w:rPr>
            <w:color w:val="0A3A8C"/>
            <w:u w:val="single"/>
          </w:rPr>
          <w:t xml:space="preserve">§ 70</w:t>
        </w:r>
      </w:hyperlink>
      <w:r>
        <w:t xml:space="preserve"> Absatz 1 Satz 2 nicht ausgezahlt wurde. </w:t>
      </w:r>
      <w:r>
        <w:rPr>
          <w:rStyle w:val="Satznummer"/>
        </w:rPr>
        <w:t>6</w:t>
      </w:r>
      <w:r>
        <w:t xml:space="preserve">Satz 4 gilt entsprechend für mit dem Kindergeld vergleichbare Leistungen nach </w:t>
      </w:r>
      <w:hyperlink w:anchor="b220" w:history="1">
        <w:r>
          <w:rPr>
            <w:color w:val="0A3A8C"/>
            <w:u w:val="single"/>
          </w:rPr>
          <w:t xml:space="preserve">§ 65</w:t>
        </w:r>
      </w:hyperlink>
      <w:r>
        <w:t xml:space="preserve">. </w:t>
      </w:r>
      <w:r>
        <w:rPr>
          <w:rStyle w:val="Satznummer"/>
        </w:rPr>
        <w:t>7</w:t>
      </w:r>
      <w:r>
        <w:t>Besteht nach ausländischem Recht Anspruch auf Leistungen für Kinder, wird dieser insoweit nicht berücksichtigt, als er das inländische Kindergeld übersteigt.</w:t>
      </w:r>
    </w:p>
    <w:p>
      <w:pPr>
        <w:pStyle w:val="Heading2"/>
      </w:pPr>
      <w:bookmarkStart w:id="108" w:name="b107"/>
      <w:r>
        <w:t>§ 32 Kinder, Freibeträge für Kinder</w:t>
      </w:r>
      <w:r>
        <w:t xml:space="preserve"> </w:t>
      </w:r>
      <w:r>
        <w:rPr>
          <w:rStyle w:val="Suchmarke"/>
        </w:rPr>
        <w:t>#32#</w:t>
      </w:r>
      <w:bookmarkEnd w:id="108"/>
    </w:p>
    <w:p>
      <w:r>
        <w:t>(1) Kinder sind</w:t>
      </w:r>
    </w:p>
    <w:p>
      <w:pPr>
        <w:tabs>
          <w:tab w:pos="567" w:val="left"/>
        </w:tabs>
        <w:ind w:left="567" w:hanging="567"/>
      </w:pPr>
      <w:r>
        <w:t>1.</w:t>
      </w:r>
      <w:r>
        <w:tab/>
      </w:r>
      <w:r>
        <w:t>im ersten Grad mit dem Steuerpflichtigen verwandte Kinder,</w:t>
      </w:r>
    </w:p>
    <w:p>
      <w:pPr>
        <w:tabs>
          <w:tab w:pos="567" w:val="left"/>
        </w:tabs>
        <w:ind w:left="567" w:hanging="567"/>
      </w:pPr>
      <w:r>
        <w:t>2.</w:t>
      </w:r>
      <w:r>
        <w:tab/>
      </w:r>
      <w:r>
        <w:t>Pflegekinder (Personen, mit denen der Steuerpflichtige durch ein familienähnliches, auf längere Dauer berechnetes Band verbunden ist, sofern er sie nicht zu Erwerbszwecken in seinen Haushalt aufgenommen hat und das Obhuts- und Pflegeverhältnis zu den Eltern nicht mehr besteht).</w:t>
      </w:r>
    </w:p>
    <w:p>
      <w:r>
        <w:t xml:space="preserve">(2) </w:t>
      </w:r>
      <w:r>
        <w:rPr>
          <w:rStyle w:val="Satznummer"/>
        </w:rPr>
        <w:t>1</w:t>
      </w:r>
      <w:r>
        <w:t xml:space="preserve">Besteht bei einem angenommenen Kind das Kindschaftsverhältnis zu den leiblichen Eltern weiter, ist es vorrangig als angenommenes Kind zu berücksichtigen. </w:t>
      </w:r>
      <w:r>
        <w:rPr>
          <w:rStyle w:val="Satznummer"/>
        </w:rPr>
        <w:t>2</w:t>
      </w:r>
      <w:r>
        <w:t>Ist ein im ersten Grad mit dem Steuerpflichtigen verwandtes Kind zugleich ein Pflegekind, ist es vorrangig als Pflegekind zu berücksichtigen.</w:t>
      </w:r>
    </w:p>
    <w:p>
      <w:r>
        <w:t>(3) Ein Kind wird in dem Kalendermonat, in dem es lebend geboren wurde, und in jedem folgenden Kalendermonat, zu dessen Beginn es das 18. Lebensjahr noch nicht vollendet hat, berücksichtigt.</w:t>
      </w:r>
    </w:p>
    <w:p>
      <w:r>
        <w:t xml:space="preserve">(4) </w:t>
      </w:r>
      <w:r>
        <w:rPr>
          <w:rStyle w:val="Satznummer"/>
        </w:rPr>
        <w:t>1</w:t>
      </w:r>
      <w:r>
        <w:t>Ein Kind, das das 18. Lebensjahr vollendet hat, wird berücksichtigt, wenn es</w:t>
      </w:r>
    </w:p>
    <w:p>
      <w:pPr>
        <w:tabs>
          <w:tab w:pos="567" w:val="left"/>
        </w:tabs>
        <w:ind w:left="567" w:hanging="567"/>
      </w:pPr>
      <w:r>
        <w:t>1.</w:t>
      </w:r>
      <w:r>
        <w:tab/>
      </w:r>
      <w:r>
        <w:t>noch nicht das 21. Lebensjahr vollendet hat, nicht in einem Beschäftigungsverhältnis steht und bei einer Agentur für Arbeit im Inland als Arbeitsuchender gemeldet ist oder</w:t>
      </w:r>
    </w:p>
    <w:p>
      <w:pPr>
        <w:tabs>
          <w:tab w:pos="567" w:val="left"/>
        </w:tabs>
        <w:ind w:left="567" w:hanging="567"/>
      </w:pPr>
      <w:r>
        <w:t>2.</w:t>
      </w:r>
      <w:r>
        <w:tab/>
      </w:r>
      <w:r>
        <w:t>noch nicht das 25. Lebensjahr vollendet hat und</w:t>
      </w:r>
    </w:p>
    <w:p>
      <w:pPr>
        <w:tabs>
          <w:tab w:pos="1134" w:val="left"/>
        </w:tabs>
        <w:ind w:left="1134" w:hanging="567"/>
      </w:pPr>
      <w:r>
        <w:t>a)</w:t>
      </w:r>
      <w:r>
        <w:tab/>
      </w:r>
      <w:r>
        <w:t>für einen Beruf ausgebildet wird oder</w:t>
      </w:r>
    </w:p>
    <w:p>
      <w:pPr>
        <w:tabs>
          <w:tab w:pos="1134" w:val="left"/>
        </w:tabs>
        <w:ind w:left="1134" w:hanging="567"/>
      </w:pPr>
      <w:r>
        <w:t>b)</w:t>
      </w:r>
      <w:r>
        <w:tab/>
      </w:r>
      <w:r>
        <w:t>sich in einer Übergangszeit von höchstens vier Monaten befindet, die zwischen zwei Ausbildungsabschnitten oder zwischen einem Ausbildungsabschnitt und der Ableistung des gesetzlichen Wehr- oder Zivildienstes, einer vom Wehr- oder Zivildienst befreienden Tätigkeit als Entwicklungshelfer oder als Dienstleistender im Ausland nach § 14b des Zivildienstgesetzes oder der Ableistung des freiwilligen Wehrdienstes nach § 58b des Soldatengesetzes oder der Ableistung eines freiwilligen Dienstes im Sinne des Buchstaben d liegt, oder</w:t>
      </w:r>
    </w:p>
    <w:p>
      <w:pPr>
        <w:tabs>
          <w:tab w:pos="1134" w:val="left"/>
        </w:tabs>
        <w:ind w:left="1134" w:hanging="567"/>
      </w:pPr>
      <w:r>
        <w:t>c)</w:t>
      </w:r>
      <w:r>
        <w:tab/>
      </w:r>
      <w:r>
        <w:t>eine Berufsausbildung mangels Ausbildungsplatzes nicht beginnen oder fortsetzen kann oder</w:t>
      </w:r>
    </w:p>
    <w:p>
      <w:pPr>
        <w:tabs>
          <w:tab w:pos="1134" w:val="left"/>
        </w:tabs>
        <w:ind w:left="1134" w:hanging="567"/>
      </w:pPr>
      <w:r>
        <w:t>d)</w:t>
      </w:r>
      <w:r>
        <w:tab/>
      </w:r>
      <w:r>
        <w:t>einen der folgenden freiwilligen Dienste leistet:</w:t>
      </w:r>
    </w:p>
    <w:p>
      <w:pPr>
        <w:tabs>
          <w:tab w:pos="1701" w:val="left"/>
        </w:tabs>
        <w:ind w:left="1701" w:hanging="567"/>
      </w:pPr>
      <w:r>
        <w:t>aa)</w:t>
      </w:r>
      <w:r>
        <w:tab/>
      </w:r>
      <w:r>
        <w:t>ein freiwilliges soziales Jahr im Sinne des Jugendfreiwilligendienstegesetzes,</w:t>
      </w:r>
    </w:p>
    <w:p>
      <w:pPr>
        <w:tabs>
          <w:tab w:pos="1701" w:val="left"/>
        </w:tabs>
        <w:ind w:left="1701" w:hanging="567"/>
      </w:pPr>
      <w:r>
        <w:t>bb)</w:t>
      </w:r>
      <w:r>
        <w:tab/>
      </w:r>
      <w:r>
        <w:t>ein freiwilliges ökologisches Jahr im Sinne des Jugendfreiwilligendienstegesetzes,</w:t>
      </w:r>
    </w:p>
    <w:p>
      <w:pPr>
        <w:tabs>
          <w:tab w:pos="1701" w:val="left"/>
        </w:tabs>
        <w:ind w:left="1701" w:hanging="567"/>
      </w:pPr>
      <w:r>
        <w:t>cc)</w:t>
      </w:r>
      <w:r>
        <w:tab/>
      </w:r>
      <w:r>
        <w:t>einen Bundesfreiwilligendienst im Sinne des Bundesfreiwilligendienstgesetzes,</w:t>
      </w:r>
    </w:p>
    <w:p>
      <w:pPr>
        <w:tabs>
          <w:tab w:pos="1701" w:val="left"/>
        </w:tabs>
        <w:ind w:left="1701" w:hanging="567"/>
      </w:pPr>
      <w:r>
        <w:t>dd)</w:t>
      </w:r>
      <w:r>
        <w:tab/>
      </w:r>
      <w:r>
        <w:t>eine Freiwilligentätigkeit im Rahmen des Europäischen Solidaritätskorps im Sinne der Verordnung (EU) 2021/888 des Europäischen Parlaments und des Rates vom 20. Mai 2021 zur Aufstellung des Programms für das Europäische Solidaritätskorps und zur Aufhebung der Verordnungen (EU) 2018/1475 und (EU) Nr. 375/2014 (ABl. L 202 vom 8.6.2021, S. 32),</w:t>
      </w:r>
    </w:p>
    <w:p>
      <w:pPr>
        <w:tabs>
          <w:tab w:pos="1701" w:val="left"/>
        </w:tabs>
        <w:ind w:left="1701" w:hanging="567"/>
      </w:pPr>
      <w:r>
        <w:t>ee)</w:t>
      </w:r>
      <w:r>
        <w:tab/>
      </w:r>
      <w:r>
        <w:t>einen anderen Dienst im Ausland im Sinne von § 5 des Bundesfreiwilligendienstgesetzes,</w:t>
      </w:r>
    </w:p>
    <w:p>
      <w:pPr>
        <w:tabs>
          <w:tab w:pos="1701" w:val="left"/>
        </w:tabs>
        <w:ind w:left="1701" w:hanging="567"/>
      </w:pPr>
      <w:r>
        <w:t>ff)</w:t>
      </w:r>
      <w:r>
        <w:tab/>
      </w:r>
      <w:r>
        <w:t>einen entwicklungspolitischen Freiwilligendienst „weltwärts“ im Sinne der Förderleitlinie des Bundesministeriums für wirtschaftliche Zusammenarbeit und Entwicklung vom 1. Januar 2016,</w:t>
      </w:r>
    </w:p>
    <w:p>
      <w:pPr>
        <w:tabs>
          <w:tab w:pos="1701" w:val="left"/>
        </w:tabs>
        <w:ind w:left="1701" w:hanging="567"/>
      </w:pPr>
      <w:r>
        <w:t>gg)</w:t>
      </w:r>
      <w:r>
        <w:tab/>
      </w:r>
      <w:r>
        <w:t>einen Freiwilligendienst aller Generationen im Sinne von § 2 Absatz 1a des Siebten Buches Sozialgesetzbuch oder</w:t>
      </w:r>
    </w:p>
    <w:p>
      <w:pPr>
        <w:tabs>
          <w:tab w:pos="1701" w:val="left"/>
        </w:tabs>
        <w:ind w:left="1701" w:hanging="567"/>
      </w:pPr>
      <w:r>
        <w:t>hh)</w:t>
      </w:r>
      <w:r>
        <w:tab/>
      </w:r>
      <w:r>
        <w:t>einen Internationalen Jugendfreiwilligendienst im Sinne der Richtlinie des Bundesministeriums für Familie, Senioren, Frauen und Jugend vom 4. Januar 2021 (GMBl S. 77) oder</w:t>
      </w:r>
    </w:p>
    <w:p>
      <w:pPr>
        <w:tabs>
          <w:tab w:pos="567" w:val="left"/>
        </w:tabs>
        <w:ind w:left="567" w:hanging="567"/>
      </w:pPr>
      <w:r>
        <w:t>3.</w:t>
      </w:r>
      <w:r>
        <w:tab/>
      </w:r>
      <w:r>
        <w:t>wegen körperlicher, geistiger oder seelischer Behinderung außerstande ist, sich selbst zu unterhalten; Voraussetzung ist, dass die Behinderung vor Vollendung des 25. Lebensjahres eingetreten ist.</w:t>
      </w:r>
    </w:p>
    <w:p>
      <w:r>
        <w:rPr>
          <w:rStyle w:val="Satznummer"/>
        </w:rPr>
        <w:t>2</w:t>
      </w:r>
      <w:r>
        <w:t xml:space="preserve">Nach Abschluss einer erstmaligen Berufsausbildung oder eines Erststudiums wird ein Kind in den Fällen des Satzes 1 Nummer 2 nur berücksichtigt, wenn das Kind keiner Erwerbstätigkeit nachgeht. </w:t>
      </w:r>
      <w:r>
        <w:rPr>
          <w:rStyle w:val="Satznummer"/>
        </w:rPr>
        <w:t>3</w:t>
      </w:r>
      <w:r>
        <w:t>Eine Erwerbstätigkeit mit bis zu 20 Stunden regelmäßiger wöchentlicher Arbeitszeit, ein Ausbildungsdienstverhältnis oder ein geringfügiges Beschäftigungsverhältnis im Sinne der §§ 8 und 8a des Vierten Buches Sozialgesetzbuch sind unschädlich.</w:t>
      </w:r>
    </w:p>
    <w:p>
      <w:r>
        <w:t xml:space="preserve">(5) </w:t>
      </w:r>
      <w:r>
        <w:rPr>
          <w:rStyle w:val="Satznummer"/>
        </w:rPr>
        <w:t>1</w:t>
      </w:r>
      <w:r>
        <w:t>In den Fällen des Absatzes 4 Satz 1 Nummer 1 oder Nummer 2 Buchstabe a und b wird ein Kind, das</w:t>
      </w:r>
    </w:p>
    <w:p>
      <w:pPr>
        <w:tabs>
          <w:tab w:pos="567" w:val="left"/>
        </w:tabs>
        <w:ind w:left="567" w:hanging="567"/>
      </w:pPr>
      <w:r>
        <w:t>1.</w:t>
      </w:r>
      <w:r>
        <w:tab/>
      </w:r>
      <w:r>
        <w:t>den gesetzlichen Grundwehrdienst oder Zivildienst geleistet hat, oder</w:t>
      </w:r>
    </w:p>
    <w:p>
      <w:pPr>
        <w:tabs>
          <w:tab w:pos="567" w:val="left"/>
        </w:tabs>
        <w:ind w:left="567" w:hanging="567"/>
      </w:pPr>
      <w:r>
        <w:t>2.</w:t>
      </w:r>
      <w:r>
        <w:tab/>
      </w:r>
      <w:r>
        <w:t>sich anstelle des gesetzlichen Grundwehrdienstes freiwillig für die Dauer von nicht mehr als drei Jahren zum Wehrdienst verpflichtet hat, oder</w:t>
      </w:r>
    </w:p>
    <w:p>
      <w:pPr>
        <w:tabs>
          <w:tab w:pos="567" w:val="left"/>
        </w:tabs>
        <w:ind w:left="567" w:hanging="567"/>
      </w:pPr>
      <w:r>
        <w:t>3.</w:t>
      </w:r>
      <w:r>
        <w:tab/>
      </w:r>
      <w:r>
        <w:t>eine vom gesetzlichen Grundwehrdienst oder Zivildienst befreiende Tätigkeit als Entwicklungshelfer im Sinne des § 1 Absatz 1 des Entwicklungshelfer-Gesetzes ausgeübt hat,</w:t>
      </w:r>
    </w:p>
    <w:p>
      <w:r>
        <w:t xml:space="preserve">für einen der Dauer dieser Dienste oder der Tätigkeit entsprechenden Zeitraum, höchstens für die Dauer des inländischen gesetzlichen Grundwehrdienstes oder bei anerkannten Kriegsdienstverweigerern für die Dauer des inländischen gesetzlichen Zivildienstes über das 21. oder 25. Lebensjahr hinaus berücksichtigt. </w:t>
      </w:r>
      <w:r>
        <w:rPr>
          <w:rStyle w:val="Satznummer"/>
        </w:rPr>
        <w:t>2</w:t>
      </w:r>
      <w:r>
        <w:t xml:space="preserve">Wird der gesetzliche Grundwehrdienst oder Zivildienst in einem Mitgliedstaat der Europäischen Union oder einem Staat, auf den das Abkommen über den Europäischen Wirtschaftsraum Anwendung findet, geleistet, so ist die Dauer dieses Dienstes maßgebend. </w:t>
      </w:r>
      <w:r>
        <w:rPr>
          <w:rStyle w:val="Satznummer"/>
        </w:rPr>
        <w:t>3</w:t>
      </w:r>
      <w:r>
        <w:t>Absatz 4 Satz 2 und 3 gilt entsprechend.</w:t>
      </w:r>
    </w:p>
    <w:p>
      <w:r>
        <w:t xml:space="preserve">(6) </w:t>
      </w:r>
      <w:r>
        <w:rPr>
          <w:rStyle w:val="Satznummer"/>
        </w:rPr>
        <w:t>1</w:t>
      </w:r>
      <w:r>
        <w:t xml:space="preserve">Bei der Veranlagung zur Einkommensteuer wird für jedes zu berücksichtigende Kind des Steuerpflichtigen ein Freibetrag von 3 414 Euro für das sächliche Existenzminimum des Kindes (Kinderfreibetrag) sowie ein Freibetrag von 1 464 Euro für den Betreuungs- und Erziehungs- oder Ausbildungsbedarf des Kindes vom Einkommen abgezogen. </w:t>
      </w:r>
      <w:r>
        <w:rPr>
          <w:rStyle w:val="Satznummer"/>
        </w:rPr>
        <w:t>2</w:t>
      </w:r>
      <w:r>
        <w:t xml:space="preserve">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veranlagt werden, verdoppeln sich die Beträge nach Satz 1, wenn das Kind zu beiden Ehegatten in einem Kindschaftsverhältnis steht. </w:t>
      </w:r>
      <w:r>
        <w:rPr>
          <w:rStyle w:val="Satznummer"/>
        </w:rPr>
        <w:t>3</w:t>
      </w:r>
      <w:r>
        <w:t>Die Beträge nach Satz 2 stehen dem Steuerpflichtigen auch dann zu, wenn</w:t>
      </w:r>
    </w:p>
    <w:p>
      <w:pPr>
        <w:tabs>
          <w:tab w:pos="567" w:val="left"/>
        </w:tabs>
        <w:ind w:left="567" w:hanging="567"/>
      </w:pPr>
      <w:r>
        <w:t>1.</w:t>
      </w:r>
      <w:r>
        <w:tab/>
      </w:r>
      <w:r>
        <w:t>der andere Elternteil verstorben oder nicht unbeschränkt einkommensteuerpflichtig ist oder</w:t>
      </w:r>
    </w:p>
    <w:p>
      <w:pPr>
        <w:tabs>
          <w:tab w:pos="567" w:val="left"/>
        </w:tabs>
        <w:ind w:left="567" w:hanging="567"/>
      </w:pPr>
      <w:r>
        <w:t>2.</w:t>
      </w:r>
      <w:r>
        <w:tab/>
      </w:r>
      <w:r>
        <w:t>der Steuerpflichtige allein das Kind angenommen hat oder das Kind nur zu ihm in einem Pflegekindschaftsverhältnis steht.</w:t>
      </w:r>
    </w:p>
    <w:p>
      <w:r>
        <w:rPr>
          <w:rStyle w:val="Satznummer"/>
        </w:rPr>
        <w:t>4</w:t>
      </w:r>
      <w:r>
        <w:t xml:space="preserve">Für ein nicht nach </w:t>
      </w:r>
      <w:hyperlink w:anchor="b1" w:history="1">
        <w:r>
          <w:rPr>
            <w:color w:val="0A3A8C"/>
            <w:u w:val="single"/>
          </w:rPr>
          <w:t xml:space="preserve">§ 1</w:t>
        </w:r>
      </w:hyperlink>
      <w:r>
        <w:t xml:space="preserve"> Absatz 1 oder 2 unbeschränkt einkommensteuerpflichtiges Kind können die Beträge nach den Sätzen 1 bis 3 nur abgezogen werden, soweit sie nach den Verhältnissen seines Wohnsitzstaates notwendig und angemessen sind. </w:t>
      </w:r>
      <w:r>
        <w:rPr>
          <w:rStyle w:val="Satznummer"/>
        </w:rPr>
        <w:t>5</w:t>
      </w:r>
      <w:r>
        <w:t xml:space="preserve">Für jeden Kalendermonat, in dem die Voraussetzungen für einen Freibetrag nach den Sätzen 1 bis 4 nicht vorliegen, ermäßigen sich die dort genannten Beträge um ein Zwölftel. </w:t>
      </w:r>
      <w:r>
        <w:rPr>
          <w:rStyle w:val="Satznummer"/>
        </w:rPr>
        <w:t>6</w:t>
      </w:r>
      <w:r>
        <w:t xml:space="preserve">Abweichend von Satz 1 wird bei einem unbeschränkt einkommensteuerpflichtigen Elternpaar, bei dem die Voraussetzungen des </w:t>
      </w:r>
      <w:hyperlink w:anchor="b99" w:history="1">
        <w:r>
          <w:rPr>
            <w:color w:val="0A3A8C"/>
            <w:u w:val="single"/>
          </w:rPr>
          <w:t xml:space="preserve">§ 26</w:t>
        </w:r>
      </w:hyperlink>
      <w:r>
        <w:t xml:space="preserve"> Absatz 1 Satz 1 nicht vorliegen, auf Antrag eines Elternteils der dem anderen Elternteil zustehende Kinderfreibetrag auf ihn übertragen, wenn er, nicht jedoch der andere Elternteil, seiner Unterhaltspflicht gegenüber dem Kind für das Kalenderjahr im Wesentlichen nachkommt oder der andere Elternteil mangels Leistungsfähigkeit nicht unterhaltspflichtig ist; die Übertragung des Kinderfreibetrags führt stets auch zur Übertragung des Freibetrags für den Betreuungs- und Erziehungs- oder Ausbildungsbedarf. </w:t>
      </w:r>
      <w:r>
        <w:rPr>
          <w:rStyle w:val="Satznummer"/>
        </w:rPr>
        <w:t>7</w:t>
      </w:r>
      <w:r>
        <w:t xml:space="preserve">Eine Übertragung nach Satz 6 scheidet für Zeiträume aus, für die Unterhaltsleistungen nach dem Unterhaltsvorschussgesetz gezahlt werden. </w:t>
      </w:r>
      <w:r>
        <w:rPr>
          <w:rStyle w:val="Satznummer"/>
        </w:rPr>
        <w:t>8</w:t>
      </w:r>
      <w:r>
        <w:t xml:space="preserve">Bei minderjährigen Kindern wird der dem Elternteil, in dessen Wohnung das Kind nicht gemeldet ist, zustehende Freibetrag für den Betreuungs- und Erziehungs- oder Ausbildungsbedarf auf Antrag des anderen Elternteils auf diesen übertragen, wenn bei dem Elternpaar die Voraussetzungen des </w:t>
      </w:r>
      <w:hyperlink w:anchor="b99" w:history="1">
        <w:r>
          <w:rPr>
            <w:color w:val="0A3A8C"/>
            <w:u w:val="single"/>
          </w:rPr>
          <w:t xml:space="preserve">§ 26</w:t>
        </w:r>
      </w:hyperlink>
      <w:r>
        <w:t xml:space="preserve"> Absatz 1 Satz 1 nicht vorliegen. </w:t>
      </w:r>
      <w:r>
        <w:rPr>
          <w:rStyle w:val="Satznummer"/>
        </w:rPr>
        <w:t>9</w:t>
      </w:r>
      <w:r>
        <w:t xml:space="preserve">Eine Übertragung nach Satz 8 scheidet aus, wenn der Übertragung widersprochen wird, weil der Elternteil, bei dem das Kind nicht gemeldet ist, Kinderbetreuungskosten trägt oder das Kind regelmäßig in einem nicht unwesentlichen Umfang betreut. </w:t>
      </w:r>
      <w:r>
        <w:rPr>
          <w:rStyle w:val="Satznummer"/>
        </w:rPr>
        <w:t>10</w:t>
      </w:r>
      <w:r>
        <w:t xml:space="preserve">Die den Eltern nach den Sätzen 1 bis 9 zustehenden Freibeträge können auf Antrag auch auf einen Stiefelternteil oder Großelternteil übertragen werden, wenn dieser das Kind in seinen Haushalt aufgenommen hat oder dieser einer Unterhaltspflicht gegenüber dem Kind unterliegt. </w:t>
      </w:r>
      <w:r>
        <w:rPr>
          <w:rStyle w:val="Satznummer"/>
        </w:rPr>
        <w:t>11</w:t>
      </w:r>
      <w:r>
        <w:t xml:space="preserve">Die Übertragung nach Satz 10 kann auch mit Zustimmung des berechtigten Elternteils erfolgen, die nur für künftige Kalenderjahre widerrufen werden kann. </w:t>
      </w:r>
      <w:r>
        <w:rPr>
          <w:rStyle w:val="Satznummer"/>
        </w:rPr>
        <w:t>12</w:t>
      </w:r>
      <w:r>
        <w:t xml:space="preserve">Voraussetzung für die Berücksichtigung des Kinderfreibetrags sowie des Freibetrags für den Betreuungs- und Erziehungs- oder Ausbildungsbedarf des Kindes ist die Identifizierung des Kindes durch die an dieses Kind vergebene Identifikationsnummer (§ 139b der Abgabenordnung). </w:t>
      </w:r>
      <w:r>
        <w:rPr>
          <w:rStyle w:val="Satznummer"/>
        </w:rPr>
        <w:t>13</w:t>
      </w:r>
      <w:r>
        <w:t xml:space="preserve">Ist das Kind nicht nach einem Steuergesetz steuerpflichtig (§ 139a Absatz 2 der Abgabenordnung), ist es in anderer geeigneter Weise zu identifizieren. </w:t>
      </w:r>
      <w:r>
        <w:rPr>
          <w:rStyle w:val="Satznummer"/>
        </w:rPr>
        <w:t>14</w:t>
      </w:r>
      <w:r>
        <w:t>Die nachträgliche Identifizierung oder nachträgliche Vergabe der Identifikationsnummer wirkt auf Monate zurück, in denen die übrigen Voraussetzungen für die Gewährung des Kinderfreibetrags sowie des Freibetrags für den Betreuungs- und Erziehungs- oder Ausbildungsbedarf des Kindes vorliegen.</w:t>
      </w:r>
    </w:p>
    <w:p>
      <w:pPr>
        <w:pStyle w:val="Heading2"/>
      </w:pPr>
      <w:bookmarkStart w:id="109" w:name="b108"/>
      <w:r>
        <w:t>§ 32a Einkommensteuertarif</w:t>
      </w:r>
      <w:r>
        <w:t xml:space="preserve"> </w:t>
      </w:r>
      <w:r>
        <w:rPr>
          <w:rStyle w:val="Suchmarke"/>
        </w:rPr>
        <w:t>#32a#</w:t>
      </w:r>
      <w:bookmarkEnd w:id="109"/>
    </w:p>
    <w:p>
      <w:r>
        <w:t xml:space="preserve">(1) </w:t>
      </w:r>
      <w:r>
        <w:rPr>
          <w:rStyle w:val="Satznummer"/>
        </w:rPr>
        <w:t>1</w:t>
      </w:r>
      <w:r>
        <w:t xml:space="preserve">Die tarifliche Einkommensteuer bemisst sich nach dem auf volle Euro abgerundeten zu versteuernden Einkommen. </w:t>
      </w:r>
      <w:r>
        <w:rPr>
          <w:rStyle w:val="Satznummer"/>
        </w:rPr>
        <w:t>2</w:t>
      </w:r>
      <w:r>
        <w:t xml:space="preserve">Sie beträgt ab dem Veranlagungszeitraum 2026 vorbehaltlich der </w:t>
      </w:r>
      <w:hyperlink w:anchor="b109" w:history="1">
        <w:r>
          <w:rPr>
            <w:color w:val="0A3A8C"/>
            <w:u w:val="single"/>
          </w:rPr>
          <w:t xml:space="preserve">§§ 32b</w:t>
        </w:r>
      </w:hyperlink>
      <w:r>
        <w:t xml:space="preserve">, </w:t>
      </w:r>
      <w:hyperlink w:anchor="b111" w:history="1">
        <w:r>
          <w:rPr>
            <w:color w:val="0A3A8C"/>
            <w:u w:val="single"/>
          </w:rPr>
          <w:t xml:space="preserve">32d</w:t>
        </w:r>
      </w:hyperlink>
      <w:r>
        <w:t xml:space="preserve">, </w:t>
      </w:r>
      <w:hyperlink w:anchor="b115" w:history="1">
        <w:r>
          <w:rPr>
            <w:color w:val="0A3A8C"/>
            <w:u w:val="single"/>
          </w:rPr>
          <w:t xml:space="preserve">34</w:t>
        </w:r>
      </w:hyperlink>
      <w:r>
        <w:t xml:space="preserve">, </w:t>
      </w:r>
      <w:hyperlink w:anchor="b116" w:history="1">
        <w:r>
          <w:rPr>
            <w:color w:val="0A3A8C"/>
            <w:u w:val="single"/>
          </w:rPr>
          <w:t xml:space="preserve">34a</w:t>
        </w:r>
      </w:hyperlink>
      <w:r>
        <w:t xml:space="preserve">, </w:t>
      </w:r>
      <w:hyperlink w:anchor="b117" w:history="1">
        <w:r>
          <w:rPr>
            <w:color w:val="0A3A8C"/>
            <w:u w:val="single"/>
          </w:rPr>
          <w:t xml:space="preserve">34b</w:t>
        </w:r>
      </w:hyperlink>
      <w:r>
        <w:t xml:space="preserve"> und </w:t>
      </w:r>
      <w:hyperlink w:anchor="b120" w:history="1">
        <w:r>
          <w:rPr>
            <w:color w:val="0A3A8C"/>
            <w:u w:val="single"/>
          </w:rPr>
          <w:t xml:space="preserve">34c</w:t>
        </w:r>
      </w:hyperlink>
      <w:r>
        <w:t xml:space="preserve"> jeweils in Euro für zu versteuernde Einkommen</w:t>
      </w:r>
    </w:p>
    <w:p>
      <w:pPr>
        <w:tabs>
          <w:tab w:pos="567" w:val="left"/>
        </w:tabs>
        <w:ind w:left="567" w:hanging="567"/>
      </w:pPr>
      <w:r>
        <w:t>1.</w:t>
      </w:r>
      <w:r>
        <w:tab/>
      </w:r>
      <w:r>
        <w:t>bis 12 348 Euro (Grundfreibetrag):</w:t>
      </w:r>
    </w:p>
    <w:p>
      <w:pPr>
        <w:ind w:left="567"/>
      </w:pPr>
      <w:r>
        <w:t>0;</w:t>
      </w:r>
    </w:p>
    <w:p>
      <w:pPr>
        <w:tabs>
          <w:tab w:pos="567" w:val="left"/>
        </w:tabs>
        <w:ind w:left="567" w:hanging="567"/>
      </w:pPr>
      <w:r>
        <w:t>2.</w:t>
      </w:r>
      <w:r>
        <w:tab/>
      </w:r>
      <w:r>
        <w:t>von 12 349 Euro bis 17 799 Euro:</w:t>
      </w:r>
    </w:p>
    <w:p>
      <w:pPr>
        <w:ind w:left="567"/>
      </w:pPr>
      <w:r>
        <w:t>(914,51 • y + 1 400) • y;</w:t>
      </w:r>
    </w:p>
    <w:p>
      <w:pPr>
        <w:tabs>
          <w:tab w:pos="567" w:val="left"/>
        </w:tabs>
        <w:ind w:left="567" w:hanging="567"/>
      </w:pPr>
      <w:r>
        <w:t>3.</w:t>
      </w:r>
      <w:r>
        <w:tab/>
      </w:r>
      <w:r>
        <w:t>von 17 800 Euro bis 69 878 Euro:</w:t>
      </w:r>
    </w:p>
    <w:p>
      <w:pPr>
        <w:ind w:left="567"/>
      </w:pPr>
      <w:r>
        <w:t>(173,10 • z + 2 397) • z + 1 034,87;</w:t>
      </w:r>
    </w:p>
    <w:p>
      <w:pPr>
        <w:tabs>
          <w:tab w:pos="567" w:val="left"/>
        </w:tabs>
        <w:ind w:left="567" w:hanging="567"/>
      </w:pPr>
      <w:r>
        <w:t>4.</w:t>
      </w:r>
      <w:r>
        <w:tab/>
      </w:r>
      <w:r>
        <w:t>von 69 879 Euro bis 277 825 Euro:</w:t>
      </w:r>
    </w:p>
    <w:p>
      <w:pPr>
        <w:ind w:left="567"/>
      </w:pPr>
      <w:r>
        <w:t>0,42 • x – 11 135,63;</w:t>
      </w:r>
    </w:p>
    <w:p>
      <w:pPr>
        <w:tabs>
          <w:tab w:pos="567" w:val="left"/>
        </w:tabs>
        <w:ind w:left="567" w:hanging="567"/>
      </w:pPr>
      <w:r>
        <w:t>5.</w:t>
      </w:r>
      <w:r>
        <w:tab/>
      </w:r>
      <w:r>
        <w:t>von 277 826 Euro an:</w:t>
      </w:r>
    </w:p>
    <w:p>
      <w:pPr>
        <w:ind w:left="567"/>
      </w:pPr>
      <w:r>
        <w:t>0,45 • x – 19 470,38.</w:t>
      </w:r>
    </w:p>
    <w:p>
      <w:r>
        <w:rPr>
          <w:rStyle w:val="Satznummer"/>
        </w:rPr>
        <w:t>3</w:t>
      </w:r>
      <w:r>
        <w:t xml:space="preserve">Die Größe „y“ ist ein Zehntausendstel des den Grundfreibetrag übersteigenden Teils des auf einen vollen Euro-Betrag abgerundeten zu versteuernden Einkommens. </w:t>
      </w:r>
      <w:r>
        <w:rPr>
          <w:rStyle w:val="Satznummer"/>
        </w:rPr>
        <w:t>4</w:t>
      </w:r>
      <w:r>
        <w:t xml:space="preserve">Die Größe „z“ ist ein Zehntausendstel des 17 799 Euro übersteigenden Teils des auf einen vollen Euro-Betrag abgerundeten zu versteuernden Einkommens. </w:t>
      </w:r>
      <w:r>
        <w:rPr>
          <w:rStyle w:val="Satznummer"/>
        </w:rPr>
        <w:t>5</w:t>
      </w:r>
      <w:r>
        <w:t xml:space="preserve">Die Größe „x“ ist das auf einen vollen Euro-Betrag abgerundete zu versteuernde Einkommen. </w:t>
      </w:r>
      <w:r>
        <w:rPr>
          <w:rStyle w:val="Satznummer"/>
        </w:rPr>
        <w:t>6</w:t>
      </w:r>
      <w:r>
        <w:t>Der sich ergebende Steuerbetrag ist auf den nächsten vollen Euro-Betrag abzurunden.</w:t>
      </w:r>
    </w:p>
    <w:p>
      <w:r>
        <w:t>(2) bis (4) (weggefallen)</w:t>
      </w:r>
    </w:p>
    <w:p>
      <w:r>
        <w:t xml:space="preserve">(5)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veranlagt werden, beträgt die tarifliche Einkommensteuer vorbehaltlich der </w:t>
      </w:r>
      <w:hyperlink w:anchor="b109" w:history="1">
        <w:r>
          <w:rPr>
            <w:color w:val="0A3A8C"/>
            <w:u w:val="single"/>
          </w:rPr>
          <w:t xml:space="preserve">§§ 32b</w:t>
        </w:r>
      </w:hyperlink>
      <w:r>
        <w:t xml:space="preserve">, </w:t>
      </w:r>
      <w:hyperlink w:anchor="b111" w:history="1">
        <w:r>
          <w:rPr>
            <w:color w:val="0A3A8C"/>
            <w:u w:val="single"/>
          </w:rPr>
          <w:t xml:space="preserve">32d</w:t>
        </w:r>
      </w:hyperlink>
      <w:r>
        <w:t xml:space="preserve">, </w:t>
      </w:r>
      <w:hyperlink w:anchor="b115" w:history="1">
        <w:r>
          <w:rPr>
            <w:color w:val="0A3A8C"/>
            <w:u w:val="single"/>
          </w:rPr>
          <w:t xml:space="preserve">34</w:t>
        </w:r>
      </w:hyperlink>
      <w:r>
        <w:t xml:space="preserve">, </w:t>
      </w:r>
      <w:hyperlink w:anchor="b116" w:history="1">
        <w:r>
          <w:rPr>
            <w:color w:val="0A3A8C"/>
            <w:u w:val="single"/>
          </w:rPr>
          <w:t xml:space="preserve">34a</w:t>
        </w:r>
      </w:hyperlink>
      <w:r>
        <w:t xml:space="preserve">, </w:t>
      </w:r>
      <w:hyperlink w:anchor="b117" w:history="1">
        <w:r>
          <w:rPr>
            <w:color w:val="0A3A8C"/>
            <w:u w:val="single"/>
          </w:rPr>
          <w:t xml:space="preserve">34b</w:t>
        </w:r>
      </w:hyperlink>
      <w:r>
        <w:t xml:space="preserve"> und </w:t>
      </w:r>
      <w:hyperlink w:anchor="b120" w:history="1">
        <w:r>
          <w:rPr>
            <w:color w:val="0A3A8C"/>
            <w:u w:val="single"/>
          </w:rPr>
          <w:t xml:space="preserve">34c</w:t>
        </w:r>
      </w:hyperlink>
      <w:r>
        <w:t xml:space="preserve"> das Zweifache des Steuerbetrags, der sich für die Hälfte ihres gemeinsam zu versteuernden Einkommens nach Absatz 1 ergibt (Splitting-Verfahren).</w:t>
      </w:r>
    </w:p>
    <w:p>
      <w:r>
        <w:t xml:space="preserve">(6) </w:t>
      </w:r>
      <w:r>
        <w:rPr>
          <w:rStyle w:val="Satznummer"/>
        </w:rPr>
        <w:t>1</w:t>
      </w:r>
      <w:r>
        <w:t>Das Verfahren nach Absatz 5 ist auch anzuwenden zur Berechnung der tariflichen Einkommensteuer für das zu versteuernde Einkommen</w:t>
      </w:r>
    </w:p>
    <w:p>
      <w:pPr>
        <w:tabs>
          <w:tab w:pos="567" w:val="left"/>
        </w:tabs>
        <w:ind w:left="567" w:hanging="567"/>
      </w:pPr>
      <w:r>
        <w:t>1.</w:t>
      </w:r>
      <w:r>
        <w:tab/>
      </w:r>
      <w:r>
        <w:t xml:space="preserve">bei einem verwitweten Steuerpflichtigen für den Veranlagungszeitraum, der dem Kalenderjahr folgt, in dem der Ehegatte verstorben ist, wenn der Steuerpflichtige und sein verstorbener Ehegatte im Zeitpunkt seines Todes die Voraussetzungen des </w:t>
      </w:r>
      <w:hyperlink w:anchor="b99" w:history="1">
        <w:r>
          <w:rPr>
            <w:color w:val="0A3A8C"/>
            <w:u w:val="single"/>
          </w:rPr>
          <w:t xml:space="preserve">§ 26</w:t>
        </w:r>
      </w:hyperlink>
      <w:r>
        <w:t xml:space="preserve"> Absatz 1 Satz 1 erfüllt haben,</w:t>
      </w:r>
    </w:p>
    <w:p>
      <w:pPr>
        <w:tabs>
          <w:tab w:pos="567" w:val="left"/>
        </w:tabs>
        <w:ind w:left="567" w:hanging="567"/>
      </w:pPr>
      <w:r>
        <w:t>2.</w:t>
      </w:r>
      <w:r>
        <w:tab/>
      </w:r>
      <w:r>
        <w:t>bei einem Steuerpflichtigen, dessen Ehe in dem Kalenderjahr, in dem er sein Einkommen bezogen hat, aufgelöst worden ist, wenn in diesem Kalenderjahr</w:t>
      </w:r>
    </w:p>
    <w:p>
      <w:pPr>
        <w:tabs>
          <w:tab w:pos="1134" w:val="left"/>
        </w:tabs>
        <w:ind w:left="1134" w:hanging="567"/>
      </w:pPr>
      <w:r>
        <w:t>a)</w:t>
      </w:r>
      <w:r>
        <w:tab/>
      </w:r>
      <w:r>
        <w:t xml:space="preserve">der Steuerpflichtige und sein bisheriger Ehegatte die Voraussetzungen des </w:t>
      </w:r>
      <w:hyperlink w:anchor="b99" w:history="1">
        <w:r>
          <w:rPr>
            <w:color w:val="0A3A8C"/>
            <w:u w:val="single"/>
          </w:rPr>
          <w:t xml:space="preserve">§ 26</w:t>
        </w:r>
      </w:hyperlink>
      <w:r>
        <w:t xml:space="preserve"> Absatz 1 Satz 1 erfüllt haben,</w:t>
      </w:r>
    </w:p>
    <w:p>
      <w:pPr>
        <w:tabs>
          <w:tab w:pos="1134" w:val="left"/>
        </w:tabs>
        <w:ind w:left="1134" w:hanging="567"/>
      </w:pPr>
      <w:r>
        <w:t>b)</w:t>
      </w:r>
      <w:r>
        <w:tab/>
      </w:r>
      <w:r>
        <w:t>der bisherige Ehegatte wieder geheiratet hat und</w:t>
      </w:r>
    </w:p>
    <w:p>
      <w:pPr>
        <w:tabs>
          <w:tab w:pos="1134" w:val="left"/>
        </w:tabs>
        <w:ind w:left="1134" w:hanging="567"/>
      </w:pPr>
      <w:r>
        <w:t>c)</w:t>
      </w:r>
      <w:r>
        <w:tab/>
      </w:r>
      <w:r>
        <w:t xml:space="preserve">der bisherige Ehegatte und dessen neuer Ehegatte ebenfalls die Voraussetzungen des </w:t>
      </w:r>
      <w:hyperlink w:anchor="b99" w:history="1">
        <w:r>
          <w:rPr>
            <w:color w:val="0A3A8C"/>
            <w:u w:val="single"/>
          </w:rPr>
          <w:t xml:space="preserve">§ 26</w:t>
        </w:r>
      </w:hyperlink>
      <w:r>
        <w:t xml:space="preserve"> Absatz 1 Satz 1 erfüllen.</w:t>
      </w:r>
    </w:p>
    <w:p>
      <w:r>
        <w:rPr>
          <w:rStyle w:val="Satznummer"/>
        </w:rPr>
        <w:t>2</w:t>
      </w:r>
      <w:r>
        <w:t xml:space="preserve">Voraussetzung für die Anwendung des Satzes 1 ist, dass der Steuerpflichtige nicht nach den </w:t>
      </w:r>
      <w:hyperlink w:anchor="b99" w:history="1">
        <w:r>
          <w:rPr>
            <w:color w:val="0A3A8C"/>
            <w:u w:val="single"/>
          </w:rPr>
          <w:t xml:space="preserve">§§ 26</w:t>
        </w:r>
      </w:hyperlink>
      <w:r>
        <w:t xml:space="preserve">, </w:t>
      </w:r>
      <w:hyperlink w:anchor="b100" w:history="1">
        <w:r>
          <w:rPr>
            <w:color w:val="0A3A8C"/>
            <w:u w:val="single"/>
          </w:rPr>
          <w:t xml:space="preserve">26a</w:t>
        </w:r>
      </w:hyperlink>
      <w:r>
        <w:t xml:space="preserve"> einzeln zur Einkommensteuer veranlagt wird.</w:t>
      </w:r>
    </w:p>
    <w:p>
      <w:pPr>
        <w:pStyle w:val="Heading2"/>
      </w:pPr>
      <w:bookmarkStart w:id="110" w:name="b109"/>
      <w:r>
        <w:t>§ 32b Progressionsvorbehalt</w:t>
      </w:r>
      <w:r>
        <w:t xml:space="preserve"> </w:t>
      </w:r>
      <w:r>
        <w:rPr>
          <w:rStyle w:val="Suchmarke"/>
        </w:rPr>
        <w:t>#32b#</w:t>
      </w:r>
      <w:bookmarkEnd w:id="110"/>
    </w:p>
    <w:p>
      <w:r>
        <w:t xml:space="preserve">(1) </w:t>
      </w:r>
      <w:r>
        <w:rPr>
          <w:rStyle w:val="Satznummer"/>
        </w:rPr>
        <w:t>1</w:t>
      </w:r>
      <w:r>
        <w:t>Hat ein zeitweise oder während des gesamten Veranlagungszeitraums unbeschränkt Steuerpflichtiger oder ein beschränkt Steuerpflichtiger, auf den § 50 Absatz 2 Satz 2 Nummer 4 Anwendung findet,</w:t>
      </w:r>
    </w:p>
    <w:p>
      <w:pPr>
        <w:tabs>
          <w:tab w:pos="567" w:val="left"/>
        </w:tabs>
        <w:ind w:left="567" w:hanging="567"/>
      </w:pPr>
      <w:r>
        <w:t>1.</w:t>
      </w:r>
      <w:r>
        <w:tab/>
      </w:r>
    </w:p>
    <w:p>
      <w:pPr>
        <w:tabs>
          <w:tab w:pos="1134" w:val="left"/>
        </w:tabs>
        <w:ind w:left="1134" w:hanging="567"/>
      </w:pPr>
      <w:r>
        <w:t>a)</w:t>
      </w:r>
      <w:r>
        <w:tab/>
      </w:r>
      <w:r>
        <w:t>Arbeitslosengeld, Teilarbeitslosengeld, Zuschüsse zum Arbeitsentgelt, Kurzarbeitergeld, Insolvenzgeld, Übergangsgeld, Qualifizierungsgeld nach dem Dritten Buch Sozialgesetzbuch; Insolvenzgeld, das nach § 170 Absatz 1 des Dritten Buches Sozialgesetzbuch einem Dritten zusteht, ist dem Arbeitnehmer zuzurechnen,</w:t>
      </w:r>
    </w:p>
    <w:p>
      <w:pPr>
        <w:tabs>
          <w:tab w:pos="1134" w:val="left"/>
        </w:tabs>
        <w:ind w:left="1134" w:hanging="567"/>
      </w:pPr>
      <w:r>
        <w:t>b)</w:t>
      </w:r>
      <w:r>
        <w:tab/>
      </w:r>
      <w:r>
        <w:t>Krankengeld, Mutterschaftsgeld, Verletztengeld, Übergangsgeld oder vergleichbare Lohnersatzleistungen nach dem Fünften, Sechsten oder Siebten Buch Sozialgesetzbuch, der Reichsversicherungsordnung, dem Gesetz über die Krankenversicherung der Landwirte oder dem Zweiten Gesetz über die Krankenversicherung der Landwirte,</w:t>
      </w:r>
    </w:p>
    <w:p>
      <w:pPr>
        <w:tabs>
          <w:tab w:pos="1134" w:val="left"/>
        </w:tabs>
        <w:ind w:left="1134" w:hanging="567"/>
      </w:pPr>
      <w:r>
        <w:t>c)</w:t>
      </w:r>
      <w:r>
        <w:tab/>
      </w:r>
      <w:r>
        <w:t>Mutterschaftsgeld, Zuschuss zum Mutterschaftsgeld, die Sonderunterstützung nach dem Mutterschutzgesetz sowie den Zuschuss bei Beschäftigungsverboten für die Zeit vor oder nach einer Entbindung sowie für den Entbindungstag während einer Elternzeit nach beamtenrechtlichen Vorschriften,</w:t>
      </w:r>
    </w:p>
    <w:p>
      <w:pPr>
        <w:tabs>
          <w:tab w:pos="1134" w:val="left"/>
        </w:tabs>
        <w:ind w:left="1134" w:hanging="567"/>
      </w:pPr>
      <w:r>
        <w:t>d)</w:t>
      </w:r>
      <w:r>
        <w:tab/>
      </w:r>
      <w:r>
        <w:t>Arbeitslosenbeihilfe nach dem Soldatenversorgungsgesetz,</w:t>
      </w:r>
    </w:p>
    <w:p>
      <w:pPr>
        <w:tabs>
          <w:tab w:pos="1134" w:val="left"/>
        </w:tabs>
        <w:ind w:left="1134" w:hanging="567"/>
      </w:pPr>
      <w:r>
        <w:t>e)</w:t>
      </w:r>
      <w:r>
        <w:tab/>
      </w:r>
      <w:r>
        <w:t>Entschädigungen für Verdienstausfall nach dem Infektionsschutzgesetz vom 20. Juli 2000 (BGBl. I S. 1045),</w:t>
      </w:r>
    </w:p>
    <w:p>
      <w:pPr>
        <w:tabs>
          <w:tab w:pos="1134" w:val="left"/>
        </w:tabs>
        <w:ind w:left="1134" w:hanging="567"/>
      </w:pPr>
      <w:r>
        <w:t>f)</w:t>
      </w:r>
      <w:r>
        <w:tab/>
      </w:r>
      <w:r>
        <w:t>Krankengeld der Sozialen Entschädigung, Übergangsgeld nach dem Vierzehnten Buch Sozialgesetzbuch, Krankengeld der Soldatenentschädigung oder Übergangsgeld nach dem Soldatenentschädigungsgesetz,</w:t>
      </w:r>
    </w:p>
    <w:p>
      <w:pPr>
        <w:tabs>
          <w:tab w:pos="1134" w:val="left"/>
        </w:tabs>
        <w:ind w:left="1134" w:hanging="567"/>
      </w:pPr>
      <w:r>
        <w:t>g)</w:t>
      </w:r>
      <w:r>
        <w:tab/>
      </w:r>
      <w:r>
        <w:t xml:space="preserve">nach </w:t>
      </w:r>
      <w:hyperlink w:anchor="b8" w:history="1">
        <w:r>
          <w:rPr>
            <w:color w:val="0A3A8C"/>
            <w:u w:val="single"/>
          </w:rPr>
          <w:t xml:space="preserve">§ 3</w:t>
        </w:r>
      </w:hyperlink>
      <w:r>
        <w:t xml:space="preserve"> Nummer 28 steuerfreie Aufstockungsbeträge oder Zuschläge sowie nach </w:t>
      </w:r>
      <w:hyperlink w:anchor="b8" w:history="1">
        <w:r>
          <w:rPr>
            <w:color w:val="0A3A8C"/>
            <w:u w:val="single"/>
          </w:rPr>
          <w:t xml:space="preserve">§ 3</w:t>
        </w:r>
      </w:hyperlink>
      <w:r>
        <w:t xml:space="preserve"> Nummer 28a steuerfreie Zuschüsse,</w:t>
      </w:r>
    </w:p>
    <w:p>
      <w:pPr>
        <w:tabs>
          <w:tab w:pos="1134" w:val="left"/>
        </w:tabs>
        <w:ind w:left="1134" w:hanging="567"/>
      </w:pPr>
      <w:r>
        <w:t>h)</w:t>
      </w:r>
      <w:r>
        <w:tab/>
      </w:r>
      <w:r>
        <w:t>Leistungen an Arbeitnehmerinnen und Arbeitnehmer nach § 5 des Unterhaltssicherungsgesetzes,</w:t>
      </w:r>
    </w:p>
    <w:p>
      <w:pPr>
        <w:tabs>
          <w:tab w:pos="1134" w:val="left"/>
        </w:tabs>
        <w:ind w:left="1134" w:hanging="567"/>
      </w:pPr>
      <w:r>
        <w:t>i)</w:t>
      </w:r>
      <w:r>
        <w:tab/>
      </w:r>
      <w:r>
        <w:t xml:space="preserve">nach </w:t>
      </w:r>
      <w:hyperlink w:anchor="b8" w:history="1">
        <w:r>
          <w:rPr>
            <w:color w:val="0A3A8C"/>
            <w:u w:val="single"/>
          </w:rPr>
          <w:t xml:space="preserve">§ 3</w:t>
        </w:r>
      </w:hyperlink>
      <w:r>
        <w:t xml:space="preserve"> Nummer 60 steuerfreie Anpassungsgelder,</w:t>
      </w:r>
    </w:p>
    <w:p>
      <w:pPr>
        <w:tabs>
          <w:tab w:pos="1134" w:val="left"/>
        </w:tabs>
        <w:ind w:left="1134" w:hanging="567"/>
      </w:pPr>
      <w:r>
        <w:t>j)</w:t>
      </w:r>
      <w:r>
        <w:tab/>
      </w:r>
      <w:r>
        <w:t>Elterngeld nach dem Bundeselterngeld- und Elternzeitgesetz,</w:t>
      </w:r>
    </w:p>
    <w:p>
      <w:pPr>
        <w:tabs>
          <w:tab w:pos="1134" w:val="left"/>
        </w:tabs>
        <w:ind w:left="1134" w:hanging="567"/>
      </w:pPr>
      <w:r>
        <w:t>k)</w:t>
      </w:r>
      <w:r>
        <w:tab/>
      </w:r>
      <w:r>
        <w:t>nach § 3 Nummer 2 Buchstabe e steuerfreie Leistungen, wenn vergleichbare Leistungen inländischer öffentlicher Kassen nach den Buchstaben a bis j dem Progressionsvorbehalt unterfallen, oder</w:t>
      </w:r>
    </w:p>
    <w:p>
      <w:pPr>
        <w:tabs>
          <w:tab w:pos="567" w:val="left"/>
        </w:tabs>
        <w:ind w:left="567" w:hanging="567"/>
      </w:pPr>
      <w:r>
        <w:t>2.</w:t>
      </w:r>
      <w:r>
        <w:tab/>
      </w:r>
      <w:r>
        <w:t xml:space="preserve">ausländische Einkünfte, die im Veranlagungszeitraum nicht der deutschen Einkommensteuer unterlegen haben; dies gilt nur für Fälle der zeitweisen unbeschränkten Steuerpflicht einschließlich der in </w:t>
      </w:r>
      <w:hyperlink w:anchor="b5" w:history="1">
        <w:r>
          <w:rPr>
            <w:color w:val="0A3A8C"/>
            <w:u w:val="single"/>
          </w:rPr>
          <w:t xml:space="preserve">§ 2</w:t>
        </w:r>
      </w:hyperlink>
      <w:r>
        <w:t xml:space="preserve"> Absatz 7 Satz 3 geregelten Fälle; ausgenommen sind Einkünfte, die nach einem sonstigen zwischenstaatlichen Übereinkommen im Sinne der Nummer 4 steuerfrei sind und die nach diesem Übereinkommen nicht unter dem Vorbehalt der Einbeziehung bei der Berechnung der Einkommensteuer stehen,</w:t>
      </w:r>
    </w:p>
    <w:p>
      <w:pPr>
        <w:tabs>
          <w:tab w:pos="567" w:val="left"/>
        </w:tabs>
        <w:ind w:left="567" w:hanging="567"/>
      </w:pPr>
      <w:r>
        <w:t>3.</w:t>
      </w:r>
      <w:r>
        <w:tab/>
      </w:r>
      <w:r>
        <w:t>Einkünfte, die nach einem Abkommen zur Vermeidung der Doppelbesteuerung steuerfrei sind,</w:t>
      </w:r>
    </w:p>
    <w:p>
      <w:pPr>
        <w:tabs>
          <w:tab w:pos="567" w:val="left"/>
        </w:tabs>
        <w:ind w:left="567" w:hanging="567"/>
      </w:pPr>
      <w:r>
        <w:t>4.</w:t>
      </w:r>
      <w:r>
        <w:tab/>
      </w:r>
      <w:r>
        <w:t>Einkünfte, die nach einem sonstigen zwischenstaatlichen Übereinkommen unter dem Vorbehalt der Einbeziehung bei der Berechnung der Einkommensteuer steuerfrei sind,</w:t>
      </w:r>
    </w:p>
    <w:p>
      <w:pPr>
        <w:tabs>
          <w:tab w:pos="567" w:val="left"/>
        </w:tabs>
        <w:ind w:left="567" w:hanging="567"/>
      </w:pPr>
      <w:r>
        <w:t>5.</w:t>
      </w:r>
      <w:r>
        <w:tab/>
      </w:r>
      <w:r>
        <w:t>Einkünfte, die bei Anwendung von § 1 Absatz 3 oder § 1a oder § 50 Absatz 2 Satz 2 Nummer 4 im Veranlagungszeitraum bei der Ermittlung des zu versteuernden Einkommens unberücksichtigt bleiben, weil sie nicht der deutschen Einkommensteuer oder einem Steuerabzug unterliegen; ausgenommen sind Einkünfte, die nach einem sonstigen zwischenstaatlichen Übereinkommen im Sinne der Nummer 4 steuerfrei sind und die nach diesem Übereinkommen nicht unter dem Vorbehalt der Einbeziehung bei der Berechnung der Einkommensteuer stehen,</w:t>
      </w:r>
    </w:p>
    <w:p>
      <w:r>
        <w:t xml:space="preserve">bezogen, so ist auf das nach </w:t>
      </w:r>
      <w:hyperlink w:anchor="b108" w:history="1">
        <w:r>
          <w:rPr>
            <w:color w:val="0A3A8C"/>
            <w:u w:val="single"/>
          </w:rPr>
          <w:t xml:space="preserve">§ 32a</w:t>
        </w:r>
      </w:hyperlink>
      <w:r>
        <w:t xml:space="preserve"> Absatz 1 zu versteuernde Einkommen ein besonderer Steuersatz anzuwenden. </w:t>
      </w:r>
      <w:r>
        <w:rPr>
          <w:rStyle w:val="Satznummer"/>
        </w:rPr>
        <w:t>2</w:t>
      </w:r>
      <w:r>
        <w:t>Satz 1 Nummer 3 gilt nicht für Einkünfte</w:t>
      </w:r>
    </w:p>
    <w:p>
      <w:pPr>
        <w:tabs>
          <w:tab w:pos="567" w:val="left"/>
        </w:tabs>
        <w:ind w:left="567" w:hanging="567"/>
      </w:pPr>
      <w:r>
        <w:t>1.</w:t>
      </w:r>
      <w:r>
        <w:tab/>
      </w:r>
      <w:r>
        <w:t>aus einer anderen als in einem Drittstaat belegenen land- und forstwirtschaftlichen Betriebsstätte,</w:t>
      </w:r>
    </w:p>
    <w:p>
      <w:pPr>
        <w:tabs>
          <w:tab w:pos="567" w:val="left"/>
        </w:tabs>
        <w:ind w:left="567" w:hanging="567"/>
      </w:pPr>
      <w:r>
        <w:t>2.</w:t>
      </w:r>
      <w:r>
        <w:tab/>
      </w:r>
      <w:r>
        <w:t xml:space="preserve">aus einer anderen als in einem Drittstaat belegenen gewerblichen Betriebsstätte, die nicht die Voraussetzungen des </w:t>
      </w:r>
      <w:hyperlink w:anchor="b6" w:history="1">
        <w:r>
          <w:rPr>
            <w:color w:val="0A3A8C"/>
            <w:u w:val="single"/>
          </w:rPr>
          <w:t xml:space="preserve">§ 2a</w:t>
        </w:r>
      </w:hyperlink>
      <w:r>
        <w:t xml:space="preserve"> Absatz 2 Satz 1 erfüllt,</w:t>
      </w:r>
    </w:p>
    <w:p>
      <w:pPr>
        <w:tabs>
          <w:tab w:pos="567" w:val="left"/>
        </w:tabs>
        <w:ind w:left="567" w:hanging="567"/>
      </w:pPr>
      <w:r>
        <w:t>3.</w:t>
      </w:r>
      <w:r>
        <w:tab/>
      </w:r>
      <w:r>
        <w:t>aus der Vermietung oder der Verpachtung von unbeweglichem Vermögen oder von Sachinbegriffen, wenn diese in einem anderen Staat als in einem Drittstaat belegen sind, oder</w:t>
      </w:r>
    </w:p>
    <w:p>
      <w:pPr>
        <w:tabs>
          <w:tab w:pos="567" w:val="left"/>
        </w:tabs>
        <w:ind w:left="567" w:hanging="567"/>
      </w:pPr>
      <w:r>
        <w:t>4.</w:t>
      </w:r>
      <w:r>
        <w:tab/>
      </w:r>
      <w:r>
        <w:t>aus der entgeltlichen Überlassung von Schiffen, sofern diese ausschließlich oder fast ausschließlich in einem anderen als einem Drittstaat eingesetzt worden sind, es sei denn, es handelt sich um Handelsschiffe, die</w:t>
      </w:r>
    </w:p>
    <w:p>
      <w:pPr>
        <w:tabs>
          <w:tab w:pos="1134" w:val="left"/>
        </w:tabs>
        <w:ind w:left="1134" w:hanging="567"/>
      </w:pPr>
      <w:r>
        <w:t>a)</w:t>
      </w:r>
      <w:r>
        <w:tab/>
      </w:r>
      <w:r>
        <w:t>von einem Vercharterer ausgerüstet überlassen oder</w:t>
      </w:r>
    </w:p>
    <w:p>
      <w:pPr>
        <w:tabs>
          <w:tab w:pos="1134" w:val="left"/>
        </w:tabs>
        <w:ind w:left="1134" w:hanging="567"/>
      </w:pPr>
      <w:r>
        <w:t>b)</w:t>
      </w:r>
      <w:r>
        <w:tab/>
      </w:r>
      <w:r>
        <w:t>an in einem anderen als in einem Drittstaat ansässige Ausrüster, die die Voraussetzungen des § 510 Absatz 1 des Handelsgesetzbuchs erfüllen, überlassen oder</w:t>
      </w:r>
    </w:p>
    <w:p>
      <w:pPr>
        <w:tabs>
          <w:tab w:pos="1134" w:val="left"/>
        </w:tabs>
        <w:ind w:left="1134" w:hanging="567"/>
      </w:pPr>
      <w:r>
        <w:t>c)</w:t>
      </w:r>
      <w:r>
        <w:tab/>
      </w:r>
      <w:r>
        <w:t>insgesamt nur vorübergehend an in einem Drittstaat ansässige Ausrüster, die die Voraussetzungen des § 510 Absatz 1 des Handelsgesetzbuchs erfüllen, überlassen</w:t>
      </w:r>
    </w:p>
    <w:p>
      <w:pPr>
        <w:ind w:left="567"/>
      </w:pPr>
      <w:r>
        <w:t>worden sind, oder</w:t>
      </w:r>
    </w:p>
    <w:p>
      <w:pPr>
        <w:tabs>
          <w:tab w:pos="567" w:val="left"/>
        </w:tabs>
        <w:ind w:left="567" w:hanging="567"/>
      </w:pPr>
      <w:r>
        <w:t>5.</w:t>
      </w:r>
      <w:r>
        <w:tab/>
      </w:r>
      <w:r>
        <w:t>aus dem Ansatz des niedrigeren Teilwerts oder der Übertragung eines zu einem Betriebsvermögen gehörenden Wirtschaftsguts im Sinne der Nummern 3 und 4.</w:t>
      </w:r>
    </w:p>
    <w:p>
      <w:r>
        <w:rPr>
          <w:rStyle w:val="Satznummer"/>
        </w:rPr>
        <w:t>3</w:t>
      </w:r>
      <w:hyperlink w:anchor="b6" w:history="1">
        <w:r>
          <w:rPr>
            <w:color w:val="0A3A8C"/>
            <w:u w:val="single"/>
          </w:rPr>
          <w:t xml:space="preserve">§ 2a</w:t>
        </w:r>
      </w:hyperlink>
      <w:r>
        <w:t xml:space="preserve"> Absatz 2a und </w:t>
      </w:r>
      <w:hyperlink w:anchor="b77" w:history="1">
        <w:r>
          <w:rPr>
            <w:color w:val="0A3A8C"/>
            <w:u w:val="single"/>
          </w:rPr>
          <w:t xml:space="preserve">§ 15b</w:t>
        </w:r>
      </w:hyperlink>
      <w:r>
        <w:t xml:space="preserve"> sind sinngemäß anzuwenden.</w:t>
      </w:r>
    </w:p>
    <w:p>
      <w:r>
        <w:t xml:space="preserve">(1a) Als unmittelbar von einem unbeschränkt Steuerpflichtigen bezogene ausländische Einkünfte im Sinne des Absatzes 1 Nummer 3 gelten auch die ausländischen Einkünfte, die eine Organgesellschaft im Sinne des </w:t>
      </w:r>
      <w:hyperlink w:anchor="b72" w:history="1">
        <w:r>
          <w:rPr>
            <w:color w:val="0A3A8C"/>
            <w:u w:val="single"/>
          </w:rPr>
          <w:t xml:space="preserve">§ 14</w:t>
        </w:r>
      </w:hyperlink>
      <w:r>
        <w:t xml:space="preserve"> oder des § 17 des Körperschaftsteuergesetzes bezogen hat und die nach einem Abkommen zur Vermeidung der Doppelbesteuerung steuerfrei sind, in dem Verhältnis, in dem dem unbeschränkt Steuerpflichtigen das Einkommen der Organgesellschaft bezogen auf das gesamte Einkommen der Organgesellschaft im Veranlagungszeitraum zugerechnet wird.</w:t>
      </w:r>
    </w:p>
    <w:p>
      <w:r>
        <w:t xml:space="preserve">(2) </w:t>
      </w:r>
      <w:r>
        <w:t xml:space="preserve">Der besondere Steuersatz nach Absatz 1 ist der Steuersatz, der sich ergibt, wenn bei der Berechnung der Einkommensteuer das nach </w:t>
      </w:r>
      <w:hyperlink w:anchor="b108" w:history="1">
        <w:r>
          <w:rPr>
            <w:color w:val="0A3A8C"/>
            <w:u w:val="single"/>
          </w:rPr>
          <w:t xml:space="preserve">§ 32a</w:t>
        </w:r>
      </w:hyperlink>
      <w:r>
        <w:t xml:space="preserve"> Absatz 1 zu versteuernde Einkommen vermehrt oder vermindert wird um</w:t>
      </w:r>
    </w:p>
    <w:p>
      <w:pPr>
        <w:tabs>
          <w:tab w:pos="567" w:val="left"/>
        </w:tabs>
        <w:ind w:left="567" w:hanging="567"/>
      </w:pPr>
      <w:r>
        <w:t>1.</w:t>
      </w:r>
      <w:r>
        <w:tab/>
      </w:r>
      <w:r>
        <w:t>im Fall des Absatzes 1 Nummer 1 die Summe der Leistungen nach Abzug des Arbeitnehmer-Pauschbetrags (</w:t>
      </w:r>
      <w:hyperlink w:anchor="b47" w:history="1">
        <w:r>
          <w:rPr>
            <w:color w:val="0A3A8C"/>
            <w:u w:val="single"/>
          </w:rPr>
          <w:t xml:space="preserve">§ 9a</w:t>
        </w:r>
      </w:hyperlink>
      <w:r>
        <w:t xml:space="preserve"> Satz 1 Nummer 1), soweit er nicht bei der Ermittlung der Einkünfte aus nichtselbständiger Arbeit abziehbar ist;</w:t>
      </w:r>
    </w:p>
    <w:p>
      <w:pPr>
        <w:tabs>
          <w:tab w:pos="567" w:val="left"/>
        </w:tabs>
        <w:ind w:left="567" w:hanging="567"/>
      </w:pPr>
      <w:r>
        <w:t>2.</w:t>
      </w:r>
      <w:r>
        <w:tab/>
      </w:r>
      <w:r>
        <w:t xml:space="preserve">im Fall des Absatzes 1 Nummer 2 bis 5 die dort bezeichneten Einkünfte, wobei die darin enthaltenen außerordentlichen Einkünfte mit einem Fünftel zu berücksichtigen sind. </w:t>
      </w:r>
      <w:r>
        <w:rPr>
          <w:rStyle w:val="Satznummer"/>
        </w:rPr>
        <w:t>2</w:t>
      </w:r>
      <w:r>
        <w:t>Bei der Ermittlung der Einkünfte im Fall des Absatzes 1 Nummer 2 bis 5</w:t>
      </w:r>
    </w:p>
    <w:p>
      <w:pPr>
        <w:tabs>
          <w:tab w:pos="1134" w:val="left"/>
        </w:tabs>
        <w:ind w:left="1134" w:hanging="567"/>
      </w:pPr>
      <w:r>
        <w:t>a)</w:t>
      </w:r>
      <w:r>
        <w:tab/>
      </w:r>
      <w:r>
        <w:t>ist der Arbeitnehmer-Pauschbetrag (§ 9a Satz 1 Nummer 1 Buchstabe a) abzuziehen, soweit er nicht bei der Ermittlung der Einkünfte aus nichtselbständiger Arbeit abziehbar ist;</w:t>
      </w:r>
    </w:p>
    <w:p>
      <w:pPr>
        <w:tabs>
          <w:tab w:pos="1134" w:val="left"/>
        </w:tabs>
        <w:ind w:left="1134" w:hanging="567"/>
      </w:pPr>
      <w:r>
        <w:t>b)</w:t>
      </w:r>
      <w:r>
        <w:tab/>
      </w:r>
      <w:r>
        <w:t>sind Werbungskosten nur insoweit abzuziehen, als sie zusammen mit den bei der Ermittlung der Einkünfte aus nichtselbständiger Arbeit abziehbaren Werbungskosten den Arbeitnehmer-Pauschbetrag (§ 9a Satz 1 Nummer 1 Buchstabe a) übersteigen;</w:t>
      </w:r>
    </w:p>
    <w:p>
      <w:pPr>
        <w:tabs>
          <w:tab w:pos="1134" w:val="left"/>
        </w:tabs>
        <w:ind w:left="1134" w:hanging="567"/>
      </w:pPr>
      <w:r>
        <w:t>c)</w:t>
      </w:r>
      <w:r>
        <w:tab/>
      </w:r>
      <w:r>
        <w:t xml:space="preserve">sind bei Gewinnermittlung nach </w:t>
      </w:r>
      <w:hyperlink w:anchor="b13" w:history="1">
        <w:r>
          <w:rPr>
            <w:color w:val="0A3A8C"/>
            <w:u w:val="single"/>
          </w:rPr>
          <w:t xml:space="preserve">§ 4</w:t>
        </w:r>
      </w:hyperlink>
      <w:r>
        <w:t xml:space="preserve"> Absatz 3 die Anschaffungs- oder Herstellungskosten für Wirtschaftsgüter des Umlaufvermögens im Zeitpunkt des Zuflusses des Veräußerungserlöses oder bei Entnahme im Zeitpunkt der Entnahme als Betriebsausgaben zu berücksichtigen. </w:t>
      </w:r>
      <w:r>
        <w:rPr>
          <w:rStyle w:val="Satznummer"/>
        </w:rPr>
        <w:t>2</w:t>
      </w:r>
      <w:hyperlink w:anchor="b13" w:history="1">
        <w:r>
          <w:rPr>
            <w:color w:val="0A3A8C"/>
            <w:u w:val="single"/>
          </w:rPr>
          <w:t xml:space="preserve">§ 4</w:t>
        </w:r>
      </w:hyperlink>
      <w:r>
        <w:t xml:space="preserve"> Absatz 3 Satz 5 gilt entsprechend.</w:t>
      </w:r>
    </w:p>
    <w:p>
      <w:r>
        <w:t xml:space="preserve">(3) </w:t>
      </w:r>
      <w:r>
        <w:rPr>
          <w:rStyle w:val="Satznummer"/>
        </w:rPr>
        <w:t>1</w:t>
      </w:r>
      <w:r>
        <w:t>Nach Maßgabe des § 93c der Abgabenordnung haben die Träger der Sozialleistungen im Sinne des Absatzes 1 Satz 1 Nummer 1 für jeden Leistungsempfänger der für seine Besteuerung nach dem Einkommen zuständigen Finanzbehörde neben den nach § 93c Absatz 1 der Abgabenordnung erforderlichen Angaben die Daten über die im Kalenderjahr gewährten Leistungen sowie die Dauer des Leistungszeitraums zu übermitteln, soweit die Leistungen nicht in der Lohnsteuerbescheinigung anzugeben sind (</w:t>
      </w:r>
      <w:hyperlink w:anchor="b159" w:history="1">
        <w:r>
          <w:rPr>
            <w:color w:val="0A3A8C"/>
            <w:u w:val="single"/>
          </w:rPr>
          <w:t xml:space="preserve">§ 41b</w:t>
        </w:r>
      </w:hyperlink>
      <w:r>
        <w:t xml:space="preserve"> Absatz 1 Satz 2 Nummer 5); </w:t>
      </w:r>
      <w:hyperlink w:anchor="b159" w:history="1">
        <w:r>
          <w:rPr>
            <w:color w:val="0A3A8C"/>
            <w:u w:val="single"/>
          </w:rPr>
          <w:t xml:space="preserve">§ 41b</w:t>
        </w:r>
      </w:hyperlink>
      <w:r>
        <w:t xml:space="preserve"> Absatz 2 und </w:t>
      </w:r>
      <w:hyperlink w:anchor="b91" w:history="1">
        <w:r>
          <w:rPr>
            <w:color w:val="0A3A8C"/>
            <w:u w:val="single"/>
          </w:rPr>
          <w:t xml:space="preserve">§ 22a</w:t>
        </w:r>
      </w:hyperlink>
      <w:r>
        <w:t xml:space="preserve"> Absatz 2 gelten entsprechend. </w:t>
      </w:r>
      <w:r>
        <w:rPr>
          <w:rStyle w:val="Satznummer"/>
        </w:rPr>
        <w:t>2</w:t>
      </w:r>
      <w:r>
        <w:t xml:space="preserve">Die mitteilungspflichtige Stelle hat den Empfänger der Leistungen auf die steuerliche Behandlung dieser Leistungen und seine Steuererklärungspflicht hinzuweisen. </w:t>
      </w:r>
      <w:r>
        <w:rPr>
          <w:rStyle w:val="Satznummer"/>
        </w:rPr>
        <w:t>3</w:t>
      </w:r>
      <w:r>
        <w:t>In den Fällen des § 170 Absatz 1 des Dritten Buches Sozialgesetzbuch gilt als Empfänger des an Dritte ausgezahlten Insolvenzgeldes der Arbeitnehmer, der seinen Arbeitsentgeltanspruch übertragen hat.</w:t>
      </w:r>
    </w:p>
    <w:p>
      <w:r>
        <w:t xml:space="preserve">(4) </w:t>
      </w:r>
      <w:r>
        <w:rPr>
          <w:rStyle w:val="Satznummer"/>
        </w:rPr>
        <w:t>1</w:t>
      </w:r>
      <w:r>
        <w:t xml:space="preserve">In den Fällen des Absatzes 3 ist für die Anwendung des § 72a Absatz 4 und des § 93c Absatz 4 Satz 1 der Abgabenordnung das Betriebsstättenfinanzamt des Trägers der jeweiligen Sozialleistungen zuständig. </w:t>
      </w:r>
      <w:r>
        <w:rPr>
          <w:rStyle w:val="Satznummer"/>
        </w:rPr>
        <w:t>2</w:t>
      </w:r>
      <w:r>
        <w:t xml:space="preserve">Sind für ihn mehrere Betriebsstättenfinanzämter zuständig oder hat er keine Betriebsstätte im Sinne des </w:t>
      </w:r>
      <w:hyperlink w:anchor="b157" w:history="1">
        <w:r>
          <w:rPr>
            <w:color w:val="0A3A8C"/>
            <w:u w:val="single"/>
          </w:rPr>
          <w:t xml:space="preserve">§ 41</w:t>
        </w:r>
      </w:hyperlink>
      <w:r>
        <w:t xml:space="preserve"> Absatz 2, so ist das Finanzamt zuständig, in dessen Bezirk sich seine Geschäftsleitung nach § 10 der Abgabenordnung im Inland befindet.</w:t>
      </w:r>
    </w:p>
    <w:p>
      <w:r>
        <w:t>(5) Die nach Absatz 3 übermittelten Daten können durch das nach Absatz 4 zuständige Finanzamt bei den für die Besteuerung der Leistungsempfänger nach dem Einkommen zuständigen Finanzbehörden abgerufen und zur Anwendung des § 72a Absatz 4 und des § 93c Absatz 4 Satz 1 der Abgabenordnung verarbeitet werden.</w:t>
      </w:r>
    </w:p>
    <w:p>
      <w:pPr>
        <w:pStyle w:val="Heading2"/>
      </w:pPr>
      <w:bookmarkStart w:id="111" w:name="b110"/>
      <w:r>
        <w:t>§ 32c Tarifermäßigung bei Einkünften aus Land- und Forstwirtschaft</w:t>
      </w:r>
      <w:r>
        <w:t xml:space="preserve"> </w:t>
      </w:r>
      <w:r>
        <w:rPr>
          <w:rStyle w:val="Suchmarke"/>
        </w:rPr>
        <w:t>#32c#</w:t>
      </w:r>
      <w:bookmarkEnd w:id="111"/>
    </w:p>
    <w:p>
      <w:r>
        <w:t xml:space="preserve">(1) </w:t>
      </w:r>
      <w:r>
        <w:rPr>
          <w:rStyle w:val="Satznummer"/>
        </w:rPr>
        <w:t>1</w:t>
      </w:r>
      <w:r>
        <w:t xml:space="preserve">Auf Antrag des Steuerpflichtigen wird nach Ablauf von drei Veranlagungszeiträumen (Betrachtungszeitraum) unter den Voraussetzungen des Absatzes 5 für Einkünfte aus Land- und Forstwirtschaft im Sinne des </w:t>
      </w:r>
      <w:hyperlink w:anchor="b69" w:history="1">
        <w:r>
          <w:rPr>
            <w:color w:val="0A3A8C"/>
            <w:u w:val="single"/>
          </w:rPr>
          <w:t xml:space="preserve">§ 13</w:t>
        </w:r>
      </w:hyperlink>
      <w:r>
        <w:t xml:space="preserve"> eine Tarifermäßigung nach Satz 2 gewährt. </w:t>
      </w:r>
      <w:r>
        <w:rPr>
          <w:rStyle w:val="Satznummer"/>
        </w:rPr>
        <w:t>2</w:t>
      </w:r>
      <w:r>
        <w:t xml:space="preserve">Ist die Summe der tariflichen Einkommensteuer, die innerhalb des Betrachtungszeitraums auf die steuerpflichtigen Einkünfte aus Land- und Forstwirtschaft im Sinne des </w:t>
      </w:r>
      <w:hyperlink w:anchor="b69" w:history="1">
        <w:r>
          <w:rPr>
            <w:color w:val="0A3A8C"/>
            <w:u w:val="single"/>
          </w:rPr>
          <w:t xml:space="preserve">§ 13</w:t>
        </w:r>
      </w:hyperlink>
      <w:r>
        <w:t xml:space="preserve"> entfällt, höher als die Summe der nach Absatz 2 ermittelten fiktiven tariflichen Einkommensteuer, die innerhalb des Betrachtungszeitraums auf die steuerpflichtigen Einkünfte aus Land- und Forstwirtschaft im Sinne des </w:t>
      </w:r>
      <w:hyperlink w:anchor="b69" w:history="1">
        <w:r>
          <w:rPr>
            <w:color w:val="0A3A8C"/>
            <w:u w:val="single"/>
          </w:rPr>
          <w:t xml:space="preserve">§ 13</w:t>
        </w:r>
      </w:hyperlink>
      <w:r>
        <w:t xml:space="preserve"> entfällt, wird bei der Steuerfestsetzung des letzten Veranlagungszeitraums im Betrachtungszeitraum die tarifliche Einkommensteuer um den Unterschiedsbetrag ermäßigt. </w:t>
      </w:r>
      <w:r>
        <w:rPr>
          <w:rStyle w:val="Satznummer"/>
        </w:rPr>
        <w:t>3</w:t>
      </w:r>
      <w:r>
        <w:t>Satz 1 gilt nicht, wenn nur in einem Veranlagungszeitraum des Betrachtungszeitraums Einkünfte aus Land- und Forstwirtschaft erzielt werden.</w:t>
      </w:r>
    </w:p>
    <w:p>
      <w:r>
        <w:t xml:space="preserve">(2) </w:t>
      </w:r>
      <w:r>
        <w:rPr>
          <w:rStyle w:val="Satznummer"/>
        </w:rPr>
        <w:t>1</w:t>
      </w:r>
      <w:r>
        <w:t xml:space="preserve">Die fiktive tarifliche Einkommensteuer, die auf die steuerpflichtigen Einkünfte aus Land- und Forstwirtschaft im Sinne des </w:t>
      </w:r>
      <w:hyperlink w:anchor="b69" w:history="1">
        <w:r>
          <w:rPr>
            <w:color w:val="0A3A8C"/>
            <w:u w:val="single"/>
          </w:rPr>
          <w:t xml:space="preserve">§ 13</w:t>
        </w:r>
      </w:hyperlink>
      <w:r>
        <w:t xml:space="preserve"> entfällt, wird für jeden Veranlagungszeitraum des Betrachtungszeitraums gesondert ermittelt. </w:t>
      </w:r>
      <w:r>
        <w:rPr>
          <w:rStyle w:val="Satznummer"/>
        </w:rPr>
        <w:t>2</w:t>
      </w:r>
      <w:r>
        <w:t xml:space="preserve">Dabei treten an die Stelle der tatsächlichen Einkünfte aus Land- und Forstwirtschaft im Sinne des </w:t>
      </w:r>
      <w:hyperlink w:anchor="b69" w:history="1">
        <w:r>
          <w:rPr>
            <w:color w:val="0A3A8C"/>
            <w:u w:val="single"/>
          </w:rPr>
          <w:t xml:space="preserve">§ 13</w:t>
        </w:r>
      </w:hyperlink>
      <w:r>
        <w:t xml:space="preserve"> die nach Satz 3 zu ermittelnden durchschnittlichen Einkünfte. </w:t>
      </w:r>
      <w:r>
        <w:rPr>
          <w:rStyle w:val="Satznummer"/>
        </w:rPr>
        <w:t>3</w:t>
      </w:r>
      <w:r>
        <w:t>Zur Ermittlung der durchschnittlichen Einkünfte aus Land- und Forstwirtschaft wird die Summe der tatsächlichen Einkünfte aus Land- und Forstwirtschaft der Veranlagungszeiträume eines Betrachtungszeitraums gleichmäßig auf die Veranlagungszeiträume des Betrachtungszeitraums verteilt.</w:t>
      </w:r>
    </w:p>
    <w:p>
      <w:r>
        <w:t xml:space="preserve">(3) </w:t>
      </w:r>
      <w:r>
        <w:rPr>
          <w:rStyle w:val="Satznummer"/>
        </w:rPr>
        <w:t>1</w:t>
      </w:r>
      <w:r>
        <w:t xml:space="preserve">Die auf die steuerpflichtigen Einkünfte aus Land- und Forstwirtschaft im Sinne des </w:t>
      </w:r>
      <w:hyperlink w:anchor="b69" w:history="1">
        <w:r>
          <w:rPr>
            <w:color w:val="0A3A8C"/>
            <w:u w:val="single"/>
          </w:rPr>
          <w:t xml:space="preserve">§ 13</w:t>
        </w:r>
      </w:hyperlink>
      <w:r>
        <w:t xml:space="preserve"> entfallende tarifliche Einkommensteuer im Sinne des Absatzes 1 ermittelt sich aus dem Verhältnis der positiven steuerpflichtigen Einkünfte aus Land- und Forstwirtschaft zur Summe der positiven Einkünfte. </w:t>
      </w:r>
      <w:r>
        <w:rPr>
          <w:rStyle w:val="Satznummer"/>
        </w:rPr>
        <w:t>2</w:t>
      </w:r>
      <w:r>
        <w:t xml:space="preserve">Entsprechendes gilt bei der Ermittlung der fiktiven tariflichen Einkommensteuer. </w:t>
      </w:r>
      <w:r>
        <w:rPr>
          <w:rStyle w:val="Satznummer"/>
        </w:rPr>
        <w:t>3</w:t>
      </w:r>
      <w:r>
        <w:t xml:space="preserve">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veranlagt werden, werden für die Ermittlung der Einkünfte jeder Einkunftsart im Sinne des Satzes 1 die Einkünfte beider Ehegatten zusammengerechnet.</w:t>
      </w:r>
    </w:p>
    <w:p>
      <w:r>
        <w:t>(4) Bei der Ermittlung der tatsächlichen und der durchschnittlichen Einkünfte aus Land-und Forstwirtschaft im Sinne der Absätze 2 und 3 bleiben außer Betracht:</w:t>
      </w:r>
    </w:p>
    <w:p>
      <w:pPr>
        <w:tabs>
          <w:tab w:pos="567" w:val="left"/>
        </w:tabs>
        <w:ind w:left="567" w:hanging="567"/>
      </w:pPr>
      <w:r>
        <w:t>1.</w:t>
      </w:r>
      <w:r>
        <w:tab/>
      </w:r>
      <w:r>
        <w:t xml:space="preserve">außerordentliche Einkünfte nach </w:t>
      </w:r>
      <w:hyperlink w:anchor="b115" w:history="1">
        <w:r>
          <w:rPr>
            <w:color w:val="0A3A8C"/>
            <w:u w:val="single"/>
          </w:rPr>
          <w:t xml:space="preserve">§ 34</w:t>
        </w:r>
      </w:hyperlink>
      <w:r>
        <w:t xml:space="preserve"> Absatz 2,</w:t>
      </w:r>
    </w:p>
    <w:p>
      <w:pPr>
        <w:tabs>
          <w:tab w:pos="567" w:val="left"/>
        </w:tabs>
        <w:ind w:left="567" w:hanging="567"/>
      </w:pPr>
      <w:r>
        <w:t>2.</w:t>
      </w:r>
      <w:r>
        <w:tab/>
      </w:r>
      <w:r>
        <w:t xml:space="preserve">nach </w:t>
      </w:r>
      <w:hyperlink w:anchor="b116" w:history="1">
        <w:r>
          <w:rPr>
            <w:color w:val="0A3A8C"/>
            <w:u w:val="single"/>
          </w:rPr>
          <w:t xml:space="preserve">§ 34a</w:t>
        </w:r>
      </w:hyperlink>
      <w:r>
        <w:t xml:space="preserve"> begünstigte nicht entnommene Gewinne sowie</w:t>
      </w:r>
    </w:p>
    <w:p>
      <w:pPr>
        <w:tabs>
          <w:tab w:pos="567" w:val="left"/>
        </w:tabs>
        <w:ind w:left="567" w:hanging="567"/>
      </w:pPr>
      <w:r>
        <w:t>3.</w:t>
      </w:r>
      <w:r>
        <w:tab/>
      </w:r>
      <w:r>
        <w:t xml:space="preserve">Einkünfte aus außerordentlichen Holznutzungen im Sinne des </w:t>
      </w:r>
      <w:hyperlink w:anchor="b117" w:history="1">
        <w:r>
          <w:rPr>
            <w:color w:val="0A3A8C"/>
            <w:u w:val="single"/>
          </w:rPr>
          <w:t xml:space="preserve">§ 34b</w:t>
        </w:r>
      </w:hyperlink>
      <w:r>
        <w:t xml:space="preserve"> Absatz 1 und 2.</w:t>
      </w:r>
    </w:p>
    <w:p>
      <w:r>
        <w:t xml:space="preserve">(5) </w:t>
      </w:r>
      <w:r>
        <w:rPr>
          <w:rStyle w:val="Satznummer"/>
        </w:rPr>
        <w:t>1</w:t>
      </w:r>
      <w:r>
        <w:t>Die Inanspruchnahme der Tarifermäßigung ist nur zulässig, wenn</w:t>
      </w:r>
    </w:p>
    <w:p>
      <w:pPr>
        <w:tabs>
          <w:tab w:pos="567" w:val="left"/>
        </w:tabs>
        <w:ind w:left="567" w:hanging="567"/>
      </w:pPr>
      <w:r>
        <w:t>1.</w:t>
      </w:r>
      <w:r>
        <w:tab/>
      </w:r>
      <w:r>
        <w:t>für negative Einkünfte, die im ersten Veranlagungszeitraum des Betrachtungszeitraums erzielt wurden, kein Verlustrücktrag nach § 10d Absatz 1 Satz 1 oder Satz 2 in den letzten oder den vorletzten Veranlagungszeitraum des vorangegangenen Betrachtungszeitraums vorgenommen wurde,</w:t>
      </w:r>
    </w:p>
    <w:p>
      <w:pPr>
        <w:tabs>
          <w:tab w:pos="567" w:val="left"/>
        </w:tabs>
        <w:ind w:left="567" w:hanging="567"/>
      </w:pPr>
      <w:r>
        <w:t>1a.</w:t>
      </w:r>
      <w:r>
        <w:tab/>
      </w:r>
      <w:r>
        <w:t>für negative Einkünfte, die im zweiten Veranlagungszeitraum des Betrachtungszeitraums erzielt wurden, kein Verlustrücktrag nach § 10d Absatz 1 Satz 2 in den letzten Veranlagungszeitraum des vorangegangenen Betrachtungszeitraums vorgenommen wurde,</w:t>
      </w:r>
    </w:p>
    <w:p>
      <w:pPr>
        <w:tabs>
          <w:tab w:pos="567" w:val="left"/>
        </w:tabs>
        <w:ind w:left="567" w:hanging="567"/>
      </w:pPr>
      <w:r>
        <w:t>2.</w:t>
      </w:r>
      <w:r>
        <w:tab/>
      </w:r>
      <w:r>
        <w:t xml:space="preserve">für negative Einkünfte, die im zweiten und dritten Veranlagungszeitraum des Betrachtungszeitraums erzielt wurden, kein Antrag nach </w:t>
      </w:r>
      <w:hyperlink w:anchor="b55" w:history="1">
        <w:r>
          <w:rPr>
            <w:color w:val="0A3A8C"/>
            <w:u w:val="single"/>
          </w:rPr>
          <w:t xml:space="preserve">§ 10d</w:t>
        </w:r>
      </w:hyperlink>
      <w:r>
        <w:t xml:space="preserve"> Absatz 1 Satz 6 gestellt wurde,</w:t>
      </w:r>
    </w:p>
    <w:p>
      <w:pPr>
        <w:tabs>
          <w:tab w:pos="567" w:val="left"/>
        </w:tabs>
        <w:ind w:left="567" w:hanging="567"/>
      </w:pPr>
      <w:r>
        <w:t>3.</w:t>
      </w:r>
      <w:r>
        <w:tab/>
      </w:r>
      <w:r>
        <w:t>der Steuerpflichtige kein Unternehmer in Schwierigkeiten im Sinne des Teils 1 Kapitel 2 Abschnitt 2.4 Absatz 33 Nummer 63 der Rahmenregelung der Europäischen Union für staatliche Beihilfen im Agrar- und Forstsektor und in ländlichen Gebieten (2022/C 485/01) (ABl. C 485 vom 21.12.2022, S. 1) ist,</w:t>
      </w:r>
    </w:p>
    <w:p>
      <w:pPr>
        <w:tabs>
          <w:tab w:pos="567" w:val="left"/>
        </w:tabs>
        <w:ind w:left="567" w:hanging="567"/>
      </w:pPr>
      <w:r>
        <w:t>4.</w:t>
      </w:r>
      <w:r>
        <w:tab/>
      </w:r>
      <w:r>
        <w:t>ein Steuerpflichtiger, der zu einer Rückzahlung von Beihilfen auf Grund eines früheren Beschlusses der Europäischen Kommission zur Feststellung der Unzulässigkeit einer Beihilfe und ihrer Unvereinbarkeit mit dem Binnenmarkt verpflichtet worden ist, dieser Rückforderungsanordnung vollständig nachgekommen ist,</w:t>
      </w:r>
    </w:p>
    <w:p>
      <w:pPr>
        <w:tabs>
          <w:tab w:pos="567" w:val="left"/>
        </w:tabs>
        <w:ind w:left="567" w:hanging="567"/>
      </w:pPr>
      <w:r>
        <w:t>5.</w:t>
      </w:r>
      <w:r>
        <w:tab/>
      </w:r>
      <w:r>
        <w:t>die Beihilfen</w:t>
      </w:r>
    </w:p>
    <w:p>
      <w:pPr>
        <w:tabs>
          <w:tab w:pos="1134" w:val="left"/>
        </w:tabs>
        <w:ind w:left="1134" w:hanging="567"/>
      </w:pPr>
      <w:r>
        <w:t>a)</w:t>
      </w:r>
      <w:r>
        <w:tab/>
      </w:r>
      <w:r>
        <w:t>nicht zur Unterstützung von Fischereitätigkeiten gewährt werden, die mit schweren Verstößen gemäß Artikel 42 der Verordnung (EG) Nr. 1005/2008 des Rates vom 29. September 2008 über ein Gemeinschaftssystem zur Verhinderung, Bekämpfung und Unterbindung der illegalen, nicht gemeldeten und unregulierten Fischerei, zur Änderung der Verordnungen (EWG) Nr. 2847/93, (EG) Nr. 1936/2001 und (EG) Nr. 601/2004 und zur Aufhebung der Verordnungen (EG) Nr. 1093/94 und (EG) Nr. 1447/1999 (ABl. L 286 vom 29.10.2008, S. 1) oder Artikel 90 der Verordnung (EG) Nr. 1224/2009 des Rates vom 20. November 2009 zur Einführung einer gemeinschaftlichen Kontrollregelung zur Sicherstellung der Einhaltung der Vorschriften der gemeinsamen Fischereipolitik und zur Änderung der Verordnungen (EG) Nr. 847/96, (EG) Nr. 2371/2002, (EG) Nr. 811/2004, (EG) Nr. 768/2005, (EG) Nr. 2115/2005, (EG) Nr. 2166/2005, (EG) Nr. 388/2006, (EG) Nr. 509/2007, (EG) Nr. 676/2007, (EG) Nr. 1098/2007, (EG) Nr. 1300/2008, (EG) Nr. 1342/2008 sowie zur Aufhebung der Verordnungen (EWG) Nr. 2847/93, (EG) Nr. 1627/94 und (EG) Nr. 1966/2006 (ABl. L 343 vom 22.12.2009, S. 1) verbunden sind und illegale, nicht gemeldete und unregulierte Fischerei (IUU-Fischerei) darstellen oder unterstützen;</w:t>
      </w:r>
    </w:p>
    <w:p>
      <w:pPr>
        <w:tabs>
          <w:tab w:pos="1134" w:val="left"/>
        </w:tabs>
        <w:ind w:left="1134" w:hanging="567"/>
      </w:pPr>
      <w:r>
        <w:t>b)</w:t>
      </w:r>
      <w:r>
        <w:tab/>
      </w:r>
      <w:r>
        <w:t>nicht zur Unterstützung des Betriebs, des Managements oder des Besitzes eines Fischereifahrzeugs gewährt werden, das auf der Unionsliste von IUU-Schiffen gemäß Artikel 40 Absatz 3 der Verordnung (EG) Nr. 1005/2008 geführt wird, oder des Betriebs, des Managements oder des Besitzes eines Schiffs, das unter der Flagge eines Landes fährt, das nach Artikel 33 der genannten Verordnung als nichtkooperierendes Drittland eingestuft wurde;</w:t>
      </w:r>
    </w:p>
    <w:p>
      <w:pPr>
        <w:tabs>
          <w:tab w:pos="1134" w:val="left"/>
        </w:tabs>
        <w:ind w:left="1134" w:hanging="567"/>
      </w:pPr>
      <w:r>
        <w:t>c)</w:t>
      </w:r>
      <w:r>
        <w:tab/>
      </w:r>
      <w:r>
        <w:t>mit einer Einhaltung der Vorschriften der Verordnung (EU) Nr. 1379/2013 des Europäischen Parlaments und des Rates vom 11. Dezember 2013 über die gemeinsame Marktorganisation für Erzeugnisse der Fischerei und der Aquakultur, zur Änderung der Verordnungen (EG) Nr. 1184/2006 und (EG) Nr. 1224/2009 des Rates und zur Aufhebung der Verordnung (EG) Nr. 104/2000 des Rates (ABl. L 354 vom 28.12.2013, S. 1) einhergehen oder</w:t>
      </w:r>
    </w:p>
    <w:p>
      <w:pPr>
        <w:tabs>
          <w:tab w:pos="1134" w:val="left"/>
        </w:tabs>
        <w:ind w:left="1134" w:hanging="567"/>
      </w:pPr>
      <w:r>
        <w:t>d)</w:t>
      </w:r>
      <w:r>
        <w:tab/>
      </w:r>
      <w:r>
        <w:t>nicht mit einer Erhöhung der Fangkapazität oder dem Bau neuer Schiffe einhergehen, die unmittelbar und automatisch zu einem Verstoß des Mitgliedstaats gegen Artikel 22 Absatz 7 der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und die in Anhang II zu der Verordnung (EU) Nr. 1380/2013 festgelegten Obergrenzen für die Fangkapazität führen und</w:t>
      </w:r>
    </w:p>
    <w:p>
      <w:pPr>
        <w:tabs>
          <w:tab w:pos="567" w:val="left"/>
        </w:tabs>
        <w:ind w:left="567" w:hanging="567"/>
      </w:pPr>
      <w:r>
        <w:t>6.</w:t>
      </w:r>
      <w:r>
        <w:tab/>
      </w:r>
      <w:r>
        <w:t>ein Steuerpflichtiger mit Einkünften aus Binnenfischerei, Teichwirtschaft oder Fischzucht für Binnenfischerei und Teichwirtschaft versichert, dass er für einen Zeitraum von fünf Jahren nach Bekanntgabe des Einkommensteuerbescheids, mit dem die Tarifermäßigung gewährt wird, die Bestimmungen der Gemeinsamen Fischereipolitik einhalten wird.</w:t>
      </w:r>
    </w:p>
    <w:p>
      <w:r>
        <w:rPr>
          <w:rStyle w:val="Satznummer"/>
        </w:rPr>
        <w:t>2</w:t>
      </w:r>
      <w:r>
        <w:t xml:space="preserve">Der Steuerpflichtige hat bei der Beantragung der Tarifermäßigung zu erklären, dass die in Satz 1 Nummer 3 bis 6 genannten Voraussetzungen bestehen. </w:t>
      </w:r>
      <w:r>
        <w:rPr>
          <w:rStyle w:val="Satznummer"/>
        </w:rPr>
        <w:t>3</w:t>
      </w:r>
      <w:r>
        <w:t xml:space="preserve">Der Steuerpflichtige hat dem zuständigen Finanzamt nach Beantragung der Tarifermäßigung unverzüglich mitzuteilen, wenn eine der in Satz 1 Nummer 3 bis 6 genannten Voraussetzungen nicht mehr vorliegt. </w:t>
      </w:r>
      <w:r>
        <w:rPr>
          <w:rStyle w:val="Satznummer"/>
        </w:rPr>
        <w:t>4</w:t>
      </w:r>
      <w:r>
        <w:t>Satz 1 Nummer 3 und 4 findet keine Anwendung auf Einkünfte als Landwirt im Sinne des Artikels 211 Absatz 3 der Verordnung (EU) Nr. 1308/2013 des Europäischen Parlaments und des Rates vom 17. Dezember 2013 über eine gemeinsame Marktorganisation für landwirtschaftliche Erzeugnisse und zur Aufhebung der Verordnungen (EWG) Nr. 922/72, (EWG) Nr. 234/79, (EG) Nr. 1037/2001 und (EG) Nr. 1234/2007 (ABl. L 347 vom 20.12.2013, S. 671; L 189 vom 27.6.2014, S. 261; L 130 vom 19.5.2016, S. 18; L 34 vom 9.2.2017, S. 41; L 106 vom 6.4.2020, S. 12), die zuletzt durch die Verordnung (EU) 2024/1143 (ABl. L, 2024/1143, 23.4.2024) geändert worden ist.</w:t>
      </w:r>
    </w:p>
    <w:p>
      <w:r>
        <w:t xml:space="preserve">(6) </w:t>
      </w:r>
      <w:r>
        <w:rPr>
          <w:rStyle w:val="Satznummer"/>
        </w:rPr>
        <w:t>1</w:t>
      </w:r>
      <w:r>
        <w:t xml:space="preserve">Ist für einen Veranlagungszeitraum, in dem eine Tarifermäßigung nach Absatz 1 gewährt wurde, bereits ein Einkommensteuerbescheid erlassen worden, ist dieser zu ändern, soweit sich in einem Einkommensteuerbescheid des Betrachtungszeitraums Besteuerungsgrundlagen ändern. </w:t>
      </w:r>
      <w:r>
        <w:rPr>
          <w:rStyle w:val="Satznummer"/>
        </w:rPr>
        <w:t>2</w:t>
      </w:r>
      <w:r>
        <w:t xml:space="preserve">Die Festsetzungsfrist endet insoweit nicht, bevor die Festsetzungsfrist für den Veranlagungszeitraum abgelaufen ist, in dem sich die Besteuerungsgrundlagen geändert haben. </w:t>
      </w:r>
      <w:r>
        <w:rPr>
          <w:rStyle w:val="Satznummer"/>
        </w:rPr>
        <w:t>3</w:t>
      </w:r>
      <w:r>
        <w:t xml:space="preserve">Die Sätze 1 und 2 gelten in den Fällen des </w:t>
      </w:r>
      <w:hyperlink w:anchor="b138" w:history="1">
        <w:r>
          <w:rPr>
            <w:color w:val="0A3A8C"/>
            <w:u w:val="single"/>
          </w:rPr>
          <w:t xml:space="preserve">§ 36</w:t>
        </w:r>
      </w:hyperlink>
      <w:r>
        <w:t xml:space="preserve"> Absatz 2 Nummer 4 entsprechend für die Anrechnungsverfügung.</w:t>
      </w:r>
    </w:p>
    <w:p>
      <w:r>
        <w:t xml:space="preserve">(7) </w:t>
      </w:r>
      <w:r>
        <w:rPr>
          <w:rStyle w:val="Satznummer"/>
        </w:rPr>
        <w:t>1</w:t>
      </w:r>
      <w:r>
        <w:t xml:space="preserve">Wird während eines Zeitraums von fünf Jahren nach Bekanntgabe des Einkommensteuerbescheids, mit dem die Tarifermäßigung für den jeweiligen Betrachtungszeitraum gewährt wird, durch die zuständige Behörde festgestellt, dass die Voraussetzungen im Sinne des Absatz 5 Satz 1 Nummer 5 nicht eingehalten wurden, ist eine Tarifermäßigung im Sinne des Absatzes 1 Satz 2 rückgängig zu machen. </w:t>
      </w:r>
      <w:r>
        <w:rPr>
          <w:rStyle w:val="Satznummer"/>
        </w:rPr>
        <w:t>2</w:t>
      </w:r>
      <w:r>
        <w:t xml:space="preserve">Diese Nichteinhaltung der Voraussetzung gilt als rückwirkendes Ereignis im Sinne von § 175 Absatz 1 Satz 1 Nummer 2 in Verbindung mit Absatz 2 der Abgabenordnung. </w:t>
      </w:r>
      <w:r>
        <w:rPr>
          <w:rStyle w:val="Satznummer"/>
        </w:rPr>
        <w:t>3</w:t>
      </w:r>
      <w:r>
        <w:t xml:space="preserve">Der Steuerpflichtige hat eine Nichteinhaltung der Voraussetzungen unverzüglich nach deren Feststellung dem zuständigen Finanzamt anzuzeigen. </w:t>
      </w:r>
      <w:r>
        <w:rPr>
          <w:rStyle w:val="Satznummer"/>
        </w:rPr>
        <w:t>4</w:t>
      </w:r>
      <w:r>
        <w:t>Die Festsetzungsfrist für die Steuer endet nicht vor Ablauf von vier Jahren nach Ablauf des Kalenderjahres, in dem die Finanzbehörde von der Nichteinhaltung der Voraussetzungen nach Satz 1 Kenntnis erlangt hat.</w:t>
      </w:r>
    </w:p>
    <w:p>
      <w:pPr>
        <w:pStyle w:val="Heading2"/>
      </w:pPr>
      <w:bookmarkStart w:id="112" w:name="b111"/>
      <w:r>
        <w:t>§ 32d Gesonderter Steuertarif für Einkünfte aus Kapitalvermögen</w:t>
      </w:r>
      <w:r>
        <w:t xml:space="preserve"> </w:t>
      </w:r>
      <w:r>
        <w:rPr>
          <w:rStyle w:val="Suchmarke"/>
        </w:rPr>
        <w:t>#32d#</w:t>
      </w:r>
      <w:bookmarkEnd w:id="112"/>
    </w:p>
    <w:p>
      <w:r>
        <w:t xml:space="preserve">(1) </w:t>
      </w:r>
      <w:r>
        <w:rPr>
          <w:rStyle w:val="Satznummer"/>
        </w:rPr>
        <w:t>1</w:t>
      </w:r>
      <w:r>
        <w:t xml:space="preserve">Die Einkommensteuer für Einkünfte aus Kapitalvermögen, die nicht unter </w:t>
      </w:r>
      <w:hyperlink w:anchor="b86" w:history="1">
        <w:r>
          <w:rPr>
            <w:color w:val="0A3A8C"/>
            <w:u w:val="single"/>
          </w:rPr>
          <w:t xml:space="preserve">§ 20</w:t>
        </w:r>
      </w:hyperlink>
      <w:r>
        <w:t xml:space="preserve"> Absatz 8 fallen, beträgt 25 Prozent. </w:t>
      </w:r>
      <w:r>
        <w:rPr>
          <w:rStyle w:val="Satznummer"/>
        </w:rPr>
        <w:t>2</w:t>
      </w:r>
      <w:r>
        <w:t xml:space="preserve">Die Steuer nach Satz 1 vermindert sich um die nach Maßgabe des Absatzes 5 anrechenbaren ausländischen Steuern. </w:t>
      </w:r>
      <w:r>
        <w:rPr>
          <w:rStyle w:val="Satznummer"/>
        </w:rPr>
        <w:t>3</w:t>
      </w:r>
      <w:r>
        <w:t xml:space="preserve">Im Fall der Kirchensteuerpflicht ermäßigt sich die Steuer nach den Sätzen 1 und 2 um 25 Prozent der auf die Kapitalerträge entfallenden Kirchensteuer. </w:t>
      </w:r>
      <w:r>
        <w:rPr>
          <w:rStyle w:val="Satznummer"/>
        </w:rPr>
        <w:t>4</w:t>
      </w:r>
      <w:r>
        <w:t>Die Einkommensteuer beträgt damit</w:t>
      </w:r>
    </w:p>
    <w:tbl>
      <w:tblPr>
        <w:tblStyle w:val="TableGrid"/>
        <w:tblW w:type="pct" w:w="5000"/>
        <w:tblLook w:firstColumn="1" w:firstRow="1" w:lastColumn="0" w:lastRow="0" w:noHBand="0" w:noVBand="1" w:val="04A0"/>
        <w:tblCaption w:val="Tabelle 1 zu § 32d"/>
      </w:tblPr>
      <w:tblGrid>
        <w:gridCol w:w="3135"/>
        <w:gridCol w:w="3135"/>
        <w:gridCol w:w="3135"/>
      </w:tblGrid>
      <w:tr>
        <w:trPr>
          <w:cantSplit/>
        </w:trPr>
        <w:tc>
          <w:tcPr>
            <w:tcW w:type="dxa" w:w="3135"/>
          </w:tcPr>
          <w:p/>
        </w:tc>
        <w:tc>
          <w:tcPr>
            <w:tcW w:type="dxa" w:w="3135"/>
          </w:tcPr>
          <w:p>
            <w:r>
              <w:rPr>
                <w:i/>
              </w:rPr>
              <w:t>e</w:t>
            </w:r>
            <w:r>
              <w:t xml:space="preserve"> – 4</w:t>
            </w:r>
            <w:r>
              <w:rPr>
                <w:i/>
              </w:rPr>
              <w:t>q</w:t>
            </w:r>
          </w:p>
        </w:tc>
        <w:tc>
          <w:tcPr>
            <w:tcW w:type="dxa" w:w="3135"/>
          </w:tcPr>
          <w:p/>
        </w:tc>
      </w:tr>
      <w:tr>
        <w:trPr>
          <w:cantSplit/>
        </w:trPr>
        <w:tc>
          <w:tcPr>
            <w:tcW w:type="dxa" w:w="3135"/>
          </w:tcPr>
          <w:p/>
        </w:tc>
        <w:tc>
          <w:tcPr>
            <w:tcW w:type="dxa" w:w="3135"/>
          </w:tcPr>
          <w:p>
            <w:r>
              <w:t>4 +</w:t>
            </w:r>
            <w:r>
              <w:rPr>
                <w:i/>
              </w:rPr>
              <w:t>k</w:t>
            </w:r>
          </w:p>
        </w:tc>
        <w:tc>
          <w:tcPr>
            <w:tcW w:type="dxa" w:w="3135"/>
          </w:tcPr>
          <w:p>
            <w:r>
              <w:t>.</w:t>
            </w:r>
          </w:p>
        </w:tc>
      </w:tr>
    </w:tbl>
    <w:p>
      <w:pPr>
        <w:spacing w:after="0"/>
      </w:pPr>
    </w:p>
    <w:p>
      <w:r>
        <w:rPr>
          <w:rStyle w:val="Satznummer"/>
        </w:rPr>
        <w:t>5</w:t>
      </w:r>
      <w:r>
        <w:t xml:space="preserve">Dabei sind „e“ die nach den Vorschriften des </w:t>
      </w:r>
      <w:hyperlink w:anchor="b86" w:history="1">
        <w:r>
          <w:rPr>
            <w:color w:val="0A3A8C"/>
            <w:u w:val="single"/>
          </w:rPr>
          <w:t xml:space="preserve">§ 20</w:t>
        </w:r>
      </w:hyperlink>
      <w:r>
        <w:t xml:space="preserve"> ermittelten Einkünfte, „q“ die nach Maßgabe des Absatzes 5 anrechenbare ausländische Steuer und „k“ der für die Kirchensteuer erhebende Religionsgesellschaft (Religionsgemeinschaft) geltende Kirchensteuersatz.</w:t>
      </w:r>
    </w:p>
    <w:p>
      <w:r>
        <w:t>(2) Absatz 1 gilt nicht</w:t>
      </w:r>
    </w:p>
    <w:p>
      <w:pPr>
        <w:tabs>
          <w:tab w:pos="567" w:val="left"/>
        </w:tabs>
        <w:ind w:left="567" w:hanging="567"/>
      </w:pPr>
      <w:r>
        <w:t>1.</w:t>
      </w:r>
      <w:r>
        <w:tab/>
      </w:r>
      <w:r>
        <w:t xml:space="preserve">für Kapitalerträge im Sinne des </w:t>
      </w:r>
      <w:hyperlink w:anchor="b86" w:history="1">
        <w:r>
          <w:rPr>
            <w:color w:val="0A3A8C"/>
            <w:u w:val="single"/>
          </w:rPr>
          <w:t xml:space="preserve">§ 20</w:t>
        </w:r>
      </w:hyperlink>
      <w:r>
        <w:t xml:space="preserve"> Absatz 1 Nummer 4 und 7 sowie Absatz 2 Satz 1 Nummer 4 und 7,</w:t>
      </w:r>
    </w:p>
    <w:p>
      <w:pPr>
        <w:tabs>
          <w:tab w:pos="1134" w:val="left"/>
        </w:tabs>
        <w:ind w:left="1134" w:hanging="567"/>
      </w:pPr>
      <w:r>
        <w:t>a)</w:t>
      </w:r>
      <w:r>
        <w:tab/>
      </w:r>
      <w:r>
        <w:t xml:space="preserve">wenn Gläubiger und Schuldner einander nahe stehende Personen sind, soweit die den Kapitalerträgen entsprechenden Aufwendungen beim Schuldner Betriebsausgaben oder Werbungskosten im Zusammenhang mit Einkünften sind, die der inländischen Besteuerung unterliegen und </w:t>
      </w:r>
      <w:hyperlink w:anchor="b86" w:history="1">
        <w:r>
          <w:rPr>
            <w:color w:val="0A3A8C"/>
            <w:u w:val="single"/>
          </w:rPr>
          <w:t xml:space="preserve">§ 20</w:t>
        </w:r>
      </w:hyperlink>
      <w:r>
        <w:t xml:space="preserve"> Absatz 9 Satz 1 zweiter Halbsatz keine Anwendung findet,</w:t>
      </w:r>
    </w:p>
    <w:p>
      <w:pPr>
        <w:tabs>
          <w:tab w:pos="1134" w:val="left"/>
        </w:tabs>
        <w:ind w:left="1134" w:hanging="567"/>
      </w:pPr>
      <w:r>
        <w:t>b)</w:t>
      </w:r>
      <w:r>
        <w:tab/>
      </w:r>
      <w:r>
        <w:t xml:space="preserve">wenn sie von einer Kapitalgesellschaft oder Genossenschaft an einen Anteilseigner gezahlt werden, der zu mindestens 10 Prozent an der Gesellschaft oder Genossenschaft beteiligt ist, soweit die den Kapitalerträgen entsprechenden Aufwendungen beim Schuldner Betriebsausgaben oder Werbungskosten im Zusammenhang mit Einkünften sind, die der inländischen Besteuerung unterliegen und </w:t>
      </w:r>
      <w:hyperlink w:anchor="b86" w:history="1">
        <w:r>
          <w:rPr>
            <w:color w:val="0A3A8C"/>
            <w:u w:val="single"/>
          </w:rPr>
          <w:t xml:space="preserve">§ 20</w:t>
        </w:r>
      </w:hyperlink>
      <w:r>
        <w:t xml:space="preserve"> Absatz 9 Satz 1 zweiter Halbsatz keine Anwendung findet. </w:t>
      </w:r>
      <w:r>
        <w:rPr>
          <w:rStyle w:val="Satznummer"/>
        </w:rPr>
        <w:t>2</w:t>
      </w:r>
      <w:r>
        <w:t>Dies gilt auch, wenn der Gläubiger der Kapitalerträge eine dem Anteilseigner nahe stehende Person ist, oder</w:t>
      </w:r>
    </w:p>
    <w:p>
      <w:pPr>
        <w:tabs>
          <w:tab w:pos="1134" w:val="left"/>
        </w:tabs>
        <w:ind w:left="1134" w:hanging="567"/>
      </w:pPr>
      <w:r>
        <w:t>c)</w:t>
      </w:r>
      <w:r>
        <w:tab/>
      </w:r>
      <w:r>
        <w:t xml:space="preserve">soweit ein Dritter die Kapitalerträge schuldet und diese Kapitalanlage im Zusammenhang mit einer Kapitalüberlassung an einen Betrieb des Gläubigers steht. </w:t>
      </w:r>
      <w:r>
        <w:rPr>
          <w:rStyle w:val="Satznummer"/>
        </w:rPr>
        <w:t>2</w:t>
      </w:r>
      <w:r>
        <w:t>Dies gilt entsprechend, wenn Kapital überlassen wird</w:t>
      </w:r>
    </w:p>
    <w:p>
      <w:pPr>
        <w:tabs>
          <w:tab w:pos="1701" w:val="left"/>
        </w:tabs>
        <w:ind w:left="1701" w:hanging="567"/>
      </w:pPr>
      <w:r>
        <w:t>aa)</w:t>
      </w:r>
      <w:r>
        <w:tab/>
      </w:r>
      <w:r>
        <w:t>an eine dem Gläubiger der Kapitalerträge nahestehende Person oder</w:t>
      </w:r>
    </w:p>
    <w:p>
      <w:pPr>
        <w:tabs>
          <w:tab w:pos="1701" w:val="left"/>
        </w:tabs>
        <w:ind w:left="1701" w:hanging="567"/>
      </w:pPr>
      <w:r>
        <w:t>bb)</w:t>
      </w:r>
      <w:r>
        <w:tab/>
      </w:r>
      <w:r>
        <w:t>an eine Personengesellschaft, bei der der Gläubiger der Kapitalerträge oder eine diesem nahestehende Person als Mitunternehmer beteiligt ist oder</w:t>
      </w:r>
    </w:p>
    <w:p>
      <w:pPr>
        <w:tabs>
          <w:tab w:pos="1701" w:val="left"/>
        </w:tabs>
        <w:ind w:left="1701" w:hanging="567"/>
      </w:pPr>
      <w:r>
        <w:t>cc)</w:t>
      </w:r>
      <w:r>
        <w:tab/>
      </w:r>
      <w:r>
        <w:t>an eine Kapitalgesellschaft oder Genossenschaft, an der der Gläubiger der Kapitalerträge oder eine diesem nahestehende Person zu mindestens 10 Prozent beteiligt ist,</w:t>
      </w:r>
    </w:p>
    <w:p>
      <w:pPr>
        <w:ind w:left="1134"/>
      </w:pPr>
      <w:r>
        <w:t xml:space="preserve">sofern der Dritte auf den Gläubiger oder eine diesem nahestehende Person zurückgreifen kann. </w:t>
      </w:r>
      <w:r>
        <w:rPr>
          <w:rStyle w:val="Satznummer"/>
        </w:rPr>
        <w:t>3</w:t>
      </w:r>
      <w:r>
        <w:t xml:space="preserve">Ein Zusammenhang ist anzunehmen, wenn die Kapitalanlage und die Kapitalüberlassung auf einem einheitlichen Plan beruhen. </w:t>
      </w:r>
      <w:r>
        <w:rPr>
          <w:rStyle w:val="Satznummer"/>
        </w:rPr>
        <w:t>4</w:t>
      </w:r>
      <w:r>
        <w:t xml:space="preserve">Hiervon ist insbesondere dann auszugehen, wenn die Kapitalüberlassung in engem zeitlichen Zusammenhang mit einer Kapitalanlage steht oder die jeweiligen Zinsvereinbarungen miteinander verknüpft sind. </w:t>
      </w:r>
      <w:r>
        <w:rPr>
          <w:rStyle w:val="Satznummer"/>
        </w:rPr>
        <w:t>5</w:t>
      </w:r>
      <w:r>
        <w:t xml:space="preserve">Von einem Zusammenhang ist jedoch nicht auszugehen, wenn die Zinsvereinbarungen marktüblich sind oder die Anwendung des Absatzes 1 beim Steuerpflichtigen zu keinem Belastungsvorteil führt. </w:t>
      </w:r>
      <w:r>
        <w:rPr>
          <w:rStyle w:val="Satznummer"/>
        </w:rPr>
        <w:t>6</w:t>
      </w:r>
      <w:r>
        <w:t xml:space="preserve">Die Sätze 1 bis 5 gelten sinngemäß, wenn das überlassene Kapital vom Gläubiger der Kapitalerträge für die Erzielung von Einkünften im Sinne des </w:t>
      </w:r>
      <w:hyperlink w:anchor="b5" w:history="1">
        <w:r>
          <w:rPr>
            <w:color w:val="0A3A8C"/>
            <w:u w:val="single"/>
          </w:rPr>
          <w:t xml:space="preserve">§ 2</w:t>
        </w:r>
      </w:hyperlink>
      <w:r>
        <w:t xml:space="preserve"> Absatz 1 Satz 1 Nummer 4, 6 und 7 eingesetzt wird.</w:t>
      </w:r>
    </w:p>
    <w:p>
      <w:pPr>
        <w:ind w:left="567"/>
      </w:pPr>
      <w:r>
        <w:rPr>
          <w:rStyle w:val="Satznummer"/>
        </w:rPr>
        <w:t>2</w:t>
      </w:r>
      <w:r>
        <w:t xml:space="preserve">Insoweit findet </w:t>
      </w:r>
      <w:hyperlink w:anchor="b86" w:history="1">
        <w:r>
          <w:rPr>
            <w:color w:val="0A3A8C"/>
            <w:u w:val="single"/>
          </w:rPr>
          <w:t xml:space="preserve">§ 20</w:t>
        </w:r>
      </w:hyperlink>
      <w:r>
        <w:t xml:space="preserve"> Absatz 6 und 9 keine Anwendung;</w:t>
      </w:r>
    </w:p>
    <w:p>
      <w:pPr>
        <w:tabs>
          <w:tab w:pos="567" w:val="left"/>
        </w:tabs>
        <w:ind w:left="567" w:hanging="567"/>
      </w:pPr>
      <w:r>
        <w:t>2.</w:t>
      </w:r>
      <w:r>
        <w:tab/>
      </w:r>
      <w:r>
        <w:t xml:space="preserve">für Kapitalerträge im Sinne des </w:t>
      </w:r>
      <w:hyperlink w:anchor="b86" w:history="1">
        <w:r>
          <w:rPr>
            <w:color w:val="0A3A8C"/>
            <w:u w:val="single"/>
          </w:rPr>
          <w:t xml:space="preserve">§ 20</w:t>
        </w:r>
      </w:hyperlink>
      <w:r>
        <w:t xml:space="preserve"> Absatz 1 Nummer 6 Satz 2. </w:t>
      </w:r>
      <w:r>
        <w:rPr>
          <w:rStyle w:val="Satznummer"/>
        </w:rPr>
        <w:t>2</w:t>
      </w:r>
      <w:r>
        <w:t xml:space="preserve">Insoweit findet </w:t>
      </w:r>
      <w:hyperlink w:anchor="b86" w:history="1">
        <w:r>
          <w:rPr>
            <w:color w:val="0A3A8C"/>
            <w:u w:val="single"/>
          </w:rPr>
          <w:t xml:space="preserve">§ 20</w:t>
        </w:r>
      </w:hyperlink>
      <w:r>
        <w:t xml:space="preserve"> Absatz 6 keine Anwendung;</w:t>
      </w:r>
    </w:p>
    <w:p>
      <w:pPr>
        <w:tabs>
          <w:tab w:pos="567" w:val="left"/>
        </w:tabs>
        <w:ind w:left="567" w:hanging="567"/>
      </w:pPr>
      <w:r>
        <w:t>3.</w:t>
      </w:r>
      <w:r>
        <w:tab/>
      </w:r>
      <w:r>
        <w:t>auf Antrag für Kapitalerträge im Sinne des § 20 Absatz 1 Nummer 1 und 2 aus einer Beteiligung an einer Kapitalgesellschaft, wenn der Steuerpflichtige im Veranlagungszeitraum, für den der Antrag erstmals gestellt wird, unmittelbar oder mittelbar</w:t>
      </w:r>
    </w:p>
    <w:p>
      <w:pPr>
        <w:tabs>
          <w:tab w:pos="1134" w:val="left"/>
        </w:tabs>
        <w:ind w:left="1134" w:hanging="567"/>
      </w:pPr>
      <w:r>
        <w:t>a)</w:t>
      </w:r>
      <w:r>
        <w:tab/>
      </w:r>
      <w:r>
        <w:t>zu mindestens 25 Prozent an der Kapitalgesellschaft beteiligt ist oder</w:t>
      </w:r>
    </w:p>
    <w:p>
      <w:pPr>
        <w:tabs>
          <w:tab w:pos="1134" w:val="left"/>
        </w:tabs>
        <w:ind w:left="1134" w:hanging="567"/>
      </w:pPr>
      <w:r>
        <w:t>b)</w:t>
      </w:r>
      <w:r>
        <w:tab/>
      </w:r>
      <w:r>
        <w:t>zu mindestens 1 Prozent an der Kapitalgesellschaft beteiligt ist und durch eine berufliche Tätigkeit für diese maßgeblichen unternehmerischen Einfluss auf deren wirtschaftliche Tätigkeit nehmen kann.</w:t>
      </w:r>
    </w:p>
    <w:p>
      <w:pPr>
        <w:ind w:left="567"/>
      </w:pPr>
      <w:r>
        <w:rPr>
          <w:rStyle w:val="Satznummer"/>
        </w:rPr>
        <w:t>2</w:t>
      </w:r>
      <w:r>
        <w:t xml:space="preserve">Insoweit finden </w:t>
      </w:r>
      <w:hyperlink w:anchor="b8" w:history="1">
        <w:r>
          <w:rPr>
            <w:color w:val="0A3A8C"/>
            <w:u w:val="single"/>
          </w:rPr>
          <w:t xml:space="preserve">§ 3</w:t>
        </w:r>
      </w:hyperlink>
      <w:r>
        <w:t xml:space="preserve"> Nummer 40 Satz 2 und </w:t>
      </w:r>
      <w:hyperlink w:anchor="b86" w:history="1">
        <w:r>
          <w:rPr>
            <w:color w:val="0A3A8C"/>
            <w:u w:val="single"/>
          </w:rPr>
          <w:t xml:space="preserve">§ 20</w:t>
        </w:r>
      </w:hyperlink>
      <w:r>
        <w:t xml:space="preserve"> Absatz 6 und 9 keine Anwendung. </w:t>
      </w:r>
      <w:r>
        <w:rPr>
          <w:rStyle w:val="Satznummer"/>
        </w:rPr>
        <w:t>3</w:t>
      </w:r>
      <w:r>
        <w:t xml:space="preserve">Der Antrag gilt für die jeweilige Beteiligung erstmals für den Veranlagungszeitraum, für den er gestellt worden ist. </w:t>
      </w:r>
      <w:r>
        <w:rPr>
          <w:rStyle w:val="Satznummer"/>
        </w:rPr>
        <w:t>4</w:t>
      </w:r>
      <w:r>
        <w:t xml:space="preserve">Er ist spätestens zusammen mit der Einkommensteuererklärung für den jeweiligen Veranlagungszeitraum zu stellen und gilt, solange er nicht widerrufen wird, auch für die folgenden vier Veranlagungszeiträume, ohne dass die Antragsvoraussetzungen erneut zu belegen sind. </w:t>
      </w:r>
      <w:r>
        <w:rPr>
          <w:rStyle w:val="Satznummer"/>
        </w:rPr>
        <w:t>5</w:t>
      </w:r>
      <w:r>
        <w:t xml:space="preserve">Die Widerrufserklärung muss dem Finanzamt spätestens mit der Steuererklärung für den Veranlagungszeitraum zugehen, für den die Sätze 1 bis 4 erstmals nicht mehr angewandt werden sollen. </w:t>
      </w:r>
      <w:r>
        <w:rPr>
          <w:rStyle w:val="Satznummer"/>
        </w:rPr>
        <w:t>6</w:t>
      </w:r>
      <w:r>
        <w:t>Nach einem Widerruf ist ein erneuter Antrag des Steuerpflichtigen für diese Beteiligung an der Kapitalgesellschaft nicht mehr zulässig;</w:t>
      </w:r>
    </w:p>
    <w:p>
      <w:pPr>
        <w:tabs>
          <w:tab w:pos="567" w:val="left"/>
        </w:tabs>
        <w:ind w:left="567" w:hanging="567"/>
      </w:pPr>
      <w:r>
        <w:t>4.</w:t>
      </w:r>
      <w:r>
        <w:tab/>
      </w:r>
      <w:r>
        <w:t xml:space="preserve">für Bezüge im Sinne des </w:t>
      </w:r>
      <w:hyperlink w:anchor="b86" w:history="1">
        <w:r>
          <w:rPr>
            <w:color w:val="0A3A8C"/>
            <w:u w:val="single"/>
          </w:rPr>
          <w:t xml:space="preserve">§ 20</w:t>
        </w:r>
      </w:hyperlink>
      <w:r>
        <w:t xml:space="preserve"> Absatz 1 Nummer 1 und für Einnahmen im Sinne des </w:t>
      </w:r>
      <w:hyperlink w:anchor="b86" w:history="1">
        <w:r>
          <w:rPr>
            <w:color w:val="0A3A8C"/>
            <w:u w:val="single"/>
          </w:rPr>
          <w:t xml:space="preserve">§ 20</w:t>
        </w:r>
      </w:hyperlink>
      <w:r>
        <w:t xml:space="preserve"> Absatz 1 Nummer 9, soweit sie das Einkommen der leistenden Körperschaft gemindert haben; dies gilt nicht, soweit eine verdeckte Gewinnausschüttung das Einkommen einer dem Steuerpflichtigen nahe stehenden Person erhöht hat und § 32a des Körperschaftsteuergesetzes auf die Veranlagung dieser nahe stehenden Person keine Anwendung findet.</w:t>
      </w:r>
    </w:p>
    <w:p>
      <w:r>
        <w:t xml:space="preserve">(3) </w:t>
      </w:r>
      <w:r>
        <w:rPr>
          <w:rStyle w:val="Satznummer"/>
        </w:rPr>
        <w:t>1</w:t>
      </w:r>
      <w:r>
        <w:t xml:space="preserve">Steuerpflichtige Kapitalerträge, die nicht der Kapitalertragsteuer unterlegen haben, hat der Steuerpflichtige in seiner Einkommensteuererklärung anzugeben. </w:t>
      </w:r>
      <w:r>
        <w:rPr>
          <w:rStyle w:val="Satznummer"/>
        </w:rPr>
        <w:t>2</w:t>
      </w:r>
      <w:r>
        <w:t xml:space="preserve">Für diese Kapitalerträge erhöht sich die tarifliche Einkommensteuer um den nach Absatz 1 ermittelten Betrag. </w:t>
      </w:r>
      <w:r>
        <w:rPr>
          <w:rStyle w:val="Satznummer"/>
        </w:rPr>
        <w:t>3</w:t>
      </w:r>
      <w:r>
        <w:t xml:space="preserve">Im Fall des Satzes 1 ist eine Veranlagung ungeachtet von </w:t>
      </w:r>
      <w:hyperlink w:anchor="b182" w:history="1">
        <w:r>
          <w:rPr>
            <w:color w:val="0A3A8C"/>
            <w:u w:val="single"/>
          </w:rPr>
          <w:t xml:space="preserve">§ 46</w:t>
        </w:r>
      </w:hyperlink>
      <w:r>
        <w:t xml:space="preserve"> Absatz 2 durchzuführen.</w:t>
      </w:r>
    </w:p>
    <w:p>
      <w:r>
        <w:t xml:space="preserve">(4) Der Steuerpflichtige kann mit der Einkommensteuererklärung für Kapitalerträge, die der Kapitalertragsteuer unterlegen haben, eine Steuerfestsetzung entsprechend Absatz 3 Satz 2 insbesondere in Fällen eines nicht vollständig ausgeschöpften Sparer-Pauschbetrags, einer Anwendung der Ersatzbemessungsgrundlage nach </w:t>
      </w:r>
      <w:hyperlink w:anchor="b170" w:history="1">
        <w:r>
          <w:rPr>
            <w:color w:val="0A3A8C"/>
            <w:u w:val="single"/>
          </w:rPr>
          <w:t xml:space="preserve">§ 43a</w:t>
        </w:r>
      </w:hyperlink>
      <w:r>
        <w:t xml:space="preserve"> Absatz 2 Satz 7, eines noch nicht im Rahmen des </w:t>
      </w:r>
      <w:hyperlink w:anchor="b170" w:history="1">
        <w:r>
          <w:rPr>
            <w:color w:val="0A3A8C"/>
            <w:u w:val="single"/>
          </w:rPr>
          <w:t xml:space="preserve">§ 43a</w:t>
        </w:r>
      </w:hyperlink>
      <w:r>
        <w:t xml:space="preserve"> Absatz 3 berücksichtigten Verlusts, eines Verlustvortrags nach </w:t>
      </w:r>
      <w:hyperlink w:anchor="b86" w:history="1">
        <w:r>
          <w:rPr>
            <w:color w:val="0A3A8C"/>
            <w:u w:val="single"/>
          </w:rPr>
          <w:t xml:space="preserve">§ 20</w:t>
        </w:r>
      </w:hyperlink>
      <w:r>
        <w:t xml:space="preserve"> Absatz 6 und noch nicht berücksichtigter ausländischer Steuern, zur Überprüfung des Steuereinbehalts dem Grund oder der Höhe nach oder zur Anwendung von Absatz 1 Satz 3 beantragen.</w:t>
      </w:r>
    </w:p>
    <w:p>
      <w:r>
        <w:t xml:space="preserve">(5) </w:t>
      </w:r>
      <w:r>
        <w:rPr>
          <w:rStyle w:val="Satznummer"/>
        </w:rPr>
        <w:t>1</w:t>
      </w:r>
      <w:r>
        <w:t xml:space="preserve">In den Fällen der Absätze 3 und 4 ist bei unbeschränkt Steuerpflichtigen, die mit ausländischen Kapitalerträgen in dem Staat, aus dem die Kapitalerträge stammen, zu einer der deutschen Einkommensteuer entsprechenden Steuer herangezogen werden, die auf ausländische Kapitalerträge festgesetzte und gezahlte und um einen entstandenen Ermäßigungsanspruch gekürzte ausländische Steuer, jedoch höchstens 25 Prozent ausländische Steuer auf den einzelnen steuerpflichtigen Kapitalertrag, auf die deutsche Steuer anzurechnen. </w:t>
      </w:r>
      <w:r>
        <w:rPr>
          <w:rStyle w:val="Satznummer"/>
        </w:rPr>
        <w:t>2</w:t>
      </w:r>
      <w:r>
        <w:t xml:space="preserve">Soweit in einem Abkommen zur Vermeidung der Doppelbesteuerung die Anrechnung einer ausländischen Steuer einschließlich einer als gezahlt geltenden Steuer auf die deutsche Steuer vorgesehen ist, gilt Satz 1 entsprechend. </w:t>
      </w:r>
      <w:r>
        <w:rPr>
          <w:rStyle w:val="Satznummer"/>
        </w:rPr>
        <w:t>3</w:t>
      </w:r>
      <w:r>
        <w:t>Die ausländischen Steuern sind nur bis zur Höhe der auf die im jeweiligen Veranlagungszeitraum bezogenen Kapitalerträge im Sinne des Satzes 1 entfallenden deutschen Steuer anzurechnen.</w:t>
      </w:r>
    </w:p>
    <w:p>
      <w:r>
        <w:t xml:space="preserve">(6) </w:t>
      </w:r>
      <w:r>
        <w:rPr>
          <w:rStyle w:val="Satznummer"/>
        </w:rPr>
        <w:t>1</w:t>
      </w:r>
      <w:r>
        <w:t xml:space="preserve">Auf Antrag des Steuerpflichtigen werden anstelle der Anwendung der Absätze 1, 3 und 4 die nach </w:t>
      </w:r>
      <w:hyperlink w:anchor="b86" w:history="1">
        <w:r>
          <w:rPr>
            <w:color w:val="0A3A8C"/>
            <w:u w:val="single"/>
          </w:rPr>
          <w:t xml:space="preserve">§ 20</w:t>
        </w:r>
      </w:hyperlink>
      <w:r>
        <w:t xml:space="preserve"> ermittelten Kapitaleinkünfte den Einkünften im Sinne des </w:t>
      </w:r>
      <w:hyperlink w:anchor="b5" w:history="1">
        <w:r>
          <w:rPr>
            <w:color w:val="0A3A8C"/>
            <w:u w:val="single"/>
          </w:rPr>
          <w:t xml:space="preserve">§ 2</w:t>
        </w:r>
      </w:hyperlink>
      <w:r>
        <w:t xml:space="preserve"> hinzugerechnet und der tariflichen Einkommensteuer unterworfen, wenn dies zu einer niedrigeren Einkommensteuer einschließlich Zuschlagsteuern führt (Günstigerprüfung). </w:t>
      </w:r>
      <w:r>
        <w:rPr>
          <w:rStyle w:val="Satznummer"/>
        </w:rPr>
        <w:t>2</w:t>
      </w:r>
      <w:r>
        <w:t xml:space="preserve">Absatz 5 ist mit der Maßgabe anzuwenden, dass die nach dieser Vorschrift ermittelten ausländischen Steuern auf die zusätzliche tarifliche Einkommensteuer anzurechnen sind, die auf die hinzugerechneten Kapitaleinkünfte entfällt. </w:t>
      </w:r>
      <w:r>
        <w:rPr>
          <w:rStyle w:val="Satznummer"/>
        </w:rPr>
        <w:t>3</w:t>
      </w:r>
      <w:r>
        <w:t xml:space="preserve">Der Antrag kann für den jeweiligen Veranlagungszeitraum nur einheitlich für sämtliche Kapitalerträge gestellt werden. </w:t>
      </w:r>
      <w:r>
        <w:rPr>
          <w:rStyle w:val="Satznummer"/>
        </w:rPr>
        <w:t>4</w:t>
      </w:r>
      <w:r>
        <w:t>Bei zusammenveranlagten Ehegatten kann der Antrag nur für sämtliche Kapitalerträge beider Ehegatten gestellt werden.</w:t>
      </w:r>
    </w:p>
    <w:p>
      <w:pPr>
        <w:pStyle w:val="Heading2"/>
      </w:pPr>
      <w:bookmarkStart w:id="113" w:name="b112"/>
      <w:r>
        <w:t>§ 33 Außergewöhnliche Belastungen</w:t>
      </w:r>
      <w:r>
        <w:t xml:space="preserve"> </w:t>
      </w:r>
      <w:r>
        <w:rPr>
          <w:rStyle w:val="Suchmarke"/>
        </w:rPr>
        <w:t>#33#</w:t>
      </w:r>
      <w:bookmarkEnd w:id="113"/>
    </w:p>
    <w:p>
      <w:r>
        <w:t>(1) Erwachsen einem Steuerpflichtigen zwangsläufig größere Aufwendungen als der überwiegenden Mehrzahl der Steuerpflichtigen gleicher Einkommensverhältnisse, gleicher Vermögensverhältnisse und gleichen Familienstands (außergewöhnliche Belastung), so wird auf Antrag die Einkommensteuer dadurch ermäßigt, dass der Teil der Aufwendungen, der die dem Steuerpflichtigen zumutbare Belastung (Absatz 3) übersteigt, vom Gesamtbetrag der Einkünfte abgezogen wird.</w:t>
      </w:r>
    </w:p>
    <w:p>
      <w:r>
        <w:t xml:space="preserve">(2) </w:t>
      </w:r>
      <w:r>
        <w:rPr>
          <w:rStyle w:val="Satznummer"/>
        </w:rPr>
        <w:t>1</w:t>
      </w:r>
      <w:r>
        <w:t xml:space="preserve">Aufwendungen erwachsen dem Steuerpflichtigen zwangsläufig, wenn er sich ihnen aus rechtlichen, tatsächlichen oder sittlichen Gründen nicht entziehen kann und soweit die Aufwendungen den Umständen nach notwendig sind und einen angemessenen Betrag nicht übersteigen. </w:t>
      </w:r>
      <w:r>
        <w:rPr>
          <w:rStyle w:val="Satznummer"/>
        </w:rPr>
        <w:t>2</w:t>
      </w:r>
      <w:r>
        <w:t xml:space="preserve">Aufwendungen, die zu den Betriebsausgaben, Werbungskosten oder Sonderausgaben gehören, bleiben dabei außer Betracht; das gilt für Aufwendungen im Sinne des </w:t>
      </w:r>
      <w:hyperlink w:anchor="b51" w:history="1">
        <w:r>
          <w:rPr>
            <w:color w:val="0A3A8C"/>
            <w:u w:val="single"/>
          </w:rPr>
          <w:t xml:space="preserve">§ 10</w:t>
        </w:r>
      </w:hyperlink>
      <w:r>
        <w:t xml:space="preserve"> Absatz 1 Nummer 7 und 9 nur insoweit, als sie als Sonderausgaben abgezogen werden können. </w:t>
      </w:r>
      <w:r>
        <w:rPr>
          <w:rStyle w:val="Satznummer"/>
        </w:rPr>
        <w:t>3</w:t>
      </w:r>
      <w:r>
        <w:t xml:space="preserve">Aufwendungen, die durch Diätverpflegung entstehen, können nicht als außergewöhnliche Belastung berücksichtigt werden. </w:t>
      </w:r>
      <w:r>
        <w:rPr>
          <w:rStyle w:val="Satznummer"/>
        </w:rPr>
        <w:t>4</w:t>
      </w:r>
      <w:r>
        <w:t>Aufwendungen für die Führung eines Rechtsstreits (Prozesskosten) sind vom Abzug ausgeschlossen, es sei denn, es handelt sich um Aufwendungen ohne die der Steuerpflichtige Gefahr liefe, seine Existenzgrundlage zu verlieren und seine lebensnotwendigen Bedürfnisse in dem üblichen Rahmen nicht mehr befriedigen zu können.</w:t>
      </w:r>
    </w:p>
    <w:p>
      <w:r>
        <w:t xml:space="preserve">(2a) </w:t>
      </w:r>
      <w:r>
        <w:rPr>
          <w:rStyle w:val="Satznummer"/>
        </w:rPr>
        <w:t>1</w:t>
      </w:r>
      <w:r>
        <w:t xml:space="preserve">Abweichend von Absatz 1 wird für Aufwendungen für durch eine Behinderung veranlasste Fahrten nur eine Pauschale gewährt (behinderungsbedingte Fahrtkostenpauschale). </w:t>
      </w:r>
      <w:r>
        <w:rPr>
          <w:rStyle w:val="Satznummer"/>
        </w:rPr>
        <w:t>2</w:t>
      </w:r>
      <w:r>
        <w:t>Die Pauschale erhalten:</w:t>
      </w:r>
    </w:p>
    <w:p>
      <w:pPr>
        <w:tabs>
          <w:tab w:pos="567" w:val="left"/>
        </w:tabs>
        <w:ind w:left="567" w:hanging="567"/>
      </w:pPr>
      <w:r>
        <w:t>1.</w:t>
      </w:r>
      <w:r>
        <w:tab/>
      </w:r>
      <w:r>
        <w:t>Menschen mit einem Grad der Behinderung von mindestens 80 oder mit einem Grad der Behinderung von mindestens 70 und dem Merkzeichen „G“,</w:t>
      </w:r>
    </w:p>
    <w:p>
      <w:pPr>
        <w:tabs>
          <w:tab w:pos="567" w:val="left"/>
        </w:tabs>
        <w:ind w:left="567" w:hanging="567"/>
      </w:pPr>
      <w:r>
        <w:t>2.</w:t>
      </w:r>
      <w:r>
        <w:tab/>
      </w:r>
      <w:r>
        <w:t>Menschen mit dem Merkzeichen „aG“, mit dem Merkzeichen „Bl“, mit dem Merkzeichen „TBl“ oder mit dem Merkzeichen „H“.</w:t>
      </w:r>
    </w:p>
    <w:p>
      <w:r>
        <w:rPr>
          <w:rStyle w:val="Satznummer"/>
        </w:rPr>
        <w:t>3</w:t>
      </w:r>
      <w:r>
        <w:t xml:space="preserve">Bei Erfüllung der Anspruchsvoraussetzungen nach Satz 2 Nummer 1 beträgt die Pauschale 900 Euro. </w:t>
      </w:r>
      <w:r>
        <w:rPr>
          <w:rStyle w:val="Satznummer"/>
        </w:rPr>
        <w:t>4</w:t>
      </w:r>
      <w:r>
        <w:t xml:space="preserve">Bei Erfüllung der Anspruchsvoraussetzungen nach Satz 2 Nummer 2 beträgt die Pauschale 4 500 Euro. </w:t>
      </w:r>
      <w:r>
        <w:rPr>
          <w:rStyle w:val="Satznummer"/>
        </w:rPr>
        <w:t>5</w:t>
      </w:r>
      <w:r>
        <w:t xml:space="preserve">In diesem Fall kann die Pauschale nach Satz 3 nicht zusätzlich in Anspruch genommen werden. </w:t>
      </w:r>
      <w:r>
        <w:rPr>
          <w:rStyle w:val="Satznummer"/>
        </w:rPr>
        <w:t>6</w:t>
      </w:r>
      <w:r>
        <w:t xml:space="preserve">Über die Fahrtkostenpauschale nach Satz 1 hinaus sind keine weiteren behinderungsbedingten Fahrtkosten als außergewöhnliche Belastung nach Absatz 1 berücksichtigungsfähig. </w:t>
      </w:r>
      <w:r>
        <w:rPr>
          <w:rStyle w:val="Satznummer"/>
        </w:rPr>
        <w:t>7</w:t>
      </w:r>
      <w:r>
        <w:t xml:space="preserve">Die Pauschale ist bei der Ermittlung des Teils der Aufwendungen im Sinne des Absatzes 1, der die zumutbare Belastung übersteigt, einzubeziehen. </w:t>
      </w:r>
      <w:r>
        <w:rPr>
          <w:rStyle w:val="Satznummer"/>
        </w:rPr>
        <w:t>8</w:t>
      </w:r>
      <w:r>
        <w:t xml:space="preserve">Sie kann auch gewährt werden, wenn ein Behinderten-Pauschbetrag nach </w:t>
      </w:r>
      <w:hyperlink w:anchor="b114" w:history="1">
        <w:r>
          <w:rPr>
            <w:color w:val="0A3A8C"/>
            <w:u w:val="single"/>
          </w:rPr>
          <w:t xml:space="preserve">§ 33b</w:t>
        </w:r>
      </w:hyperlink>
      <w:r>
        <w:t xml:space="preserve"> Absatz 5 übertragen wurde. </w:t>
      </w:r>
      <w:r>
        <w:rPr>
          <w:rStyle w:val="Satznummer"/>
        </w:rPr>
        <w:t>9</w:t>
      </w:r>
      <w:hyperlink w:anchor="b114" w:history="1">
        <w:r>
          <w:rPr>
            <w:color w:val="0A3A8C"/>
            <w:u w:val="single"/>
          </w:rPr>
          <w:t xml:space="preserve">§ 33b</w:t>
        </w:r>
      </w:hyperlink>
      <w:r>
        <w:t xml:space="preserve"> Absatz 5 ist entsprechend anzuwenden.</w:t>
      </w:r>
    </w:p>
    <w:p>
      <w:r>
        <w:t xml:space="preserve">(3) </w:t>
      </w:r>
      <w:r>
        <w:rPr>
          <w:rStyle w:val="Satznummer"/>
        </w:rPr>
        <w:t>1</w:t>
      </w:r>
      <w:r>
        <w:t>Die zumutbare Belastung beträgt</w:t>
      </w:r>
    </w:p>
    <w:tbl>
      <w:tblPr>
        <w:tblStyle w:val="TableGrid"/>
        <w:tblW w:type="pct" w:w="5000"/>
        <w:tblLook w:firstColumn="1" w:firstRow="1" w:lastColumn="0" w:lastRow="0" w:noHBand="0" w:noVBand="1" w:val="04A0"/>
        <w:tblCaption w:val="Tabelle 1 zu § 33"/>
      </w:tblPr>
      <w:tblGrid>
        <w:gridCol w:w="1881"/>
        <w:gridCol w:w="1881"/>
        <w:gridCol w:w="1881"/>
        <w:gridCol w:w="1881"/>
        <w:gridCol w:w="1881"/>
      </w:tblGrid>
      <w:tr>
        <w:trPr>
          <w:cantSplit/>
          <w:tblHeader/>
        </w:trPr>
        <w:tc>
          <w:tcPr>
            <w:tcW w:type="dxa" w:w="3762"/>
            <w:gridSpan w:val="2"/>
          </w:tcPr>
          <w:p>
            <w:r>
              <w:rPr>
                <w:b/>
              </w:rPr>
              <w:t>bei einem Gesamtbetrag</w:t>
            </w:r>
            <w:r>
              <w:rPr>
                <w:b/>
              </w:rPr>
              <w:br/>
            </w:r>
            <w:r>
              <w:rPr>
                <w:b/>
              </w:rPr>
              <w:t>der Einkünfte</w:t>
            </w:r>
          </w:p>
        </w:tc>
        <w:tc>
          <w:tcPr>
            <w:tcW w:type="dxa" w:w="1881"/>
          </w:tcPr>
          <w:p>
            <w:r>
              <w:rPr>
                <w:b/>
              </w:rPr>
              <w:t>bis</w:t>
            </w:r>
            <w:r>
              <w:rPr>
                <w:b/>
              </w:rPr>
              <w:br/>
            </w:r>
            <w:r>
              <w:rPr>
                <w:b/>
              </w:rPr>
              <w:t>15 340</w:t>
            </w:r>
            <w:r>
              <w:rPr>
                <w:b/>
              </w:rPr>
              <w:br/>
            </w:r>
            <w:r>
              <w:rPr>
                <w:b/>
              </w:rPr>
              <w:t>EUR</w:t>
            </w:r>
          </w:p>
        </w:tc>
        <w:tc>
          <w:tcPr>
            <w:tcW w:type="dxa" w:w="1881"/>
          </w:tcPr>
          <w:p>
            <w:r>
              <w:rPr>
                <w:b/>
              </w:rPr>
              <w:t>über</w:t>
            </w:r>
            <w:r>
              <w:rPr>
                <w:b/>
              </w:rPr>
              <w:br/>
            </w:r>
            <w:r>
              <w:rPr>
                <w:b/>
              </w:rPr>
              <w:t>15 340</w:t>
            </w:r>
            <w:r>
              <w:rPr>
                <w:b/>
              </w:rPr>
              <w:br/>
            </w:r>
            <w:r>
              <w:rPr>
                <w:b/>
              </w:rPr>
              <w:t>EUR</w:t>
            </w:r>
            <w:r>
              <w:rPr>
                <w:b/>
              </w:rPr>
              <w:br/>
            </w:r>
            <w:r>
              <w:rPr>
                <w:b/>
              </w:rPr>
              <w:t>bis</w:t>
            </w:r>
            <w:r>
              <w:rPr>
                <w:b/>
              </w:rPr>
              <w:br/>
            </w:r>
            <w:r>
              <w:rPr>
                <w:b/>
              </w:rPr>
              <w:t>51 130</w:t>
            </w:r>
            <w:r>
              <w:rPr>
                <w:b/>
              </w:rPr>
              <w:br/>
            </w:r>
            <w:r>
              <w:rPr>
                <w:b/>
              </w:rPr>
              <w:t>EUR</w:t>
            </w:r>
          </w:p>
        </w:tc>
        <w:tc>
          <w:tcPr>
            <w:tcW w:type="dxa" w:w="1881"/>
          </w:tcPr>
          <w:p>
            <w:r>
              <w:rPr>
                <w:b/>
              </w:rPr>
              <w:t>über</w:t>
            </w:r>
            <w:r>
              <w:rPr>
                <w:b/>
              </w:rPr>
              <w:br/>
            </w:r>
            <w:r>
              <w:rPr>
                <w:b/>
              </w:rPr>
              <w:t>51 130</w:t>
            </w:r>
            <w:r>
              <w:rPr>
                <w:b/>
              </w:rPr>
              <w:br/>
            </w:r>
            <w:r>
              <w:rPr>
                <w:b/>
              </w:rPr>
              <w:t>EUR</w:t>
            </w:r>
          </w:p>
        </w:tc>
      </w:tr>
      <w:tr>
        <w:trPr>
          <w:cantSplit/>
        </w:trPr>
        <w:tc>
          <w:tcPr>
            <w:tcW w:type="dxa" w:w="1881"/>
          </w:tcPr>
          <w:p>
            <w:r>
              <w:t>1.</w:t>
            </w:r>
          </w:p>
        </w:tc>
        <w:tc>
          <w:tcPr>
            <w:tcW w:type="dxa" w:w="1881"/>
          </w:tcPr>
          <w:p>
            <w:r>
              <w:t>bei Steuerpflichtigen, die keine Kinder haben und bei denen die Einkommensteuer</w:t>
            </w:r>
          </w:p>
        </w:tc>
        <w:tc>
          <w:tcPr>
            <w:tcW w:type="dxa" w:w="1881"/>
          </w:tcPr>
          <w:p/>
        </w:tc>
        <w:tc>
          <w:tcPr>
            <w:tcW w:type="dxa" w:w="1881"/>
          </w:tcPr>
          <w:p/>
        </w:tc>
        <w:tc>
          <w:tcPr>
            <w:tcW w:type="dxa" w:w="1881"/>
          </w:tcPr>
          <w:p/>
        </w:tc>
      </w:tr>
      <w:tr>
        <w:trPr>
          <w:cantSplit/>
        </w:trPr>
        <w:tc>
          <w:tcPr>
            <w:tcW w:type="dxa" w:w="1881"/>
          </w:tcPr>
          <w:p/>
        </w:tc>
        <w:tc>
          <w:tcPr>
            <w:tcW w:type="dxa" w:w="1881"/>
          </w:tcPr>
          <w:p>
            <w:r>
              <w:t xml:space="preserve">a) nach </w:t>
            </w:r>
            <w:hyperlink w:anchor="b108" w:history="1">
              <w:r>
                <w:rPr>
                  <w:color w:val="0A3A8C"/>
                  <w:u w:val="single"/>
                </w:rPr>
                <w:t xml:space="preserve">§ 32a</w:t>
              </w:r>
            </w:hyperlink>
            <w:r>
              <w:t xml:space="preserve"> Absatz 1,</w:t>
            </w:r>
          </w:p>
        </w:tc>
        <w:tc>
          <w:tcPr>
            <w:tcW w:type="dxa" w:w="1881"/>
          </w:tcPr>
          <w:p>
            <w:r>
              <w:t>5</w:t>
            </w:r>
          </w:p>
        </w:tc>
        <w:tc>
          <w:tcPr>
            <w:tcW w:type="dxa" w:w="1881"/>
          </w:tcPr>
          <w:p>
            <w:r>
              <w:t>6</w:t>
            </w:r>
          </w:p>
        </w:tc>
        <w:tc>
          <w:tcPr>
            <w:tcW w:type="dxa" w:w="1881"/>
          </w:tcPr>
          <w:p>
            <w:r>
              <w:t>7</w:t>
            </w:r>
          </w:p>
        </w:tc>
      </w:tr>
      <w:tr>
        <w:trPr>
          <w:cantSplit/>
        </w:trPr>
        <w:tc>
          <w:tcPr>
            <w:tcW w:type="dxa" w:w="1881"/>
          </w:tcPr>
          <w:p/>
        </w:tc>
        <w:tc>
          <w:tcPr>
            <w:tcW w:type="dxa" w:w="1881"/>
          </w:tcPr>
          <w:p>
            <w:r>
              <w:t>b) nach § 32a Absatz 5</w:t>
            </w:r>
            <w:r>
              <w:br/>
            </w:r>
            <w:r>
              <w:t>oder 6 (Splitting-Verfahren)</w:t>
            </w:r>
            <w:r>
              <w:br/>
            </w:r>
            <w:r>
              <w:t>zu berechnen ist;</w:t>
            </w:r>
          </w:p>
        </w:tc>
        <w:tc>
          <w:tcPr>
            <w:tcW w:type="dxa" w:w="1881"/>
          </w:tcPr>
          <w:p>
            <w:r>
              <w:t>4</w:t>
            </w:r>
          </w:p>
        </w:tc>
        <w:tc>
          <w:tcPr>
            <w:tcW w:type="dxa" w:w="1881"/>
          </w:tcPr>
          <w:p>
            <w:r>
              <w:t>5</w:t>
            </w:r>
          </w:p>
        </w:tc>
        <w:tc>
          <w:tcPr>
            <w:tcW w:type="dxa" w:w="1881"/>
          </w:tcPr>
          <w:p>
            <w:r>
              <w:t>6</w:t>
            </w:r>
          </w:p>
        </w:tc>
      </w:tr>
      <w:tr>
        <w:trPr>
          <w:cantSplit/>
        </w:trPr>
        <w:tc>
          <w:tcPr>
            <w:tcW w:type="dxa" w:w="1881"/>
          </w:tcPr>
          <w:p>
            <w:r>
              <w:t>2.</w:t>
            </w:r>
          </w:p>
        </w:tc>
        <w:tc>
          <w:tcPr>
            <w:tcW w:type="dxa" w:w="1881"/>
          </w:tcPr>
          <w:p>
            <w:r>
              <w:t>bei Steuerpflichtigen mit</w:t>
            </w:r>
          </w:p>
        </w:tc>
        <w:tc>
          <w:tcPr>
            <w:tcW w:type="dxa" w:w="1881"/>
          </w:tcPr>
          <w:p/>
        </w:tc>
        <w:tc>
          <w:tcPr>
            <w:tcW w:type="dxa" w:w="1881"/>
          </w:tcPr>
          <w:p/>
        </w:tc>
        <w:tc>
          <w:tcPr>
            <w:tcW w:type="dxa" w:w="1881"/>
          </w:tcPr>
          <w:p/>
        </w:tc>
      </w:tr>
      <w:tr>
        <w:trPr>
          <w:cantSplit/>
        </w:trPr>
        <w:tc>
          <w:tcPr>
            <w:tcW w:type="dxa" w:w="1881"/>
          </w:tcPr>
          <w:p/>
        </w:tc>
        <w:tc>
          <w:tcPr>
            <w:tcW w:type="dxa" w:w="1881"/>
          </w:tcPr>
          <w:p>
            <w:r>
              <w:t>a) einem Kind oder zwei</w:t>
            </w:r>
            <w:r>
              <w:br/>
            </w:r>
            <w:r>
              <w:t>Kindern,</w:t>
            </w:r>
          </w:p>
        </w:tc>
        <w:tc>
          <w:tcPr>
            <w:tcW w:type="dxa" w:w="1881"/>
          </w:tcPr>
          <w:p>
            <w:r>
              <w:t>2</w:t>
            </w:r>
          </w:p>
        </w:tc>
        <w:tc>
          <w:tcPr>
            <w:tcW w:type="dxa" w:w="1881"/>
          </w:tcPr>
          <w:p>
            <w:r>
              <w:t>3</w:t>
            </w:r>
          </w:p>
        </w:tc>
        <w:tc>
          <w:tcPr>
            <w:tcW w:type="dxa" w:w="1881"/>
          </w:tcPr>
          <w:p>
            <w:r>
              <w:t>4</w:t>
            </w:r>
          </w:p>
        </w:tc>
      </w:tr>
      <w:tr>
        <w:trPr>
          <w:cantSplit/>
        </w:trPr>
        <w:tc>
          <w:tcPr>
            <w:tcW w:type="dxa" w:w="1881"/>
          </w:tcPr>
          <w:p/>
        </w:tc>
        <w:tc>
          <w:tcPr>
            <w:tcW w:type="dxa" w:w="1881"/>
          </w:tcPr>
          <w:p>
            <w:r>
              <w:t>b) drei oder mehr Kindern</w:t>
            </w:r>
          </w:p>
        </w:tc>
        <w:tc>
          <w:tcPr>
            <w:tcW w:type="dxa" w:w="1881"/>
          </w:tcPr>
          <w:p>
            <w:r>
              <w:t>1</w:t>
            </w:r>
          </w:p>
        </w:tc>
        <w:tc>
          <w:tcPr>
            <w:tcW w:type="dxa" w:w="1881"/>
          </w:tcPr>
          <w:p>
            <w:r>
              <w:t>1</w:t>
            </w:r>
          </w:p>
        </w:tc>
        <w:tc>
          <w:tcPr>
            <w:tcW w:type="dxa" w:w="1881"/>
          </w:tcPr>
          <w:p>
            <w:r>
              <w:t>2</w:t>
            </w:r>
          </w:p>
        </w:tc>
      </w:tr>
      <w:tr>
        <w:trPr>
          <w:cantSplit/>
        </w:trPr>
        <w:tc>
          <w:tcPr>
            <w:tcW w:type="dxa" w:w="1881"/>
          </w:tcPr>
          <w:p/>
        </w:tc>
        <w:tc>
          <w:tcPr>
            <w:tcW w:type="dxa" w:w="1881"/>
          </w:tcPr>
          <w:p/>
        </w:tc>
        <w:tc>
          <w:tcPr>
            <w:tcW w:type="dxa" w:w="5643"/>
            <w:gridSpan w:val="3"/>
          </w:tcPr>
          <w:p>
            <w:r>
              <w:t>Prozent des Gesamtbetrags der Einkünfte.</w:t>
            </w:r>
          </w:p>
        </w:tc>
      </w:tr>
    </w:tbl>
    <w:p>
      <w:pPr>
        <w:spacing w:after="0"/>
      </w:pPr>
    </w:p>
    <w:p>
      <w:r>
        <w:rPr>
          <w:rStyle w:val="Satznummer"/>
        </w:rPr>
        <w:t>2</w:t>
      </w:r>
      <w:r>
        <w:t xml:space="preserve">Als Kinder des Steuerpflichtigen zählen die, für die er Anspruch auf einen Freibetrag nach </w:t>
      </w:r>
      <w:hyperlink w:anchor="b107" w:history="1">
        <w:r>
          <w:rPr>
            <w:color w:val="0A3A8C"/>
            <w:u w:val="single"/>
          </w:rPr>
          <w:t xml:space="preserve">§ 32</w:t>
        </w:r>
      </w:hyperlink>
      <w:r>
        <w:t xml:space="preserve"> Absatz 6 oder auf Kindergeld hat.</w:t>
      </w:r>
    </w:p>
    <w:p>
      <w:r>
        <w:t>(4) Die Bundesregierung wird ermächtigt, durch Rechtsverordnung mit Zustimmung des Bundesrates die Einzelheiten des Nachweises von Aufwendungen nach Absatz 1 und der Anspruchsvoraussetzungen nach Absatz 2a zu bestimmen.</w:t>
      </w:r>
    </w:p>
    <w:p>
      <w:pPr>
        <w:pStyle w:val="Heading2"/>
      </w:pPr>
      <w:bookmarkStart w:id="114" w:name="b113"/>
      <w:r>
        <w:t>§ 33a Außergewöhnliche Belastung in besonderen Fällen</w:t>
      </w:r>
      <w:r>
        <w:t xml:space="preserve"> </w:t>
      </w:r>
      <w:r>
        <w:rPr>
          <w:rStyle w:val="Suchmarke"/>
        </w:rPr>
        <w:t>#33a#</w:t>
      </w:r>
      <w:bookmarkEnd w:id="114"/>
    </w:p>
    <w:p>
      <w:r>
        <w:t xml:space="preserve">(1) </w:t>
      </w:r>
      <w:r>
        <w:rPr>
          <w:rStyle w:val="Satznummer"/>
        </w:rPr>
        <w:t>1</w:t>
      </w:r>
      <w:r>
        <w:t xml:space="preserve">Erwachsen einem Steuerpflichtigen Aufwendungen für den Unterhalt und eine etwaige Berufsausbildung einer dem Steuerpflichtigen oder seinem Ehegatten gegenüber gesetzlich unterhaltsberechtigten Person, so wird auf Antrag die Einkommensteuer dadurch ermäßigt, dass die Aufwendungen bis zur Höhe des Grundfreibetrags nach § 32a Absatz 1 Satz 2 Nummer 1 im Kalenderjahr vom Gesamtbetrag der Einkünfte abgezogen werden. </w:t>
      </w:r>
      <w:r>
        <w:rPr>
          <w:rStyle w:val="Satznummer"/>
        </w:rPr>
        <w:t>2</w:t>
      </w:r>
      <w:r>
        <w:t xml:space="preserve">Der Höchstbetrag nach Satz 1 erhöht sich um den Betrag der im jeweiligen Veranlagungszeitraum nach </w:t>
      </w:r>
      <w:hyperlink w:anchor="b51" w:history="1">
        <w:r>
          <w:rPr>
            <w:color w:val="0A3A8C"/>
            <w:u w:val="single"/>
          </w:rPr>
          <w:t xml:space="preserve">§ 10</w:t>
        </w:r>
      </w:hyperlink>
      <w:r>
        <w:t xml:space="preserve"> Absatz 1 Nummer 3 für die Absicherung der unterhaltsberechtigten Person aufgewandten Beiträge; dies gilt nicht für Kranken- und Pflegeversicherungsbeiträge, die bereits nach </w:t>
      </w:r>
      <w:hyperlink w:anchor="b51" w:history="1">
        <w:r>
          <w:rPr>
            <w:color w:val="0A3A8C"/>
            <w:u w:val="single"/>
          </w:rPr>
          <w:t xml:space="preserve">§ 10</w:t>
        </w:r>
      </w:hyperlink>
      <w:r>
        <w:t xml:space="preserve"> Absatz 1 Nummer 3 Satz 1 anzusetzen sind. </w:t>
      </w:r>
      <w:r>
        <w:rPr>
          <w:rStyle w:val="Satznummer"/>
        </w:rPr>
        <w:t>3</w:t>
      </w:r>
      <w:r>
        <w:t xml:space="preserve">Der gesetzlich unterhaltsberechtigten Person gleichgestellt ist eine Person, wenn bei ihr zum Unterhalt bestimmte inländische öffentliche Mittel mit Rücksicht auf die Unterhaltsleistungen des Steuerpflichtigen gekürzt werden. </w:t>
      </w:r>
      <w:r>
        <w:rPr>
          <w:rStyle w:val="Satznummer"/>
        </w:rPr>
        <w:t>4</w:t>
      </w:r>
      <w:r>
        <w:t xml:space="preserve">Voraussetzung ist, dass weder der Steuerpflichtige noch eine andere Person Anspruch auf einen Freibetrag nach </w:t>
      </w:r>
      <w:hyperlink w:anchor="b107" w:history="1">
        <w:r>
          <w:rPr>
            <w:color w:val="0A3A8C"/>
            <w:u w:val="single"/>
          </w:rPr>
          <w:t xml:space="preserve">§ 32</w:t>
        </w:r>
      </w:hyperlink>
      <w:r>
        <w:t xml:space="preserve"> Absatz 6 oder auf Kindergeld für die unterhaltene Person hat und die unterhaltene Person kein oder nur ein geringes Vermögen besitzt; ein angemessenes Hausgrundstück im Sinne von § 90 Absatz 2 Nummer 8 des Zwölften Buches Sozialgesetzbuch bleibt unberücksichtigt. </w:t>
      </w:r>
      <w:r>
        <w:rPr>
          <w:rStyle w:val="Satznummer"/>
        </w:rPr>
        <w:t>5</w:t>
      </w:r>
      <w:r>
        <w:t xml:space="preserve">Hat die unterhaltene Person andere Einkünfte oder Bezüge, so vermindert sich die Summe der nach Satz 1 und Satz 2 ermittelten Beträge um den Betrag, um den diese Einkünfte und Bezüge den Betrag von 624 Euro im Kalenderjahr übersteigen, sowie um die von der unterhaltenen Person als Ausbildungshilfe aus öffentlichen Mitteln oder von Förderungseinrichtungen, die hierfür öffentliche Mittel erhalten, bezogenen Zuschüsse; zu den Bezügen gehören auch steuerfreie Gewinne nach den </w:t>
      </w:r>
      <w:hyperlink w:anchor="b72" w:history="1">
        <w:r>
          <w:rPr>
            <w:color w:val="0A3A8C"/>
            <w:u w:val="single"/>
          </w:rPr>
          <w:t xml:space="preserve">§§ 14</w:t>
        </w:r>
      </w:hyperlink>
      <w:r>
        <w:t xml:space="preserve">, </w:t>
      </w:r>
      <w:hyperlink w:anchor="b78" w:history="1">
        <w:r>
          <w:rPr>
            <w:color w:val="0A3A8C"/>
            <w:u w:val="single"/>
          </w:rPr>
          <w:t xml:space="preserve">16</w:t>
        </w:r>
      </w:hyperlink>
      <w:r>
        <w:t xml:space="preserve"> Absatz 4, </w:t>
      </w:r>
      <w:hyperlink w:anchor="b79" w:history="1">
        <w:r>
          <w:rPr>
            <w:color w:val="0A3A8C"/>
            <w:u w:val="single"/>
          </w:rPr>
          <w:t xml:space="preserve">§ 17</w:t>
        </w:r>
      </w:hyperlink>
      <w:r>
        <w:t xml:space="preserve"> Absatz 3 und </w:t>
      </w:r>
      <w:hyperlink w:anchor="b81" w:history="1">
        <w:r>
          <w:rPr>
            <w:color w:val="0A3A8C"/>
            <w:u w:val="single"/>
          </w:rPr>
          <w:t xml:space="preserve">§ 18</w:t>
        </w:r>
      </w:hyperlink>
      <w:r>
        <w:t xml:space="preserve"> Absatz 3, die nach </w:t>
      </w:r>
      <w:hyperlink w:anchor="b83" w:history="1">
        <w:r>
          <w:rPr>
            <w:color w:val="0A3A8C"/>
            <w:u w:val="single"/>
          </w:rPr>
          <w:t xml:space="preserve">§ 19</w:t>
        </w:r>
      </w:hyperlink>
      <w:r>
        <w:t xml:space="preserve"> Absatz 2 steuerfrei bleibenden Einkünfte sowie Sonderabschreibungen und erhöhte Absetzungen, soweit sie die höchstmöglichen Absetzungen für Abnutzung nach </w:t>
      </w:r>
      <w:hyperlink w:anchor="b34" w:history="1">
        <w:r>
          <w:rPr>
            <w:color w:val="0A3A8C"/>
            <w:u w:val="single"/>
          </w:rPr>
          <w:t xml:space="preserve">§ 7</w:t>
        </w:r>
      </w:hyperlink>
      <w:r>
        <w:t xml:space="preserve"> übersteigen. </w:t>
      </w:r>
      <w:r>
        <w:rPr>
          <w:rStyle w:val="Satznummer"/>
        </w:rPr>
        <w:t>6</w:t>
      </w:r>
      <w:r>
        <w:t xml:space="preserve">Ist die unterhaltene Person nicht unbeschränkt einkommensteuerpflichtig, so können die Aufwendungen nur abgezogen werden, soweit sie nach den Verhältnissen des Wohnsitzstaates der unterhaltenen Person notwendig und angemessen sind, höchstens jedoch der Betrag, der sich nach den Sätzen 1 bis 5 ergibt; ob der Steuerpflichtige zum Unterhalt gesetzlich verpflichtet ist, ist nach inländischen Maßstäben zu beurteilen. </w:t>
      </w:r>
      <w:r>
        <w:rPr>
          <w:rStyle w:val="Satznummer"/>
        </w:rPr>
        <w:t>7</w:t>
      </w:r>
      <w:r>
        <w:t xml:space="preserve">Werden die Aufwendungen für eine unterhaltene Person von mehreren Steuerpflichtigen getragen, so wird bei jedem der Teil des sich hiernach ergebenden Betrags abgezogen, der seinem Anteil am Gesamtbetrag der Leistungen entspricht. </w:t>
      </w:r>
      <w:r>
        <w:rPr>
          <w:rStyle w:val="Satznummer"/>
        </w:rPr>
        <w:t>8</w:t>
      </w:r>
      <w:r>
        <w:t xml:space="preserve">Nicht auf Euro lautende Beträge sind entsprechend dem für Ende September des Jahres vor dem Veranlagungszeitraum von der Europäischen Zentralbank bekannt gegebenen Referenzkurs umzurechnen. </w:t>
      </w:r>
      <w:r>
        <w:rPr>
          <w:rStyle w:val="Satznummer"/>
        </w:rPr>
        <w:t>9</w:t>
      </w:r>
      <w:r>
        <w:t xml:space="preserve">Voraussetzung für den Abzug der Aufwendungen ist die Angabe der erteilten Identifikationsnummer (§ 139b der Abgabenordnung) der unterhaltenen Person in der Steuererklärung des Unterhaltsleistenden, wenn die unterhaltene Person der unbeschränkten oder beschränkten Steuerpflicht unterliegt. </w:t>
      </w:r>
      <w:r>
        <w:rPr>
          <w:rStyle w:val="Satznummer"/>
        </w:rPr>
        <w:t>10</w:t>
      </w:r>
      <w:r>
        <w:t xml:space="preserve">Die unterhaltene Person ist für diese Zwecke verpflichtet, dem Unterhaltsleistenden ihre erteilte Identifikationsnummer (§ 139b der Abgabenordnung) mitzuteilen. </w:t>
      </w:r>
      <w:r>
        <w:rPr>
          <w:rStyle w:val="Satznummer"/>
        </w:rPr>
        <w:t>11</w:t>
      </w:r>
      <w:r>
        <w:t xml:space="preserve">Kommt die unterhaltene Person dieser Verpflichtung nicht nach, ist der Unterhaltsleistende berechtigt, bei der für ihn zuständigen Finanzbehörde die Identifikationsnummer der unterhaltenen Person zu erfragen. </w:t>
      </w:r>
      <w:r>
        <w:rPr>
          <w:rStyle w:val="Satznummer"/>
        </w:rPr>
        <w:t>12</w:t>
      </w:r>
      <w:r>
        <w:t>Voraussetzung für den Abzug der Aufwendungen nach Satz 1 ist, dass bei Geldzuwendungen die Zahlung der Unterhaltsleistungen durch Überweisung auf das Konto der unterhaltenen Person erfolgt ist.</w:t>
      </w:r>
    </w:p>
    <w:p>
      <w:r>
        <w:t xml:space="preserve">(2) </w:t>
      </w:r>
      <w:r>
        <w:rPr>
          <w:rStyle w:val="Satznummer"/>
        </w:rPr>
        <w:t>1</w:t>
      </w:r>
      <w:r>
        <w:t xml:space="preserve">Zur Abgeltung des Sonderbedarfs eines sich in Berufsausbildung befindenden, auswärtig untergebrachten, volljährigen Kindes, für das Anspruch auf einen Freibetrag nach </w:t>
      </w:r>
      <w:hyperlink w:anchor="b107" w:history="1">
        <w:r>
          <w:rPr>
            <w:color w:val="0A3A8C"/>
            <w:u w:val="single"/>
          </w:rPr>
          <w:t xml:space="preserve">§ 32</w:t>
        </w:r>
      </w:hyperlink>
      <w:r>
        <w:t xml:space="preserve"> Absatz 6 oder Kindergeld besteht, kann der Steuerpflichtige einen Freibetrag in Höhe von 1 200 Euro je Kalenderjahr vom Gesamtbetrag der Einkünfte abziehen. </w:t>
      </w:r>
      <w:r>
        <w:rPr>
          <w:rStyle w:val="Satznummer"/>
        </w:rPr>
        <w:t>2</w:t>
      </w:r>
      <w:r>
        <w:t xml:space="preserve">Für ein nicht unbeschränkt einkommensteuerpflichtiges Kind mindert sich der vorstehende Betrag nach Maßgabe des Absatzes 1 Satz 6. </w:t>
      </w:r>
      <w:r>
        <w:rPr>
          <w:rStyle w:val="Satznummer"/>
        </w:rPr>
        <w:t>3</w:t>
      </w:r>
      <w:r>
        <w:t xml:space="preserve">Erfüllen mehrere Steuerpflichtige für dasselbe Kind die Voraussetzungen nach Satz 1, so kann der Freibetrag insgesamt nur einmal abgezogen werden. </w:t>
      </w:r>
      <w:r>
        <w:rPr>
          <w:rStyle w:val="Satznummer"/>
        </w:rPr>
        <w:t>4</w:t>
      </w:r>
      <w:r>
        <w:t xml:space="preserve">Jedem Elternteil steht grundsätzlich die Hälfte des Abzugsbetrags nach den Sätzen 1 und 2 zu. </w:t>
      </w:r>
      <w:r>
        <w:rPr>
          <w:rStyle w:val="Satznummer"/>
        </w:rPr>
        <w:t>5</w:t>
      </w:r>
      <w:r>
        <w:t>Auf gemeinsamen Antrag der Eltern ist eine andere Aufteilung möglich.</w:t>
      </w:r>
    </w:p>
    <w:p>
      <w:r>
        <w:t xml:space="preserve">(3) </w:t>
      </w:r>
      <w:r>
        <w:rPr>
          <w:rStyle w:val="Satznummer"/>
        </w:rPr>
        <w:t>1</w:t>
      </w:r>
      <w:r>
        <w:t xml:space="preserve">Für jeden vollen Kalendermonat, in dem die in den Absätzen 1 und 2 bezeichneten Voraussetzungen nicht vorgelegen haben, ermäßigen sich die dort bezeichneten Beträge um je ein Zwölftel; der sich daraus ergebende Betrag ist auf den nächsten vollen Euro-Betrag aufzurunden. </w:t>
      </w:r>
      <w:r>
        <w:rPr>
          <w:rStyle w:val="Satznummer"/>
        </w:rPr>
        <w:t>2</w:t>
      </w:r>
      <w:r>
        <w:t xml:space="preserve">Eigene Einkünfte und Bezüge der nach Absatz 1 unterhaltenen Person, die auf diese Kalendermonate entfallen, vermindern den nach Satz 1 ermäßigten Höchstbetrag nicht. </w:t>
      </w:r>
      <w:r>
        <w:rPr>
          <w:rStyle w:val="Satznummer"/>
        </w:rPr>
        <w:t>3</w:t>
      </w:r>
      <w:r>
        <w:t>Als Ausbildungshilfe bezogene Zuschüsse der nach Absatz 1 unterhaltenen Person mindern nur den zeitanteiligen Höchstbetrag der Kalendermonate, für die sie bestimmt sind.</w:t>
      </w:r>
    </w:p>
    <w:p>
      <w:r>
        <w:t xml:space="preserve">(4) In den Fällen der Absätze 1 und 2 kann wegen der in diesen Vorschriften bezeichneten Aufwendungen der Steuerpflichtige eine Steuerermäßigung nach </w:t>
      </w:r>
      <w:hyperlink w:anchor="b112" w:history="1">
        <w:r>
          <w:rPr>
            <w:color w:val="0A3A8C"/>
            <w:u w:val="single"/>
          </w:rPr>
          <w:t xml:space="preserve">§ 33</w:t>
        </w:r>
      </w:hyperlink>
      <w:r>
        <w:t xml:space="preserve"> nicht in Anspruch nehmen.</w:t>
      </w:r>
    </w:p>
    <w:p>
      <w:pPr>
        <w:pStyle w:val="Heading2"/>
      </w:pPr>
      <w:bookmarkStart w:id="115" w:name="b114"/>
      <w:r>
        <w:t>§ 33b Pauschbeträge für Menschen mit Behinderungen, Hinterbliebene und Pflegepersonen</w:t>
      </w:r>
      <w:r>
        <w:t xml:space="preserve"> </w:t>
      </w:r>
      <w:r>
        <w:rPr>
          <w:rStyle w:val="Suchmarke"/>
        </w:rPr>
        <w:t>#33b#</w:t>
      </w:r>
      <w:bookmarkEnd w:id="115"/>
    </w:p>
    <w:p>
      <w:r>
        <w:t xml:space="preserve">(1) </w:t>
      </w:r>
      <w:r>
        <w:rPr>
          <w:rStyle w:val="Satznummer"/>
        </w:rPr>
        <w:t>1</w:t>
      </w:r>
      <w:r>
        <w:t xml:space="preserve">Wegen der Aufwendungen für die Hilfe bei den gewöhnlichen und regelmäßig wiederkehrenden Verrichtungen des täglichen Lebens, für die Pflege sowie für einen erhöhten Wäschebedarf können Menschen mit Behinderungen unter den Voraussetzungen des Absatzes 2 anstelle einer Steuerermäßigung nach </w:t>
      </w:r>
      <w:hyperlink w:anchor="b112" w:history="1">
        <w:r>
          <w:rPr>
            <w:color w:val="0A3A8C"/>
            <w:u w:val="single"/>
          </w:rPr>
          <w:t xml:space="preserve">§ 33</w:t>
        </w:r>
      </w:hyperlink>
      <w:r>
        <w:t xml:space="preserve"> einen Pauschbetrag nach Absatz 3 geltend machen (Behinderten-Pauschbetrag). </w:t>
      </w:r>
      <w:r>
        <w:rPr>
          <w:rStyle w:val="Satznummer"/>
        </w:rPr>
        <w:t>2</w:t>
      </w:r>
      <w:r>
        <w:t>Das Wahlrecht kann für die genannten Aufwendungen im jeweiligen Veranlagungszeitraum nur einheitlich ausgeübt werden.</w:t>
      </w:r>
    </w:p>
    <w:p>
      <w:r>
        <w:t>(2) Einen Pauschbetrag erhalten Menschen, deren Grad der Behinderung auf mindestens 20 festgestellt ist, sowie Menschen, die hilflos im Sinne des Absatzes 3 Satz 4 sind.</w:t>
      </w:r>
    </w:p>
    <w:p>
      <w:r>
        <w:t xml:space="preserve">(3) </w:t>
      </w:r>
      <w:r>
        <w:rPr>
          <w:rStyle w:val="Satznummer"/>
        </w:rPr>
        <w:t>1</w:t>
      </w:r>
      <w:r>
        <w:t xml:space="preserve">Die Höhe des Pauschbetrags nach Satz 2 richtet sich nach dem dauernden Grad der Behinderung. </w:t>
      </w:r>
      <w:r>
        <w:rPr>
          <w:rStyle w:val="Satznummer"/>
        </w:rPr>
        <w:t>2</w:t>
      </w:r>
      <w:r>
        <w:t>Als Pauschbetrag werden gewährt bei einem Grad der Behinderung von mindestens:</w:t>
      </w:r>
    </w:p>
    <w:tbl>
      <w:tblPr>
        <w:tblStyle w:val="TableGrid"/>
        <w:tblW w:type="pct" w:w="5000"/>
        <w:tblLook w:firstColumn="1" w:firstRow="1" w:lastColumn="0" w:lastRow="0" w:noHBand="0" w:noVBand="1" w:val="04A0"/>
        <w:tblCaption w:val="Tabelle 1 zu § 33b"/>
      </w:tblPr>
      <w:tblGrid>
        <w:gridCol w:w="4703"/>
        <w:gridCol w:w="4703"/>
      </w:tblGrid>
      <w:tr>
        <w:trPr>
          <w:cantSplit/>
        </w:trPr>
        <w:tc>
          <w:tcPr>
            <w:tcW w:type="dxa" w:w="4703"/>
          </w:tcPr>
          <w:p>
            <w:r>
              <w:t xml:space="preserve">   20</w:t>
            </w:r>
          </w:p>
        </w:tc>
        <w:tc>
          <w:tcPr>
            <w:tcW w:type="dxa" w:w="4703"/>
          </w:tcPr>
          <w:p>
            <w:r>
              <w:t>384 Euro,</w:t>
            </w:r>
          </w:p>
        </w:tc>
      </w:tr>
      <w:tr>
        <w:trPr>
          <w:cantSplit/>
        </w:trPr>
        <w:tc>
          <w:tcPr>
            <w:tcW w:type="dxa" w:w="4703"/>
          </w:tcPr>
          <w:p>
            <w:r>
              <w:t xml:space="preserve">   30</w:t>
            </w:r>
          </w:p>
        </w:tc>
        <w:tc>
          <w:tcPr>
            <w:tcW w:type="dxa" w:w="4703"/>
          </w:tcPr>
          <w:p>
            <w:r>
              <w:t>620 Euro,</w:t>
            </w:r>
          </w:p>
        </w:tc>
      </w:tr>
      <w:tr>
        <w:trPr>
          <w:cantSplit/>
        </w:trPr>
        <w:tc>
          <w:tcPr>
            <w:tcW w:type="dxa" w:w="4703"/>
          </w:tcPr>
          <w:p>
            <w:r>
              <w:t xml:space="preserve">   40</w:t>
            </w:r>
          </w:p>
        </w:tc>
        <w:tc>
          <w:tcPr>
            <w:tcW w:type="dxa" w:w="4703"/>
          </w:tcPr>
          <w:p>
            <w:r>
              <w:t>860 Euro,</w:t>
            </w:r>
          </w:p>
        </w:tc>
      </w:tr>
      <w:tr>
        <w:trPr>
          <w:cantSplit/>
        </w:trPr>
        <w:tc>
          <w:tcPr>
            <w:tcW w:type="dxa" w:w="4703"/>
          </w:tcPr>
          <w:p>
            <w:r>
              <w:t xml:space="preserve">   50</w:t>
            </w:r>
          </w:p>
        </w:tc>
        <w:tc>
          <w:tcPr>
            <w:tcW w:type="dxa" w:w="4703"/>
          </w:tcPr>
          <w:p>
            <w:r>
              <w:t>1 140 Euro,</w:t>
            </w:r>
          </w:p>
        </w:tc>
      </w:tr>
      <w:tr>
        <w:trPr>
          <w:cantSplit/>
        </w:trPr>
        <w:tc>
          <w:tcPr>
            <w:tcW w:type="dxa" w:w="4703"/>
          </w:tcPr>
          <w:p>
            <w:r>
              <w:t xml:space="preserve">   60</w:t>
            </w:r>
          </w:p>
        </w:tc>
        <w:tc>
          <w:tcPr>
            <w:tcW w:type="dxa" w:w="4703"/>
          </w:tcPr>
          <w:p>
            <w:r>
              <w:t>1 440 Euro,</w:t>
            </w:r>
          </w:p>
        </w:tc>
      </w:tr>
      <w:tr>
        <w:trPr>
          <w:cantSplit/>
        </w:trPr>
        <w:tc>
          <w:tcPr>
            <w:tcW w:type="dxa" w:w="4703"/>
          </w:tcPr>
          <w:p>
            <w:r>
              <w:t xml:space="preserve">   70</w:t>
            </w:r>
          </w:p>
        </w:tc>
        <w:tc>
          <w:tcPr>
            <w:tcW w:type="dxa" w:w="4703"/>
          </w:tcPr>
          <w:p>
            <w:r>
              <w:t>1 780 Euro,</w:t>
            </w:r>
          </w:p>
        </w:tc>
      </w:tr>
      <w:tr>
        <w:trPr>
          <w:cantSplit/>
        </w:trPr>
        <w:tc>
          <w:tcPr>
            <w:tcW w:type="dxa" w:w="4703"/>
          </w:tcPr>
          <w:p>
            <w:r>
              <w:t xml:space="preserve">   80</w:t>
            </w:r>
          </w:p>
        </w:tc>
        <w:tc>
          <w:tcPr>
            <w:tcW w:type="dxa" w:w="4703"/>
          </w:tcPr>
          <w:p>
            <w:r>
              <w:t>2 120 Euro,</w:t>
            </w:r>
          </w:p>
        </w:tc>
      </w:tr>
      <w:tr>
        <w:trPr>
          <w:cantSplit/>
        </w:trPr>
        <w:tc>
          <w:tcPr>
            <w:tcW w:type="dxa" w:w="4703"/>
          </w:tcPr>
          <w:p>
            <w:r>
              <w:t xml:space="preserve">   90</w:t>
            </w:r>
          </w:p>
        </w:tc>
        <w:tc>
          <w:tcPr>
            <w:tcW w:type="dxa" w:w="4703"/>
          </w:tcPr>
          <w:p>
            <w:r>
              <w:t>2 460 Euro,</w:t>
            </w:r>
          </w:p>
        </w:tc>
      </w:tr>
      <w:tr>
        <w:trPr>
          <w:cantSplit/>
        </w:trPr>
        <w:tc>
          <w:tcPr>
            <w:tcW w:type="dxa" w:w="4703"/>
          </w:tcPr>
          <w:p>
            <w:r>
              <w:t xml:space="preserve"> 100</w:t>
            </w:r>
          </w:p>
        </w:tc>
        <w:tc>
          <w:tcPr>
            <w:tcW w:type="dxa" w:w="4703"/>
          </w:tcPr>
          <w:p>
            <w:r>
              <w:t>2 840 Euro.</w:t>
            </w:r>
          </w:p>
        </w:tc>
      </w:tr>
    </w:tbl>
    <w:p>
      <w:pPr>
        <w:spacing w:after="0"/>
      </w:pPr>
    </w:p>
    <w:p>
      <w:r>
        <w:rPr>
          <w:rStyle w:val="Satznummer"/>
        </w:rPr>
        <w:t>3</w:t>
      </w:r>
      <w:r>
        <w:t xml:space="preserve">Menschen, die hilflos im Sinne des Satzes 4 sind, Blinde und Taubblinde erhalten einen Pauschbetrag von 7 400 Euro; in diesem Fall kann der Pauschbetrag nach Satz 2 nicht zusätzlich in Anspruch genommen werden. </w:t>
      </w:r>
      <w:r>
        <w:rPr>
          <w:rStyle w:val="Satznummer"/>
        </w:rPr>
        <w:t>4</w:t>
      </w:r>
      <w:r>
        <w:t xml:space="preserve">Hilflos ist eine Person, wenn sie für eine Reihe von häufig und regelmäßig wiederkehrenden Verrichtungen zur Sicherung ihrer persönlichen Existenz im Ablauf eines jeden Tages fremder Hilfe dauernd bedarf. </w:t>
      </w:r>
      <w:r>
        <w:rPr>
          <w:rStyle w:val="Satznummer"/>
        </w:rPr>
        <w:t>5</w:t>
      </w:r>
      <w:r>
        <w:t>Diese Voraussetzungen sind auch erfüllt, wenn die Hilfe in Form einer Überwachung oder einer Anleitung zu den in Satz 4 genannten Verrichtungen erforderlich ist oder wenn die Hilfe zwar nicht dauernd geleistet werden muss, jedoch eine ständige Bereitschaft zur Hilfeleistung erforderlich ist.</w:t>
      </w:r>
    </w:p>
    <w:p>
      <w:r>
        <w:t xml:space="preserve">(4) </w:t>
      </w:r>
      <w:r>
        <w:rPr>
          <w:rStyle w:val="Satznummer"/>
        </w:rPr>
        <w:t>1</w:t>
      </w:r>
      <w:r>
        <w:t>Personen, denen laufende Hinterbliebenenbezüge bewilligt worden sind, erhalten auf Antrag einen Pauschbetrag von 370 Euro (Hinterbliebenen-Pauschbetrag), wenn die Hinterbliebenenbezüge geleistet werden</w:t>
      </w:r>
    </w:p>
    <w:p>
      <w:pPr>
        <w:tabs>
          <w:tab w:pos="567" w:val="left"/>
        </w:tabs>
        <w:ind w:left="567" w:hanging="567"/>
      </w:pPr>
      <w:r>
        <w:t>1.</w:t>
      </w:r>
      <w:r>
        <w:tab/>
      </w:r>
      <w:r>
        <w:t>nach dem Vierzehnten Buch Sozialgesetzbuch oder einem anderen Gesetz, das die Vorschriften des Vierzehnten Buches Sozialgesetzbuch über Hinterbliebenenbezüge für entsprechend anwendbar erklärt, oder</w:t>
      </w:r>
    </w:p>
    <w:p>
      <w:pPr>
        <w:tabs>
          <w:tab w:pos="567" w:val="left"/>
        </w:tabs>
        <w:ind w:left="567" w:hanging="567"/>
      </w:pPr>
      <w:r>
        <w:t>2.</w:t>
      </w:r>
      <w:r>
        <w:tab/>
      </w:r>
      <w:r>
        <w:t>nach den Vorschriften über die gesetzliche Unfallversicherung oder</w:t>
      </w:r>
    </w:p>
    <w:p>
      <w:pPr>
        <w:tabs>
          <w:tab w:pos="567" w:val="left"/>
        </w:tabs>
        <w:ind w:left="567" w:hanging="567"/>
      </w:pPr>
      <w:r>
        <w:t>3.</w:t>
      </w:r>
      <w:r>
        <w:tab/>
      </w:r>
      <w:r>
        <w:t>nach den beamtenrechtlichen Vorschriften an Hinterbliebene eines an den Folgen eines Dienstunfalls verstorbenen Beamten oder</w:t>
      </w:r>
    </w:p>
    <w:p>
      <w:pPr>
        <w:tabs>
          <w:tab w:pos="567" w:val="left"/>
        </w:tabs>
        <w:ind w:left="567" w:hanging="567"/>
      </w:pPr>
      <w:r>
        <w:t>4.</w:t>
      </w:r>
      <w:r>
        <w:tab/>
      </w:r>
      <w:r>
        <w:t>nach den Vorschriften des Bundesentschädigungsgesetzes über die Entschädigung für Schäden an Leben, Körper oder Gesundheit oder</w:t>
      </w:r>
    </w:p>
    <w:p>
      <w:pPr>
        <w:tabs>
          <w:tab w:pos="567" w:val="left"/>
        </w:tabs>
        <w:ind w:left="567" w:hanging="567"/>
      </w:pPr>
      <w:r>
        <w:t>5.</w:t>
      </w:r>
      <w:r>
        <w:tab/>
      </w:r>
      <w:r>
        <w:t>nach den Vorschriften des Soldatenentschädigungsgesetzes.</w:t>
      </w:r>
    </w:p>
    <w:p>
      <w:r>
        <w:rPr>
          <w:rStyle w:val="Satznummer"/>
        </w:rPr>
        <w:t>2</w:t>
      </w:r>
      <w:r>
        <w:t>Der Pauschbetrag wird auch dann gewährt, wenn das Recht auf die Bezüge ruht oder der Anspruch auf die Bezüge durch Zahlung eines Kapitals abgefunden worden ist.</w:t>
      </w:r>
    </w:p>
    <w:p>
      <w:r>
        <w:t xml:space="preserve">(5) </w:t>
      </w:r>
      <w:r>
        <w:rPr>
          <w:rStyle w:val="Satznummer"/>
        </w:rPr>
        <w:t>1</w:t>
      </w:r>
      <w:r>
        <w:t xml:space="preserve">Steht der Behinderten-Pauschbetrag oder der Hinterbliebenen-Pauschbetrag einem Kind zu, für das der Steuerpflichtige Anspruch auf einen Freibetrag nach </w:t>
      </w:r>
      <w:hyperlink w:anchor="b107" w:history="1">
        <w:r>
          <w:rPr>
            <w:color w:val="0A3A8C"/>
            <w:u w:val="single"/>
          </w:rPr>
          <w:t xml:space="preserve">§ 32</w:t>
        </w:r>
      </w:hyperlink>
      <w:r>
        <w:t xml:space="preserve"> Absatz 6 oder auf Kindergeld hat, so wird der Pauschbetrag auf Antrag auf den Steuerpflichtigen übertragen, wenn ihn das Kind nicht in Anspruch nimmt. </w:t>
      </w:r>
      <w:r>
        <w:rPr>
          <w:rStyle w:val="Satznummer"/>
        </w:rPr>
        <w:t>2</w:t>
      </w:r>
      <w:r>
        <w:t xml:space="preserve">Dabei ist der Pauschbetrag grundsätzlich auf beide Elternteile je zur Hälfte aufzuteilen, es sei denn, der Kinderfreibetrag wurde auf den anderen Elternteil übertragen. </w:t>
      </w:r>
      <w:r>
        <w:rPr>
          <w:rStyle w:val="Satznummer"/>
        </w:rPr>
        <w:t>3</w:t>
      </w:r>
      <w:r>
        <w:t xml:space="preserve">Auf gemeinsamen Antrag der Eltern ist eine andere Aufteilung möglich. </w:t>
      </w:r>
      <w:r>
        <w:rPr>
          <w:rStyle w:val="Satznummer"/>
        </w:rPr>
        <w:t>4</w:t>
      </w:r>
      <w:r>
        <w:t xml:space="preserve">In diesen Fällen besteht für Aufwendungen, für die der Behinderten-Pauschbetrag gilt, kein Anspruch auf eine Steuerermäßigung nach </w:t>
      </w:r>
      <w:hyperlink w:anchor="b112" w:history="1">
        <w:r>
          <w:rPr>
            <w:color w:val="0A3A8C"/>
            <w:u w:val="single"/>
          </w:rPr>
          <w:t xml:space="preserve">§ 33</w:t>
        </w:r>
      </w:hyperlink>
      <w:r>
        <w:t xml:space="preserve">. </w:t>
      </w:r>
      <w:r>
        <w:rPr>
          <w:rStyle w:val="Satznummer"/>
        </w:rPr>
        <w:t>5</w:t>
      </w:r>
      <w:r>
        <w:t>Voraussetzung für die Übertragung nach Satz 1 ist die Angabe der erteilten Identifikationsnummer (§ 139b der Abgabenordnung) des Kindes in der Einkommensteuererklärung des Steuerpflichtigen.</w:t>
      </w:r>
    </w:p>
    <w:p>
      <w:r>
        <w:t xml:space="preserve">(6) </w:t>
      </w:r>
      <w:r>
        <w:rPr>
          <w:rStyle w:val="Satznummer"/>
        </w:rPr>
        <w:t>1</w:t>
      </w:r>
      <w:r>
        <w:t xml:space="preserve">Wegen der außergewöhnlichen Belastungen, die einem Steuerpflichtigen durch die Pflege einer Person erwachsen, kann er anstelle einer Steuerermäßigung nach </w:t>
      </w:r>
      <w:hyperlink w:anchor="b112" w:history="1">
        <w:r>
          <w:rPr>
            <w:color w:val="0A3A8C"/>
            <w:u w:val="single"/>
          </w:rPr>
          <w:t xml:space="preserve">§ 33</w:t>
        </w:r>
      </w:hyperlink>
      <w:r>
        <w:t xml:space="preserve"> einen Pauschbetrag geltend machen (Pflege-Pauschbetrag), wenn er dafür keine Einnahmen im Kalenderjahr erhält und der Steuerpflichtige die Pflege entweder in seiner Wohnung oder in der Wohnung des Pflegebedürftigen persönlich durchführt und diese Wohnung in einem Mitgliedstaat der Europäischen Union oder in einem Staat gelegen ist, auf den das Abkommen über den Europäischen Wirtschaftsraum anzuwenden ist. </w:t>
      </w:r>
      <w:r>
        <w:rPr>
          <w:rStyle w:val="Satznummer"/>
        </w:rPr>
        <w:t>2</w:t>
      </w:r>
      <w:r>
        <w:t xml:space="preserve">Zu den Einnahmen nach Satz 1 zählt unabhängig von der Verwendung nicht das von den Eltern eines Kindes mit Behinderungen für dieses Kind empfangene Pflegegeld. </w:t>
      </w:r>
      <w:r>
        <w:rPr>
          <w:rStyle w:val="Satznummer"/>
        </w:rPr>
        <w:t>3</w:t>
      </w:r>
      <w:r>
        <w:t>Als Pflege-Pauschbetrag wird gewährt:</w:t>
      </w:r>
    </w:p>
    <w:p>
      <w:pPr>
        <w:tabs>
          <w:tab w:pos="567" w:val="left"/>
        </w:tabs>
        <w:ind w:left="567" w:hanging="567"/>
      </w:pPr>
      <w:r>
        <w:t>1.</w:t>
      </w:r>
      <w:r>
        <w:tab/>
      </w:r>
    </w:p>
    <w:tbl>
      <w:tblPr>
        <w:tblStyle w:val="TableGrid"/>
        <w:tblW w:type="pct" w:w="5000"/>
        <w:tblLook w:firstColumn="1" w:firstRow="1" w:lastColumn="0" w:lastRow="0" w:noHBand="0" w:noVBand="1" w:val="04A0"/>
        <w:tblCaption w:val="Tabelle 2 zu § 33b"/>
      </w:tblPr>
      <w:tblGrid>
        <w:gridCol w:w="4703"/>
        <w:gridCol w:w="4703"/>
      </w:tblGrid>
      <w:tr>
        <w:trPr>
          <w:cantSplit/>
        </w:trPr>
        <w:tc>
          <w:tcPr>
            <w:tcW w:type="dxa" w:w="4703"/>
          </w:tcPr>
          <w:p>
            <w:r>
              <w:t>bei Pflegegrad 2</w:t>
            </w:r>
          </w:p>
        </w:tc>
        <w:tc>
          <w:tcPr>
            <w:tcW w:type="dxa" w:w="4703"/>
          </w:tcPr>
          <w:p>
            <w:r>
              <w:t>600 Euro,</w:t>
            </w:r>
          </w:p>
        </w:tc>
      </w:tr>
    </w:tbl>
    <w:p>
      <w:pPr>
        <w:spacing w:after="0"/>
      </w:pPr>
    </w:p>
    <w:p>
      <w:pPr>
        <w:tabs>
          <w:tab w:pos="567" w:val="left"/>
        </w:tabs>
        <w:ind w:left="567" w:hanging="567"/>
      </w:pPr>
      <w:r>
        <w:t>2.</w:t>
      </w:r>
      <w:r>
        <w:tab/>
      </w:r>
    </w:p>
    <w:tbl>
      <w:tblPr>
        <w:tblStyle w:val="TableGrid"/>
        <w:tblW w:type="pct" w:w="5000"/>
        <w:tblLook w:firstColumn="1" w:firstRow="1" w:lastColumn="0" w:lastRow="0" w:noHBand="0" w:noVBand="1" w:val="04A0"/>
        <w:tblCaption w:val="Tabelle 3 zu § 33b"/>
      </w:tblPr>
      <w:tblGrid>
        <w:gridCol w:w="4703"/>
        <w:gridCol w:w="4703"/>
      </w:tblGrid>
      <w:tr>
        <w:trPr>
          <w:cantSplit/>
        </w:trPr>
        <w:tc>
          <w:tcPr>
            <w:tcW w:type="dxa" w:w="4703"/>
          </w:tcPr>
          <w:p>
            <w:r>
              <w:t>bei Pflegegrad 3</w:t>
            </w:r>
          </w:p>
        </w:tc>
        <w:tc>
          <w:tcPr>
            <w:tcW w:type="dxa" w:w="4703"/>
          </w:tcPr>
          <w:p>
            <w:r>
              <w:t>1 100 Euro,</w:t>
            </w:r>
          </w:p>
        </w:tc>
      </w:tr>
    </w:tbl>
    <w:p>
      <w:pPr>
        <w:spacing w:after="0"/>
      </w:pPr>
    </w:p>
    <w:p>
      <w:pPr>
        <w:tabs>
          <w:tab w:pos="567" w:val="left"/>
        </w:tabs>
        <w:ind w:left="567" w:hanging="567"/>
      </w:pPr>
      <w:r>
        <w:t>3.</w:t>
      </w:r>
      <w:r>
        <w:tab/>
      </w:r>
    </w:p>
    <w:tbl>
      <w:tblPr>
        <w:tblStyle w:val="TableGrid"/>
        <w:tblW w:type="pct" w:w="5000"/>
        <w:tblLook w:firstColumn="1" w:firstRow="1" w:lastColumn="0" w:lastRow="0" w:noHBand="0" w:noVBand="1" w:val="04A0"/>
        <w:tblCaption w:val="Tabelle 4 zu § 33b"/>
      </w:tblPr>
      <w:tblGrid>
        <w:gridCol w:w="4703"/>
        <w:gridCol w:w="4703"/>
      </w:tblGrid>
      <w:tr>
        <w:trPr>
          <w:cantSplit/>
        </w:trPr>
        <w:tc>
          <w:tcPr>
            <w:tcW w:type="dxa" w:w="4703"/>
          </w:tcPr>
          <w:p>
            <w:r>
              <w:t>bei Pflegegrad 4 oder 5</w:t>
            </w:r>
          </w:p>
        </w:tc>
        <w:tc>
          <w:tcPr>
            <w:tcW w:type="dxa" w:w="4703"/>
          </w:tcPr>
          <w:p>
            <w:r>
              <w:t>1 800 Euro.</w:t>
            </w:r>
          </w:p>
        </w:tc>
      </w:tr>
    </w:tbl>
    <w:p>
      <w:pPr>
        <w:spacing w:after="0"/>
      </w:pPr>
    </w:p>
    <w:p>
      <w:r>
        <w:rPr>
          <w:rStyle w:val="Satznummer"/>
        </w:rPr>
        <w:t>4</w:t>
      </w:r>
      <w:r>
        <w:t xml:space="preserve">Ein Pflege-Pauschbetrag nach Satz 3 Nummer 3 wird auch gewährt, wenn die gepflegte Person hilflos im Sinne des </w:t>
      </w:r>
      <w:hyperlink w:anchor="b114" w:history="1">
        <w:r>
          <w:rPr>
            <w:color w:val="0A3A8C"/>
            <w:u w:val="single"/>
          </w:rPr>
          <w:t xml:space="preserve">§ 33b</w:t>
        </w:r>
      </w:hyperlink>
      <w:r>
        <w:t xml:space="preserve"> Absatz 3 Satz 4 ist. </w:t>
      </w:r>
      <w:r>
        <w:rPr>
          <w:rStyle w:val="Satznummer"/>
        </w:rPr>
        <w:t>5</w:t>
      </w:r>
      <w:r>
        <w:t xml:space="preserve">Bei erstmaliger Feststellung, Änderung oder Wegfall des Pflegegrads im Laufe des Kalenderjahres ist der Pflege-Pauschbetrag nach dem höchsten Grad zu gewähren, der im Kalenderjahr festgestellt war. </w:t>
      </w:r>
      <w:r>
        <w:rPr>
          <w:rStyle w:val="Satznummer"/>
        </w:rPr>
        <w:t>6</w:t>
      </w:r>
      <w:r>
        <w:t xml:space="preserve">Gleiches gilt, wenn die Person die Voraussetzungen nach Satz 4 erfüllt. </w:t>
      </w:r>
      <w:r>
        <w:rPr>
          <w:rStyle w:val="Satznummer"/>
        </w:rPr>
        <w:t>7</w:t>
      </w:r>
      <w:r>
        <w:t xml:space="preserve">Sind die Voraussetzungen nach Satz 4 erfüllt, kann der Pauschbetrag nach Satz 3 Nummer 1 und 2 nicht zusätzlich in Anspruch genommen werden. </w:t>
      </w:r>
      <w:r>
        <w:rPr>
          <w:rStyle w:val="Satznummer"/>
        </w:rPr>
        <w:t>8</w:t>
      </w:r>
      <w:r>
        <w:t xml:space="preserve">Voraussetzung für die Gewährung des Pflege-Pauschbetrags ist die Angabe der erteilten Identifikationsnummer (§ 139b der Abgabenordnung) der gepflegten Person in der Einkommensteuererklärung des Steuerpflichtigen. </w:t>
      </w:r>
      <w:r>
        <w:rPr>
          <w:rStyle w:val="Satznummer"/>
        </w:rPr>
        <w:t>9</w:t>
      </w:r>
      <w:r>
        <w:t>Wird ein Pflegebedürftiger von mehreren Steuerpflichtigen im Veranlagungszeitraum gepflegt, wird der Pflege-Pauschbetrag nach der Zahl der Pflegepersonen, bei denen die Voraussetzungen der Sätze 1 bis 4 vorliegen, geteilt.</w:t>
      </w:r>
    </w:p>
    <w:p>
      <w:r>
        <w:t xml:space="preserve">(7) </w:t>
      </w:r>
      <w:r>
        <w:rPr>
          <w:rStyle w:val="Satznummer"/>
        </w:rPr>
        <w:t>1</w:t>
      </w:r>
      <w:r>
        <w:t xml:space="preserve">Die Bundesregierung wird ermächtigt, durch Rechtsverordnung mit Zustimmung des Bundesrates zu bestimmen, wie nachzuweisen ist, dass die Voraussetzungen für die Inanspruchnahme der Pauschbeträge vorliegen. </w:t>
      </w:r>
      <w:r>
        <w:rPr>
          <w:rStyle w:val="Satznummer"/>
        </w:rPr>
        <w:t>2</w:t>
      </w:r>
      <w:r>
        <w:t>Dabei ist der Nachweis vorrangig durch elektronische Mitteilungsverfahren zu führen.</w:t>
      </w:r>
    </w:p>
    <w:p>
      <w:r>
        <w:t xml:space="preserve">(8) Die Vorschrift des </w:t>
      </w:r>
      <w:hyperlink w:anchor="b114" w:history="1">
        <w:r>
          <w:rPr>
            <w:color w:val="0A3A8C"/>
            <w:u w:val="single"/>
          </w:rPr>
          <w:t xml:space="preserve">§ 33b</w:t>
        </w:r>
      </w:hyperlink>
      <w:r>
        <w:t xml:space="preserve"> Absatz 6 ist ab Ende des Kalenderjahres 2026 zu evaluieren.</w:t>
      </w:r>
    </w:p>
    <w:p>
      <w:pPr>
        <w:pStyle w:val="Heading2"/>
      </w:pPr>
      <w:bookmarkStart w:id="116" w:name="b115"/>
      <w:r>
        <w:t>§ 34 Außerordentliche Einkünfte</w:t>
      </w:r>
      <w:r>
        <w:t xml:space="preserve"> </w:t>
      </w:r>
      <w:r>
        <w:rPr>
          <w:rStyle w:val="Suchmarke"/>
        </w:rPr>
        <w:t>#34#</w:t>
      </w:r>
      <w:bookmarkEnd w:id="116"/>
    </w:p>
    <w:p>
      <w:r>
        <w:t xml:space="preserve">(1) </w:t>
      </w:r>
      <w:r>
        <w:rPr>
          <w:rStyle w:val="Satznummer"/>
        </w:rPr>
        <w:t>1</w:t>
      </w:r>
      <w:r>
        <w:t xml:space="preserve">Sind in dem zu versteuernden Einkommen außerordentliche Einkünfte enthalten, so ist die auf alle im Veranlagungszeitraum bezogenen außerordentlichen Einkünfte entfallende Einkommensteuer nach den Sätzen 2 bis 4 zu berechnen. </w:t>
      </w:r>
      <w:r>
        <w:rPr>
          <w:rStyle w:val="Satznummer"/>
        </w:rPr>
        <w:t>2</w:t>
      </w:r>
      <w:r>
        <w:t xml:space="preserve">Die für die außerordentlichen Einkünfte anzusetzende Einkommensteuer beträgt das Fünffache des Unterschiedsbetrags zwischen der Einkommensteuer für das um diese Einkünfte verminderte zu versteuernde Einkommen (verbleibendes zu versteuerndes Einkommen) und der Einkommensteuer für das verbleibende zu versteuernde Einkommen zuzüglich eines Fünftels dieser Einkünfte. </w:t>
      </w:r>
      <w:r>
        <w:rPr>
          <w:rStyle w:val="Satznummer"/>
        </w:rPr>
        <w:t>3</w:t>
      </w:r>
      <w:r>
        <w:t xml:space="preserve">Ist das verbleibende zu versteuernde Einkommen negativ und das zu versteuernde Einkommen positiv, so beträgt die Einkommensteuer das Fünffache der auf ein Fünftel des zu versteuernden Einkommens entfallenden Einkommensteuer. </w:t>
      </w:r>
      <w:r>
        <w:rPr>
          <w:rStyle w:val="Satznummer"/>
        </w:rPr>
        <w:t>4</w:t>
      </w:r>
      <w:r>
        <w:t xml:space="preserve">Die Sätze 1 bis 3 gelten nicht für außerordentliche Einkünfte im Sinne des Absatzes 2 Nummer 1, wenn der Steuerpflichtige auf diese Einkünfte ganz oder teilweise </w:t>
      </w:r>
      <w:hyperlink w:anchor="b30" w:history="1">
        <w:r>
          <w:rPr>
            <w:color w:val="0A3A8C"/>
            <w:u w:val="single"/>
          </w:rPr>
          <w:t xml:space="preserve">§ 6b</w:t>
        </w:r>
      </w:hyperlink>
      <w:r>
        <w:t xml:space="preserve"> oder </w:t>
      </w:r>
      <w:hyperlink w:anchor="b31" w:history="1">
        <w:r>
          <w:rPr>
            <w:color w:val="0A3A8C"/>
            <w:u w:val="single"/>
          </w:rPr>
          <w:t xml:space="preserve">§ 6c</w:t>
        </w:r>
      </w:hyperlink>
      <w:r>
        <w:t xml:space="preserve"> anwendet.</w:t>
      </w:r>
    </w:p>
    <w:p>
      <w:r>
        <w:t>(2) Als außerordentliche Einkünfte kommen nur in Betracht:</w:t>
      </w:r>
    </w:p>
    <w:p>
      <w:pPr>
        <w:tabs>
          <w:tab w:pos="567" w:val="left"/>
        </w:tabs>
        <w:ind w:left="567" w:hanging="567"/>
      </w:pPr>
      <w:r>
        <w:t>1.</w:t>
      </w:r>
      <w:r>
        <w:tab/>
      </w:r>
      <w:r>
        <w:t xml:space="preserve">Veräußerungsgewinne im Sinne der </w:t>
      </w:r>
      <w:hyperlink w:anchor="b72" w:history="1">
        <w:r>
          <w:rPr>
            <w:color w:val="0A3A8C"/>
            <w:u w:val="single"/>
          </w:rPr>
          <w:t xml:space="preserve">§§ 14</w:t>
        </w:r>
      </w:hyperlink>
      <w:r>
        <w:t xml:space="preserve">, </w:t>
      </w:r>
      <w:hyperlink w:anchor="b73" w:history="1">
        <w:r>
          <w:rPr>
            <w:color w:val="0A3A8C"/>
            <w:u w:val="single"/>
          </w:rPr>
          <w:t xml:space="preserve">14a</w:t>
        </w:r>
      </w:hyperlink>
      <w:r>
        <w:t xml:space="preserve"> Absatz 1, der </w:t>
      </w:r>
      <w:hyperlink w:anchor="b78" w:history="1">
        <w:r>
          <w:rPr>
            <w:color w:val="0A3A8C"/>
            <w:u w:val="single"/>
          </w:rPr>
          <w:t xml:space="preserve">§§ 16</w:t>
        </w:r>
      </w:hyperlink>
      <w:r>
        <w:t xml:space="preserve"> und </w:t>
      </w:r>
      <w:hyperlink w:anchor="b81" w:history="1">
        <w:r>
          <w:rPr>
            <w:color w:val="0A3A8C"/>
            <w:u w:val="single"/>
          </w:rPr>
          <w:t xml:space="preserve">18</w:t>
        </w:r>
      </w:hyperlink>
      <w:r>
        <w:t xml:space="preserve"> Absatz 3 mit Ausnahme des steuerpflichtigen Teils der Veräußerungsgewinne, die nach § 3 Nummer 40 Buchstabe b in Verbindung mit </w:t>
      </w:r>
      <w:hyperlink w:anchor="b11" w:history="1">
        <w:r>
          <w:rPr>
            <w:color w:val="0A3A8C"/>
            <w:u w:val="single"/>
          </w:rPr>
          <w:t xml:space="preserve">§ 3c</w:t>
        </w:r>
      </w:hyperlink>
      <w:r>
        <w:t xml:space="preserve"> Absatz 2 teilweise steuerbefreit sind;</w:t>
      </w:r>
    </w:p>
    <w:p>
      <w:pPr>
        <w:tabs>
          <w:tab w:pos="567" w:val="left"/>
        </w:tabs>
        <w:ind w:left="567" w:hanging="567"/>
      </w:pPr>
      <w:r>
        <w:t>2.</w:t>
      </w:r>
      <w:r>
        <w:tab/>
      </w:r>
      <w:r>
        <w:t xml:space="preserve">Entschädigungen im Sinne des </w:t>
      </w:r>
      <w:hyperlink w:anchor="b94" w:history="1">
        <w:r>
          <w:rPr>
            <w:color w:val="0A3A8C"/>
            <w:u w:val="single"/>
          </w:rPr>
          <w:t xml:space="preserve">§ 24</w:t>
        </w:r>
      </w:hyperlink>
      <w:r>
        <w:t xml:space="preserve"> Nummer 1;</w:t>
      </w:r>
    </w:p>
    <w:p>
      <w:pPr>
        <w:tabs>
          <w:tab w:pos="567" w:val="left"/>
        </w:tabs>
        <w:ind w:left="567" w:hanging="567"/>
      </w:pPr>
      <w:r>
        <w:t>3.</w:t>
      </w:r>
      <w:r>
        <w:tab/>
      </w:r>
      <w:r>
        <w:t xml:space="preserve">Nutzungsvergütungen und Zinsen im Sinne des </w:t>
      </w:r>
      <w:hyperlink w:anchor="b94" w:history="1">
        <w:r>
          <w:rPr>
            <w:color w:val="0A3A8C"/>
            <w:u w:val="single"/>
          </w:rPr>
          <w:t xml:space="preserve">§ 24</w:t>
        </w:r>
      </w:hyperlink>
      <w:r>
        <w:t xml:space="preserve"> Nummer 3, soweit sie für einen Zeitraum von mehr als drei Jahren nachgezahlt werden;</w:t>
      </w:r>
    </w:p>
    <w:p>
      <w:pPr>
        <w:tabs>
          <w:tab w:pos="567" w:val="left"/>
        </w:tabs>
        <w:ind w:left="567" w:hanging="567"/>
      </w:pPr>
      <w:r>
        <w:t>4.</w:t>
      </w:r>
      <w:r>
        <w:tab/>
      </w:r>
      <w:r>
        <w:t>Vergütungen für mehrjährige Tätigkeiten; mehrjährig ist eine Tätigkeit, soweit sie sich über mindestens zwei Veranlagungszeiträume erstreckt und einen Zeitraum von mehr als zwölf Monaten umfasst.</w:t>
      </w:r>
    </w:p>
    <w:p>
      <w:r>
        <w:t xml:space="preserve">(3) </w:t>
      </w:r>
      <w:r>
        <w:rPr>
          <w:rStyle w:val="Satznummer"/>
        </w:rPr>
        <w:t>1</w:t>
      </w:r>
      <w:r>
        <w:t xml:space="preserve">Sind in dem zu versteuernden Einkommen außerordentliche Einkünfte im Sinne des Absatzes 2 Nummer 1 enthalten, so kann auf Antrag abweichend von Absatz 1 die auf den Teil dieser außerordentlichen Einkünfte, der den Betrag von insgesamt 5 Millionen Euro nicht übersteigt, entfallende Einkommensteuer nach einem ermäßigten Steuersatz bemessen werden, wenn der Steuerpflichtige das 55. Lebensjahr vollendet hat oder wenn er im sozialversicherungsrechtlichen Sinne dauernd berufsunfähig ist. </w:t>
      </w:r>
      <w:r>
        <w:rPr>
          <w:rStyle w:val="Satznummer"/>
        </w:rPr>
        <w:t>2</w:t>
      </w:r>
      <w:r>
        <w:t xml:space="preserve">Der ermäßigte Steuersatz beträgt 56 Prozent des durchschnittlichen Steuersatzes, der sich ergäbe, wenn die tarifliche Einkommensteuer nach dem gesamten zu versteuernden Einkommen zuzüglich der dem Progressionsvorbehalt unterliegenden Einkünfte zu bemessen wäre, mindestens jedoch 14 Prozent. </w:t>
      </w:r>
      <w:r>
        <w:rPr>
          <w:rStyle w:val="Satznummer"/>
        </w:rPr>
        <w:t>3</w:t>
      </w:r>
      <w:r>
        <w:t xml:space="preserve">Auf das um die in Satz 1 genannten Einkünfte verminderte zu versteuernde Einkommen (verbleibendes zu versteuerndes Einkommen) sind vorbehaltlich des Absatzes 1 die allgemeinen Tarifvorschriften anzuwenden. </w:t>
      </w:r>
      <w:r>
        <w:rPr>
          <w:rStyle w:val="Satznummer"/>
        </w:rPr>
        <w:t>4</w:t>
      </w:r>
      <w:r>
        <w:t xml:space="preserve">Die Ermäßigung nach den Sätzen 1 bis 3 kann der Steuerpflichtige nur einmal im Leben in Anspruch nehmen. </w:t>
      </w:r>
      <w:r>
        <w:rPr>
          <w:rStyle w:val="Satznummer"/>
        </w:rPr>
        <w:t>5</w:t>
      </w:r>
      <w:r>
        <w:t xml:space="preserve">Erzielt der Steuerpflichtige in einem Veranlagungszeitraum mehr als einen Veräußerungs- oder Aufgabegewinn im Sinne des Satzes 1, kann er die Ermäßigung nach den Sätzen 1 bis 3 nur für einen Veräußerungs- oder Aufgabegewinn beantragen. </w:t>
      </w:r>
      <w:r>
        <w:rPr>
          <w:rStyle w:val="Satznummer"/>
        </w:rPr>
        <w:t>6</w:t>
      </w:r>
      <w:r>
        <w:t>Absatz 1 Satz 4 ist entsprechend anzuwenden.</w:t>
      </w:r>
    </w:p>
    <w:p>
      <w:pPr>
        <w:pStyle w:val="Heading2"/>
      </w:pPr>
      <w:bookmarkStart w:id="117" w:name="b116"/>
      <w:r>
        <w:t>§ 34a Begünstigung der nicht entnommenen Gewinne</w:t>
      </w:r>
      <w:r>
        <w:t xml:space="preserve"> </w:t>
      </w:r>
      <w:r>
        <w:rPr>
          <w:rStyle w:val="Suchmarke"/>
        </w:rPr>
        <w:t>#34a#</w:t>
      </w:r>
      <w:bookmarkEnd w:id="117"/>
    </w:p>
    <w:p>
      <w:r>
        <w:t xml:space="preserve">(1) </w:t>
      </w:r>
      <w:r>
        <w:rPr>
          <w:rStyle w:val="Satznummer"/>
        </w:rPr>
        <w:t>1</w:t>
      </w:r>
      <w:r>
        <w:t>Sind in dem zu versteuernden Einkommen nicht entnommene Gewinne aus Land- und Forstwirtschaft, Gewerbebetrieb oder selbständiger Arbeit (</w:t>
      </w:r>
      <w:hyperlink w:anchor="b5" w:history="1">
        <w:r>
          <w:rPr>
            <w:color w:val="0A3A8C"/>
            <w:u w:val="single"/>
          </w:rPr>
          <w:t xml:space="preserve">§ 2</w:t>
        </w:r>
      </w:hyperlink>
      <w:r>
        <w:t xml:space="preserve"> Absatz 1 Satz 1 Nummer 1 bis 3) nach Absatz 2 enthalten, ist die Einkommensteuer für diese Gewinne auf Antrag des Steuerpflichtigen ganz oder teilweise mit einem Steuersatz von</w:t>
      </w:r>
    </w:p>
    <w:p>
      <w:pPr>
        <w:tabs>
          <w:tab w:pos="567" w:val="left"/>
        </w:tabs>
        <w:ind w:left="567" w:hanging="567"/>
      </w:pPr>
      <w:r>
        <w:t>1.</w:t>
      </w:r>
      <w:r>
        <w:tab/>
      </w:r>
      <w:r>
        <w:t>28,25 Prozent für Veranlagungszeiträume bis 2027,</w:t>
      </w:r>
    </w:p>
    <w:p>
      <w:pPr>
        <w:tabs>
          <w:tab w:pos="567" w:val="left"/>
        </w:tabs>
        <w:ind w:left="567" w:hanging="567"/>
      </w:pPr>
      <w:r>
        <w:t>2.</w:t>
      </w:r>
      <w:r>
        <w:tab/>
      </w:r>
      <w:r>
        <w:t>27 Prozent für die Veranlagungszeiträume 2028 und 2029,</w:t>
      </w:r>
    </w:p>
    <w:p>
      <w:pPr>
        <w:tabs>
          <w:tab w:pos="567" w:val="left"/>
        </w:tabs>
        <w:ind w:left="567" w:hanging="567"/>
      </w:pPr>
      <w:r>
        <w:t>3.</w:t>
      </w:r>
      <w:r>
        <w:tab/>
      </w:r>
      <w:r>
        <w:t>26 Prozent für die Veranlagungszeiträume 2030 und 2031 und</w:t>
      </w:r>
    </w:p>
    <w:p>
      <w:pPr>
        <w:tabs>
          <w:tab w:pos="567" w:val="left"/>
        </w:tabs>
        <w:ind w:left="567" w:hanging="567"/>
      </w:pPr>
      <w:r>
        <w:t>4.</w:t>
      </w:r>
      <w:r>
        <w:tab/>
      </w:r>
      <w:r>
        <w:t>25 Prozent für Veranlagungszeiträume ab 2032</w:t>
      </w:r>
    </w:p>
    <w:p>
      <w:r>
        <w:t xml:space="preserve">zu berechnen; dies gilt nicht, soweit für die Gewinne der Freibetrag nach </w:t>
      </w:r>
      <w:hyperlink w:anchor="b78" w:history="1">
        <w:r>
          <w:rPr>
            <w:color w:val="0A3A8C"/>
            <w:u w:val="single"/>
          </w:rPr>
          <w:t xml:space="preserve">§ 16</w:t>
        </w:r>
      </w:hyperlink>
      <w:r>
        <w:t xml:space="preserve"> Absatz 4 oder die Steuerermäßigung nach § 34 Absatz 3 in Anspruch genommen wird oder es sich um Gewinne nach </w:t>
      </w:r>
      <w:hyperlink w:anchor="b81" w:history="1">
        <w:r>
          <w:rPr>
            <w:color w:val="0A3A8C"/>
            <w:u w:val="single"/>
          </w:rPr>
          <w:t xml:space="preserve">§ 18</w:t>
        </w:r>
      </w:hyperlink>
      <w:r>
        <w:t xml:space="preserve"> Absatz 1 Nummer 4 handelt. </w:t>
      </w:r>
      <w:r>
        <w:rPr>
          <w:rStyle w:val="Satznummer"/>
        </w:rPr>
        <w:t>2</w:t>
      </w:r>
      <w:r>
        <w:t xml:space="preserve">Der Antrag nach Satz 1 ist für jeden Betrieb oder Mitunternehmeranteil für jeden Veranlagungszeitraum gesondert bei dem für die Einkommensbesteuerung zuständigen Finanzamt zu stellen. </w:t>
      </w:r>
      <w:r>
        <w:rPr>
          <w:rStyle w:val="Satznummer"/>
        </w:rPr>
        <w:t>3</w:t>
      </w:r>
      <w:r>
        <w:t xml:space="preserve">§ 233a Absatz 2a der Abgabenordnung ist entsprechend anzuwenden. </w:t>
      </w:r>
      <w:r>
        <w:rPr>
          <w:rStyle w:val="Satznummer"/>
        </w:rPr>
        <w:t>4</w:t>
      </w:r>
      <w:r>
        <w:t xml:space="preserve">Bei Mitunternehmeranteilen kann der Steuerpflichtige den Antrag nur stellen, wenn sein Anteil am nach </w:t>
      </w:r>
      <w:hyperlink w:anchor="b13" w:history="1">
        <w:r>
          <w:rPr>
            <w:color w:val="0A3A8C"/>
            <w:u w:val="single"/>
          </w:rPr>
          <w:t xml:space="preserve">§ 4</w:t>
        </w:r>
      </w:hyperlink>
      <w:r>
        <w:t xml:space="preserve"> Absatz 1 Satz 1 oder </w:t>
      </w:r>
      <w:hyperlink w:anchor="b25" w:history="1">
        <w:r>
          <w:rPr>
            <w:color w:val="0A3A8C"/>
            <w:u w:val="single"/>
          </w:rPr>
          <w:t xml:space="preserve">§ 5</w:t>
        </w:r>
      </w:hyperlink>
      <w:r>
        <w:t xml:space="preserve"> ermittelten Gewinn mehr als 10 Prozent beträgt oder 10 000 Euro übersteigt. </w:t>
      </w:r>
      <w:r>
        <w:rPr>
          <w:rStyle w:val="Satznummer"/>
        </w:rPr>
        <w:t>5</w:t>
      </w:r>
      <w:r>
        <w:t xml:space="preserve">Der Antrag kann bis zur Unanfechtbarkeit des Einkommensteuerbescheids für den nächsten Veranlagungszeitraum vom Steuerpflichtigen ganz oder teilweise zurückgenommen werden; der Einkommensteuerbescheid ist entsprechend zu ändern. </w:t>
      </w:r>
      <w:r>
        <w:rPr>
          <w:rStyle w:val="Satznummer"/>
        </w:rPr>
        <w:t>6</w:t>
      </w:r>
      <w:r>
        <w:t>Die Festsetzungsfrist endet insoweit nicht, bevor die Festsetzungsfrist für den nächsten Veranlagungszeitraum abgelaufen ist.</w:t>
      </w:r>
    </w:p>
    <w:p>
      <w:r>
        <w:t xml:space="preserve">(2) </w:t>
      </w:r>
      <w:r>
        <w:rPr>
          <w:rStyle w:val="Satznummer"/>
        </w:rPr>
        <w:t>1</w:t>
      </w:r>
      <w:r>
        <w:t xml:space="preserve">Der nicht entnommene Gewinn des Betriebs oder Mitunternehmeranteils ist der nach </w:t>
      </w:r>
      <w:hyperlink w:anchor="b13" w:history="1">
        <w:r>
          <w:rPr>
            <w:color w:val="0A3A8C"/>
            <w:u w:val="single"/>
          </w:rPr>
          <w:t xml:space="preserve">§ 4</w:t>
        </w:r>
      </w:hyperlink>
      <w:r>
        <w:t xml:space="preserve"> Absatz 1 Satz 1 oder </w:t>
      </w:r>
      <w:hyperlink w:anchor="b25" w:history="1">
        <w:r>
          <w:rPr>
            <w:color w:val="0A3A8C"/>
            <w:u w:val="single"/>
          </w:rPr>
          <w:t xml:space="preserve">§ 5</w:t>
        </w:r>
      </w:hyperlink>
      <w:r>
        <w:t xml:space="preserve"> ermittelte Gewinn vermindert um den positiven Saldo der Entnahmen und Einlagen des Wirtschaftsjahres vermehrt um die Gewerbesteuer des Wirtschaftsjahres. </w:t>
      </w:r>
      <w:r>
        <w:rPr>
          <w:rStyle w:val="Satznummer"/>
        </w:rPr>
        <w:t>2</w:t>
      </w:r>
      <w:r>
        <w:t xml:space="preserve">Entnahmen für die Zahlung der Einkommensteuer nach Absatz 1 Satz 1 und des darauf entfallenden Solidaritätszuschlages bleiben außer Ansatz. </w:t>
      </w:r>
      <w:r>
        <w:rPr>
          <w:rStyle w:val="Satznummer"/>
        </w:rPr>
        <w:t>3</w:t>
      </w:r>
      <w:r>
        <w:t>Entnahmen gelten vorrangig bis zur Höhe der Einkommensteuer im Sinne des Absatzes 1 Satz 1 und des darauf entfallenden Solidaritätszuschlages als zur Zahlung dieser Beträge verwendet.</w:t>
      </w:r>
    </w:p>
    <w:p>
      <w:r>
        <w:t xml:space="preserve">(3) </w:t>
      </w:r>
      <w:r>
        <w:rPr>
          <w:rStyle w:val="Satznummer"/>
        </w:rPr>
        <w:t>1</w:t>
      </w:r>
      <w:r>
        <w:t xml:space="preserve">Der Begünstigungsbetrag ist der im Veranlagungszeitraum nach Absatz 1 Satz 1 auf Antrag begünstigte Gewinn. </w:t>
      </w:r>
      <w:r>
        <w:rPr>
          <w:rStyle w:val="Satznummer"/>
        </w:rPr>
        <w:t>2</w:t>
      </w:r>
      <w:r>
        <w:t xml:space="preserve">Der Begünstigungsbetrag des Veranlagungszeitraums, vermindert um die darauf entfallende Steuerbelastung nach Absatz 1 und den darauf entfallenden Solidaritätszuschlag, vermehrt um den nachversteuerungspflichtigen Betrag des Vorjahres und den auf diesen Betrieb oder Mitunternehmeranteil nach Absatz 5 übertragenen nachversteuerungspflichtigen Betrag, vermindert um den Nachversteuerungsbetrag im Sinne des Absatzes 4 und den auf einen anderen Betrieb oder Mitunternehmeranteil nach Absatz 5 übertragenen nachversteuerungspflichtigen Betrag, ist der nachversteuerungspflichtige Betrag des Betriebs oder Mitunternehmeranteils zum Ende des Veranlagungszeitraums. </w:t>
      </w:r>
      <w:r>
        <w:rPr>
          <w:rStyle w:val="Satznummer"/>
        </w:rPr>
        <w:t>3</w:t>
      </w:r>
      <w:r>
        <w:t>Dieser ist für jeden Betrieb oder Mitunternehmeranteil jährlich gesondert festzustellen.</w:t>
      </w:r>
    </w:p>
    <w:p>
      <w:r>
        <w:t xml:space="preserve">(4) </w:t>
      </w:r>
      <w:r>
        <w:rPr>
          <w:rStyle w:val="Satznummer"/>
        </w:rPr>
        <w:t>1</w:t>
      </w:r>
      <w:r>
        <w:t xml:space="preserve">Übersteigt der positive Saldo der Entnahmen und Einlagen des Wirtschaftsjahres bei einem Betrieb oder Mitunternehmeranteil den nach </w:t>
      </w:r>
      <w:hyperlink w:anchor="b13" w:history="1">
        <w:r>
          <w:rPr>
            <w:color w:val="0A3A8C"/>
            <w:u w:val="single"/>
          </w:rPr>
          <w:t xml:space="preserve">§ 4</w:t>
        </w:r>
      </w:hyperlink>
      <w:r>
        <w:t xml:space="preserve"> Absatz 1 Satz 1 oder </w:t>
      </w:r>
      <w:hyperlink w:anchor="b25" w:history="1">
        <w:r>
          <w:rPr>
            <w:color w:val="0A3A8C"/>
            <w:u w:val="single"/>
          </w:rPr>
          <w:t xml:space="preserve">§ 5</w:t>
        </w:r>
      </w:hyperlink>
      <w:r>
        <w:t xml:space="preserve"> ermittelten Gewinn (Nachversteuerungsbetrag), ist vorbehaltlich Absatz 5 eine Nachversteuerung durchzuführen, soweit zum Ende des vorangegangenen Veranlagungszeitraums ein nachversteuerungspflichtiger Betrag nach Absatz 3 festgestellt wurde. </w:t>
      </w:r>
      <w:r>
        <w:rPr>
          <w:rStyle w:val="Satznummer"/>
        </w:rPr>
        <w:t>2</w:t>
      </w:r>
      <w:r>
        <w:t xml:space="preserve">Die Einkommensteuer auf den Nachversteuerungsbetrag beträgt 25 Prozent. </w:t>
      </w:r>
      <w:r>
        <w:rPr>
          <w:rStyle w:val="Satznummer"/>
        </w:rPr>
        <w:t>3</w:t>
      </w:r>
      <w:r>
        <w:t>Der Nachversteuerungsbetrag ist um die Beträge, die für die Erbschaftsteuer (Schenkungsteuer) anlässlich der Übertragung des Betriebs oder Mitunternehmeranteils entnommen wurden, zu vermindern.</w:t>
      </w:r>
    </w:p>
    <w:p>
      <w:r>
        <w:t xml:space="preserve">(5) </w:t>
      </w:r>
      <w:r>
        <w:rPr>
          <w:rStyle w:val="Satznummer"/>
        </w:rPr>
        <w:t>1</w:t>
      </w:r>
      <w:r>
        <w:t xml:space="preserve">Die Übertragung oder Überführung eines Wirtschaftsguts nach </w:t>
      </w:r>
      <w:hyperlink w:anchor="b28" w:history="1">
        <w:r>
          <w:rPr>
            <w:color w:val="0A3A8C"/>
            <w:u w:val="single"/>
          </w:rPr>
          <w:t xml:space="preserve">§ 6</w:t>
        </w:r>
      </w:hyperlink>
      <w:r>
        <w:t xml:space="preserve"> Absatz 5 Satz 1 bis 3 führt unter den Voraussetzungen des Absatzes 4 zur Nachversteuerung. </w:t>
      </w:r>
      <w:r>
        <w:rPr>
          <w:rStyle w:val="Satznummer"/>
        </w:rPr>
        <w:t>2</w:t>
      </w:r>
      <w:r>
        <w:t>Eine Nachversteuerung findet nicht statt, wenn der Steuerpflichtige beantragt, den nachversteuerungspflichtigen Betrag in Höhe des Buchwerts des übertragenen oder überführten Wirtschaftsguts, höchstens jedoch in Höhe des Nachversteuerungsbetrags, den die Übertragung oder Überführung des Wirtschaftsguts ausgelöst hätte, auf den anderen Betrieb oder Mitunternehmeranteil zu übertragen.</w:t>
      </w:r>
    </w:p>
    <w:p>
      <w:r>
        <w:t xml:space="preserve">(6) </w:t>
      </w:r>
      <w:r>
        <w:rPr>
          <w:rStyle w:val="Satznummer"/>
        </w:rPr>
        <w:t>1</w:t>
      </w:r>
      <w:r>
        <w:t>Eine Nachversteuerung des nachversteuerungspflichtigen Betrags nach Absatz 4 ist durchzuführen</w:t>
      </w:r>
    </w:p>
    <w:p>
      <w:pPr>
        <w:tabs>
          <w:tab w:pos="567" w:val="left"/>
        </w:tabs>
        <w:ind w:left="567" w:hanging="567"/>
      </w:pPr>
      <w:r>
        <w:t>1.</w:t>
      </w:r>
      <w:r>
        <w:tab/>
      </w:r>
      <w:r>
        <w:t xml:space="preserve">in den Fällen der Betriebsveräußerung oder -aufgabe im Sinne der </w:t>
      </w:r>
      <w:hyperlink w:anchor="b72" w:history="1">
        <w:r>
          <w:rPr>
            <w:color w:val="0A3A8C"/>
            <w:u w:val="single"/>
          </w:rPr>
          <w:t xml:space="preserve">§§ 14</w:t>
        </w:r>
      </w:hyperlink>
      <w:r>
        <w:t xml:space="preserve">, </w:t>
      </w:r>
      <w:hyperlink w:anchor="b78" w:history="1">
        <w:r>
          <w:rPr>
            <w:color w:val="0A3A8C"/>
            <w:u w:val="single"/>
          </w:rPr>
          <w:t xml:space="preserve">16</w:t>
        </w:r>
      </w:hyperlink>
      <w:r>
        <w:t xml:space="preserve"> Absatz 1 und 3 sowie des </w:t>
      </w:r>
      <w:hyperlink w:anchor="b81" w:history="1">
        <w:r>
          <w:rPr>
            <w:color w:val="0A3A8C"/>
            <w:u w:val="single"/>
          </w:rPr>
          <w:t xml:space="preserve">§ 18</w:t>
        </w:r>
      </w:hyperlink>
      <w:r>
        <w:t xml:space="preserve"> Absatz 3;</w:t>
      </w:r>
    </w:p>
    <w:p>
      <w:pPr>
        <w:tabs>
          <w:tab w:pos="567" w:val="left"/>
        </w:tabs>
        <w:ind w:left="567" w:hanging="567"/>
      </w:pPr>
      <w:r>
        <w:t>2.</w:t>
      </w:r>
      <w:r>
        <w:tab/>
      </w:r>
      <w:r>
        <w:t>in den Fällen der Einbringung eines Betriebs oder Mitunternehmeranteils in eine Kapitalgesellschaft oder eine Genossenschaft sowie in den Fällen des Formwechsels einer Personengesellschaft in eine Kapitalgesellschaft oder Genossenschaft;</w:t>
      </w:r>
    </w:p>
    <w:p>
      <w:pPr>
        <w:tabs>
          <w:tab w:pos="567" w:val="left"/>
        </w:tabs>
        <w:ind w:left="567" w:hanging="567"/>
      </w:pPr>
      <w:r>
        <w:t>3.</w:t>
      </w:r>
      <w:r>
        <w:tab/>
      </w:r>
      <w:r>
        <w:t xml:space="preserve">in den Fällen der unentgeltlichen Übertragung eines Betriebs oder Mitunternehmeranteils nach </w:t>
      </w:r>
      <w:hyperlink w:anchor="b28" w:history="1">
        <w:r>
          <w:rPr>
            <w:color w:val="0A3A8C"/>
            <w:u w:val="single"/>
          </w:rPr>
          <w:t xml:space="preserve">§ 6</w:t>
        </w:r>
      </w:hyperlink>
      <w:r>
        <w:t xml:space="preserve"> Absatz 3, wenn die Übertragung an eine Körperschaft, Personenvereinigung oder Vermögensmasse erfolgt. </w:t>
      </w:r>
      <w:r>
        <w:rPr>
          <w:rStyle w:val="Satznummer"/>
        </w:rPr>
        <w:t>2</w:t>
      </w:r>
      <w:r>
        <w:t xml:space="preserve">Ein Fall der unentgeltlichen Übertragung liegt auch vor, wenn der Mitunternehmer ausscheidet und sein Anteil dem übrigen Mitunternehmer oder den übrigen Mitunternehmern unentgeltlich anwächst. </w:t>
      </w:r>
      <w:r>
        <w:rPr>
          <w:rStyle w:val="Satznummer"/>
        </w:rPr>
        <w:t>3</w:t>
      </w:r>
      <w:r>
        <w:t>Dies gilt entsprechend für eine unentgeltliche Übertragung auf eine Mitunternehmerschaft, soweit der Betrieb oder der Mitunternehmeranteil einer Körperschaft, Personenvereinigung oder Vermögensmasse als Mitunternehmer zuzurechnen ist;</w:t>
      </w:r>
    </w:p>
    <w:p>
      <w:pPr>
        <w:tabs>
          <w:tab w:pos="567" w:val="left"/>
        </w:tabs>
        <w:ind w:left="567" w:hanging="567"/>
      </w:pPr>
      <w:r>
        <w:t>4.</w:t>
      </w:r>
      <w:r>
        <w:tab/>
      </w:r>
      <w:r>
        <w:t xml:space="preserve">wenn der Gewinn nicht mehr nach </w:t>
      </w:r>
      <w:hyperlink w:anchor="b13" w:history="1">
        <w:r>
          <w:rPr>
            <w:color w:val="0A3A8C"/>
            <w:u w:val="single"/>
          </w:rPr>
          <w:t xml:space="preserve">§ 4</w:t>
        </w:r>
      </w:hyperlink>
      <w:r>
        <w:t xml:space="preserve"> Absatz 1 Satz 1 oder </w:t>
      </w:r>
      <w:hyperlink w:anchor="b25" w:history="1">
        <w:r>
          <w:rPr>
            <w:color w:val="0A3A8C"/>
            <w:u w:val="single"/>
          </w:rPr>
          <w:t xml:space="preserve">§ 5</w:t>
        </w:r>
      </w:hyperlink>
      <w:r>
        <w:t xml:space="preserve"> ermittelt wird oder</w:t>
      </w:r>
    </w:p>
    <w:p>
      <w:pPr>
        <w:tabs>
          <w:tab w:pos="567" w:val="left"/>
        </w:tabs>
        <w:ind w:left="567" w:hanging="567"/>
      </w:pPr>
      <w:r>
        <w:t>5.</w:t>
      </w:r>
      <w:r>
        <w:tab/>
      </w:r>
      <w:r>
        <w:t>wenn der Steuerpflichtige dies beantragt.</w:t>
      </w:r>
    </w:p>
    <w:p>
      <w:r>
        <w:rPr>
          <w:rStyle w:val="Satznummer"/>
        </w:rPr>
        <w:t>2</w:t>
      </w:r>
      <w:r>
        <w:t>Eine anteilige Nachversteuerung des nachversteuerungspflichtigen Betrags ist durchzuführen</w:t>
      </w:r>
    </w:p>
    <w:p>
      <w:pPr>
        <w:tabs>
          <w:tab w:pos="567" w:val="left"/>
        </w:tabs>
        <w:ind w:left="567" w:hanging="567"/>
      </w:pPr>
      <w:r>
        <w:t>1.</w:t>
      </w:r>
      <w:r>
        <w:tab/>
      </w:r>
      <w:r>
        <w:t>in den Fällen der entgeltlichen Aufnahme eines Mitunternehmers in ein bestehendes Einzelunternehmen oder der Veräußerung eines Teils eines Mitunternehmeranteils;</w:t>
      </w:r>
    </w:p>
    <w:p>
      <w:pPr>
        <w:tabs>
          <w:tab w:pos="567" w:val="left"/>
        </w:tabs>
        <w:ind w:left="567" w:hanging="567"/>
      </w:pPr>
      <w:r>
        <w:t>2.</w:t>
      </w:r>
      <w:r>
        <w:tab/>
      </w:r>
      <w:r>
        <w:t>in den Fällen der Einbringung eines Teilbetriebs oder eines Teils eines Mitunternehmeranteils in eine Kapitalgesellschaft oder Genossenschaft;</w:t>
      </w:r>
    </w:p>
    <w:p>
      <w:pPr>
        <w:tabs>
          <w:tab w:pos="567" w:val="left"/>
        </w:tabs>
        <w:ind w:left="567" w:hanging="567"/>
      </w:pPr>
      <w:r>
        <w:t>3.</w:t>
      </w:r>
      <w:r>
        <w:tab/>
      </w:r>
      <w:r>
        <w:t xml:space="preserve">in den Fällen der unentgeltlichen Übertragung eines Teilbetriebs oder Teils eines Mitunternehmeranteils oder der unentgeltlichen Aufnahme eines Mitunternehmers in ein bestehendes Einzelunternehmen, wenn die Übertragung an eine Körperschaft, Personenvereinigung oder Vermögensmasse erfolgt. </w:t>
      </w:r>
      <w:r>
        <w:rPr>
          <w:rStyle w:val="Satznummer"/>
        </w:rPr>
        <w:t>2</w:t>
      </w:r>
      <w:r>
        <w:t xml:space="preserve">Ein Fall der unentgeltlichen Übertragung liegt auch vor, wenn der Teil des Mitunternehmeranteils dem übrigen Mitunternehmer oder den übrigen Mitunternehmern unentgeltlich anwächst. </w:t>
      </w:r>
      <w:r>
        <w:rPr>
          <w:rStyle w:val="Satznummer"/>
        </w:rPr>
        <w:t>3</w:t>
      </w:r>
      <w:r>
        <w:t>Dies gilt entsprechend für eine unentgeltliche Übertragung auf eine Mitunternehmerschaft, soweit der übertragene Teil des Betriebs oder des Teils eines Mitunternehmeranteils einer Körperschaft, Personenvereinigung oder Vermögensmasse als Mitunternehmer zuzurechnen ist.</w:t>
      </w:r>
    </w:p>
    <w:p>
      <w:r>
        <w:rPr>
          <w:rStyle w:val="Satznummer"/>
        </w:rPr>
        <w:t>3</w:t>
      </w:r>
      <w:r>
        <w:t xml:space="preserve">Absatz 7 Satz 3 gilt sinngemäß. </w:t>
      </w:r>
      <w:r>
        <w:rPr>
          <w:rStyle w:val="Satznummer"/>
        </w:rPr>
        <w:t>4</w:t>
      </w:r>
      <w:r>
        <w:t>In den Fällen von Satz 1 Nummer 1 bis 3 und Satz 2 ist die nach Absatz 4 geschuldete Einkommensteuer auf Antrag des Steuerpflichtigen oder seines Rechtsnachfolgers in regelmäßigen Teilbeträgen für einen Zeitraum von höchstens zehn Jahren seit Eintritt der ersten Fälligkeit zinslos zu stunden, wenn ihre alsbaldige Einziehung mit erheblichen Härten für den Steuerpflichtigen verbunden wäre.</w:t>
      </w:r>
    </w:p>
    <w:p>
      <w:r>
        <w:t xml:space="preserve">(7) </w:t>
      </w:r>
      <w:r>
        <w:rPr>
          <w:rStyle w:val="Satznummer"/>
        </w:rPr>
        <w:t>1</w:t>
      </w:r>
      <w:r>
        <w:t xml:space="preserve">In den Fällen der unentgeltlichen Übertragung eines Betriebs oder Mitunternehmeranteils nach </w:t>
      </w:r>
      <w:hyperlink w:anchor="b28" w:history="1">
        <w:r>
          <w:rPr>
            <w:color w:val="0A3A8C"/>
            <w:u w:val="single"/>
          </w:rPr>
          <w:t xml:space="preserve">§ 6</w:t>
        </w:r>
      </w:hyperlink>
      <w:r>
        <w:t xml:space="preserve"> Absatz 3 hat der Rechtsnachfolger den nachversteuerungspflichtigen Betrag des Rechtsvorgängers fortzuführen; Absatz 6 Satz 1 Nummer 3 und Satz 2 Nummer 3 bleiben unberührt. </w:t>
      </w:r>
      <w:r>
        <w:rPr>
          <w:rStyle w:val="Satznummer"/>
        </w:rPr>
        <w:t>2</w:t>
      </w:r>
      <w:r>
        <w:t xml:space="preserve">Bei unentgeltlicher Aufnahme einer natürlichen Person in ein bestehendes Einzelunternehmen oder unentgeltlicher Übertragung eines Teils eines Mitunternehmeranteils auf eine natürliche Person hat der Rechtsnachfolger den nachversteuerungspflichtigen Betrag anteilig fortzuführen. </w:t>
      </w:r>
      <w:r>
        <w:rPr>
          <w:rStyle w:val="Satznummer"/>
        </w:rPr>
        <w:t>3</w:t>
      </w:r>
      <w:r>
        <w:t xml:space="preserve">Maßgeblich ist der Anteil des übertragenen Betriebsvermögens an dem Betriebsvermögen des Rechtsvorgängers vor der Übertragung. </w:t>
      </w:r>
      <w:r>
        <w:rPr>
          <w:rStyle w:val="Satznummer"/>
        </w:rPr>
        <w:t>4</w:t>
      </w:r>
      <w:r>
        <w:t xml:space="preserve">In den Fällen der Einbringung eines Betriebs oder Mitunternehmeranteils zu Buchwerten nach § 24 des Umwandlungssteuergesetzes geht der für den eingebrachten Betrieb oder Mitunternehmeranteil festgestellte nachversteuerungspflichtige Betrag auf den neuen Mitunternehmeranteil über. </w:t>
      </w:r>
      <w:r>
        <w:rPr>
          <w:rStyle w:val="Satznummer"/>
        </w:rPr>
        <w:t>5</w:t>
      </w:r>
      <w:r>
        <w:t>Bei Einbringung eines Teils eines Mitunternehmeranteils zu Buchwerten nach § 24 des Umwandlungssteuergesetzes geht der nachversteuerungspflichtige Betrag anteilig auf den neuen Mitunternehmeranteil über; Satz 3 gilt entsprechend.</w:t>
      </w:r>
    </w:p>
    <w:p>
      <w:r>
        <w:t xml:space="preserve">(8) Negative Einkünfte dürfen nicht mit ermäßigt besteuerten Gewinnen im Sinne von Absatz 1 Satz 1 ausgeglichen werden; sie dürfen insoweit auch nicht nach </w:t>
      </w:r>
      <w:hyperlink w:anchor="b55" w:history="1">
        <w:r>
          <w:rPr>
            <w:color w:val="0A3A8C"/>
            <w:u w:val="single"/>
          </w:rPr>
          <w:t xml:space="preserve">§ 10d</w:t>
        </w:r>
      </w:hyperlink>
      <w:r>
        <w:t xml:space="preserve"> abgezogen werden.</w:t>
      </w:r>
    </w:p>
    <w:p>
      <w:r>
        <w:t xml:space="preserve">(9) </w:t>
      </w:r>
      <w:r>
        <w:rPr>
          <w:rStyle w:val="Satznummer"/>
        </w:rPr>
        <w:t>1</w:t>
      </w:r>
      <w:r>
        <w:t xml:space="preserve">Zuständig für den Erlass der Feststellungsbescheide über den nachversteuerungspflichtigen Betrag ist das für die Einkommensbesteuerung zuständige Finanzamt. </w:t>
      </w:r>
      <w:r>
        <w:rPr>
          <w:rStyle w:val="Satznummer"/>
        </w:rPr>
        <w:t>2</w:t>
      </w:r>
      <w:r>
        <w:t xml:space="preserve">Die Feststellungsbescheide können nur insoweit angegriffen werden, als sich der nachversteuerungspflichtige Betrag gegenüber dem nachversteuerungspflichtigen Betrag des Vorjahres verändert hat. </w:t>
      </w:r>
      <w:r>
        <w:rPr>
          <w:rStyle w:val="Satznummer"/>
        </w:rPr>
        <w:t>3</w:t>
      </w:r>
      <w:r>
        <w:t>Die gesonderten Feststellungen nach Satz 1 können mit dem Einkommensteuerbescheid verbunden werden.</w:t>
      </w:r>
    </w:p>
    <w:p>
      <w:r>
        <w:t xml:space="preserve">(10) </w:t>
      </w:r>
      <w:r>
        <w:rPr>
          <w:rStyle w:val="Satznummer"/>
        </w:rPr>
        <w:t>1</w:t>
      </w:r>
      <w:r>
        <w:t xml:space="preserve">Sind Einkünfte aus Land- und Forstwirtschaft, Gewerbebetrieb oder selbständiger Arbeit nach § 180 Absatz 1 Satz 1 Nummer 2 Buchstabe a oder b der Abgabenordnung gesondert festzustellen, können auch die Höhe der Entnahmen und Einlagen sowie weitere nach den Absätzen 1 bis 7 erforderliche Besteuerungsgrundlagen gesondert festgestellt werden. </w:t>
      </w:r>
      <w:r>
        <w:rPr>
          <w:rStyle w:val="Satznummer"/>
        </w:rPr>
        <w:t>2</w:t>
      </w:r>
      <w:r>
        <w:t xml:space="preserve">Zuständig für die gesonderten Feststellungen nach Satz 1 ist das Finanzamt, das für die gesonderte Feststellung nach § 180 Absatz 1 Satz 1 Nummer 2 der Abgabenordnung zuständig ist. </w:t>
      </w:r>
      <w:r>
        <w:rPr>
          <w:rStyle w:val="Satznummer"/>
        </w:rPr>
        <w:t>3</w:t>
      </w:r>
      <w:r>
        <w:t xml:space="preserve">Die gesonderten Feststellungen nach Satz 1 können mit der Feststellung nach § 180 Absatz 1 Satz 1 Nummer 2 der Abgabenordnung verbunden werden. </w:t>
      </w:r>
      <w:r>
        <w:rPr>
          <w:rStyle w:val="Satznummer"/>
        </w:rPr>
        <w:t>4</w:t>
      </w:r>
      <w:r>
        <w:t>Die Feststellungsfrist für die gesonderte Feststellung nach Satz 1 endet nicht vor Ablauf der Feststellungsfrist für die Feststellung nach § 180 Absatz 1 Satz 1 Nummer 2 der Abgabenordnung.</w:t>
      </w:r>
    </w:p>
    <w:p>
      <w:r>
        <w:t xml:space="preserve">(11) </w:t>
      </w:r>
      <w:r>
        <w:rPr>
          <w:rStyle w:val="Satznummer"/>
        </w:rPr>
        <w:t>1</w:t>
      </w:r>
      <w:r>
        <w:t xml:space="preserve">Der Bescheid über die gesonderte Feststellung des nachversteuerungspflichtigen Betrags ist zu erlassen, aufzuheben oder zu ändern, soweit der Steuerpflichtige einen Antrag nach Absatz 1 stellt oder diesen ganz oder teilweise zurücknimmt und sich die Besteuerungsgrundlagen im Einkommensteuerbescheid ändern. </w:t>
      </w:r>
      <w:r>
        <w:rPr>
          <w:rStyle w:val="Satznummer"/>
        </w:rPr>
        <w:t>2</w:t>
      </w:r>
      <w:r>
        <w:t xml:space="preserve">Dies gilt entsprechend, wenn der Erlass, die Aufhebung oder Änderung des Einkommensteuerbescheids mangels steuerlicher Auswirkung unterbleibt. </w:t>
      </w:r>
      <w:r>
        <w:rPr>
          <w:rStyle w:val="Satznummer"/>
        </w:rPr>
        <w:t>3</w:t>
      </w:r>
      <w:r>
        <w:t xml:space="preserve">Die Feststellungsfrist endet nicht, bevor die Festsetzungsfrist für den Veranlagungszeitraum abgelaufen ist, auf dessen Schluss der nachversteuerungspflichtige Betrag und das nachversteuerungsfreie Entnahmevolumen des Betriebs oder Mitunternehmeranteils gesondert festzustellen sind. </w:t>
      </w:r>
      <w:r>
        <w:rPr>
          <w:rStyle w:val="Satznummer"/>
        </w:rPr>
        <w:t>4</w:t>
      </w:r>
      <w:r>
        <w:t xml:space="preserve">Der Einkommensteuerbescheid ist zu erlassen, aufzuheben oder zu ändern, soweit der Steuerpflichtige einen Antrag nach Absatz 1 stellt oder diesen ganz oder teilweise zurücknimmt und sich die gesonderte Feststellung des nachversteuerungspflichtigen Betrags ändert. </w:t>
      </w:r>
      <w:r>
        <w:rPr>
          <w:rStyle w:val="Satznummer"/>
        </w:rPr>
        <w:t>5</w:t>
      </w:r>
      <w:r>
        <w:t>Für die Festsetzungsfrist gilt Satz 3 sinngemäß.</w:t>
      </w:r>
    </w:p>
    <w:p>
      <w:pPr>
        <w:pStyle w:val="Heading2"/>
      </w:pPr>
      <w:bookmarkStart w:id="118" w:name="b117"/>
      <w:r>
        <w:t>§ 34b Steuersätze bei Einkünften aus außerordentlichen Holznutzungen</w:t>
      </w:r>
      <w:r>
        <w:t xml:space="preserve"> </w:t>
      </w:r>
      <w:r>
        <w:rPr>
          <w:rStyle w:val="Suchmarke"/>
        </w:rPr>
        <w:t>#34b#</w:t>
      </w:r>
      <w:bookmarkEnd w:id="118"/>
    </w:p>
    <w:p>
      <w:r>
        <w:t>(1) Außerordentliche Holznutzungen sind</w:t>
      </w:r>
    </w:p>
    <w:p>
      <w:pPr>
        <w:tabs>
          <w:tab w:pos="567" w:val="left"/>
        </w:tabs>
        <w:ind w:left="567" w:hanging="567"/>
      </w:pPr>
      <w:r>
        <w:t>1.</w:t>
      </w:r>
      <w:r>
        <w:tab/>
      </w:r>
      <w:r>
        <w:t xml:space="preserve">Holznutzungen, die aus volks- oder staatswirtschaftlichen Gründen erfolgt sind. </w:t>
      </w:r>
      <w:r>
        <w:rPr>
          <w:rStyle w:val="Satznummer"/>
        </w:rPr>
        <w:t>2</w:t>
      </w:r>
      <w:r>
        <w:t>Sie liegen nur insoweit vor, als sie durch gesetzlichen oder behördlichen Zwang veranlasst sind;</w:t>
      </w:r>
    </w:p>
    <w:p>
      <w:pPr>
        <w:tabs>
          <w:tab w:pos="567" w:val="left"/>
        </w:tabs>
        <w:ind w:left="567" w:hanging="567"/>
      </w:pPr>
      <w:r>
        <w:t>2.</w:t>
      </w:r>
      <w:r>
        <w:tab/>
      </w:r>
      <w:r>
        <w:t xml:space="preserve">Holznutzungen infolge höherer Gewalt (Kalamitätsnutzungen). </w:t>
      </w:r>
      <w:r>
        <w:rPr>
          <w:rStyle w:val="Satznummer"/>
        </w:rPr>
        <w:t>2</w:t>
      </w:r>
      <w:r>
        <w:t xml:space="preserve">Sie sind durch Eis-, Schnee-, Windbruch oder Windwurf, Erdbeben, Bergrutsch, Insektenfraß, Brand oder durch Naturereignisse mit vergleichbaren Folgen verursacht. </w:t>
      </w:r>
      <w:r>
        <w:rPr>
          <w:rStyle w:val="Satznummer"/>
        </w:rPr>
        <w:t>3</w:t>
      </w:r>
      <w:r>
        <w:t>Hierzu gehören nicht die Schäden, die in der Forstwirtschaft regelmäßig entstehen.</w:t>
      </w:r>
    </w:p>
    <w:p>
      <w:r>
        <w:t xml:space="preserve">(2) </w:t>
      </w:r>
      <w:r>
        <w:rPr>
          <w:rStyle w:val="Satznummer"/>
        </w:rPr>
        <w:t>1</w:t>
      </w:r>
      <w:r>
        <w:t xml:space="preserve">Zur Ermittlung der Einkünfte aus außerordentlichen Holznutzungen sind von den Einnahmen sämtlicher Holznutzungen die damit in sachlichem Zusammenhang stehenden Betriebsausgaben abzuziehen. </w:t>
      </w:r>
      <w:r>
        <w:rPr>
          <w:rStyle w:val="Satznummer"/>
        </w:rPr>
        <w:t>2</w:t>
      </w:r>
      <w:r>
        <w:t xml:space="preserve">Das nach Satz 1 ermittelte Ergebnis ist auf die ordentlichen und außerordentlichen Holznutzungsarten aufzuteilen, in dem die außerordentlichen Holznutzungen zur gesamten Holznutzung ins Verhältnis gesetzt wird. </w:t>
      </w:r>
      <w:r>
        <w:rPr>
          <w:rStyle w:val="Satznummer"/>
        </w:rPr>
        <w:t>3</w:t>
      </w:r>
      <w:r>
        <w:t xml:space="preserve">Bei einer Gewinnermittlung durch Betriebsvermögensvergleich sind die im Wirtschaftsjahr veräußerten Holzmengen maßgebend. </w:t>
      </w:r>
      <w:r>
        <w:rPr>
          <w:rStyle w:val="Satznummer"/>
        </w:rPr>
        <w:t>4</w:t>
      </w:r>
      <w:r>
        <w:t xml:space="preserve">Bei einer Gewinnermittlung nach den Grundsätzen des </w:t>
      </w:r>
      <w:hyperlink w:anchor="b13" w:history="1">
        <w:r>
          <w:rPr>
            <w:color w:val="0A3A8C"/>
            <w:u w:val="single"/>
          </w:rPr>
          <w:t xml:space="preserve">§ 4</w:t>
        </w:r>
      </w:hyperlink>
      <w:r>
        <w:t xml:space="preserve"> Absatz 3 ist von den Holzmengen auszugehen, die den im Wirtschaftsjahr zugeflossenen Einnahmen zugrunde liegen. </w:t>
      </w:r>
      <w:r>
        <w:rPr>
          <w:rStyle w:val="Satznummer"/>
        </w:rPr>
        <w:t>5</w:t>
      </w:r>
      <w:r>
        <w:t>Die Sätze 1 bis 4 gelten für entnommenes Holz entsprechend.</w:t>
      </w:r>
    </w:p>
    <w:p>
      <w:r>
        <w:t>(3) Die Einkommensteuer bemisst sich für die Einkünfte aus außerordentlichen Holznutzungen im Sinne des Absatzes 1</w:t>
      </w:r>
    </w:p>
    <w:p>
      <w:pPr>
        <w:tabs>
          <w:tab w:pos="567" w:val="left"/>
        </w:tabs>
        <w:ind w:left="567" w:hanging="567"/>
      </w:pPr>
      <w:r>
        <w:t>1.</w:t>
      </w:r>
      <w:r>
        <w:tab/>
      </w:r>
      <w:r>
        <w:t>nach der Hälfte des durchschnittlichen Steuersatzes, der sich ergäbe, wenn die tarifliche Einkommensteuer nach dem gesamten zu versteuernden Einkommen zuzüglich der dem Progressionsvorbehalt unterliegenden Einkünfte zu bemessen wäre;</w:t>
      </w:r>
    </w:p>
    <w:p>
      <w:pPr>
        <w:tabs>
          <w:tab w:pos="567" w:val="left"/>
        </w:tabs>
        <w:ind w:left="567" w:hanging="567"/>
      </w:pPr>
      <w:r>
        <w:t>2.</w:t>
      </w:r>
      <w:r>
        <w:tab/>
      </w:r>
      <w:r>
        <w:t>nach dem halben Steuersatz der Nummer 1, soweit sie den Nutzungssatz (§ 68 der Einkommensteuer-Durchführungsverordnung) übersteigen.</w:t>
      </w:r>
    </w:p>
    <w:p>
      <w:r>
        <w:t>(4) Einkünfte aus außerordentlichen Holznutzungen sind nur anzuerkennen, wenn</w:t>
      </w:r>
    </w:p>
    <w:p>
      <w:pPr>
        <w:tabs>
          <w:tab w:pos="567" w:val="left"/>
        </w:tabs>
        <w:ind w:left="567" w:hanging="567"/>
      </w:pPr>
      <w:r>
        <w:t>1.</w:t>
      </w:r>
      <w:r>
        <w:tab/>
      </w:r>
      <w:r>
        <w:t>das im Wirtschaftsjahr veräußerte oder entnommene Holz mengenmäßig getrennt nach ordentlichen und außerordentlichen Holznutzungen nachgewiesen wird und</w:t>
      </w:r>
    </w:p>
    <w:p>
      <w:pPr>
        <w:tabs>
          <w:tab w:pos="567" w:val="left"/>
        </w:tabs>
        <w:ind w:left="567" w:hanging="567"/>
      </w:pPr>
      <w:r>
        <w:t>2.</w:t>
      </w:r>
      <w:r>
        <w:tab/>
      </w:r>
      <w:r>
        <w:t>Schäden infolge höherer Gewalt unverzüglich nach Feststellung des Schadensfalls der zuständigen Finanzbehörde mitgeteilt und nach der Aufarbeitung mengenmäßig nachgewiesen werden.</w:t>
      </w:r>
    </w:p>
    <w:p>
      <w:r>
        <w:t>(5) Die Bundesregierung wird ermächtigt, durch Rechtsverordnung mit Zustimmung des Bundesrates</w:t>
      </w:r>
    </w:p>
    <w:p>
      <w:pPr>
        <w:tabs>
          <w:tab w:pos="567" w:val="left"/>
        </w:tabs>
        <w:ind w:left="567" w:hanging="567"/>
      </w:pPr>
      <w:r>
        <w:t>1.</w:t>
      </w:r>
      <w:r>
        <w:tab/>
      </w:r>
      <w:r>
        <w:t>die Steuersätze abweichend von Absatz 3 für ein Wirtschaftsjahr aus sachlichen Billigkeitsgründen zu regeln,</w:t>
      </w:r>
    </w:p>
    <w:p>
      <w:pPr>
        <w:tabs>
          <w:tab w:pos="567" w:val="left"/>
        </w:tabs>
        <w:ind w:left="567" w:hanging="567"/>
      </w:pPr>
      <w:r>
        <w:t>2.</w:t>
      </w:r>
      <w:r>
        <w:tab/>
      </w:r>
      <w:r>
        <w:t>die Anwendung des § 4a des Forstschäden-Ausgleichsgesetzes für ein Wirtschaftsjahr aus sachlichen Billigkeitsgründen zu regeln,</w:t>
      </w:r>
    </w:p>
    <w:p>
      <w:r>
        <w:t>wenn besondere Schadensereignisse nach Absatz 1 Nummer 2 vorliegen und eine Einschlagsbeschränkung (§ 1 Absatz 1 des Forstschäden-Ausgleichsgesetzes) nicht angeordnet wurde.</w:t>
      </w:r>
    </w:p>
    <w:p>
      <w:pPr>
        <w:pStyle w:val="Heading1"/>
      </w:pPr>
      <w:bookmarkStart w:id="119" w:name="b118"/>
      <w:r>
        <w:t>V. Steuerermäßigungen</w:t>
      </w:r>
      <w:bookmarkEnd w:id="119"/>
    </w:p>
    <w:p>
      <w:pPr>
        <w:pStyle w:val="Heading2"/>
      </w:pPr>
      <w:bookmarkStart w:id="120" w:name="b119"/>
      <w:r>
        <w:t>1. Steuerermäßigung bei ausländischen Einkünften</w:t>
      </w:r>
      <w:bookmarkEnd w:id="120"/>
    </w:p>
    <w:p>
      <w:pPr>
        <w:pStyle w:val="Heading3"/>
      </w:pPr>
      <w:bookmarkStart w:id="121" w:name="b120"/>
      <w:r>
        <w:t>§ 34c</w:t>
      </w:r>
      <w:r>
        <w:t xml:space="preserve"> </w:t>
      </w:r>
      <w:r>
        <w:rPr>
          <w:rStyle w:val="Suchmarke"/>
        </w:rPr>
        <w:t>#34c#</w:t>
      </w:r>
      <w:bookmarkEnd w:id="121"/>
    </w:p>
    <w:p>
      <w:r>
        <w:t xml:space="preserve">(1) </w:t>
      </w:r>
      <w:r>
        <w:rPr>
          <w:rStyle w:val="Satznummer"/>
        </w:rPr>
        <w:t>1</w:t>
      </w:r>
      <w:r>
        <w:t xml:space="preserve">Bei unbeschränkt Steuerpflichtigen, die mit ausländischen Einkünften in dem Staat, aus dem die Einkünfte stammen, zu einer der deutschen Einkommensteuer entsprechenden Steuer herangezogen werden, ist die festgesetzte und gezahlte und um einen entstandenen Ermäßigungsanspruch gekürzte ausländische Steuer auf die deutsche Einkommensteuer anzurechnen, die auf die Einkünfte aus diesem Staat entfällt; das gilt nicht für Einkünfte aus Kapitalvermögen, auf die </w:t>
      </w:r>
      <w:hyperlink w:anchor="b111" w:history="1">
        <w:r>
          <w:rPr>
            <w:color w:val="0A3A8C"/>
            <w:u w:val="single"/>
          </w:rPr>
          <w:t xml:space="preserve">§ 32d</w:t>
        </w:r>
      </w:hyperlink>
      <w:r>
        <w:t xml:space="preserve"> Absatz 1 und 3 bis 6 anzuwenden ist. </w:t>
      </w:r>
      <w:r>
        <w:rPr>
          <w:rStyle w:val="Satznummer"/>
        </w:rPr>
        <w:t>2</w:t>
      </w:r>
      <w:r>
        <w:t xml:space="preserve">Die auf die ausländischen Einkünfte nach Satz 1 erster Halbsatz entfallende deutsche Einkommensteuer ist in der Weise zu ermitteln, dass der sich bei der Veranlagung des zu versteuernden Einkommens, einschließlich der ausländischen Einkünfte, nach den </w:t>
      </w:r>
      <w:hyperlink w:anchor="b108" w:history="1">
        <w:r>
          <w:rPr>
            <w:color w:val="0A3A8C"/>
            <w:u w:val="single"/>
          </w:rPr>
          <w:t xml:space="preserve">§§ 32a</w:t>
        </w:r>
      </w:hyperlink>
      <w:r>
        <w:t xml:space="preserve">, </w:t>
      </w:r>
      <w:hyperlink w:anchor="b109" w:history="1">
        <w:r>
          <w:rPr>
            <w:color w:val="0A3A8C"/>
            <w:u w:val="single"/>
          </w:rPr>
          <w:t xml:space="preserve">32b</w:t>
        </w:r>
      </w:hyperlink>
      <w:r>
        <w:t xml:space="preserve">, </w:t>
      </w:r>
      <w:hyperlink w:anchor="b115" w:history="1">
        <w:r>
          <w:rPr>
            <w:color w:val="0A3A8C"/>
            <w:u w:val="single"/>
          </w:rPr>
          <w:t xml:space="preserve">34</w:t>
        </w:r>
      </w:hyperlink>
      <w:r>
        <w:t xml:space="preserve">, </w:t>
      </w:r>
      <w:hyperlink w:anchor="b116" w:history="1">
        <w:r>
          <w:rPr>
            <w:color w:val="0A3A8C"/>
            <w:u w:val="single"/>
          </w:rPr>
          <w:t xml:space="preserve">34a</w:t>
        </w:r>
      </w:hyperlink>
      <w:r>
        <w:t xml:space="preserve"> und </w:t>
      </w:r>
      <w:hyperlink w:anchor="b117" w:history="1">
        <w:r>
          <w:rPr>
            <w:color w:val="0A3A8C"/>
            <w:u w:val="single"/>
          </w:rPr>
          <w:t xml:space="preserve">34b</w:t>
        </w:r>
      </w:hyperlink>
      <w:r>
        <w:t xml:space="preserve"> ergebende durchschnittliche Steuersatz auf die ausländischen Einkünfte anzuwenden ist. </w:t>
      </w:r>
      <w:r>
        <w:rPr>
          <w:rStyle w:val="Satznummer"/>
        </w:rPr>
        <w:t>3</w:t>
      </w:r>
      <w:r>
        <w:t xml:space="preserve">Bei der Ermittlung des zu versteuernden Einkommens und der ausländischen Einkünfte sind die Einkünfte nach Satz 1 zweiter Halbsatz nicht zu berücksichtigen; bei der Ermittlung der ausländischen Einkünfte sind die ausländischen Einkünfte nicht zu berücksichtigen, die in dem Staat, aus dem sie stammen, nach dessen Recht nicht besteuert werden. </w:t>
      </w:r>
      <w:r>
        <w:rPr>
          <w:rStyle w:val="Satznummer"/>
        </w:rPr>
        <w:t>4</w:t>
      </w:r>
      <w:r>
        <w:t xml:space="preserve">Gehören ausländische Einkünfte der in § 34d Nummer 3, 4, 6, 7 und 8 Buchstabe c genannten Art zum Gewinn eines inländischen Betriebes, sind bei ihrer Ermittlung Betriebsausgaben und Betriebsvermögensminderungen abzuziehen, die mit den diesen Einkünften zugrunde liegenden Einnahmen in wirtschaftlichem Zusammenhang stehen. </w:t>
      </w:r>
      <w:r>
        <w:rPr>
          <w:rStyle w:val="Satznummer"/>
        </w:rPr>
        <w:t>5</w:t>
      </w:r>
      <w:r>
        <w:t>Die ausländischen Steuern sind nur insoweit anzurechnen, als sie auf die im Veranlagungszeitraum bezogenen Einkünfte entfallen.</w:t>
      </w:r>
    </w:p>
    <w:p>
      <w:r>
        <w:t>(2) Statt der Anrechnung (Absatz 1) ist die ausländische Steuer auf Antrag bei der Ermittlung der Einkünfte abzuziehen, soweit sie auf ausländische Einkünfte entfällt, die nicht steuerfrei sind.</w:t>
      </w:r>
    </w:p>
    <w:p>
      <w:r>
        <w:t>(3) Bei unbeschränkt Steuerpflichtigen, bei denen eine ausländische Steuer vom Einkommen nach Absatz 1 nicht angerechnet werden kann, weil die Steuer nicht der deutschen Einkommensteuer entspricht oder nicht in dem Staat erhoben wird, aus dem die Einkünfte stammen, oder weil keine ausländischen Einkünfte vorliegen, ist die festgesetzte und gezahlte und um einen entstandenen Ermäßigungsanspruch gekürzte ausländische Steuer bei der Ermittlung der Einkünfte abzuziehen, soweit sie auf Einkünfte entfällt, die der deutschen Einkommensteuer unterliegen.</w:t>
      </w:r>
    </w:p>
    <w:p>
      <w:r>
        <w:t>(4) (weggefallen)</w:t>
      </w:r>
    </w:p>
    <w:p>
      <w:r>
        <w:t>(5) Die obersten Finanzbehörden der Länder oder die von ihnen beauftragten Finanzbehörden können mit Zustimmung des Bundesministeriums der Finanzen die auf ausländische Einkünfte entfallende deutsche Einkommensteuer ganz oder zum Teil erlassen oder in einem Pauschbetrag festsetzen, wenn es aus volkswirtschaftlichen Gründen zweckmäßig ist oder die Anwendung des Absatzes 1 besonders schwierig ist.</w:t>
      </w:r>
    </w:p>
    <w:p>
      <w:r>
        <w:t xml:space="preserve">(6) </w:t>
      </w:r>
      <w:r>
        <w:rPr>
          <w:rStyle w:val="Satznummer"/>
        </w:rPr>
        <w:t>1</w:t>
      </w:r>
      <w:r>
        <w:t xml:space="preserve">Die Absätze 1 bis 3 sind vorbehaltlich der Sätze 2 bis 6 nicht anzuwenden, wenn die Einkünfte aus einem ausländischen Staat stammen, mit dem ein Abkommen zur Vermeidung der Doppelbesteuerung besteht. </w:t>
      </w:r>
      <w:r>
        <w:rPr>
          <w:rStyle w:val="Satznummer"/>
        </w:rPr>
        <w:t>2</w:t>
      </w:r>
      <w:r>
        <w:t xml:space="preserve">Soweit in einem Abkommen zur Vermeidung der Doppelbesteuerung die Anrechnung einer ausländischen Steuer auf die deutsche Einkommensteuer vorgesehen ist, sind Absatz 1 Satz 2 bis 5 und Absatz 2 entsprechend auf die nach dem Abkommen anzurechnende und um einen entstandenen Ermäßigungsanspruch gekürzte ausländische Steuer anzuwenden; das gilt nicht für Einkünfte, auf die </w:t>
      </w:r>
      <w:hyperlink w:anchor="b111" w:history="1">
        <w:r>
          <w:rPr>
            <w:color w:val="0A3A8C"/>
            <w:u w:val="single"/>
          </w:rPr>
          <w:t xml:space="preserve">§ 32d</w:t>
        </w:r>
      </w:hyperlink>
      <w:r>
        <w:t xml:space="preserve"> Absatz 1 und 3 bis 6 anzuwenden ist; bei nach dem Abkommen als gezahlt geltenden ausländischen Steuerbeträgen sind Absatz 1 Satz 3 und Absatz 2 nicht anzuwenden. </w:t>
      </w:r>
      <w:r>
        <w:rPr>
          <w:rStyle w:val="Satznummer"/>
        </w:rPr>
        <w:t>3</w:t>
      </w:r>
      <w:r>
        <w:t xml:space="preserve">Absatz 1 Satz 3 gilt auch dann entsprechend, wenn die Einkünfte in dem ausländischen Staat nach dem Abkommen zur Vermeidung der Doppelbesteuerung mit diesem Staat nicht besteuert werden können. </w:t>
      </w:r>
      <w:r>
        <w:rPr>
          <w:rStyle w:val="Satznummer"/>
        </w:rPr>
        <w:t>4</w:t>
      </w:r>
      <w:r>
        <w:t xml:space="preserve">Bezieht sich ein Abkommen zur Vermeidung der Doppelbesteuerung nicht auf eine Steuer vom Einkommen dieses Staates, so sind die Absätze 1 und 2 entsprechend anzuwenden. </w:t>
      </w:r>
      <w:r>
        <w:rPr>
          <w:rStyle w:val="Satznummer"/>
        </w:rPr>
        <w:t>5</w:t>
      </w:r>
      <w:r>
        <w:t xml:space="preserve">In den Fällen des </w:t>
      </w:r>
      <w:hyperlink w:anchor="b197" w:history="1">
        <w:r>
          <w:rPr>
            <w:color w:val="0A3A8C"/>
            <w:u w:val="single"/>
          </w:rPr>
          <w:t xml:space="preserve">§ 50d</w:t>
        </w:r>
      </w:hyperlink>
      <w:r>
        <w:t xml:space="preserve"> Absatz 9 sind die Absätze 1 bis 3 und Satz 6 entsprechend anzuwenden. </w:t>
      </w:r>
      <w:r>
        <w:rPr>
          <w:rStyle w:val="Satznummer"/>
        </w:rPr>
        <w:t>6</w:t>
      </w:r>
      <w:r>
        <w:t>Absatz 3 ist anzuwenden, wenn der Staat, mit dem ein Abkommen zur Vermeidung der Doppelbesteuerung besteht, Einkünfte besteuert, die nicht aus diesem Staat stammen, es sei denn, die Besteuerung hat ihre Ursache in einer Gestaltung, für die wirtschaftliche oder sonst beachtliche Gründe fehlen, oder das Abkommen gestattet dem Staat die Besteuerung dieser Einkünfte.</w:t>
      </w:r>
    </w:p>
    <w:p>
      <w:r>
        <w:t>(7) Durch Rechtsverordnung können Vorschriften erlassen werden über</w:t>
      </w:r>
    </w:p>
    <w:p>
      <w:pPr>
        <w:tabs>
          <w:tab w:pos="567" w:val="left"/>
        </w:tabs>
        <w:ind w:left="567" w:hanging="567"/>
      </w:pPr>
      <w:r>
        <w:t>1.</w:t>
      </w:r>
      <w:r>
        <w:tab/>
      </w:r>
      <w:r>
        <w:t>die Anrechnung ausländischer Steuern, wenn die ausländischen Einkünfte aus mehreren fremden Staaten stammen,</w:t>
      </w:r>
    </w:p>
    <w:p>
      <w:pPr>
        <w:tabs>
          <w:tab w:pos="567" w:val="left"/>
        </w:tabs>
        <w:ind w:left="567" w:hanging="567"/>
      </w:pPr>
      <w:r>
        <w:t>2.</w:t>
      </w:r>
      <w:r>
        <w:tab/>
      </w:r>
      <w:r>
        <w:t>den Nachweis über die Höhe der festgesetzten und gezahlten ausländischen Steuern,</w:t>
      </w:r>
    </w:p>
    <w:p>
      <w:pPr>
        <w:tabs>
          <w:tab w:pos="567" w:val="left"/>
        </w:tabs>
        <w:ind w:left="567" w:hanging="567"/>
      </w:pPr>
      <w:r>
        <w:t>3.</w:t>
      </w:r>
      <w:r>
        <w:tab/>
      </w:r>
      <w:r>
        <w:t>die Berücksichtigung ausländischer Steuern, die nachträglich erhoben oder zurückgezahlt werden.</w:t>
      </w:r>
    </w:p>
    <w:p>
      <w:pPr>
        <w:pStyle w:val="Heading3"/>
      </w:pPr>
      <w:bookmarkStart w:id="122" w:name="b121"/>
      <w:r>
        <w:t>§ 34d Ausländische Einkünfte</w:t>
      </w:r>
      <w:r>
        <w:t xml:space="preserve"> </w:t>
      </w:r>
      <w:r>
        <w:rPr>
          <w:rStyle w:val="Suchmarke"/>
        </w:rPr>
        <w:t>#34d#</w:t>
      </w:r>
      <w:bookmarkEnd w:id="122"/>
    </w:p>
    <w:p>
      <w:r>
        <w:t xml:space="preserve">Ausländische Einkünfte im Sinne des </w:t>
      </w:r>
      <w:hyperlink w:anchor="b120" w:history="1">
        <w:r>
          <w:rPr>
            <w:color w:val="0A3A8C"/>
            <w:u w:val="single"/>
          </w:rPr>
          <w:t xml:space="preserve">§ 34c</w:t>
        </w:r>
      </w:hyperlink>
      <w:r>
        <w:t xml:space="preserve"> Absatz 1 bis 5 sind</w:t>
      </w:r>
    </w:p>
    <w:p>
      <w:pPr>
        <w:tabs>
          <w:tab w:pos="567" w:val="left"/>
        </w:tabs>
        <w:ind w:left="567" w:hanging="567"/>
      </w:pPr>
      <w:r>
        <w:t>1.</w:t>
      </w:r>
      <w:r>
        <w:tab/>
      </w:r>
      <w:r>
        <w:t>Einkünfte aus einer in einem ausländischen Staat betriebenen Land- und Forstwirtschaft (</w:t>
      </w:r>
      <w:hyperlink w:anchor="b69" w:history="1">
        <w:r>
          <w:rPr>
            <w:color w:val="0A3A8C"/>
            <w:u w:val="single"/>
          </w:rPr>
          <w:t xml:space="preserve">§§ 13</w:t>
        </w:r>
      </w:hyperlink>
      <w:r>
        <w:t xml:space="preserve"> und </w:t>
      </w:r>
      <w:hyperlink w:anchor="b72" w:history="1">
        <w:r>
          <w:rPr>
            <w:color w:val="0A3A8C"/>
            <w:u w:val="single"/>
          </w:rPr>
          <w:t xml:space="preserve">14</w:t>
        </w:r>
      </w:hyperlink>
      <w:r>
        <w:t>) und Einkünfte der in den Nummern 3, 4, 6, 7 und 8 Buchstabe c genannten Art, soweit sie zu den Einkünften aus Land- und Forstwirtschaft gehören;</w:t>
      </w:r>
    </w:p>
    <w:p>
      <w:pPr>
        <w:tabs>
          <w:tab w:pos="567" w:val="left"/>
        </w:tabs>
        <w:ind w:left="567" w:hanging="567"/>
      </w:pPr>
      <w:r>
        <w:t>2.</w:t>
      </w:r>
      <w:r>
        <w:tab/>
      </w:r>
      <w:r>
        <w:t>Einkünfte aus Gewerbebetrieb (</w:t>
      </w:r>
      <w:hyperlink w:anchor="b75" w:history="1">
        <w:r>
          <w:rPr>
            <w:color w:val="0A3A8C"/>
            <w:u w:val="single"/>
          </w:rPr>
          <w:t xml:space="preserve">§§ 15</w:t>
        </w:r>
      </w:hyperlink>
      <w:r>
        <w:t xml:space="preserve"> und </w:t>
      </w:r>
      <w:hyperlink w:anchor="b78" w:history="1">
        <w:r>
          <w:rPr>
            <w:color w:val="0A3A8C"/>
            <w:u w:val="single"/>
          </w:rPr>
          <w:t xml:space="preserve">16</w:t>
        </w:r>
      </w:hyperlink>
      <w:r>
        <w:t>),</w:t>
      </w:r>
    </w:p>
    <w:p>
      <w:pPr>
        <w:tabs>
          <w:tab w:pos="1134" w:val="left"/>
        </w:tabs>
        <w:ind w:left="1134" w:hanging="567"/>
      </w:pPr>
      <w:r>
        <w:t>a)</w:t>
      </w:r>
      <w:r>
        <w:tab/>
      </w:r>
      <w:r>
        <w:t>die durch eine in einem ausländischen Staat belegene Betriebsstätte oder durch einen in einem ausländischen Staat tätigen ständigen Vertreter erzielt werden, und Einkünfte der in den Nummern 3, 4, 6, 7 und 8 Buchstabe c genannten Art, soweit sie zu den Einkünften aus Gewerbebetrieb gehören,</w:t>
      </w:r>
    </w:p>
    <w:p>
      <w:pPr>
        <w:tabs>
          <w:tab w:pos="1134" w:val="left"/>
        </w:tabs>
        <w:ind w:left="1134" w:hanging="567"/>
      </w:pPr>
      <w:r>
        <w:t>b)</w:t>
      </w:r>
      <w:r>
        <w:tab/>
      </w:r>
      <w:r>
        <w:t>die aus Bürgschafts- und Avalprovisionen erzielt werden, wenn der Schuldner Wohnsitz, Geschäftsleitung oder Sitz in einem ausländischen Staat hat, oder</w:t>
      </w:r>
    </w:p>
    <w:p>
      <w:pPr>
        <w:tabs>
          <w:tab w:pos="1134" w:val="left"/>
        </w:tabs>
        <w:ind w:left="1134" w:hanging="567"/>
      </w:pPr>
      <w:r>
        <w:t>c)</w:t>
      </w:r>
      <w:r>
        <w:tab/>
      </w:r>
      <w:r>
        <w:t>die durch den Betrieb eigener oder gecharterter Seeschiffe oder Luftfahrzeuge aus Beförderungen zwischen ausländischen oder von ausländischen zu inländischen Häfen erzielt werden, einschließlich der Einkünfte aus anderen mit solchen Beförderungen zusammenhängenden, sich auf das Ausland erstreckenden Beförderungsleistungen;</w:t>
      </w:r>
    </w:p>
    <w:p>
      <w:pPr>
        <w:tabs>
          <w:tab w:pos="567" w:val="left"/>
        </w:tabs>
        <w:ind w:left="567" w:hanging="567"/>
      </w:pPr>
      <w:r>
        <w:t>3.</w:t>
      </w:r>
      <w:r>
        <w:tab/>
      </w:r>
      <w:r>
        <w:t>Einkünfte aus selbständiger Arbeit (</w:t>
      </w:r>
      <w:hyperlink w:anchor="b81" w:history="1">
        <w:r>
          <w:rPr>
            <w:color w:val="0A3A8C"/>
            <w:u w:val="single"/>
          </w:rPr>
          <w:t xml:space="preserve">§ 18</w:t>
        </w:r>
      </w:hyperlink>
      <w:r>
        <w:t>), die in einem ausländischen Staat ausgeübt oder verwertet wird oder worden ist, und Einkünfte der in den Nummern 4, 6, 7 und 8 Buchstabe c genannten Art, soweit sie zu den Einkünften aus selbständiger Arbeit gehören;</w:t>
      </w:r>
    </w:p>
    <w:p>
      <w:pPr>
        <w:tabs>
          <w:tab w:pos="567" w:val="left"/>
        </w:tabs>
        <w:ind w:left="567" w:hanging="567"/>
      </w:pPr>
      <w:r>
        <w:t>4.</w:t>
      </w:r>
      <w:r>
        <w:tab/>
      </w:r>
      <w:r>
        <w:t>Einkünfte aus der Veräußerung von</w:t>
      </w:r>
    </w:p>
    <w:p>
      <w:pPr>
        <w:tabs>
          <w:tab w:pos="1134" w:val="left"/>
        </w:tabs>
        <w:ind w:left="1134" w:hanging="567"/>
      </w:pPr>
      <w:r>
        <w:t>a)</w:t>
      </w:r>
      <w:r>
        <w:tab/>
      </w:r>
      <w:r>
        <w:t>Wirtschaftsgütern, die zum Anlagevermögen eines Betriebs gehören, wenn die Wirtschaftsgüter in einem ausländischen Staat belegen sind,</w:t>
      </w:r>
    </w:p>
    <w:p>
      <w:pPr>
        <w:tabs>
          <w:tab w:pos="1134" w:val="left"/>
        </w:tabs>
        <w:ind w:left="1134" w:hanging="567"/>
      </w:pPr>
      <w:r>
        <w:t>b)</w:t>
      </w:r>
      <w:r>
        <w:tab/>
      </w:r>
      <w:r>
        <w:t>Anteilen an Kapitalgesellschaften,</w:t>
      </w:r>
    </w:p>
    <w:p>
      <w:pPr>
        <w:tabs>
          <w:tab w:pos="1701" w:val="left"/>
        </w:tabs>
        <w:ind w:left="1701" w:hanging="567"/>
      </w:pPr>
      <w:r>
        <w:t>aa)</w:t>
      </w:r>
      <w:r>
        <w:tab/>
      </w:r>
      <w:r>
        <w:t>wenn die Gesellschaft Geschäftsleitung oder Sitz in einem ausländischen Staat hat oder</w:t>
      </w:r>
    </w:p>
    <w:p>
      <w:pPr>
        <w:tabs>
          <w:tab w:pos="1701" w:val="left"/>
        </w:tabs>
        <w:ind w:left="1701" w:hanging="567"/>
      </w:pPr>
      <w:r>
        <w:t>bb)</w:t>
      </w:r>
      <w:r>
        <w:tab/>
      </w:r>
      <w:r>
        <w:t>deren Anteilswert zu irgendeinem Zeitpunkt während der 365 Tage vor der Veräußerung unmittelbar oder mittelbar zu mehr als 50 Prozent auf in einem ausländischen Staat belegenen unbeweglichen Vermögen beruhte und die Anteile dem Veräußerer zu diesem Zeitpunkt zuzurechnen waren; für die Ermittlung dieser Quote sind die aktiven Wirtschaftsgüter des Betriebsvermögens mit den Buchwerten, die zu diesem Zeitpunkt anzusetzen gewesen wären, zugrunde zu legen;</w:t>
      </w:r>
    </w:p>
    <w:p>
      <w:pPr>
        <w:tabs>
          <w:tab w:pos="567" w:val="left"/>
        </w:tabs>
        <w:ind w:left="567" w:hanging="567"/>
      </w:pPr>
      <w:r>
        <w:t>5.</w:t>
      </w:r>
      <w:r>
        <w:tab/>
      </w:r>
      <w:r>
        <w:t>Einkünfte aus nichtselbständiger Arbeit (</w:t>
      </w:r>
      <w:hyperlink w:anchor="b83" w:history="1">
        <w:r>
          <w:rPr>
            <w:color w:val="0A3A8C"/>
            <w:u w:val="single"/>
          </w:rPr>
          <w:t xml:space="preserve">§ 19</w:t>
        </w:r>
      </w:hyperlink>
      <w:r>
        <w:t xml:space="preserve">), die in einem ausländischen Staat ausgeübt oder, ohne im Inland ausgeübt zu werden oder worden zu sein, in einem ausländischen Staat verwertet wird oder worden ist, und Einkünfte, die von ausländischen öffentlichen Kassen mit Rücksicht auf ein gegenwärtiges oder früheres Dienstverhältnis gewährt werden. </w:t>
      </w:r>
      <w:r>
        <w:rPr>
          <w:rStyle w:val="Satznummer"/>
        </w:rPr>
        <w:t>2</w:t>
      </w:r>
      <w:r>
        <w:t>Einkünfte, die von inländischen öffentlichen Kassen einschließlich der Kassen der Deutschen Bundesbahn und der Deutschen Bundesbank mit Rücksicht auf ein gegenwärtiges oder früheres Dienstverhältnis gewährt werden, gelten auch dann als inländische Einkünfte, wenn die Tätigkeit in einem ausländischen Staat ausgeübt wird oder worden ist;</w:t>
      </w:r>
    </w:p>
    <w:p>
      <w:pPr>
        <w:tabs>
          <w:tab w:pos="567" w:val="left"/>
        </w:tabs>
        <w:ind w:left="567" w:hanging="567"/>
      </w:pPr>
      <w:r>
        <w:t>6.</w:t>
      </w:r>
      <w:r>
        <w:tab/>
      </w:r>
      <w:r>
        <w:t>Einkünfte aus Kapitalvermögen (</w:t>
      </w:r>
      <w:hyperlink w:anchor="b86" w:history="1">
        <w:r>
          <w:rPr>
            <w:color w:val="0A3A8C"/>
            <w:u w:val="single"/>
          </w:rPr>
          <w:t xml:space="preserve">§ 20</w:t>
        </w:r>
      </w:hyperlink>
      <w:r>
        <w:t>), wenn der Schuldner Wohnsitz, Geschäftsleitung oder Sitz in einem ausländischen Staat hat oder das Kapitalvermögen durch ausländischen Grundbesitz gesichert ist;</w:t>
      </w:r>
    </w:p>
    <w:p>
      <w:pPr>
        <w:tabs>
          <w:tab w:pos="567" w:val="left"/>
        </w:tabs>
        <w:ind w:left="567" w:hanging="567"/>
      </w:pPr>
      <w:r>
        <w:t>7.</w:t>
      </w:r>
      <w:r>
        <w:tab/>
      </w:r>
      <w:r>
        <w:t>Einkünfte aus Vermietung und Verpachtung (</w:t>
      </w:r>
      <w:hyperlink w:anchor="b88" w:history="1">
        <w:r>
          <w:rPr>
            <w:color w:val="0A3A8C"/>
            <w:u w:val="single"/>
          </w:rPr>
          <w:t xml:space="preserve">§ 21</w:t>
        </w:r>
      </w:hyperlink>
      <w:r>
        <w:t xml:space="preserve">), soweit das unbewegliche Vermögen oder die Sachinbegriffe in einem ausländischen Staat belegen oder die Rechte zur Nutzung in einem ausländischen Staat überlassen worden sind. </w:t>
      </w:r>
      <w:r>
        <w:rPr>
          <w:rStyle w:val="Satznummer"/>
        </w:rPr>
        <w:t>2</w:t>
      </w:r>
      <w:r>
        <w:t>Bei unbeweglichem Vermögen, das zum Anlagevermögen eines Betriebs gehört, gelten als Einkünfte im Sinne dieser Nummer auch Wertveränderungen von Wirtschaftsgütern, die mit diesem Vermögen in wirtschaftlichem Zusammenhang stehen;</w:t>
      </w:r>
    </w:p>
    <w:p>
      <w:pPr>
        <w:tabs>
          <w:tab w:pos="567" w:val="left"/>
        </w:tabs>
        <w:ind w:left="567" w:hanging="567"/>
      </w:pPr>
      <w:r>
        <w:t>8.</w:t>
      </w:r>
      <w:r>
        <w:tab/>
      </w:r>
      <w:r>
        <w:t xml:space="preserve">sonstige Einkünfte im Sinne des </w:t>
      </w:r>
      <w:hyperlink w:anchor="b90" w:history="1">
        <w:r>
          <w:rPr>
            <w:color w:val="0A3A8C"/>
            <w:u w:val="single"/>
          </w:rPr>
          <w:t xml:space="preserve">§ 22</w:t>
        </w:r>
      </w:hyperlink>
      <w:r>
        <w:t>, wenn</w:t>
      </w:r>
    </w:p>
    <w:p>
      <w:pPr>
        <w:tabs>
          <w:tab w:pos="1134" w:val="left"/>
        </w:tabs>
        <w:ind w:left="1134" w:hanging="567"/>
      </w:pPr>
      <w:r>
        <w:t>a)</w:t>
      </w:r>
      <w:r>
        <w:tab/>
      </w:r>
      <w:r>
        <w:t>der zur Leistung der wiederkehrenden Bezüge Verpflichtete Wohnsitz, Geschäftsleitung oder Sitz in einem ausländischen Staat hat,</w:t>
      </w:r>
    </w:p>
    <w:p>
      <w:pPr>
        <w:tabs>
          <w:tab w:pos="1134" w:val="left"/>
        </w:tabs>
        <w:ind w:left="1134" w:hanging="567"/>
      </w:pPr>
      <w:r>
        <w:t>b)</w:t>
      </w:r>
      <w:r>
        <w:tab/>
      </w:r>
      <w:r>
        <w:t>bei privaten Veräußerungsgeschäften die veräußerten Wirtschaftsgüter in einem ausländischen Staat belegen sind,</w:t>
      </w:r>
    </w:p>
    <w:p>
      <w:pPr>
        <w:tabs>
          <w:tab w:pos="1134" w:val="left"/>
        </w:tabs>
        <w:ind w:left="1134" w:hanging="567"/>
      </w:pPr>
      <w:r>
        <w:t>c)</w:t>
      </w:r>
      <w:r>
        <w:tab/>
      </w:r>
      <w:r>
        <w:t>bei Einkünften aus Leistungen einschließlich der Einkünfte aus Leistungen im Sinne des § 49 Absatz 1 Nummer 9 der zur Vergütung der Leistung Verpflichtete Wohnsitz, Geschäftsleitung oder Sitz in einem ausländischen Staat hat.</w:t>
      </w:r>
    </w:p>
    <w:p>
      <w:pPr>
        <w:pStyle w:val="Heading2"/>
      </w:pPr>
      <w:bookmarkStart w:id="123" w:name="b122"/>
      <w:r>
        <w:t>2. Steuerermäßigung bei Einkünften aus Land- und Forstwirtschaft</w:t>
      </w:r>
      <w:bookmarkEnd w:id="123"/>
    </w:p>
    <w:p>
      <w:pPr>
        <w:pStyle w:val="Heading3"/>
      </w:pPr>
      <w:bookmarkStart w:id="124" w:name="b123"/>
      <w:r>
        <w:t>§ 34e (weggefallen)</w:t>
      </w:r>
      <w:r>
        <w:t xml:space="preserve"> </w:t>
      </w:r>
      <w:r>
        <w:rPr>
          <w:rStyle w:val="Suchmarke"/>
        </w:rPr>
        <w:t>#34e#</w:t>
      </w:r>
      <w:bookmarkEnd w:id="124"/>
    </w:p>
    <w:p>
      <w:pPr>
        <w:pStyle w:val="Heading3"/>
      </w:pPr>
      <w:bookmarkStart w:id="125" w:name="b124"/>
      <w:r>
        <w:t>2a. Steuerermäßigung für Steuerpflichtige mit Kindern bei Inanspruchnahme erhöhter Absetzungen für Wohngebäude oder der Steuerbegünstigungen für eigengenutztes Wohneigentum</w:t>
      </w:r>
      <w:bookmarkEnd w:id="125"/>
    </w:p>
    <w:p>
      <w:pPr>
        <w:pStyle w:val="Heading4"/>
      </w:pPr>
      <w:bookmarkStart w:id="126" w:name="b125"/>
      <w:r>
        <w:t>§ 34f</w:t>
      </w:r>
      <w:r>
        <w:t xml:space="preserve"> </w:t>
      </w:r>
      <w:r>
        <w:rPr>
          <w:rStyle w:val="Suchmarke"/>
        </w:rPr>
        <w:t>#34f#</w:t>
      </w:r>
      <w:bookmarkEnd w:id="126"/>
    </w:p>
    <w:p>
      <w:r>
        <w:t xml:space="preserve">(1) </w:t>
      </w:r>
      <w:r>
        <w:rPr>
          <w:rStyle w:val="Satznummer"/>
        </w:rPr>
        <w:t>1</w:t>
      </w:r>
      <w:r>
        <w:t xml:space="preserve">Bei Steuerpflichtigen, die erhöhte Absetzungen nach </w:t>
      </w:r>
      <w:hyperlink w:anchor="b36" w:history="1">
        <w:r>
          <w:rPr>
            <w:color w:val="0A3A8C"/>
            <w:u w:val="single"/>
          </w:rPr>
          <w:t xml:space="preserve">§ 7b</w:t>
        </w:r>
      </w:hyperlink>
      <w:r>
        <w:t xml:space="preserve"> oder nach § 15 des Berlinförderungsgesetzes in Anspruch nehmen, ermäßigt sich die tarifliche Einkommensteuer, vermindert um die sonstigen Steuerermäßigungen mit Ausnahme der </w:t>
      </w:r>
      <w:hyperlink w:anchor="b127" w:history="1">
        <w:r>
          <w:rPr>
            <w:color w:val="0A3A8C"/>
            <w:u w:val="single"/>
          </w:rPr>
          <w:t xml:space="preserve">§§ 34g</w:t>
        </w:r>
      </w:hyperlink>
      <w:r>
        <w:t xml:space="preserve"> und </w:t>
      </w:r>
      <w:hyperlink w:anchor="b129" w:history="1">
        <w:r>
          <w:rPr>
            <w:color w:val="0A3A8C"/>
            <w:u w:val="single"/>
          </w:rPr>
          <w:t xml:space="preserve">35</w:t>
        </w:r>
      </w:hyperlink>
      <w:r>
        <w:t xml:space="preserve">, auf Antrag um je 600 Deutsche Mark für das zweite und jedes weitere Kind des Steuerpflichtigen oder seines Ehegatten. </w:t>
      </w:r>
      <w:r>
        <w:rPr>
          <w:rStyle w:val="Satznummer"/>
        </w:rPr>
        <w:t>2</w:t>
      </w:r>
      <w:r>
        <w:t>Voraussetzung ist,</w:t>
      </w:r>
    </w:p>
    <w:p>
      <w:pPr>
        <w:tabs>
          <w:tab w:pos="567" w:val="left"/>
        </w:tabs>
        <w:ind w:left="567" w:hanging="567"/>
      </w:pPr>
      <w:r>
        <w:t>1.</w:t>
      </w:r>
      <w:r>
        <w:tab/>
      </w:r>
      <w:r>
        <w:t>dass der Steuerpflichtige das Objekt, bei einem Zweifamilienhaus mindestens eine Wohnung, zu eigenen Wohnzwecken nutzt oder wegen des Wechsels des Arbeitsortes nicht zu eigenen Wohnzwecken nutzen kann und</w:t>
      </w:r>
    </w:p>
    <w:p>
      <w:pPr>
        <w:tabs>
          <w:tab w:pos="567" w:val="left"/>
        </w:tabs>
        <w:ind w:left="567" w:hanging="567"/>
      </w:pPr>
      <w:r>
        <w:t>2.</w:t>
      </w:r>
      <w:r>
        <w:tab/>
      </w:r>
      <w:r>
        <w:t xml:space="preserve">dass es sich einschließlich des ersten Kindes um Kinder im Sinne des </w:t>
      </w:r>
      <w:hyperlink w:anchor="b107" w:history="1">
        <w:r>
          <w:rPr>
            <w:color w:val="0A3A8C"/>
            <w:u w:val="single"/>
          </w:rPr>
          <w:t xml:space="preserve">§ 32</w:t>
        </w:r>
      </w:hyperlink>
      <w:r>
        <w:t xml:space="preserve"> Absatz 1 bis 5 oder 6 Satz 7 handelt, die zum Haushalt des Steuerpflichtigen gehören oder in dem für die erhöhten Absetzungen maßgebenden Begünstigungszeitraum gehört haben, wenn diese Zugehörigkeit auf Dauer angelegt ist oder war.</w:t>
      </w:r>
    </w:p>
    <w:p>
      <w:r>
        <w:t xml:space="preserve">(2) </w:t>
      </w:r>
      <w:r>
        <w:rPr>
          <w:rStyle w:val="Satznummer"/>
        </w:rPr>
        <w:t>1</w:t>
      </w:r>
      <w:r>
        <w:t xml:space="preserve">Bei Steuerpflichtigen, die die Steuerbegünstigung nach </w:t>
      </w:r>
      <w:hyperlink w:anchor="b56" w:history="1">
        <w:r>
          <w:rPr>
            <w:color w:val="0A3A8C"/>
            <w:u w:val="single"/>
          </w:rPr>
          <w:t xml:space="preserve">§ 10e</w:t>
        </w:r>
      </w:hyperlink>
      <w:r>
        <w:t xml:space="preserve"> Absatz 1 bis 5 oder nach § 15b des Berlinförderungsgesetzes in Anspruch nehmen, ermäßigt sich die tarifliche Einkommensteuer, vermindert um die sonstigen Steuerermäßigungen mit Ausnahme des </w:t>
      </w:r>
      <w:hyperlink w:anchor="b127" w:history="1">
        <w:r>
          <w:rPr>
            <w:color w:val="0A3A8C"/>
            <w:u w:val="single"/>
          </w:rPr>
          <w:t xml:space="preserve">§ 34g</w:t>
        </w:r>
      </w:hyperlink>
      <w:r>
        <w:t xml:space="preserve">, auf Antrag um je 512 Euro für jedes Kind des Steuerpflichtigen oder seines Ehegatten im Sinne des </w:t>
      </w:r>
      <w:hyperlink w:anchor="b107" w:history="1">
        <w:r>
          <w:rPr>
            <w:color w:val="0A3A8C"/>
            <w:u w:val="single"/>
          </w:rPr>
          <w:t xml:space="preserve">§ 32</w:t>
        </w:r>
      </w:hyperlink>
      <w:r>
        <w:t xml:space="preserve"> Absatz 1 bis 5 oder 6 Satz 7. </w:t>
      </w:r>
      <w:r>
        <w:rPr>
          <w:rStyle w:val="Satznummer"/>
        </w:rPr>
        <w:t>2</w:t>
      </w:r>
      <w:r>
        <w:t>Voraussetzung ist, dass das Kind zum Haushalt des Steuerpflichtigen gehört oder in dem für die Steuerbegünstigung maßgebenden Zeitraum gehört hat, wenn diese Zugehörigkeit auf Dauer angelegt ist oder war.</w:t>
      </w:r>
    </w:p>
    <w:p>
      <w:r>
        <w:t xml:space="preserve">(3) </w:t>
      </w:r>
      <w:r>
        <w:rPr>
          <w:rStyle w:val="Satznummer"/>
        </w:rPr>
        <w:t>1</w:t>
      </w:r>
      <w:r>
        <w:t xml:space="preserve">Bei Steuerpflichtigen, die die Steuerbegünstigung nach § 10e Absatz 1, 2, 4 und 5 in Anspruch nehmen, ermäßigt sich die tarifliche Einkommensteuer, vermindert um die sonstigen Steuerermäßigungen, auf Antrag um je 512 Euro für jedes Kind des Steuerpflichtigen oder seines Ehegatten im Sinne des </w:t>
      </w:r>
      <w:hyperlink w:anchor="b107" w:history="1">
        <w:r>
          <w:rPr>
            <w:color w:val="0A3A8C"/>
            <w:u w:val="single"/>
          </w:rPr>
          <w:t xml:space="preserve">§ 32</w:t>
        </w:r>
      </w:hyperlink>
      <w:r>
        <w:t xml:space="preserve"> Absatz 1 bis 5 oder 6 Satz 7. </w:t>
      </w:r>
      <w:r>
        <w:rPr>
          <w:rStyle w:val="Satznummer"/>
        </w:rPr>
        <w:t>2</w:t>
      </w:r>
      <w:r>
        <w:t xml:space="preserve">Voraussetzung ist, dass das Kind zum Haushalt des Steuerpflichtigen gehört oder in dem für die Steuerbegünstigung maßgebenden Zeitraum gehört hat, wenn diese Zugehörigkeit auf Dauer angelegt ist oder war. </w:t>
      </w:r>
      <w:r>
        <w:rPr>
          <w:rStyle w:val="Satznummer"/>
        </w:rPr>
        <w:t>3</w:t>
      </w:r>
      <w:r>
        <w:t xml:space="preserve">Soweit sich der Betrag der Steuerermäßigung nach Satz 1 bei der Ermittlung der festzusetzenden Einkommensteuer nicht steuerentlastend auswirkt, ist er von der tariflichen Einkommensteuer der zwei vorangegangenen Veranlagungszeiträume abzuziehen. </w:t>
      </w:r>
      <w:r>
        <w:rPr>
          <w:rStyle w:val="Satznummer"/>
        </w:rPr>
        <w:t>4</w:t>
      </w:r>
      <w:r>
        <w:t xml:space="preserve">Steuerermäßigungen, die nach den Sätzen 1 und 3 nicht berücksichtigt werden können, können bis zum Ende des Abzugszeitraums im Sinne des </w:t>
      </w:r>
      <w:hyperlink w:anchor="b56" w:history="1">
        <w:r>
          <w:rPr>
            <w:color w:val="0A3A8C"/>
            <w:u w:val="single"/>
          </w:rPr>
          <w:t xml:space="preserve">§ 10e</w:t>
        </w:r>
      </w:hyperlink>
      <w:r>
        <w:t xml:space="preserve"> und in den zwei folgenden Veranlagungszeiträumen abgezogen werden. </w:t>
      </w:r>
      <w:r>
        <w:rPr>
          <w:rStyle w:val="Satznummer"/>
        </w:rPr>
        <w:t>5</w:t>
      </w:r>
      <w:r>
        <w:t>Ist für einen Veranlagungszeitraum bereits ein Steuerbescheid erlassen worden, so ist er insoweit zu ändern, als die Steuerermäßigung nach den Sätzen 3 und 4 zu gewähren oder zu berichtigen ist; die Verjährungsfristen enden insoweit nicht, bevor die Verjährungsfrist für den Veranlagungszeitraum abgelaufen ist, für den die Steuerermäßigung nach Satz 1 beantragt worden ist.</w:t>
      </w:r>
    </w:p>
    <w:p>
      <w:r>
        <w:t xml:space="preserve">(4) </w:t>
      </w:r>
      <w:r>
        <w:rPr>
          <w:rStyle w:val="Satznummer"/>
        </w:rPr>
        <w:t>1</w:t>
      </w:r>
      <w:r>
        <w:t xml:space="preserve">Die Steuerermäßigungen nach den Absätzen 2 oder 3 kann der Steuerpflichtige insgesamt nur bis zur Höhe der Bemessungsgrundlage der Abzugsbeträge nach § 10e Absatz 1 oder 2 in Anspruch nehmen. </w:t>
      </w:r>
      <w:r>
        <w:rPr>
          <w:rStyle w:val="Satznummer"/>
        </w:rPr>
        <w:t>2</w:t>
      </w:r>
      <w:r>
        <w:t>Die Steuerermäßigung nach den Absätzen 1, 2 und 3 Satz 1 kann der Steuerpflichtige im Kalenderjahr nur für ein Objekt in Anspruch nehmen.</w:t>
      </w:r>
    </w:p>
    <w:p>
      <w:pPr>
        <w:pStyle w:val="Heading3"/>
      </w:pPr>
      <w:bookmarkStart w:id="127" w:name="b126"/>
      <w:r>
        <w:t>2b. Steuerermäßigung bei Zuwendungen an politische Parteien und an unabhängige Wählervereinigungen</w:t>
      </w:r>
      <w:bookmarkEnd w:id="127"/>
    </w:p>
    <w:p>
      <w:pPr>
        <w:pStyle w:val="Heading4"/>
      </w:pPr>
      <w:bookmarkStart w:id="128" w:name="b127"/>
      <w:r>
        <w:t>§ 34g</w:t>
      </w:r>
      <w:r>
        <w:t xml:space="preserve"> </w:t>
      </w:r>
      <w:r>
        <w:rPr>
          <w:rStyle w:val="Suchmarke"/>
        </w:rPr>
        <w:t>#34g#</w:t>
      </w:r>
      <w:bookmarkEnd w:id="128"/>
    </w:p>
    <w:p>
      <w:r>
        <w:rPr>
          <w:rStyle w:val="Satznummer"/>
        </w:rPr>
        <w:t>1</w:t>
      </w:r>
      <w:r>
        <w:t xml:space="preserve">Die tarifliche Einkommensteuer, vermindert um die sonstigen Steuerermäßigungen mit Ausnahme des </w:t>
      </w:r>
      <w:hyperlink w:anchor="b125" w:history="1">
        <w:r>
          <w:rPr>
            <w:color w:val="0A3A8C"/>
            <w:u w:val="single"/>
          </w:rPr>
          <w:t xml:space="preserve">§ 34f</w:t>
        </w:r>
      </w:hyperlink>
      <w:r>
        <w:t xml:space="preserve"> Absatz 3, ermäßigt sich bei Zuwendungen an</w:t>
      </w:r>
    </w:p>
    <w:p>
      <w:pPr>
        <w:tabs>
          <w:tab w:pos="567" w:val="left"/>
        </w:tabs>
        <w:ind w:left="567" w:hanging="567"/>
      </w:pPr>
      <w:r>
        <w:t>1.</w:t>
      </w:r>
      <w:r>
        <w:tab/>
      </w:r>
      <w:r>
        <w:t>politische Parteien im Sinne des § 2 des Parteiengesetzes, sofern die jeweilige Partei nicht gemäß § 18 Absatz 7 des Parteiengesetzes von der staatlichen Teilfinanzierung ausgeschlossen ist, und</w:t>
      </w:r>
    </w:p>
    <w:p>
      <w:pPr>
        <w:tabs>
          <w:tab w:pos="567" w:val="left"/>
        </w:tabs>
        <w:ind w:left="567" w:hanging="567"/>
      </w:pPr>
      <w:r>
        <w:t>2.</w:t>
      </w:r>
      <w:r>
        <w:tab/>
      </w:r>
      <w:r>
        <w:t>Vereine ohne Parteicharakter, wenn</w:t>
      </w:r>
    </w:p>
    <w:p>
      <w:pPr>
        <w:tabs>
          <w:tab w:pos="1134" w:val="left"/>
        </w:tabs>
        <w:ind w:left="1134" w:hanging="567"/>
      </w:pPr>
      <w:r>
        <w:t>a)</w:t>
      </w:r>
      <w:r>
        <w:tab/>
      </w:r>
      <w:r>
        <w:t>der Zweck des Vereins ausschließlich darauf gerichtet ist, durch Teilnahme mit eigenen Wahlvorschlägen an Wahlen auf Bundes-, Landes- oder Kommunalebene bei der politischen Willensbildung mitzuwirken, und</w:t>
      </w:r>
    </w:p>
    <w:p>
      <w:pPr>
        <w:tabs>
          <w:tab w:pos="1134" w:val="left"/>
        </w:tabs>
        <w:ind w:left="1134" w:hanging="567"/>
      </w:pPr>
      <w:r>
        <w:t>b)</w:t>
      </w:r>
      <w:r>
        <w:tab/>
      </w:r>
      <w:r>
        <w:t>der Verein auf Bundes-, Landes- oder Kommunalebene bei der jeweils letzten Wahl wenigstens ein Mandat errungen oder der zuständigen Wahlbehörde oder dem zuständigen Wahlorgan angezeigt hat, dass er mit eigenen Wahlvorschlägen auf Bundes-, Landes- oder Kommunalebene an der jeweils nächsten Wahl teilnehmen will.</w:t>
      </w:r>
    </w:p>
    <w:p>
      <w:pPr>
        <w:ind w:left="567"/>
      </w:pPr>
      <w:r>
        <w:rPr>
          <w:rStyle w:val="Satznummer"/>
        </w:rPr>
        <w:t>2</w:t>
      </w:r>
      <w:r>
        <w:t xml:space="preserve">Nimmt der Verein an der jeweils nächsten Wahl nicht teil, wird die Ermäßigung nur für die bis zum Wahltag an ihn geleisteten Beiträge und Spenden gewährt. </w:t>
      </w:r>
      <w:r>
        <w:rPr>
          <w:rStyle w:val="Satznummer"/>
        </w:rPr>
        <w:t>3</w:t>
      </w:r>
      <w:r>
        <w:t xml:space="preserve">Die Ermäßigung für Beiträge und Spenden an den Verein wird erst wieder gewährt, wenn er sich mit eigenen Wahlvorschlägen an einer Wahl beteiligt hat. </w:t>
      </w:r>
      <w:r>
        <w:rPr>
          <w:rStyle w:val="Satznummer"/>
        </w:rPr>
        <w:t>4</w:t>
      </w:r>
      <w:r>
        <w:t>Die Ermäßigung wird in diesem Fall nur für Beiträge und Spenden gewährt, die nach Beginn des Jahres, in dem die Wahl stattfindet, geleistet werden.</w:t>
      </w:r>
    </w:p>
    <w:p>
      <w:r>
        <w:rPr>
          <w:rStyle w:val="Satznummer"/>
        </w:rPr>
        <w:t>2</w:t>
      </w:r>
      <w:r>
        <w:t xml:space="preserve">Die Ermäßigung beträgt 50 Prozent der Ausgaben, höchstens jeweils 1 650 Euro für Ausgaben nach den Nummern 1 und 2, im Fall der Zusammenveranlagung von Ehegatten höchstens jeweils 3 300 Euro. </w:t>
      </w:r>
      <w:r>
        <w:rPr>
          <w:rStyle w:val="Satznummer"/>
        </w:rPr>
        <w:t>3</w:t>
      </w:r>
      <w:hyperlink w:anchor="b53" w:history="1">
        <w:r>
          <w:rPr>
            <w:color w:val="0A3A8C"/>
            <w:u w:val="single"/>
          </w:rPr>
          <w:t xml:space="preserve">§ 10b</w:t>
        </w:r>
      </w:hyperlink>
      <w:r>
        <w:t xml:space="preserve"> Absatz 3 und 4 gilt entsprechend.</w:t>
      </w:r>
    </w:p>
    <w:p>
      <w:pPr>
        <w:pStyle w:val="Heading2"/>
      </w:pPr>
      <w:bookmarkStart w:id="129" w:name="b128"/>
      <w:r>
        <w:t>3. Steuerermäßigung bei Einkünften aus Gewerbebetrieb</w:t>
      </w:r>
      <w:bookmarkEnd w:id="129"/>
    </w:p>
    <w:p>
      <w:pPr>
        <w:pStyle w:val="Heading3"/>
      </w:pPr>
      <w:bookmarkStart w:id="130" w:name="b129"/>
      <w:r>
        <w:t>§ 35</w:t>
      </w:r>
      <w:r>
        <w:t xml:space="preserve"> </w:t>
      </w:r>
      <w:r>
        <w:rPr>
          <w:rStyle w:val="Suchmarke"/>
        </w:rPr>
        <w:t>#35#</w:t>
      </w:r>
      <w:bookmarkEnd w:id="130"/>
    </w:p>
    <w:p>
      <w:r>
        <w:t xml:space="preserve">(1) </w:t>
      </w:r>
      <w:r>
        <w:rPr>
          <w:rStyle w:val="Satznummer"/>
        </w:rPr>
        <w:t>1</w:t>
      </w:r>
      <w:r>
        <w:t xml:space="preserve">Die tarifliche Einkommensteuer, vermindert um die sonstigen Steuerermäßigungen mit Ausnahme der </w:t>
      </w:r>
      <w:hyperlink w:anchor="b125" w:history="1">
        <w:r>
          <w:rPr>
            <w:color w:val="0A3A8C"/>
            <w:u w:val="single"/>
          </w:rPr>
          <w:t xml:space="preserve">§§ 34f</w:t>
        </w:r>
      </w:hyperlink>
      <w:r>
        <w:t xml:space="preserve">, </w:t>
      </w:r>
      <w:hyperlink w:anchor="b127" w:history="1">
        <w:r>
          <w:rPr>
            <w:color w:val="0A3A8C"/>
            <w:u w:val="single"/>
          </w:rPr>
          <w:t xml:space="preserve">34g</w:t>
        </w:r>
      </w:hyperlink>
      <w:r>
        <w:t xml:space="preserve">, </w:t>
      </w:r>
      <w:hyperlink w:anchor="b131" w:history="1">
        <w:r>
          <w:rPr>
            <w:color w:val="0A3A8C"/>
            <w:u w:val="single"/>
          </w:rPr>
          <w:t xml:space="preserve">35a</w:t>
        </w:r>
      </w:hyperlink>
      <w:r>
        <w:t xml:space="preserve"> und </w:t>
      </w:r>
      <w:hyperlink w:anchor="b135" w:history="1">
        <w:r>
          <w:rPr>
            <w:color w:val="0A3A8C"/>
            <w:u w:val="single"/>
          </w:rPr>
          <w:t xml:space="preserve">35c</w:t>
        </w:r>
      </w:hyperlink>
      <w:r>
        <w:t>, ermäßigt sich, soweit sie anteilig auf im zu versteuernden Einkommen enthaltene gewerbliche Einkünfte entfällt (Ermäßigungshöchstbetrag),</w:t>
      </w:r>
    </w:p>
    <w:p>
      <w:pPr>
        <w:tabs>
          <w:tab w:pos="567" w:val="left"/>
        </w:tabs>
        <w:ind w:left="567" w:hanging="567"/>
      </w:pPr>
      <w:r>
        <w:t>1.</w:t>
      </w:r>
      <w:r>
        <w:tab/>
      </w:r>
      <w:r>
        <w:t>bei Einkünften aus gewerblichen Unternehmen im Sinne des § 15 Absatz 1 Satz 1 Nummer 1</w:t>
      </w:r>
    </w:p>
    <w:p>
      <w:pPr>
        <w:ind w:left="567"/>
      </w:pPr>
      <w:r>
        <w:t>um das Vierfache des jeweils für den dem Veranlagungszeitraum entsprechenden Erhebungszeitraum nach § 14 des Gewerbesteuergesetzes für das Unternehmen festgesetzten Steuermessbetrags (Gewerbesteuer-Messbetrag); Absatz 2 Satz 5 ist entsprechend anzuwenden;</w:t>
      </w:r>
    </w:p>
    <w:p>
      <w:pPr>
        <w:tabs>
          <w:tab w:pos="567" w:val="left"/>
        </w:tabs>
        <w:ind w:left="567" w:hanging="567"/>
      </w:pPr>
      <w:r>
        <w:t>2.</w:t>
      </w:r>
      <w:r>
        <w:tab/>
      </w:r>
      <w:r>
        <w:t xml:space="preserve">bei Einkünften aus Gewerbebetrieb als Mitunternehmer im Sinne des </w:t>
      </w:r>
      <w:hyperlink w:anchor="b75" w:history="1">
        <w:r>
          <w:rPr>
            <w:color w:val="0A3A8C"/>
            <w:u w:val="single"/>
          </w:rPr>
          <w:t xml:space="preserve">§ 15</w:t>
        </w:r>
      </w:hyperlink>
      <w:r>
        <w:t xml:space="preserve"> Absatz 1 Satz 1 Nummer 2 oder als persönlich haftender Gesellschafter einer Kommanditgesellschaft auf Aktien im Sinne des § 15 Absatz 1 Satz 1 Nummer 3</w:t>
      </w:r>
    </w:p>
    <w:p>
      <w:pPr>
        <w:ind w:left="567"/>
      </w:pPr>
      <w:r>
        <w:t>um das Vierfache des jeweils für den dem Veranlagungszeitraum entsprechenden Erhebungszeitraum festgesetzten anteiligen Gewerbesteuer-Messbetrags.</w:t>
      </w:r>
    </w:p>
    <w:p>
      <w:r>
        <w:rPr>
          <w:rStyle w:val="Satznummer"/>
        </w:rPr>
        <w:t>2</w:t>
      </w:r>
      <w:r>
        <w:t>Der Ermäßigungshöchstbetrag ist wie folgt zu ermitteln:</w:t>
      </w:r>
    </w:p>
    <w:tbl>
      <w:tblPr>
        <w:tblStyle w:val="TableGrid"/>
        <w:tblW w:type="pct" w:w="5000"/>
        <w:tblLook w:firstColumn="1" w:firstRow="1" w:lastColumn="0" w:lastRow="0" w:noHBand="0" w:noVBand="1" w:val="04A0"/>
        <w:tblCaption w:val="Tabelle 1 zu § 35"/>
      </w:tblPr>
      <w:tblGrid>
        <w:gridCol w:w="4703"/>
        <w:gridCol w:w="4703"/>
      </w:tblGrid>
      <w:tr>
        <w:trPr>
          <w:cantSplit/>
        </w:trPr>
        <w:tc>
          <w:tcPr>
            <w:tcW w:type="dxa" w:w="4703"/>
          </w:tcPr>
          <w:p>
            <w:r>
              <w:t>Summe der</w:t>
            </w:r>
            <w:r>
              <w:br/>
            </w:r>
            <w:r>
              <w:t>positiven gewerblichen Einkünfte</w:t>
            </w:r>
          </w:p>
        </w:tc>
        <w:tc>
          <w:tcPr>
            <w:tcW w:type="dxa" w:w="4703"/>
            <w:vMerge w:val="restart"/>
          </w:tcPr>
          <w:p>
            <w:r>
              <w:t xml:space="preserve"> </w:t>
            </w:r>
            <w:r>
              <w:t>•</w:t>
            </w:r>
            <w:r>
              <w:t xml:space="preserve">   geminderte</w:t>
            </w:r>
            <w:r>
              <w:br/>
            </w:r>
            <w:r>
              <w:t>tarifliche Steuer.</w:t>
            </w:r>
          </w:p>
        </w:tc>
      </w:tr>
      <w:tr>
        <w:trPr>
          <w:cantSplit/>
        </w:trPr>
        <w:tc>
          <w:tcPr>
            <w:tcW w:type="dxa" w:w="4703"/>
          </w:tcPr>
          <w:p>
            <w:r>
              <w:t>Summe aller positiven Einkünfte</w:t>
            </w:r>
          </w:p>
        </w:tc>
        <w:tc>
          <w:tcPr>
            <w:tcW w:type="dxa" w:w="4703"/>
            <w:vMerge/>
          </w:tcPr>
          <w:p/>
        </w:tc>
      </w:tr>
    </w:tbl>
    <w:p>
      <w:pPr>
        <w:spacing w:after="0"/>
      </w:pPr>
    </w:p>
    <w:p>
      <w:r>
        <w:rPr>
          <w:rStyle w:val="Satznummer"/>
        </w:rPr>
        <w:t>3</w:t>
      </w:r>
      <w:r>
        <w:t xml:space="preserve">Gewerbliche Einkünfte im Sinne der Sätze 1 und 2 sind die der Gewerbesteuer unterliegenden Gewinne und Gewinnanteile, soweit sie nicht nach anderen Vorschriften von der Steuerermäßigung nach </w:t>
      </w:r>
      <w:hyperlink w:anchor="b129" w:history="1">
        <w:r>
          <w:rPr>
            <w:color w:val="0A3A8C"/>
            <w:u w:val="single"/>
          </w:rPr>
          <w:t xml:space="preserve">§ 35</w:t>
        </w:r>
      </w:hyperlink>
      <w:r>
        <w:t xml:space="preserve"> ausgenommen sind. </w:t>
      </w:r>
      <w:r>
        <w:rPr>
          <w:rStyle w:val="Satznummer"/>
        </w:rPr>
        <w:t>4</w:t>
      </w:r>
      <w:r>
        <w:t xml:space="preserve">Geminderte tarifliche Steuer ist die tarifliche Steuer nach Abzug von Beträgen auf Grund der Anwendung zwischenstaatlicher Abkommen und nach Anrechnung der ausländischen Steuern nach </w:t>
      </w:r>
      <w:hyperlink w:anchor="b111" w:history="1">
        <w:r>
          <w:rPr>
            <w:color w:val="0A3A8C"/>
            <w:u w:val="single"/>
          </w:rPr>
          <w:t xml:space="preserve">§ 32d</w:t>
        </w:r>
      </w:hyperlink>
      <w:r>
        <w:t xml:space="preserve"> Absatz 6 Satz 2, </w:t>
      </w:r>
      <w:hyperlink w:anchor="b120" w:history="1">
        <w:r>
          <w:rPr>
            <w:color w:val="0A3A8C"/>
            <w:u w:val="single"/>
          </w:rPr>
          <w:t xml:space="preserve">§ 34c</w:t>
        </w:r>
      </w:hyperlink>
      <w:r>
        <w:t xml:space="preserve"> Absatz 1 und 6 dieses Gesetzes und § 12 des Außensteuergesetzes. </w:t>
      </w:r>
      <w:r>
        <w:rPr>
          <w:rStyle w:val="Satznummer"/>
        </w:rPr>
        <w:t>5</w:t>
      </w:r>
      <w:r>
        <w:t>Der Abzug des Steuerermäßigungsbetrags ist auf die tatsächlich zu zahlende Gewerbesteuer beschränkt.</w:t>
      </w:r>
    </w:p>
    <w:p>
      <w:r>
        <w:t xml:space="preserve">(2) </w:t>
      </w:r>
      <w:r>
        <w:rPr>
          <w:rStyle w:val="Satznummer"/>
        </w:rPr>
        <w:t>1</w:t>
      </w:r>
      <w:r>
        <w:t xml:space="preserve">Bei Mitunternehmerschaften im Sinne des </w:t>
      </w:r>
      <w:hyperlink w:anchor="b75" w:history="1">
        <w:r>
          <w:rPr>
            <w:color w:val="0A3A8C"/>
            <w:u w:val="single"/>
          </w:rPr>
          <w:t xml:space="preserve">§ 15</w:t>
        </w:r>
      </w:hyperlink>
      <w:r>
        <w:t xml:space="preserve"> Absatz 1 Satz 1 Nummer 2 oder bei Kommanditgesellschaften auf Aktien im Sinne des </w:t>
      </w:r>
      <w:hyperlink w:anchor="b75" w:history="1">
        <w:r>
          <w:rPr>
            <w:color w:val="0A3A8C"/>
            <w:u w:val="single"/>
          </w:rPr>
          <w:t xml:space="preserve">§ 15</w:t>
        </w:r>
      </w:hyperlink>
      <w:r>
        <w:t xml:space="preserve"> Absatz 1 Satz 1 Nummer 3 ist der Betrag des Gewerbesteuer-Messbetrags, die tatsächlich zu zahlende Gewerbesteuer und der auf die einzelnen Mitunternehmer oder auf die persönlich haftenden Gesellschafter entfallende Anteil gesondert und einheitlich festzustellen. </w:t>
      </w:r>
      <w:r>
        <w:rPr>
          <w:rStyle w:val="Satznummer"/>
        </w:rPr>
        <w:t>2</w:t>
      </w:r>
      <w:r>
        <w:t xml:space="preserve">Der Anteil eines Mitunternehmers am Gewerbesteuer-Messbetrag richtet sich nach seinem Anteil am Gewinn der Mitunternehmerschaft nach Maßgabe des allgemeinen Gewinnverteilungsschlüssels; Vorabgewinnanteile sind nicht zu berücksichtigen. </w:t>
      </w:r>
      <w:r>
        <w:rPr>
          <w:rStyle w:val="Satznummer"/>
        </w:rPr>
        <w:t>3</w:t>
      </w:r>
      <w:r>
        <w:t xml:space="preserve">Wenn auf Grund der Bestimmungen in einem Abkommen zur Vermeidung der Doppelbesteuerung bei der Festsetzung des Gewerbesteuer-Messbetrags für eine Mitunternehmerschaft nur der auf einen Teil der Mitunternehmer entfallende anteilige Gewerbeertrag berücksichtigt wird, ist der Gewerbesteuer-Messbetrag nach Maßgabe des allgemeinen Gewinnverteilungsschlüssels in voller Höhe auf diese Mitunternehmer entsprechend ihrer Anteile am Gewerbeertrag der Mitunternehmerschaft aufzuteilen. </w:t>
      </w:r>
      <w:r>
        <w:rPr>
          <w:rStyle w:val="Satznummer"/>
        </w:rPr>
        <w:t>4</w:t>
      </w:r>
      <w:r>
        <w:t xml:space="preserve">Der anteilige Gewerbesteuer-Messbetrag ist als Prozentsatz mit zwei Nachkommastellen gerundet zu ermitteln. </w:t>
      </w:r>
      <w:r>
        <w:rPr>
          <w:rStyle w:val="Satznummer"/>
        </w:rPr>
        <w:t>5</w:t>
      </w:r>
      <w:r>
        <w:t>Bei der Feststellung nach Satz 1 sind anteilige Gewerbesteuer-Messbeträge, die aus einer Beteiligung an einer Mitunternehmerschaft stammen, einzubeziehen.</w:t>
      </w:r>
    </w:p>
    <w:p>
      <w:r>
        <w:t xml:space="preserve">(3) </w:t>
      </w:r>
      <w:r>
        <w:rPr>
          <w:rStyle w:val="Satznummer"/>
        </w:rPr>
        <w:t>1</w:t>
      </w:r>
      <w:r>
        <w:t xml:space="preserve">Zuständig für die gesonderte Feststellung nach Absatz 2 ist das für die gesonderte Feststellung der Einkünfte zuständige Finanzamt. </w:t>
      </w:r>
      <w:r>
        <w:rPr>
          <w:rStyle w:val="Satznummer"/>
        </w:rPr>
        <w:t>2</w:t>
      </w:r>
      <w:r>
        <w:t xml:space="preserve">Für die Ermittlung der Steuerermäßigung nach Absatz 1 sind die Festsetzung des Gewerbesteuer-Messbetrags, die Feststellung des Anteils an dem festzusetzenden Gewerbesteuer-Messbetrag nach Absatz 2 Satz 1 und die Festsetzung der Gewerbesteuer Grundlagenbescheide. </w:t>
      </w:r>
      <w:r>
        <w:rPr>
          <w:rStyle w:val="Satznummer"/>
        </w:rPr>
        <w:t>3</w:t>
      </w:r>
      <w:r>
        <w:t>Für die Ermittlung des anteiligen Gewerbesteuer-Messbetrags nach Absatz 2 sind die Festsetzung des Gewerbesteuer-Messbetrags und die Festsetzung des anteiligen Gewerbesteuer-Messbetrags aus der Beteiligung an einer Mitunternehmerschaft Grundlagenbescheide.</w:t>
      </w:r>
    </w:p>
    <w:p>
      <w:r>
        <w:t xml:space="preserve">(4) Für die Aufteilung und die Feststellung der tatsächlich zu zahlenden Gewerbesteuer bei Mitunternehmerschaften im Sinne des </w:t>
      </w:r>
      <w:hyperlink w:anchor="b75" w:history="1">
        <w:r>
          <w:rPr>
            <w:color w:val="0A3A8C"/>
            <w:u w:val="single"/>
          </w:rPr>
          <w:t xml:space="preserve">§ 15</w:t>
        </w:r>
      </w:hyperlink>
      <w:r>
        <w:t xml:space="preserve"> Absatz 1 Satz 1 Nummer 2 und bei Kommanditgesellschaften auf Aktien im Sinne des </w:t>
      </w:r>
      <w:hyperlink w:anchor="b75" w:history="1">
        <w:r>
          <w:rPr>
            <w:color w:val="0A3A8C"/>
            <w:u w:val="single"/>
          </w:rPr>
          <w:t xml:space="preserve">§ 15</w:t>
        </w:r>
      </w:hyperlink>
      <w:r>
        <w:t xml:space="preserve"> Absatz 1 Satz 1 Nummer 3 gelten die Absätze 2 und 3 entsprechend.</w:t>
      </w:r>
    </w:p>
    <w:p>
      <w:pPr>
        <w:pStyle w:val="Heading2"/>
      </w:pPr>
      <w:bookmarkStart w:id="131" w:name="b130"/>
      <w:r>
        <w:t>4. Steuerermäßigung bei Aufwendungen für haushaltsnahe Beschäftigungsverhältnisse und für die Inanspruchnahme haushaltsnaher Dienstleistungen</w:t>
      </w:r>
      <w:bookmarkEnd w:id="131"/>
    </w:p>
    <w:p>
      <w:pPr>
        <w:pStyle w:val="Heading3"/>
      </w:pPr>
      <w:bookmarkStart w:id="132" w:name="b131"/>
      <w:r>
        <w:t>§ 35a Steuerermäßigung bei Aufwendungen für haushaltsnahe Beschäftigungsverhältnisse, haushaltsnahe Dienstleistungen und Handwerkerleistungen</w:t>
      </w:r>
      <w:r>
        <w:t xml:space="preserve"> </w:t>
      </w:r>
      <w:r>
        <w:rPr>
          <w:rStyle w:val="Suchmarke"/>
        </w:rPr>
        <w:t>#35a#</w:t>
      </w:r>
      <w:bookmarkEnd w:id="132"/>
    </w:p>
    <w:p>
      <w:r>
        <w:t>(1) Für haushaltsnahe Beschäftigungsverhältnisse, bei denen es sich um eine geringfügige Beschäftigung im Sinne des § 8a des Vierten Buches Sozialgesetzbuch handelt, ermäßigt sich die tarifliche Einkommensteuer, vermindert um die sonstigen Steuerermäßigungen, auf Antrag um 20 Prozent, höchstens 510 Euro, der Aufwendungen des Steuerpflichtigen.</w:t>
      </w:r>
    </w:p>
    <w:p>
      <w:r>
        <w:t xml:space="preserve">(2) </w:t>
      </w:r>
      <w:r>
        <w:rPr>
          <w:rStyle w:val="Satznummer"/>
        </w:rPr>
        <w:t>1</w:t>
      </w:r>
      <w:r>
        <w:t xml:space="preserve">Für andere als in Absatz 1 aufgeführte haushaltsnahe Beschäftigungsverhältnisse oder für die Inanspruchnahme von haushaltsnahen Dienstleistungen, die nicht Dienstleistungen nach Absatz 3 sind, ermäßigt sich die tarifliche Einkommensteuer, vermindert um die sonstigen Steuerermäßigungen, auf Antrag um 20 Prozent, höchstens 4 000 Euro, der Aufwendungen des Steuerpflichtigen. </w:t>
      </w:r>
      <w:r>
        <w:rPr>
          <w:rStyle w:val="Satznummer"/>
        </w:rPr>
        <w:t>2</w:t>
      </w:r>
      <w:r>
        <w:t>Die Steuerermäßigung kann auch in Anspruch genommen werden für die Inanspruchnahme von Pflege- und Betreuungsleistungen sowie für Aufwendungen, die einem Steuerpflichtigen wegen der Unterbringung in einem Heim oder zur dauernden Pflege erwachsen, soweit darin Kosten für Dienstleistungen enthalten sind, die mit denen einer Hilfe im Haushalt vergleichbar sind.</w:t>
      </w:r>
    </w:p>
    <w:p>
      <w:r>
        <w:t xml:space="preserve">(3) </w:t>
      </w:r>
      <w:r>
        <w:rPr>
          <w:rStyle w:val="Satznummer"/>
        </w:rPr>
        <w:t>1</w:t>
      </w:r>
      <w:r>
        <w:t xml:space="preserve">Für die Inanspruchnahme von Handwerkerleistungen für Renovierungs-, Erhaltungs- und Modernisierungsmaßnahmen ermäßigt sich die tarifliche Einkommensteuer, vermindert um die sonstigen Steuerermäßigungen, auf Antrag um 20 Prozent der Aufwendungen des Steuerpflichtigen, höchstens jedoch um 1 200 Euro. </w:t>
      </w:r>
      <w:r>
        <w:rPr>
          <w:rStyle w:val="Satznummer"/>
        </w:rPr>
        <w:t>2</w:t>
      </w:r>
      <w:r>
        <w:t>Dies gilt nicht für öffentlich geförderte Maßnahmen, für die zinsverbilligte Darlehen oder steuerfreie Zuschüsse in Anspruch genommen werden.</w:t>
      </w:r>
    </w:p>
    <w:p>
      <w:r>
        <w:t xml:space="preserve">(4) </w:t>
      </w:r>
      <w:r>
        <w:rPr>
          <w:rStyle w:val="Satznummer"/>
        </w:rPr>
        <w:t>1</w:t>
      </w:r>
      <w:r>
        <w:t xml:space="preserve">Die Steuerermäßigung nach den Absätzen 1 bis 3 kann nur in Anspruch genommen werden, wenn das Beschäftigungsverhältnis, die Dienstleistung oder die Handwerkerleistung in einem in der Europäischen Union oder dem Europäischen Wirtschaftsraum liegenden Haushalt des Steuerpflichtigen oder – bei Pflege- und Betreuungsleistungen – der gepflegten oder betreuten Person ausgeübt oder erbracht wird. </w:t>
      </w:r>
      <w:r>
        <w:rPr>
          <w:rStyle w:val="Satznummer"/>
        </w:rPr>
        <w:t>2</w:t>
      </w:r>
      <w:r>
        <w:t>In den Fällen des Absatzes 2 Satz 2 zweiter Halbsatz ist Voraussetzung, dass das Heim oder der Ort der dauernden Pflege in der Europäischen Union oder dem Europäischen Wirtschaftsraum liegt.</w:t>
      </w:r>
    </w:p>
    <w:p>
      <w:r>
        <w:t xml:space="preserve">(5) </w:t>
      </w:r>
      <w:r>
        <w:rPr>
          <w:rStyle w:val="Satznummer"/>
        </w:rPr>
        <w:t>1</w:t>
      </w:r>
      <w:r>
        <w:t xml:space="preserve">Die Steuerermäßigungen nach den Absätzen 1 bis 3 können nur in Anspruch genommen werden, soweit die Aufwendungen nicht Betriebsausgaben oder Werbungskosten darstellen und soweit sie nicht als Sonderausgaben oder außergewöhnliche Belastungen berücksichtigt worden sind; für Aufwendungen, die dem Grunde nach unter </w:t>
      </w:r>
      <w:hyperlink w:anchor="b51" w:history="1">
        <w:r>
          <w:rPr>
            <w:color w:val="0A3A8C"/>
            <w:u w:val="single"/>
          </w:rPr>
          <w:t xml:space="preserve">§ 10</w:t>
        </w:r>
      </w:hyperlink>
      <w:r>
        <w:t xml:space="preserve"> Absatz 1 Nummer 5 fallen, ist eine Inanspruchnahme ebenfalls ausgeschlossen. </w:t>
      </w:r>
      <w:r>
        <w:rPr>
          <w:rStyle w:val="Satznummer"/>
        </w:rPr>
        <w:t>2</w:t>
      </w:r>
      <w:r>
        <w:t xml:space="preserve">Der Abzug von der tariflichen Einkommensteuer nach den Absätzen 2 und 3 gilt nur für Arbeitskosten. </w:t>
      </w:r>
      <w:r>
        <w:rPr>
          <w:rStyle w:val="Satznummer"/>
        </w:rPr>
        <w:t>3</w:t>
      </w:r>
      <w:r>
        <w:t xml:space="preserve">Voraussetzung für die Inanspruchnahme der Steuerermäßigungen nach den Absätzen 2 und 3 ist, dass der Steuerpflichtige für die Aufwendungen eine Rechnung erhalten hat und die Zahlung auf das Konto des Erbringers der Leistung erfolgt ist. </w:t>
      </w:r>
      <w:r>
        <w:rPr>
          <w:rStyle w:val="Satznummer"/>
        </w:rPr>
        <w:t>4</w:t>
      </w:r>
      <w:r>
        <w:t>Leben zwei Alleinstehende in einem Haushalt zusammen, können sie die Höchstbeträge nach den Absätzen 1 bis 3 insgesamt jeweils nur einmal in Anspruch nehmen.</w:t>
      </w:r>
    </w:p>
    <w:p>
      <w:pPr>
        <w:pStyle w:val="Heading2"/>
      </w:pPr>
      <w:bookmarkStart w:id="133" w:name="b132"/>
      <w:r>
        <w:t>5. Steuerermäßigung bei Belastung mit Erbschaftsteuer</w:t>
      </w:r>
      <w:bookmarkEnd w:id="133"/>
    </w:p>
    <w:p>
      <w:pPr>
        <w:pStyle w:val="Heading3"/>
      </w:pPr>
      <w:bookmarkStart w:id="134" w:name="b133"/>
      <w:r>
        <w:t>§ 35b Steuerermäßigung bei Belastung mit Erbschaftsteuer</w:t>
      </w:r>
      <w:r>
        <w:t xml:space="preserve"> </w:t>
      </w:r>
      <w:r>
        <w:rPr>
          <w:rStyle w:val="Suchmarke"/>
        </w:rPr>
        <w:t>#35b#</w:t>
      </w:r>
      <w:bookmarkEnd w:id="134"/>
    </w:p>
    <w:p>
      <w:r>
        <w:rPr>
          <w:rStyle w:val="Satznummer"/>
        </w:rPr>
        <w:t>1</w:t>
      </w:r>
      <w:r>
        <w:t xml:space="preserve">Sind bei der Ermittlung des Einkommens Einkünfte berücksichtigt worden, die im Veranlagungszeitraum oder in den vorangegangenen vier Veranlagungszeiträumen als Erwerb von Todes wegen der Erbschaftsteuer unterlegen haben, so wird auf Antrag die um sonstige Steuerermäßigungen gekürzte tarifliche Einkommensteuer, die auf diese Einkünfte entfällt, um den in Satz 2 bestimmten Prozentsatz ermäßigt. </w:t>
      </w:r>
      <w:r>
        <w:rPr>
          <w:rStyle w:val="Satznummer"/>
        </w:rPr>
        <w:t>2</w:t>
      </w:r>
      <w:r>
        <w:t xml:space="preserve">Der Prozentsatz bestimmt sich nach dem Verhältnis, in dem die festgesetzte Erbschaftsteuer zu dem Betrag steht, der sich ergibt, wenn dem steuerpflichtigen Erwerb (§ 10 Absatz 1 des Erbschaftsteuer- und Schenkungsteuergesetzes) die Freibeträge nach den </w:t>
      </w:r>
      <w:hyperlink w:anchor="b78" w:history="1">
        <w:r>
          <w:rPr>
            <w:color w:val="0A3A8C"/>
            <w:u w:val="single"/>
          </w:rPr>
          <w:t xml:space="preserve">§§ 16</w:t>
        </w:r>
      </w:hyperlink>
      <w:r>
        <w:t xml:space="preserve"> und </w:t>
      </w:r>
      <w:hyperlink w:anchor="b79" w:history="1">
        <w:r>
          <w:rPr>
            <w:color w:val="0A3A8C"/>
            <w:u w:val="single"/>
          </w:rPr>
          <w:t xml:space="preserve">17</w:t>
        </w:r>
      </w:hyperlink>
      <w:r>
        <w:t xml:space="preserve"> und der steuerfreie Betrag nach § 5 des Erbschaftsteuer- und Schenkungsteuergesetzes hinzugerechnet werden.</w:t>
      </w:r>
    </w:p>
    <w:p>
      <w:pPr>
        <w:pStyle w:val="Heading2"/>
      </w:pPr>
      <w:bookmarkStart w:id="135" w:name="b134"/>
      <w:r>
        <w:t>6. Steuerermäßigung für energetische Maßnahmen bei zu eigenen Wohnzwecken genutzten Gebäuden</w:t>
      </w:r>
      <w:bookmarkEnd w:id="135"/>
    </w:p>
    <w:p>
      <w:pPr>
        <w:pStyle w:val="Heading3"/>
      </w:pPr>
      <w:bookmarkStart w:id="136" w:name="b135"/>
      <w:r>
        <w:t>§ 35c Steuerermäßigung für energetische Maßnahmen bei zu eigenen Wohnzwecken genutzten Gebäuden</w:t>
      </w:r>
      <w:r>
        <w:t xml:space="preserve"> </w:t>
      </w:r>
      <w:r>
        <w:rPr>
          <w:rStyle w:val="Suchmarke"/>
        </w:rPr>
        <w:t>#35c#</w:t>
      </w:r>
      <w:bookmarkEnd w:id="136"/>
    </w:p>
    <w:p>
      <w:r>
        <w:t xml:space="preserve">(1) </w:t>
      </w:r>
      <w:r>
        <w:rPr>
          <w:rStyle w:val="Satznummer"/>
        </w:rPr>
        <w:t>1</w:t>
      </w:r>
      <w:r>
        <w:t xml:space="preserve">Für energetische Maßnahmen an einem in der Europäischen Union oder dem Europäischen Wirtschaftsraum belegenen zu eigenen Wohnzwecken genutzten eigenen Gebäude (begünstigtes Objekt) ermäßigt sich auf Antrag die tarifliche Einkommensteuer, vermindert um die sonstigen Steuerermäßigungen, im Kalenderjahr des Abschlusses der energetischen Maßnahme und im nächsten Kalenderjahr um je 7 Prozent der Aufwendungen des Steuerpflichtigen, höchstens jedoch um je 14 000 Euro und im übernächsten Kalenderjahr um 6 Prozent der Aufwendungen des Steuerpflichtigen, höchstens jedoch um 12 000 Euro für das begünstigte Objekt. </w:t>
      </w:r>
      <w:r>
        <w:rPr>
          <w:rStyle w:val="Satznummer"/>
        </w:rPr>
        <w:t>2</w:t>
      </w:r>
      <w:r>
        <w:t xml:space="preserve">Voraussetzung ist, dass das begünstigte Objekt bei der Durchführung der energetischen Maßnahme älter als zehn Jahre ist; maßgebend hierfür ist der Beginn der Herstellung. </w:t>
      </w:r>
      <w:r>
        <w:rPr>
          <w:rStyle w:val="Satznummer"/>
        </w:rPr>
        <w:t>3</w:t>
      </w:r>
      <w:r>
        <w:t>Energetische Maßnahmen im Sinne des Satzes 1 sind:</w:t>
      </w:r>
    </w:p>
    <w:p>
      <w:pPr>
        <w:tabs>
          <w:tab w:pos="567" w:val="left"/>
        </w:tabs>
        <w:ind w:left="567" w:hanging="567"/>
      </w:pPr>
      <w:r>
        <w:t>1.</w:t>
      </w:r>
      <w:r>
        <w:tab/>
      </w:r>
      <w:r>
        <w:t>Wärmedämmung von Wänden,</w:t>
      </w:r>
    </w:p>
    <w:p>
      <w:pPr>
        <w:tabs>
          <w:tab w:pos="567" w:val="left"/>
        </w:tabs>
        <w:ind w:left="567" w:hanging="567"/>
      </w:pPr>
      <w:r>
        <w:t>2.</w:t>
      </w:r>
      <w:r>
        <w:tab/>
      </w:r>
      <w:r>
        <w:t>Wärmedämmung von Dachflächen,</w:t>
      </w:r>
    </w:p>
    <w:p>
      <w:pPr>
        <w:tabs>
          <w:tab w:pos="567" w:val="left"/>
        </w:tabs>
        <w:ind w:left="567" w:hanging="567"/>
      </w:pPr>
      <w:r>
        <w:t>3.</w:t>
      </w:r>
      <w:r>
        <w:tab/>
      </w:r>
      <w:r>
        <w:t>Wärmedämmung von Geschossdecken,</w:t>
      </w:r>
    </w:p>
    <w:p>
      <w:pPr>
        <w:tabs>
          <w:tab w:pos="567" w:val="left"/>
        </w:tabs>
        <w:ind w:left="567" w:hanging="567"/>
      </w:pPr>
      <w:r>
        <w:t>4.</w:t>
      </w:r>
      <w:r>
        <w:tab/>
      </w:r>
      <w:r>
        <w:t>Erneuerung der Fenster oder Außentüren,</w:t>
      </w:r>
    </w:p>
    <w:p>
      <w:pPr>
        <w:tabs>
          <w:tab w:pos="567" w:val="left"/>
        </w:tabs>
        <w:ind w:left="567" w:hanging="567"/>
      </w:pPr>
      <w:r>
        <w:t>5.</w:t>
      </w:r>
      <w:r>
        <w:tab/>
      </w:r>
      <w:r>
        <w:t>Erneuerung oder Einbau einer Lüftungsanlage,</w:t>
      </w:r>
    </w:p>
    <w:p>
      <w:pPr>
        <w:tabs>
          <w:tab w:pos="567" w:val="left"/>
        </w:tabs>
        <w:ind w:left="567" w:hanging="567"/>
      </w:pPr>
      <w:r>
        <w:t>6.</w:t>
      </w:r>
      <w:r>
        <w:tab/>
      </w:r>
      <w:r>
        <w:t>Erneuerung der Heizungsanlage,</w:t>
      </w:r>
    </w:p>
    <w:p>
      <w:pPr>
        <w:tabs>
          <w:tab w:pos="567" w:val="left"/>
        </w:tabs>
        <w:ind w:left="567" w:hanging="567"/>
      </w:pPr>
      <w:r>
        <w:t>7.</w:t>
      </w:r>
      <w:r>
        <w:tab/>
      </w:r>
      <w:r>
        <w:t>Einbau von digitalen Systemen zur energetischen Betriebs- und Verbrauchsoptimierung und</w:t>
      </w:r>
    </w:p>
    <w:p>
      <w:pPr>
        <w:tabs>
          <w:tab w:pos="567" w:val="left"/>
        </w:tabs>
        <w:ind w:left="567" w:hanging="567"/>
      </w:pPr>
      <w:r>
        <w:t>8.</w:t>
      </w:r>
      <w:r>
        <w:tab/>
      </w:r>
      <w:r>
        <w:t>Optimierung bestehender Heizungsanlagen, sofern diese älter als zwei Jahre sind.</w:t>
      </w:r>
    </w:p>
    <w:p>
      <w:r>
        <w:rPr>
          <w:rStyle w:val="Satznummer"/>
        </w:rPr>
        <w:t>4</w:t>
      </w:r>
      <w:r>
        <w:t xml:space="preserve">Zu den Aufwendungen für energetische Maßnahmen gehören auch die Kosten für die Erteilung der Bescheinigung nach Satz 7 sowie die Kosten für Energieberater, die vom Bundesamt für Wirtschaft und Ausfuhrkontrolle (BAFA) als fachlich qualifiziert zum Förderprogramm „Energieberatung für Wohngebäude (Vor-Ort-Beratung, individueller Sanierungsfahrplan)“ zugelassen sind, wenn der Energieberater durch den Steuerpflichtigen mit der planerischen Begleitung oder Beaufsichtigung der energetischen Maßnahmen nach Satz 3 beauftragt worden ist; die tarifliche Einkommensteuer vermindert sich abweichend von Satz 1 um 50 Prozent der Aufwendungen für den Energieberater. </w:t>
      </w:r>
      <w:r>
        <w:rPr>
          <w:rStyle w:val="Satznummer"/>
        </w:rPr>
        <w:t>5</w:t>
      </w:r>
      <w:r>
        <w:t xml:space="preserve">Die Förderung kann für mehrere Einzelmaßnahmen an einem begünstigten Objekt in Anspruch genommen werden; je begünstigtes Objekt beträgt der Höchstbetrag der Steuerermäßigung 40 000 Euro. </w:t>
      </w:r>
      <w:r>
        <w:rPr>
          <w:rStyle w:val="Satznummer"/>
        </w:rPr>
        <w:t>6</w:t>
      </w:r>
      <w:r>
        <w:t xml:space="preserve">Voraussetzung für die Förderung ist, dass die jeweilige energetische Maßnahme von einem Fachunternehmen ausgeführt wurde und die Anforderungen aus der Rechtsverordnung nach Absatz 7 erfüllt sind. </w:t>
      </w:r>
      <w:r>
        <w:rPr>
          <w:rStyle w:val="Satznummer"/>
        </w:rPr>
        <w:t>7</w:t>
      </w:r>
      <w:r>
        <w:t>Die Steuerermäßigungen können nur in Anspruch genommen werden, wenn durch eine nach amtlich vorgeschriebenem Muster erstellte Bescheinigung des ausführenden Fachunternehmens nachgewiesen wird, dass die Voraussetzungen der Sätze 1 bis 3 und die Anforderungen aus der Rechtsverordnung nach Absatz 7 dem Grunde und der Höhe nach erfüllt sind.</w:t>
      </w:r>
    </w:p>
    <w:p>
      <w:r>
        <w:t xml:space="preserve">(2) </w:t>
      </w:r>
      <w:r>
        <w:rPr>
          <w:rStyle w:val="Satznummer"/>
        </w:rPr>
        <w:t>1</w:t>
      </w:r>
      <w:r>
        <w:t xml:space="preserve">Die Steuerermäßigung nach Absatz 1 kann nur in Anspruch genommen werden, wenn der Steuerpflichtige das Gebäude im jeweiligen Kalenderjahr ausschließlich zu eigenen Wohnzwecken nutzt. </w:t>
      </w:r>
      <w:r>
        <w:rPr>
          <w:rStyle w:val="Satznummer"/>
        </w:rPr>
        <w:t>2</w:t>
      </w:r>
      <w:r>
        <w:t>Eine Nutzung zu eigenen Wohnzwecken liegt auch vor, wenn Teile einer zu eigenen Wohnzwecken genutzten Wohnung anderen Personen unentgeltlich zu Wohnzwecken überlassen werden.</w:t>
      </w:r>
    </w:p>
    <w:p>
      <w:r>
        <w:t xml:space="preserve">(3) </w:t>
      </w:r>
      <w:r>
        <w:rPr>
          <w:rStyle w:val="Satznummer"/>
        </w:rPr>
        <w:t>1</w:t>
      </w:r>
      <w:r>
        <w:t xml:space="preserve">Der Steuerpflichtige kann die Steuerermäßigung nach Absatz 1 nicht in Anspruch nehmen, soweit die Aufwendungen als Betriebsausgaben, Werbungskosten, Sonderausgaben oder außergewöhnliche Belastungen berücksichtigt worden sind. </w:t>
      </w:r>
      <w:r>
        <w:rPr>
          <w:rStyle w:val="Satznummer"/>
        </w:rPr>
        <w:t>2</w:t>
      </w:r>
      <w:r>
        <w:t xml:space="preserve">Die Steuerermäßigung nach Absatz 1 ist ebenfalls nicht zu gewähren, wenn für die energetischen Maßnahmen eine Steuerbegünstigung nach </w:t>
      </w:r>
      <w:hyperlink w:anchor="b57" w:history="1">
        <w:r>
          <w:rPr>
            <w:color w:val="0A3A8C"/>
            <w:u w:val="single"/>
          </w:rPr>
          <w:t xml:space="preserve">§ 10f</w:t>
        </w:r>
      </w:hyperlink>
      <w:r>
        <w:t xml:space="preserve"> oder eine Steuerermäßigung nach § 35a in Anspruch genommen wird oder es sich um eine öffentlich geförderte Maßnahme handelt, für die zinsverbilligte Darlehen oder steuerfreie Zuschüsse in Anspruch genommen werden.</w:t>
      </w:r>
    </w:p>
    <w:p>
      <w:r>
        <w:t>(4) Voraussetzung für die Inanspruchnahme der Steuermäßigung für energetische Maßnahmen ist, dass</w:t>
      </w:r>
    </w:p>
    <w:p>
      <w:pPr>
        <w:tabs>
          <w:tab w:pos="567" w:val="left"/>
        </w:tabs>
        <w:ind w:left="567" w:hanging="567"/>
      </w:pPr>
      <w:r>
        <w:t>1.</w:t>
      </w:r>
      <w:r>
        <w:tab/>
      </w:r>
      <w:r>
        <w:t>der Steuerpflichtige für die Aufwendungen eine Rechnung erhalten hat, die die förderungsfähigen energetischen Maßnahmen, die Arbeitsleistung des Fachunternehmens und die Adresse des begünstigten Objekts ausweisen, und die in deutscher Sprache ausgefertigt ist und</w:t>
      </w:r>
    </w:p>
    <w:p>
      <w:pPr>
        <w:tabs>
          <w:tab w:pos="567" w:val="left"/>
        </w:tabs>
        <w:ind w:left="567" w:hanging="567"/>
      </w:pPr>
      <w:r>
        <w:t>2.</w:t>
      </w:r>
      <w:r>
        <w:tab/>
      </w:r>
      <w:r>
        <w:t>die Zahlung auf das Konto des Erbringers der Leistung erfolgt ist.</w:t>
      </w:r>
    </w:p>
    <w:p>
      <w:r>
        <w:t>(5) Die Absätze 1 bis 4 sind auf Gebäudeteile, die selbständige unbewegliche Wirtschaftsgüter sind, und auf Eigentumswohnungen entsprechend anzuwenden.</w:t>
      </w:r>
    </w:p>
    <w:p>
      <w:r>
        <w:t xml:space="preserve">(6) </w:t>
      </w:r>
      <w:r>
        <w:rPr>
          <w:rStyle w:val="Satznummer"/>
        </w:rPr>
        <w:t>1</w:t>
      </w:r>
      <w:r>
        <w:t xml:space="preserve">Steht das Eigentum am begünstigten Objekt mehreren Personen zu, können die Steuerermäßigungen nach Absatz 1 für das begünstigte Objekt insgesamt nur einmal in Anspruch genommen werden. </w:t>
      </w:r>
      <w:r>
        <w:rPr>
          <w:rStyle w:val="Satznummer"/>
        </w:rPr>
        <w:t>2</w:t>
      </w:r>
      <w:r>
        <w:t xml:space="preserve">Die der Steuerermäßigung nach Absatz 1 zugrunde liegenden Aufwendungen können einheitlich und gesondert festgestellt werden. </w:t>
      </w:r>
      <w:r>
        <w:rPr>
          <w:rStyle w:val="Satznummer"/>
        </w:rPr>
        <w:t>3</w:t>
      </w:r>
      <w:r>
        <w:t>Die für die gesonderte Feststellung von Einkünften nach § 180 Absatz 1 Nummer 2a der Abgabenordnung geltenden Vorschriften sind entsprechend anzuwenden.</w:t>
      </w:r>
    </w:p>
    <w:p>
      <w:r>
        <w:t>(7) Die Bundesregierung wird ermächtigt, durch Rechtsverordnung mit Zustimmung des Bundestages und des Bundesrates die Mindestanforderungen für die energetischen Maßnahmen nach Absatz 1 Satz 3 sowie die Anforderungen an ein Fachunternehmen nach Absatz 1 Satz 6 festzulegen.</w:t>
      </w:r>
    </w:p>
    <w:p>
      <w:pPr>
        <w:pStyle w:val="Heading1"/>
      </w:pPr>
      <w:bookmarkStart w:id="137" w:name="b136"/>
      <w:r>
        <w:t>VI. Steuererhebung</w:t>
      </w:r>
      <w:bookmarkEnd w:id="137"/>
    </w:p>
    <w:p>
      <w:pPr>
        <w:pStyle w:val="Heading2"/>
      </w:pPr>
      <w:bookmarkStart w:id="138" w:name="b137"/>
      <w:r>
        <w:t>1. Erhebung der Einkommensteuer</w:t>
      </w:r>
      <w:bookmarkEnd w:id="138"/>
    </w:p>
    <w:p>
      <w:pPr>
        <w:pStyle w:val="Heading3"/>
      </w:pPr>
      <w:bookmarkStart w:id="139" w:name="b138"/>
      <w:r>
        <w:t>§ 36 Entstehung und Tilgung der Einkommensteuer</w:t>
      </w:r>
      <w:r>
        <w:t xml:space="preserve"> </w:t>
      </w:r>
      <w:r>
        <w:rPr>
          <w:rStyle w:val="Suchmarke"/>
        </w:rPr>
        <w:t>#36#</w:t>
      </w:r>
      <w:bookmarkEnd w:id="139"/>
    </w:p>
    <w:p>
      <w:r>
        <w:t>(1) Die Einkommensteuer entsteht, soweit in diesem Gesetz nichts anderes bestimmt ist, mit Ablauf des Veranlagungszeitraums.</w:t>
      </w:r>
    </w:p>
    <w:p>
      <w:r>
        <w:t xml:space="preserve">(2) </w:t>
      </w:r>
      <w:r>
        <w:t>Auf die Einkommensteuer werden angerechnet:</w:t>
      </w:r>
    </w:p>
    <w:p>
      <w:pPr>
        <w:tabs>
          <w:tab w:pos="567" w:val="left"/>
        </w:tabs>
        <w:ind w:left="567" w:hanging="567"/>
      </w:pPr>
      <w:r>
        <w:t>1.</w:t>
      </w:r>
      <w:r>
        <w:tab/>
      </w:r>
      <w:r>
        <w:t>die für den Veranlagungszeitraum entrichteten Einkommensteuer-Vorauszahlungen (</w:t>
      </w:r>
      <w:hyperlink w:anchor="b140" w:history="1">
        <w:r>
          <w:rPr>
            <w:color w:val="0A3A8C"/>
            <w:u w:val="single"/>
          </w:rPr>
          <w:t xml:space="preserve">§ 37</w:t>
        </w:r>
      </w:hyperlink>
      <w:r>
        <w:t>);</w:t>
      </w:r>
    </w:p>
    <w:p>
      <w:pPr>
        <w:tabs>
          <w:tab w:pos="567" w:val="left"/>
        </w:tabs>
        <w:ind w:left="567" w:hanging="567"/>
      </w:pPr>
      <w:r>
        <w:t>2.</w:t>
      </w:r>
      <w:r>
        <w:tab/>
      </w:r>
      <w:r>
        <w:t>die durch Steuerabzug erhobene Einkommensteuer, soweit sie entfällt auf</w:t>
      </w:r>
    </w:p>
    <w:p>
      <w:pPr>
        <w:tabs>
          <w:tab w:pos="1134" w:val="left"/>
        </w:tabs>
        <w:ind w:left="1134" w:hanging="567"/>
      </w:pPr>
      <w:r>
        <w:t>a)</w:t>
      </w:r>
      <w:r>
        <w:tab/>
      </w:r>
      <w:r>
        <w:t>die bei der Veranlagung erfassten Einkünfte oder</w:t>
      </w:r>
    </w:p>
    <w:p>
      <w:pPr>
        <w:tabs>
          <w:tab w:pos="1134" w:val="left"/>
        </w:tabs>
        <w:ind w:left="1134" w:hanging="567"/>
      </w:pPr>
      <w:r>
        <w:t>b)</w:t>
      </w:r>
      <w:r>
        <w:tab/>
      </w:r>
      <w:r>
        <w:t xml:space="preserve">die nach </w:t>
      </w:r>
      <w:hyperlink w:anchor="b8" w:history="1">
        <w:r>
          <w:rPr>
            <w:color w:val="0A3A8C"/>
            <w:u w:val="single"/>
          </w:rPr>
          <w:t xml:space="preserve">§ 3</w:t>
        </w:r>
      </w:hyperlink>
      <w:r>
        <w:t xml:space="preserve"> Nummer 40 dieses Gesetzes, nach § 8b Absatz 1, 2 und 6 Satz 2 des Körperschaftsteuergesetzes oder nach einem Abkommen zur Vermeidung der Doppelbesteuerung bei der Ermittlung des Einkommens außer Ansatz bleibenden Bezüge</w:t>
      </w:r>
    </w:p>
    <w:p>
      <w:pPr>
        <w:ind w:left="567"/>
      </w:pPr>
      <w:r>
        <w:t xml:space="preserve">und keine Erstattung beantragt oder durchgeführt worden ist. </w:t>
      </w:r>
      <w:r>
        <w:rPr>
          <w:rStyle w:val="Satznummer"/>
        </w:rPr>
        <w:t>2</w:t>
      </w:r>
      <w:r>
        <w:t xml:space="preserve">Die durch Steuerabzug erhobene Einkommensteuer wird nicht angerechnet, wenn die in </w:t>
      </w:r>
      <w:hyperlink w:anchor="b176" w:history="1">
        <w:r>
          <w:rPr>
            <w:color w:val="0A3A8C"/>
            <w:u w:val="single"/>
          </w:rPr>
          <w:t xml:space="preserve">§ 45a</w:t>
        </w:r>
      </w:hyperlink>
      <w:r>
        <w:t xml:space="preserve"> Absatz 2 oder Absatz 3 bezeichnete Bescheinigung nicht vorgelegt worden ist oder die Angaben gemäß </w:t>
      </w:r>
      <w:hyperlink w:anchor="b176" w:history="1">
        <w:r>
          <w:rPr>
            <w:color w:val="0A3A8C"/>
            <w:u w:val="single"/>
          </w:rPr>
          <w:t xml:space="preserve">§ 45a</w:t>
        </w:r>
      </w:hyperlink>
      <w:r>
        <w:t xml:space="preserve"> Absatz 2a nicht übermittelt worden sind. </w:t>
      </w:r>
      <w:r>
        <w:rPr>
          <w:rStyle w:val="Satznummer"/>
        </w:rPr>
        <w:t>3</w:t>
      </w:r>
      <w:r>
        <w:t xml:space="preserve">Soweit der Steuerpflichtige einen Antrag nach </w:t>
      </w:r>
      <w:hyperlink w:anchor="b111" w:history="1">
        <w:r>
          <w:rPr>
            <w:color w:val="0A3A8C"/>
            <w:u w:val="single"/>
          </w:rPr>
          <w:t xml:space="preserve">§ 32d</w:t>
        </w:r>
      </w:hyperlink>
      <w:r>
        <w:t xml:space="preserve"> Absatz 4 oder Absatz 6 stellt, ist es für die Anrechnung ausreichend, wenn die Bescheinigung auf Verlangen des Finanzamts vorgelegt wird. </w:t>
      </w:r>
      <w:r>
        <w:rPr>
          <w:rStyle w:val="Satznummer"/>
        </w:rPr>
        <w:t>4</w:t>
      </w:r>
      <w:r>
        <w:t xml:space="preserve">In den Fällen des § 8b Absatz 6 Satz 2 des Körperschaftsteuergesetzes ist es für die Anrechnung ausreichend, wenn die Bescheinigung nach </w:t>
      </w:r>
      <w:hyperlink w:anchor="b176" w:history="1">
        <w:r>
          <w:rPr>
            <w:color w:val="0A3A8C"/>
            <w:u w:val="single"/>
          </w:rPr>
          <w:t xml:space="preserve">§ 45a</w:t>
        </w:r>
      </w:hyperlink>
      <w:r>
        <w:t xml:space="preserve"> Absatz 2 und 3 vorgelegt wird, die dem Gläubiger der Kapitalerträge ausgestellt worden ist. </w:t>
      </w:r>
      <w:r>
        <w:rPr>
          <w:rStyle w:val="Satznummer"/>
        </w:rPr>
        <w:t>5</w:t>
      </w:r>
      <w:r>
        <w:t xml:space="preserve">In den Fällen des </w:t>
      </w:r>
      <w:hyperlink w:anchor="b5" w:history="1">
        <w:r>
          <w:rPr>
            <w:color w:val="0A3A8C"/>
            <w:u w:val="single"/>
          </w:rPr>
          <w:t xml:space="preserve">§ 2</w:t>
        </w:r>
      </w:hyperlink>
      <w:r>
        <w:t xml:space="preserve"> Absatz 7 Satz 3 ist auch die durch Steuerabzug im Kalenderjahr des Wechsels von der unbeschränkten zur beschränkten Einkommensteuerpflicht erhobene Einkommensteuer anzurechnen, die auf Einkünfte entfällt, die weder der unbeschränkten noch der beschränkten Steuerpflicht unterliegen; § 37 Absatz 2 der Abgabenordnung findet insoweit keine Anwendung;</w:t>
      </w:r>
    </w:p>
    <w:p>
      <w:pPr>
        <w:tabs>
          <w:tab w:pos="567" w:val="left"/>
        </w:tabs>
        <w:ind w:left="567" w:hanging="567"/>
      </w:pPr>
      <w:r>
        <w:t>3.</w:t>
      </w:r>
      <w:r>
        <w:tab/>
      </w:r>
      <w:r>
        <w:t xml:space="preserve">die nach § 10 des Forschungszulagengesetzes festgesetzte Forschungszulage. </w:t>
      </w:r>
      <w:r>
        <w:rPr>
          <w:rStyle w:val="Satznummer"/>
        </w:rPr>
        <w:t>2</w:t>
      </w:r>
      <w:r>
        <w:t>Das gilt auch für die gesondert und einheitlich festgestellte Forschungszulage;</w:t>
      </w:r>
    </w:p>
    <w:p>
      <w:pPr>
        <w:tabs>
          <w:tab w:pos="567" w:val="left"/>
        </w:tabs>
        <w:ind w:left="567" w:hanging="567"/>
      </w:pPr>
      <w:r>
        <w:t>4.</w:t>
      </w:r>
      <w:r>
        <w:tab/>
      </w:r>
      <w:r>
        <w:t>in den Fällen des § 32c Absatz 1 Satz 2 der nicht zum Abzug gebrachte Unterschiedsbetrag, wenn dieser höher ist als die tarifliche Einkommensteuer des letzten Veranlagungszeitraums im Betrachtungszeitraum.</w:t>
      </w:r>
    </w:p>
    <w:p>
      <w:r>
        <w:t xml:space="preserve">(3) </w:t>
      </w:r>
      <w:r>
        <w:rPr>
          <w:rStyle w:val="Satznummer"/>
        </w:rPr>
        <w:t>1</w:t>
      </w:r>
      <w:r>
        <w:t xml:space="preserve">Die Steuerbeträge nach Absatz 2 Nummer 2 sind auf volle Euro aufzurunden. </w:t>
      </w:r>
      <w:r>
        <w:rPr>
          <w:rStyle w:val="Satznummer"/>
        </w:rPr>
        <w:t>2</w:t>
      </w:r>
      <w:r>
        <w:t>Bei den durch Steuerabzug erhobenen Steuern ist jeweils die Summe der Beträge einer einzelnen Abzugsteuer aufzurunden.</w:t>
      </w:r>
    </w:p>
    <w:p>
      <w:r>
        <w:t xml:space="preserve">(4) </w:t>
      </w:r>
      <w:r>
        <w:rPr>
          <w:rStyle w:val="Satznummer"/>
        </w:rPr>
        <w:t>1</w:t>
      </w:r>
      <w:r>
        <w:t xml:space="preserve">Wenn sich nach der Abrechnung ein Überschuss zuungunsten des Steuerpflichtigen ergibt, hat der Steuerpflichtige (Steuerschuldner) diesen Betrag, soweit er den fällig gewordenen, aber nicht entrichteten Einkommensteuer-Vorauszahlungen entspricht, sofort, im Übrigen innerhalb eines Monats nach Bekanntgabe des Steuerbescheids zu entrichten (Abschlusszahlung). </w:t>
      </w:r>
      <w:r>
        <w:rPr>
          <w:rStyle w:val="Satznummer"/>
        </w:rPr>
        <w:t>2</w:t>
      </w:r>
      <w:r>
        <w:t xml:space="preserve">Wenn sich nach der Abrechnung ein Überschuss zugunsten des Steuerpflichtigen ergibt, wird dieser dem Steuerpflichtigen nach Bekanntgabe des Steuerbescheids ausgezahlt. </w:t>
      </w:r>
      <w:r>
        <w:rPr>
          <w:rStyle w:val="Satznummer"/>
        </w:rPr>
        <w:t>3</w:t>
      </w:r>
      <w:r>
        <w:t xml:space="preserve">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veranlagt worden sind, wirkt die Auszahlung an einen Ehegatten auch für und gegen den anderen Ehegatten.</w:t>
      </w:r>
    </w:p>
    <w:p>
      <w:r>
        <w:t xml:space="preserve">(5) </w:t>
      </w:r>
      <w:r>
        <w:rPr>
          <w:rStyle w:val="Satznummer"/>
        </w:rPr>
        <w:t>1</w:t>
      </w:r>
      <w:r>
        <w:t xml:space="preserve">Die festgesetzte Steuer, die auf den Aufgabegewinn nach </w:t>
      </w:r>
      <w:hyperlink w:anchor="b78" w:history="1">
        <w:r>
          <w:rPr>
            <w:color w:val="0A3A8C"/>
            <w:u w:val="single"/>
          </w:rPr>
          <w:t xml:space="preserve">§ 16</w:t>
        </w:r>
      </w:hyperlink>
      <w:r>
        <w:t xml:space="preserve"> Absatz 3a und den durch den Wechsel der Gewinnermittlungsart erzielten Gewinn entfällt, kann auf Antrag des Steuerpflichtigen in fünf gleichen Jahresraten entrichtet werden, wenn die Wirtschaftsgüter einem Betriebsvermögen des Steuerpflichtigen in einem anderen Mitgliedstaat der Europäischen Union oder des Europäischen Wirtschaftsraums zuzuordnen sind, sofern durch diese Staaten Amtshilfe entsprechend oder im Sinne der Amtshilferichtlinie gemäß § 2 Absatz 11 des EU-Amtshilfegesetzes und gegenseitige Unterstützung bei der Beitreibung im Sinne der Beitreibungsrichtlinie einschließlich der in diesem Zusammenhang anzuwendenden Durchführungsbestimmungen in den für den jeweiligen Veranlagungszeitraum geltenden Fassungen oder eines entsprechenden Nachfolgerechtsakts geleistet werden. </w:t>
      </w:r>
      <w:r>
        <w:rPr>
          <w:rStyle w:val="Satznummer"/>
        </w:rPr>
        <w:t>2</w:t>
      </w:r>
      <w:r>
        <w:t xml:space="preserve">Die erste Jahresrate ist innerhalb eines Monats nach Bekanntgabe des Steuerbescheids zu entrichten; die übrigen Jahresraten sind jeweils am 31. Juli der Folgejahre fällig. </w:t>
      </w:r>
      <w:r>
        <w:rPr>
          <w:rStyle w:val="Satznummer"/>
        </w:rPr>
        <w:t>3</w:t>
      </w:r>
      <w:r>
        <w:t xml:space="preserve">Die Jahresraten sind nicht zu verzinsen; sie sollen in der Regel nur gegen Sicherheitsleistung gewährt werden. </w:t>
      </w:r>
      <w:r>
        <w:rPr>
          <w:rStyle w:val="Satznummer"/>
        </w:rPr>
        <w:t>4</w:t>
      </w:r>
      <w:r>
        <w:t>Die noch nicht entrichtete Steuer wird innerhalb eines Monats nach Eintritt eines der nachfolgenden Ereignisse fällig,</w:t>
      </w:r>
    </w:p>
    <w:p>
      <w:pPr>
        <w:tabs>
          <w:tab w:pos="567" w:val="left"/>
        </w:tabs>
        <w:ind w:left="567" w:hanging="567"/>
      </w:pPr>
      <w:r>
        <w:t>1.</w:t>
      </w:r>
      <w:r>
        <w:tab/>
      </w:r>
      <w:r>
        <w:t>soweit ein Wirtschaftsgut im Sinne des Satzes 1 veräußert, entnommen, in andere als die in Satz 1 genannten Staaten verlagert oder verdeckt in eine Kapitalgesellschaft eingelegt wird,</w:t>
      </w:r>
    </w:p>
    <w:p>
      <w:pPr>
        <w:tabs>
          <w:tab w:pos="567" w:val="left"/>
        </w:tabs>
        <w:ind w:left="567" w:hanging="567"/>
      </w:pPr>
      <w:r>
        <w:t>2.</w:t>
      </w:r>
      <w:r>
        <w:tab/>
      </w:r>
      <w:r>
        <w:t>wenn der Betrieb oder Teilbetrieb während dieses Zeitraums eingestellt, veräußert oder in andere als die in Satz 1 genannten Staaten verlegt wird,</w:t>
      </w:r>
    </w:p>
    <w:p>
      <w:pPr>
        <w:tabs>
          <w:tab w:pos="567" w:val="left"/>
        </w:tabs>
        <w:ind w:left="567" w:hanging="567"/>
      </w:pPr>
      <w:r>
        <w:t>3.</w:t>
      </w:r>
      <w:r>
        <w:tab/>
      </w:r>
      <w:r>
        <w:t>wenn der Steuerpflichtige aus der inländischen unbeschränkten Steuerpflicht oder der unbeschränkten Steuerpflicht in den in Satz 1 genannten Staaten ausscheidet oder in einem anderen als den in Satz 1 genannten Staaten ansässig wird,</w:t>
      </w:r>
    </w:p>
    <w:p>
      <w:pPr>
        <w:tabs>
          <w:tab w:pos="567" w:val="left"/>
        </w:tabs>
        <w:ind w:left="567" w:hanging="567"/>
      </w:pPr>
      <w:r>
        <w:t>4.</w:t>
      </w:r>
      <w:r>
        <w:tab/>
      </w:r>
      <w:r>
        <w:t>wenn der Steuerpflichtige Insolvenz anmeldet oder abgewickelt wird oder</w:t>
      </w:r>
    </w:p>
    <w:p>
      <w:pPr>
        <w:tabs>
          <w:tab w:pos="567" w:val="left"/>
        </w:tabs>
        <w:ind w:left="567" w:hanging="567"/>
      </w:pPr>
      <w:r>
        <w:t>5.</w:t>
      </w:r>
      <w:r>
        <w:tab/>
      </w:r>
      <w:r>
        <w:t>wenn der Steuerpflichtige seinen Verpflichtungen im Zusammenhang mit den Ratenzahlungen nicht nachkommt und über einen angemessenen Zeitraum, der zwölf Monate nicht überschreiten darf, keine Abhilfe für seine Situation schafft; Satz 2 bleibt unberührt.</w:t>
      </w:r>
    </w:p>
    <w:p>
      <w:r>
        <w:rPr>
          <w:rStyle w:val="Satznummer"/>
        </w:rPr>
        <w:t>5</w:t>
      </w:r>
      <w:r>
        <w:t xml:space="preserve">Ändert sich die festgesetzte Steuer, sind die Jahresraten entsprechend anzupassen. </w:t>
      </w:r>
      <w:r>
        <w:rPr>
          <w:rStyle w:val="Satznummer"/>
        </w:rPr>
        <w:t>6</w:t>
      </w:r>
      <w:r>
        <w:t xml:space="preserve">Der Steuerpflichtige hat der zuständigen Finanzbehörde jährlich mit der Steuererklärung oder, sofern keine Pflicht zur Abgabe einer Steuererklärung besteht, zum 31. Juli anzuzeigen, ob die Voraussetzungen für die Ratenzahlung weiterhin erfüllt sind; kommt er dieser Anzeigepflicht oder seinen sonstigen Mitwirkungspflichten im Sinne des § 90 der Abgabenordnung nicht nach, werden die noch nicht entrichteten Jahresraten rückwirkend zum 1. August des vorangegangenen Jahres fällig, frühestens aber einen Monat nach Bekanntgabe des Steuerbescheids. </w:t>
      </w:r>
      <w:r>
        <w:rPr>
          <w:rStyle w:val="Satznummer"/>
        </w:rPr>
        <w:t>7</w:t>
      </w:r>
      <w:r>
        <w:t xml:space="preserve">Unbeschadet des Satzes 6 hat der Steuerpflichtige den Eintritt eines Ereignisses nach Satz 4 der zuständigen Finanzbehörde unverzüglich anzuzeigen. </w:t>
      </w:r>
      <w:r>
        <w:rPr>
          <w:rStyle w:val="Satznummer"/>
        </w:rPr>
        <w:t>8</w:t>
      </w:r>
      <w:r>
        <w:t>Unterliegt der Steuerpflichtige einer Erklärungspflicht, kann die Anzeige auf Grund eines Ereignisses nach Satz 4 Nummer 1 abweichend von der in Satz 7 genannten Frist mit der nächsten Steuererklärung erfolgen.</w:t>
      </w:r>
    </w:p>
    <w:p>
      <w:pPr>
        <w:pStyle w:val="Heading3"/>
      </w:pPr>
      <w:bookmarkStart w:id="140" w:name="b139"/>
      <w:r>
        <w:t>§ 36a Beschränkung der Anrechenbarkeit der Kapitalertragsteuer</w:t>
      </w:r>
      <w:r>
        <w:t xml:space="preserve"> </w:t>
      </w:r>
      <w:r>
        <w:rPr>
          <w:rStyle w:val="Suchmarke"/>
        </w:rPr>
        <w:t>#36a#</w:t>
      </w:r>
      <w:bookmarkEnd w:id="140"/>
    </w:p>
    <w:p>
      <w:r>
        <w:t xml:space="preserve">(1) </w:t>
      </w:r>
      <w:r>
        <w:rPr>
          <w:rStyle w:val="Satznummer"/>
        </w:rPr>
        <w:t>1</w:t>
      </w:r>
      <w:r>
        <w:t xml:space="preserve">Ungeachtet eines Abkommens zur Vermeidung der Doppelbesteuerung setzt bei Kapitalerträgen im Sinne des </w:t>
      </w:r>
      <w:hyperlink w:anchor="b169" w:history="1">
        <w:r>
          <w:rPr>
            <w:color w:val="0A3A8C"/>
            <w:u w:val="single"/>
          </w:rPr>
          <w:t xml:space="preserve">§ 43</w:t>
        </w:r>
      </w:hyperlink>
      <w:r>
        <w:t xml:space="preserve"> Absatz 1 Satz 1 Nummer 1a die volle Anrechnung der durch Steuerabzug erhobenen Einkommensteuer ferner voraus, dass der Steuerpflichtige hinsichtlich der diesen Kapitalerträgen zugrunde liegenden Anteile oder Genussscheine</w:t>
      </w:r>
    </w:p>
    <w:p>
      <w:pPr>
        <w:tabs>
          <w:tab w:pos="567" w:val="left"/>
        </w:tabs>
        <w:ind w:left="567" w:hanging="567"/>
      </w:pPr>
      <w:r>
        <w:t>1.</w:t>
      </w:r>
      <w:r>
        <w:tab/>
      </w:r>
      <w:r>
        <w:t>während der Mindesthaltedauer nach Absatz 2 ununterbrochen wirtschaftlicher Eigentümer ist,</w:t>
      </w:r>
    </w:p>
    <w:p>
      <w:pPr>
        <w:tabs>
          <w:tab w:pos="567" w:val="left"/>
        </w:tabs>
        <w:ind w:left="567" w:hanging="567"/>
      </w:pPr>
      <w:r>
        <w:t>2.</w:t>
      </w:r>
      <w:r>
        <w:tab/>
      </w:r>
      <w:r>
        <w:t>während der Mindesthaltedauer nach Absatz 2 ununterbrochen das Mindestwertänderungsrisiko nach Absatz 3 trägt und</w:t>
      </w:r>
    </w:p>
    <w:p>
      <w:pPr>
        <w:tabs>
          <w:tab w:pos="567" w:val="left"/>
        </w:tabs>
        <w:ind w:left="567" w:hanging="567"/>
      </w:pPr>
      <w:r>
        <w:t>3.</w:t>
      </w:r>
      <w:r>
        <w:tab/>
      </w:r>
      <w:r>
        <w:t>nicht verpflichtet ist, die Kapitalerträge ganz oder überwiegend, unmittelbar oder mittelbar anderen Personen zu vergüten.</w:t>
      </w:r>
    </w:p>
    <w:p>
      <w:r>
        <w:rPr>
          <w:rStyle w:val="Satznummer"/>
        </w:rPr>
        <w:t>2</w:t>
      </w:r>
      <w:r>
        <w:t xml:space="preserve">Fehlen die Voraussetzungen des Satzes 1, so sind drei Fünftel der Kapitalertragsteuer nicht anzurechnen. </w:t>
      </w:r>
      <w:r>
        <w:rPr>
          <w:rStyle w:val="Satznummer"/>
        </w:rPr>
        <w:t>3</w:t>
      </w:r>
      <w:r>
        <w:t xml:space="preserve">Die nach den Sätzen 1 und 2 nicht angerechnete Kapitalertragsteuer ist auf Antrag bei der Ermittlung der Einkünfte abzuziehen. </w:t>
      </w:r>
      <w:r>
        <w:rPr>
          <w:rStyle w:val="Satznummer"/>
        </w:rPr>
        <w:t>4</w:t>
      </w:r>
      <w:r>
        <w:t xml:space="preserve">Die Sätze 1 bis 3 gelten entsprechend für Anteile oder Genussscheine, die zu inländischen Kapitalerträgen im Sinne des </w:t>
      </w:r>
      <w:hyperlink w:anchor="b169" w:history="1">
        <w:r>
          <w:rPr>
            <w:color w:val="0A3A8C"/>
            <w:u w:val="single"/>
          </w:rPr>
          <w:t xml:space="preserve">§ 43</w:t>
        </w:r>
      </w:hyperlink>
      <w:r>
        <w:t xml:space="preserve"> Absatz 3 Satz 1 führen und einer Wertpapiersammelbank im Ausland zur Verwahrung anvertraut sind.</w:t>
      </w:r>
    </w:p>
    <w:p>
      <w:r>
        <w:t xml:space="preserve">(2) </w:t>
      </w:r>
      <w:r>
        <w:rPr>
          <w:rStyle w:val="Satznummer"/>
        </w:rPr>
        <w:t>1</w:t>
      </w:r>
      <w:r>
        <w:t xml:space="preserve">Die Mindesthaltedauer umfasst 45 Tage und muss innerhalb eines Zeitraums von 45 Tagen vor und 45 Tagen nach der Fälligkeit der Kapitalerträge erreicht werden. </w:t>
      </w:r>
      <w:r>
        <w:rPr>
          <w:rStyle w:val="Satznummer"/>
        </w:rPr>
        <w:t>2</w:t>
      </w:r>
      <w:r>
        <w:t>Bei Anschaffungen und Veräußerungen ist zu unterstellen, dass die zuerst angeschafften Anteile oder Genussscheine zuerst veräußert wurden.</w:t>
      </w:r>
    </w:p>
    <w:p>
      <w:r>
        <w:t xml:space="preserve">(3) </w:t>
      </w:r>
      <w:r>
        <w:rPr>
          <w:rStyle w:val="Satznummer"/>
        </w:rPr>
        <w:t>1</w:t>
      </w:r>
      <w:r>
        <w:t xml:space="preserve">Der Steuerpflichtige muss unter Berücksichtigung von gegenläufigen Ansprüchen und Ansprüchen nahe stehender Personen das Risiko aus einem sinkenden Wert der Anteile oder Genussscheine im Umfang von mindestens 70 Prozent tragen (Mindestwertänderungsrisiko). </w:t>
      </w:r>
      <w:r>
        <w:rPr>
          <w:rStyle w:val="Satznummer"/>
        </w:rPr>
        <w:t>2</w:t>
      </w:r>
      <w:r>
        <w:t>Kein hinreichendes Mindestwertänderungsrisiko liegt insbesondere dann vor, wenn der Steuerpflichtige oder eine ihm nahe stehende Person Kurssicherungsgeschäfte abgeschlossen hat, die das Wertänderungsrisiko der Anteile oder Genussscheine unmittelbar oder mittelbar um mehr als 30 Prozent mindern.</w:t>
      </w:r>
    </w:p>
    <w:p>
      <w:r>
        <w:t xml:space="preserve">(4) </w:t>
      </w:r>
      <w:r>
        <w:rPr>
          <w:rStyle w:val="Satznummer"/>
        </w:rPr>
        <w:t>1</w:t>
      </w:r>
      <w:r>
        <w:t>Einkommen- oder körperschaftsteuerpflichtige Personen, bei denen insbesondere auf Grund einer Steuerbefreiung kein Steuerabzug vorgenommen oder denen ein Steuerabzug erstattet wurde und die die Voraussetzungen für eine Anrechenbarkeit der Kapitalertragsteuer nach den Absätzen 1 bis 3 nicht erfüllen, haben</w:t>
      </w:r>
    </w:p>
    <w:p>
      <w:pPr>
        <w:tabs>
          <w:tab w:pos="567" w:val="left"/>
        </w:tabs>
        <w:ind w:left="567" w:hanging="567"/>
      </w:pPr>
      <w:r>
        <w:t>1.</w:t>
      </w:r>
      <w:r>
        <w:tab/>
      </w:r>
      <w:r>
        <w:t>dies gegenüber ihrem zuständigen Finanzamt anzuzeigen,</w:t>
      </w:r>
    </w:p>
    <w:p>
      <w:pPr>
        <w:tabs>
          <w:tab w:pos="567" w:val="left"/>
        </w:tabs>
        <w:ind w:left="567" w:hanging="567"/>
      </w:pPr>
      <w:r>
        <w:t>2.</w:t>
      </w:r>
      <w:r>
        <w:tab/>
      </w:r>
      <w:r>
        <w:t xml:space="preserve">Kapitalertragsteuer in Höhe von 15 Prozent der Kapitalerträge im Sinne des </w:t>
      </w:r>
      <w:hyperlink w:anchor="b169" w:history="1">
        <w:r>
          <w:rPr>
            <w:color w:val="0A3A8C"/>
            <w:u w:val="single"/>
          </w:rPr>
          <w:t xml:space="preserve">§ 43</w:t>
        </w:r>
      </w:hyperlink>
      <w:r>
        <w:t xml:space="preserve"> Absatz 1 Satz 1 Nummer 1a und des Absatzes 1 Satz 4 nach amtlich vorgeschriebenem Vordruck auf elektronischem Weg anzumelden und</w:t>
      </w:r>
    </w:p>
    <w:p>
      <w:pPr>
        <w:tabs>
          <w:tab w:pos="567" w:val="left"/>
        </w:tabs>
        <w:ind w:left="567" w:hanging="567"/>
      </w:pPr>
      <w:r>
        <w:t>3.</w:t>
      </w:r>
      <w:r>
        <w:tab/>
      </w:r>
      <w:r>
        <w:t>die angemeldete Steuer zu entrichten.</w:t>
      </w:r>
    </w:p>
    <w:p>
      <w:r>
        <w:rPr>
          <w:rStyle w:val="Satznummer"/>
        </w:rPr>
        <w:t>2</w:t>
      </w:r>
      <w:r>
        <w:t>Die Anzeige, Anmeldung und Entrichtung hat bei Steuerpflichtigen, die ihren Gewinn durch Betriebsvermögensvergleich ermitteln, bis zum 10. Tag des auf den Ablauf des Wirtschaftsjahres folgenden Monats und bei anderen Steuerpflichtigen bis zum 10. Tag des auf den Ablauf des Kalenderjahres folgenden Monats zu erfolgen.</w:t>
      </w:r>
    </w:p>
    <w:p>
      <w:r>
        <w:t>(5) Die Absätze 1 bis 4 sind nicht anzuwenden, wenn</w:t>
      </w:r>
    </w:p>
    <w:p>
      <w:pPr>
        <w:tabs>
          <w:tab w:pos="567" w:val="left"/>
        </w:tabs>
        <w:ind w:left="567" w:hanging="567"/>
      </w:pPr>
      <w:r>
        <w:t>1.</w:t>
      </w:r>
      <w:r>
        <w:tab/>
      </w:r>
      <w:r>
        <w:t xml:space="preserve">die Kapitalerträge im Sinne des </w:t>
      </w:r>
      <w:hyperlink w:anchor="b169" w:history="1">
        <w:r>
          <w:rPr>
            <w:color w:val="0A3A8C"/>
            <w:u w:val="single"/>
          </w:rPr>
          <w:t xml:space="preserve">§ 43</w:t>
        </w:r>
      </w:hyperlink>
      <w:r>
        <w:t xml:space="preserve"> Absatz 1 Satz 1 Nummer 1a und des Absatzes 1 Satz 4 im Veranlagungszeitraum nicht mehr als 20 000 Euro betragen oder</w:t>
      </w:r>
    </w:p>
    <w:p>
      <w:pPr>
        <w:tabs>
          <w:tab w:pos="567" w:val="left"/>
        </w:tabs>
        <w:ind w:left="567" w:hanging="567"/>
      </w:pPr>
      <w:r>
        <w:t>2.</w:t>
      </w:r>
      <w:r>
        <w:tab/>
      </w:r>
      <w:r>
        <w:t xml:space="preserve">der Steuerpflichtige bei Zufluss der Kapitalerträge im Sinne des </w:t>
      </w:r>
      <w:hyperlink w:anchor="b169" w:history="1">
        <w:r>
          <w:rPr>
            <w:color w:val="0A3A8C"/>
            <w:u w:val="single"/>
          </w:rPr>
          <w:t xml:space="preserve">§ 43</w:t>
        </w:r>
      </w:hyperlink>
      <w:r>
        <w:t xml:space="preserve"> Absatz 1 Satz 1 Nummer 1a und des Absatzes 1 Satz 4 seit mindestens einem Jahr ununterbrochen wirtschaftlicher Eigentümer der Aktien oder Genussscheine ist; Absatz 2 Satz 2 gilt entsprechend.</w:t>
      </w:r>
    </w:p>
    <w:p>
      <w:r>
        <w:t xml:space="preserve">(6) </w:t>
      </w:r>
      <w:r>
        <w:rPr>
          <w:rStyle w:val="Satznummer"/>
        </w:rPr>
        <w:t>1</w:t>
      </w:r>
      <w:r>
        <w:t xml:space="preserve">Der Treuhänder und der Treugeber gelten für die Zwecke der vorstehenden Absätze als eine Person, wenn Kapitalerträge im Sinne des </w:t>
      </w:r>
      <w:hyperlink w:anchor="b169" w:history="1">
        <w:r>
          <w:rPr>
            <w:color w:val="0A3A8C"/>
            <w:u w:val="single"/>
          </w:rPr>
          <w:t xml:space="preserve">§ 43</w:t>
        </w:r>
      </w:hyperlink>
      <w:r>
        <w:t xml:space="preserve"> Absatz 1 Satz 1 Nummer 1a und des Absatzes 1 Satz 4 einem Treuhandvermögen zuzurechnen sind, welches ausschließlich der Erfüllung von Altersvorsorgeverpflichtungen dient und dem Zugriff übriger Gläubiger entzogen ist. </w:t>
      </w:r>
      <w:r>
        <w:rPr>
          <w:rStyle w:val="Satznummer"/>
        </w:rPr>
        <w:t>2</w:t>
      </w:r>
      <w:r>
        <w:t>Entsprechendes gilt für Versicherungsunternehmen und Versicherungsnehmer im Rahmen von fondsgebundenen Lebensversicherungen, wenn die Leistungen aus dem Vertrag an den Wert eines internen Fonds im Sinne des § 124 Absatz 2 Satz 2 Nummer 1 des Versicherungsaufsichtsgesetzes gebunden sind.</w:t>
      </w:r>
    </w:p>
    <w:p>
      <w:r>
        <w:t>(7) § 42 der Abgabenordnung bleibt unberührt.</w:t>
      </w:r>
    </w:p>
    <w:p>
      <w:pPr>
        <w:pStyle w:val="Heading3"/>
      </w:pPr>
      <w:bookmarkStart w:id="141" w:name="b140"/>
      <w:r>
        <w:t>§ 37 Einkommensteuer-Vorauszahlung</w:t>
      </w:r>
      <w:r>
        <w:t xml:space="preserve"> </w:t>
      </w:r>
      <w:r>
        <w:rPr>
          <w:rStyle w:val="Suchmarke"/>
        </w:rPr>
        <w:t>#37#</w:t>
      </w:r>
      <w:bookmarkEnd w:id="141"/>
    </w:p>
    <w:p>
      <w:r>
        <w:t xml:space="preserve">(1) </w:t>
      </w:r>
      <w:r>
        <w:rPr>
          <w:rStyle w:val="Satznummer"/>
        </w:rPr>
        <w:t>1</w:t>
      </w:r>
      <w:r>
        <w:t xml:space="preserve">Der Steuerpflichtige hat am 10. März, 10. Juni, 10. September und 10. Dezember Vorauszahlungen auf die Einkommensteuer zu entrichten, die er für den laufenden Veranlagungszeitraum voraussichtlich schulden wird. </w:t>
      </w:r>
      <w:r>
        <w:rPr>
          <w:rStyle w:val="Satznummer"/>
        </w:rPr>
        <w:t>2</w:t>
      </w:r>
      <w:r>
        <w:t>Die Einkommensteuer-Vorauszahlung entsteht jeweils mit Beginn des Kalendervierteljahres, in dem die Vorauszahlungen zu entrichten sind, oder, wenn die Steuerpflicht erst im Laufe des Kalendervierteljahres begründet wird, mit Begründung der Steuerpflicht.</w:t>
      </w:r>
    </w:p>
    <w:p>
      <w:r>
        <w:t>(2) (weggefallen)</w:t>
      </w:r>
    </w:p>
    <w:p>
      <w:r>
        <w:t xml:space="preserve">(3) </w:t>
      </w:r>
      <w:r>
        <w:rPr>
          <w:rStyle w:val="Satznummer"/>
        </w:rPr>
        <w:t>1</w:t>
      </w:r>
      <w:r>
        <w:t xml:space="preserve">Das Finanzamt setzt die Vorauszahlungen durch Vorauszahlungsbescheid fest. </w:t>
      </w:r>
      <w:r>
        <w:rPr>
          <w:rStyle w:val="Satznummer"/>
        </w:rPr>
        <w:t>2</w:t>
      </w:r>
      <w:r>
        <w:t>Die Vorauszahlungen bemessen sich grundsätzlich nach der Einkommensteuer, die sich nach Anrechnung der Steuerabzugsbeträge (</w:t>
      </w:r>
      <w:hyperlink w:anchor="b138" w:history="1">
        <w:r>
          <w:rPr>
            <w:color w:val="0A3A8C"/>
            <w:u w:val="single"/>
          </w:rPr>
          <w:t xml:space="preserve">§ 36</w:t>
        </w:r>
      </w:hyperlink>
      <w:r>
        <w:t xml:space="preserve"> Absatz 2 Nummer 2) bei der letzten Veranlagung ergeben hat. </w:t>
      </w:r>
      <w:r>
        <w:rPr>
          <w:rStyle w:val="Satznummer"/>
        </w:rPr>
        <w:t>3</w:t>
      </w:r>
      <w:r>
        <w:t xml:space="preserve">Das Finanzamt kann bis zum Ablauf des auf den Veranlagungszeitraum folgenden 15. Kalendermonats die Vorauszahlungen an die Einkommensteuer anpassen, die sich für den Veranlagungszeitraum voraussichtlich ergeben wird; dieser Zeitraum verlängert sich auf 23 Monate, wenn die Einkünfte aus Land- und Forstwirtschaft bei der erstmaligen Steuerfestsetzung die anderen Einkünfte voraussichtlich überwiegen werden. </w:t>
      </w:r>
      <w:r>
        <w:rPr>
          <w:rStyle w:val="Satznummer"/>
        </w:rPr>
        <w:t>4</w:t>
      </w:r>
      <w:r>
        <w:t xml:space="preserve">Bei der Anwendung der Sätze 2 und 3 bleiben Aufwendungen im Sinne des </w:t>
      </w:r>
      <w:hyperlink w:anchor="b51" w:history="1">
        <w:r>
          <w:rPr>
            <w:color w:val="0A3A8C"/>
            <w:u w:val="single"/>
          </w:rPr>
          <w:t xml:space="preserve">§ 10</w:t>
        </w:r>
      </w:hyperlink>
      <w:r>
        <w:t xml:space="preserve"> Absatz 1 Nummer 4, 5, 7 und 9 sowie Absatz 1a, der </w:t>
      </w:r>
      <w:hyperlink w:anchor="b53" w:history="1">
        <w:r>
          <w:rPr>
            <w:color w:val="0A3A8C"/>
            <w:u w:val="single"/>
          </w:rPr>
          <w:t xml:space="preserve">§§ 10b</w:t>
        </w:r>
      </w:hyperlink>
      <w:r>
        <w:t xml:space="preserve"> und </w:t>
      </w:r>
      <w:hyperlink w:anchor="b112" w:history="1">
        <w:r>
          <w:rPr>
            <w:color w:val="0A3A8C"/>
            <w:u w:val="single"/>
          </w:rPr>
          <w:t xml:space="preserve">33</w:t>
        </w:r>
      </w:hyperlink>
      <w:r>
        <w:t xml:space="preserve"> sowie die abziehbaren Beträge nach </w:t>
      </w:r>
      <w:hyperlink w:anchor="b113" w:history="1">
        <w:r>
          <w:rPr>
            <w:color w:val="0A3A8C"/>
            <w:u w:val="single"/>
          </w:rPr>
          <w:t xml:space="preserve">§ 33a</w:t>
        </w:r>
      </w:hyperlink>
      <w:r>
        <w:t xml:space="preserve">, wenn die Aufwendungen und abziehbaren Beträge insgesamt 600 Euro nicht übersteigen, außer Ansatz. </w:t>
      </w:r>
      <w:r>
        <w:rPr>
          <w:rStyle w:val="Satznummer"/>
        </w:rPr>
        <w:t>5</w:t>
      </w:r>
      <w:r>
        <w:t xml:space="preserve">Die Steuerermäßigung nach </w:t>
      </w:r>
      <w:hyperlink w:anchor="b116" w:history="1">
        <w:r>
          <w:rPr>
            <w:color w:val="0A3A8C"/>
            <w:u w:val="single"/>
          </w:rPr>
          <w:t xml:space="preserve">§ 34a</w:t>
        </w:r>
      </w:hyperlink>
      <w:r>
        <w:t xml:space="preserve"> bleibt außer Ansatz. </w:t>
      </w:r>
      <w:r>
        <w:rPr>
          <w:rStyle w:val="Satznummer"/>
        </w:rPr>
        <w:t>6</w:t>
      </w:r>
      <w:r>
        <w:t xml:space="preserve">Bei der Anwendung der Sätze 2 und 3 bleibt der Sonderausgabenabzug nach </w:t>
      </w:r>
      <w:hyperlink w:anchor="b52" w:history="1">
        <w:r>
          <w:rPr>
            <w:color w:val="0A3A8C"/>
            <w:u w:val="single"/>
          </w:rPr>
          <w:t xml:space="preserve">§ 10a</w:t>
        </w:r>
      </w:hyperlink>
      <w:r>
        <w:t xml:space="preserve"> Absatz 1 außer Ansatz. </w:t>
      </w:r>
      <w:r>
        <w:rPr>
          <w:rStyle w:val="Satznummer"/>
        </w:rPr>
        <w:t>7</w:t>
      </w:r>
      <w:r>
        <w:t xml:space="preserve">Außer Ansatz bleiben bis zur Anschaffung oder Fertigstellung der Objekte im Sinne des </w:t>
      </w:r>
      <w:hyperlink w:anchor="b56" w:history="1">
        <w:r>
          <w:rPr>
            <w:color w:val="0A3A8C"/>
            <w:u w:val="single"/>
          </w:rPr>
          <w:t xml:space="preserve">§ 10e</w:t>
        </w:r>
      </w:hyperlink>
      <w:r>
        <w:t xml:space="preserve"> Absatz 1 und 2 und </w:t>
      </w:r>
      <w:hyperlink w:anchor="b59" w:history="1">
        <w:r>
          <w:rPr>
            <w:color w:val="0A3A8C"/>
            <w:u w:val="single"/>
          </w:rPr>
          <w:t xml:space="preserve">§ 10h</w:t>
        </w:r>
      </w:hyperlink>
      <w:r>
        <w:t xml:space="preserve"> auch die Aufwendungen, die nach </w:t>
      </w:r>
      <w:hyperlink w:anchor="b56" w:history="1">
        <w:r>
          <w:rPr>
            <w:color w:val="0A3A8C"/>
            <w:u w:val="single"/>
          </w:rPr>
          <w:t xml:space="preserve">§ 10e</w:t>
        </w:r>
      </w:hyperlink>
      <w:r>
        <w:t xml:space="preserve"> Absatz 6 und </w:t>
      </w:r>
      <w:hyperlink w:anchor="b59" w:history="1">
        <w:r>
          <w:rPr>
            <w:color w:val="0A3A8C"/>
            <w:u w:val="single"/>
          </w:rPr>
          <w:t xml:space="preserve">§ 10h</w:t>
        </w:r>
      </w:hyperlink>
      <w:r>
        <w:t xml:space="preserve"> Satz 3 wie Sonderausgaben abgezogen werden; Entsprechendes gilt auch für Aufwendungen, die nach </w:t>
      </w:r>
      <w:hyperlink w:anchor="b60" w:history="1">
        <w:r>
          <w:rPr>
            <w:color w:val="0A3A8C"/>
            <w:u w:val="single"/>
          </w:rPr>
          <w:t xml:space="preserve">§ 10i</w:t>
        </w:r>
      </w:hyperlink>
      <w:r>
        <w:t xml:space="preserve"> für nach dem Eigenheimzulagengesetz begünstigte Objekte wie Sonderausgaben abgezogen werden. </w:t>
      </w:r>
      <w:r>
        <w:rPr>
          <w:rStyle w:val="Satznummer"/>
        </w:rPr>
        <w:t>8</w:t>
      </w:r>
      <w:r>
        <w:t xml:space="preserve">Negative Einkünfte aus der Vermietung oder Verpachtung eines Gebäudes im Sinne des </w:t>
      </w:r>
      <w:hyperlink w:anchor="b88" w:history="1">
        <w:r>
          <w:rPr>
            <w:color w:val="0A3A8C"/>
            <w:u w:val="single"/>
          </w:rPr>
          <w:t xml:space="preserve">§ 21</w:t>
        </w:r>
      </w:hyperlink>
      <w:r>
        <w:t xml:space="preserve"> Absatz 1 Satz 1 Nummer 1 werden bei der Festsetzung der Vorauszahlungen nur für Kalenderjahre berücksichtigt, die nach der Anschaffung oder Fertigstellung dieses Gebäudes beginnen. </w:t>
      </w:r>
      <w:r>
        <w:rPr>
          <w:rStyle w:val="Satznummer"/>
        </w:rPr>
        <w:t>9</w:t>
      </w:r>
      <w:r>
        <w:t xml:space="preserve">Wird ein Gebäude vor dem Kalenderjahr seiner Fertigstellung angeschafft, tritt an die Stelle der Anschaffung die Fertigstellung. </w:t>
      </w:r>
      <w:r>
        <w:rPr>
          <w:rStyle w:val="Satznummer"/>
        </w:rPr>
        <w:t>10</w:t>
      </w:r>
      <w:r>
        <w:t xml:space="preserve">Satz 8 gilt nicht für negative Einkünfte aus der Vermietung oder Verpachtung eines Gebäudes, für das Sonderabschreibungen nach </w:t>
      </w:r>
      <w:hyperlink w:anchor="b36" w:history="1">
        <w:r>
          <w:rPr>
            <w:color w:val="0A3A8C"/>
            <w:u w:val="single"/>
          </w:rPr>
          <w:t xml:space="preserve">§ 7b</w:t>
        </w:r>
      </w:hyperlink>
      <w:r>
        <w:t xml:space="preserve"> dieses Gesetzes oder erhöhte Absetzungen nach den §§ 14a, 14c oder 14d des Berlinförderungsgesetzes in Anspruch genommen werden. </w:t>
      </w:r>
      <w:r>
        <w:rPr>
          <w:rStyle w:val="Satznummer"/>
        </w:rPr>
        <w:t>11</w:t>
      </w:r>
      <w:r>
        <w:t xml:space="preserve">Satz 8 gilt für negative Einkünfte aus der Vermietung oder Verpachtung eines anderen Vermögensgegenstands im Sinne des </w:t>
      </w:r>
      <w:hyperlink w:anchor="b88" w:history="1">
        <w:r>
          <w:rPr>
            <w:color w:val="0A3A8C"/>
            <w:u w:val="single"/>
          </w:rPr>
          <w:t xml:space="preserve">§ 21</w:t>
        </w:r>
      </w:hyperlink>
      <w:r>
        <w:t xml:space="preserve"> Absatz 1 Satz 1 Nummer 1 bis 3 entsprechend mit der Maßgabe, dass an die Stelle der Anschaffung oder Fertigstellung die Aufnahme der Nutzung durch den Steuerpflichtigen tritt. </w:t>
      </w:r>
      <w:r>
        <w:rPr>
          <w:rStyle w:val="Satznummer"/>
        </w:rPr>
        <w:t>12</w:t>
      </w:r>
      <w:r>
        <w:t xml:space="preserve">In den Fällen des </w:t>
      </w:r>
      <w:hyperlink w:anchor="b106" w:history="1">
        <w:r>
          <w:rPr>
            <w:color w:val="0A3A8C"/>
            <w:u w:val="single"/>
          </w:rPr>
          <w:t xml:space="preserve">§ 31</w:t>
        </w:r>
      </w:hyperlink>
      <w:r>
        <w:t xml:space="preserve">, in denen die gebotene steuerliche Freistellung eines Einkommensbetrags in Höhe des Existenzminimums eines Kindes durch das Kindergeld nicht in vollem Umfang bewirkt wird, bleiben bei der Anwendung der Sätze 2 und 3 Freibeträge nach </w:t>
      </w:r>
      <w:hyperlink w:anchor="b107" w:history="1">
        <w:r>
          <w:rPr>
            <w:color w:val="0A3A8C"/>
            <w:u w:val="single"/>
          </w:rPr>
          <w:t xml:space="preserve">§ 32</w:t>
        </w:r>
      </w:hyperlink>
      <w:r>
        <w:t xml:space="preserve"> Absatz 6 und zu verrechnendes Kindergeld außer Ansatz.</w:t>
      </w:r>
    </w:p>
    <w:p>
      <w:r>
        <w:t xml:space="preserve">(4) </w:t>
      </w:r>
      <w:r>
        <w:rPr>
          <w:rStyle w:val="Satznummer"/>
        </w:rPr>
        <w:t>1</w:t>
      </w:r>
      <w:r>
        <w:t xml:space="preserve">Bei einer nachträglichen Erhöhung der Vorauszahlungen ist die letzte Vorauszahlung für den Veranlagungszeitraum anzupassen. </w:t>
      </w:r>
      <w:r>
        <w:rPr>
          <w:rStyle w:val="Satznummer"/>
        </w:rPr>
        <w:t>2</w:t>
      </w:r>
      <w:r>
        <w:t>Der Erhöhungsbetrag ist innerhalb eines Monats nach Bekanntgabe des Vorauszahlungsbescheids zu entrichten.</w:t>
      </w:r>
    </w:p>
    <w:p>
      <w:r>
        <w:t xml:space="preserve">(5) </w:t>
      </w:r>
      <w:r>
        <w:rPr>
          <w:rStyle w:val="Satznummer"/>
        </w:rPr>
        <w:t>1</w:t>
      </w:r>
      <w:r>
        <w:t xml:space="preserve">Vorauszahlungen sind nur festzusetzen, wenn sie mindestens 400 Euro im Kalenderjahr und mindestens 100 Euro für einen Vorauszahlungszeitpunkt betragen. </w:t>
      </w:r>
      <w:r>
        <w:rPr>
          <w:rStyle w:val="Satznummer"/>
        </w:rPr>
        <w:t>2</w:t>
      </w:r>
      <w:r>
        <w:t>Festgesetzte Vorauszahlungen sind nur zu erhöhen, wenn sich der Erhöhungsbetrag im Fall des Absatzes 3 Satz 2 bis 5 für einen Vorauszahlungszeitpunkt auf mindestens 100 Euro, im Fall des Absatzes 4 auf mindestens 5 000 Euro beläuft.</w:t>
      </w:r>
    </w:p>
    <w:p>
      <w:r>
        <w:t>(6) (weggefallen)</w:t>
      </w:r>
    </w:p>
    <w:p>
      <w:pPr>
        <w:pStyle w:val="Heading3"/>
      </w:pPr>
      <w:bookmarkStart w:id="142" w:name="b141"/>
      <w:r>
        <w:t>§ 37a Pauschalierung der Einkommensteuer durch Dritte</w:t>
      </w:r>
      <w:r>
        <w:t xml:space="preserve"> </w:t>
      </w:r>
      <w:r>
        <w:rPr>
          <w:rStyle w:val="Suchmarke"/>
        </w:rPr>
        <w:t>#37a#</w:t>
      </w:r>
      <w:bookmarkEnd w:id="142"/>
    </w:p>
    <w:p>
      <w:r>
        <w:t xml:space="preserve">(1) </w:t>
      </w:r>
      <w:r>
        <w:rPr>
          <w:rStyle w:val="Satznummer"/>
        </w:rPr>
        <w:t>1</w:t>
      </w:r>
      <w:r>
        <w:t xml:space="preserve">Das Finanzamt kann auf Antrag zulassen, dass das Unternehmen, das Sachprämien im Sinne des </w:t>
      </w:r>
      <w:hyperlink w:anchor="b8" w:history="1">
        <w:r>
          <w:rPr>
            <w:color w:val="0A3A8C"/>
            <w:u w:val="single"/>
          </w:rPr>
          <w:t xml:space="preserve">§ 3</w:t>
        </w:r>
      </w:hyperlink>
      <w:r>
        <w:t xml:space="preserve"> Nummer 38 gewährt, die Einkommensteuer für den Teil der Prämien, der nicht steuerfrei ist, pauschal erhebt. </w:t>
      </w:r>
      <w:r>
        <w:rPr>
          <w:rStyle w:val="Satznummer"/>
        </w:rPr>
        <w:t>2</w:t>
      </w:r>
      <w:r>
        <w:t xml:space="preserve">Bemessungsgrundlage der pauschalen Einkommensteuer ist der gesamte Wert der Prämien, die den im Inland ansässigen Steuerpflichtigen zufließen. </w:t>
      </w:r>
      <w:r>
        <w:rPr>
          <w:rStyle w:val="Satznummer"/>
        </w:rPr>
        <w:t>3</w:t>
      </w:r>
      <w:r>
        <w:t>Der Pauschsteuersatz beträgt 2,25 Prozent.</w:t>
      </w:r>
    </w:p>
    <w:p>
      <w:r>
        <w:t xml:space="preserve">(2) </w:t>
      </w:r>
      <w:r>
        <w:rPr>
          <w:rStyle w:val="Satznummer"/>
        </w:rPr>
        <w:t>1</w:t>
      </w:r>
      <w:r>
        <w:t xml:space="preserve">Auf die pauschale Einkommensteuer ist </w:t>
      </w:r>
      <w:hyperlink w:anchor="b154" w:history="1">
        <w:r>
          <w:rPr>
            <w:color w:val="0A3A8C"/>
            <w:u w:val="single"/>
          </w:rPr>
          <w:t xml:space="preserve">§ 40</w:t>
        </w:r>
      </w:hyperlink>
      <w:r>
        <w:t xml:space="preserve"> Absatz 3 und 4 sinngemäß anzuwenden. </w:t>
      </w:r>
      <w:r>
        <w:rPr>
          <w:rStyle w:val="Satznummer"/>
        </w:rPr>
        <w:t>2</w:t>
      </w:r>
      <w:r>
        <w:t>Das Unternehmen hat die Prämienempfänger von der Steuerübernahme zu unterrichten.</w:t>
      </w:r>
    </w:p>
    <w:p>
      <w:r>
        <w:t xml:space="preserve">(3) </w:t>
      </w:r>
      <w:r>
        <w:rPr>
          <w:rStyle w:val="Satznummer"/>
        </w:rPr>
        <w:t>1</w:t>
      </w:r>
      <w:r>
        <w:t>Über den Antrag entscheidet das Betriebsstättenfinanzamt des Unternehmens (</w:t>
      </w:r>
      <w:hyperlink w:anchor="b158" w:history="1">
        <w:r>
          <w:rPr>
            <w:color w:val="0A3A8C"/>
            <w:u w:val="single"/>
          </w:rPr>
          <w:t xml:space="preserve">§ 41a</w:t>
        </w:r>
      </w:hyperlink>
      <w:r>
        <w:t xml:space="preserve"> Absatz 1 Satz 1 Nummer 1). </w:t>
      </w:r>
      <w:r>
        <w:rPr>
          <w:rStyle w:val="Satznummer"/>
        </w:rPr>
        <w:t>2</w:t>
      </w:r>
      <w:r>
        <w:t xml:space="preserve">Hat das Unternehmen mehrere Betriebsstättenfinanzämter, so ist das Finanzamt der Betriebsstätte zuständig, in der die für die pauschale Besteuerung maßgebenden Prämien ermittelt werden. </w:t>
      </w:r>
      <w:r>
        <w:rPr>
          <w:rStyle w:val="Satznummer"/>
        </w:rPr>
        <w:t>3</w:t>
      </w:r>
      <w:r>
        <w:t>Die Genehmigung zur Pauschalierung wird mit Wirkung für die Zukunft erteilt und kann zeitlich befristet werden; sie erstreckt sich auf alle im Geltungszeitraum ausgeschütteten Prämien.</w:t>
      </w:r>
    </w:p>
    <w:p>
      <w:r>
        <w:t>(4) Die pauschale Einkommensteuer gilt als Lohnsteuer und ist von dem Unternehmen in der Lohnsteuer-Anmeldung der Betriebsstätte im Sinne des Absatzes 3 anzumelden und spätestens am zehnten Tag nach Ablauf des für die Betriebsstätte maßgebenden Lohnsteuer-Anmeldungszeitraums an das Betriebsstättenfinanzamt abzuführen.</w:t>
      </w:r>
    </w:p>
    <w:p>
      <w:pPr>
        <w:pStyle w:val="Heading3"/>
      </w:pPr>
      <w:bookmarkStart w:id="143" w:name="b142"/>
      <w:r>
        <w:t>§ 37b Pauschalierung der Einkommensteuer bei Sachzuwendungen</w:t>
      </w:r>
      <w:r>
        <w:t xml:space="preserve"> </w:t>
      </w:r>
      <w:r>
        <w:rPr>
          <w:rStyle w:val="Suchmarke"/>
        </w:rPr>
        <w:t>#37b#</w:t>
      </w:r>
      <w:bookmarkEnd w:id="143"/>
    </w:p>
    <w:p>
      <w:r>
        <w:t xml:space="preserve">(1) </w:t>
      </w:r>
      <w:r>
        <w:rPr>
          <w:rStyle w:val="Satznummer"/>
        </w:rPr>
        <w:t>1</w:t>
      </w:r>
      <w:r>
        <w:t>Steuerpflichtige können die Einkommensteuer einheitlich für alle innerhalb eines Wirtschaftsjahres gewährten</w:t>
      </w:r>
    </w:p>
    <w:p>
      <w:pPr>
        <w:tabs>
          <w:tab w:pos="567" w:val="left"/>
        </w:tabs>
        <w:ind w:left="567" w:hanging="567"/>
      </w:pPr>
      <w:r>
        <w:t>1.</w:t>
      </w:r>
      <w:r>
        <w:tab/>
      </w:r>
      <w:r>
        <w:t>betrieblich veranlassten Zuwendungen, die zusätzlich zur ohnehin vereinbarten Leistung oder Gegenleistung erbracht werden, und</w:t>
      </w:r>
    </w:p>
    <w:p>
      <w:pPr>
        <w:tabs>
          <w:tab w:pos="567" w:val="left"/>
        </w:tabs>
        <w:ind w:left="567" w:hanging="567"/>
      </w:pPr>
      <w:r>
        <w:t>2.</w:t>
      </w:r>
      <w:r>
        <w:tab/>
      </w:r>
      <w:r>
        <w:t xml:space="preserve">Geschenke im Sinne des </w:t>
      </w:r>
      <w:hyperlink w:anchor="b13" w:history="1">
        <w:r>
          <w:rPr>
            <w:color w:val="0A3A8C"/>
            <w:u w:val="single"/>
          </w:rPr>
          <w:t xml:space="preserve">§ 4</w:t>
        </w:r>
      </w:hyperlink>
      <w:r>
        <w:t xml:space="preserve"> Absatz 5 Satz 1 Nummer 1,</w:t>
      </w:r>
    </w:p>
    <w:p>
      <w:r>
        <w:t xml:space="preserve">die nicht in Geld bestehen, mit einem Pauschsteuersatz von 30 Prozent erheben. </w:t>
      </w:r>
      <w:r>
        <w:rPr>
          <w:rStyle w:val="Satznummer"/>
        </w:rPr>
        <w:t>2</w:t>
      </w:r>
      <w:r>
        <w:t xml:space="preserve">Bemessungsgrundlage der pauschalen Einkommensteuer sind die Aufwendungen des Steuerpflichtigen einschließlich Umsatzsteuer; bei Zuwendungen an Arbeitnehmer verbundener Unternehmen ist Bemessungsgrundlage mindestens der sich nach </w:t>
      </w:r>
      <w:hyperlink w:anchor="b45" w:history="1">
        <w:r>
          <w:rPr>
            <w:color w:val="0A3A8C"/>
            <w:u w:val="single"/>
          </w:rPr>
          <w:t xml:space="preserve">§ 8</w:t>
        </w:r>
      </w:hyperlink>
      <w:r>
        <w:t xml:space="preserve"> Absatz 3 Satz 1 ergebende Wert. </w:t>
      </w:r>
      <w:r>
        <w:rPr>
          <w:rStyle w:val="Satznummer"/>
        </w:rPr>
        <w:t>3</w:t>
      </w:r>
      <w:r>
        <w:t>Die Pauschalierung ist ausgeschlossen,</w:t>
      </w:r>
    </w:p>
    <w:p>
      <w:pPr>
        <w:tabs>
          <w:tab w:pos="567" w:val="left"/>
        </w:tabs>
        <w:ind w:left="567" w:hanging="567"/>
      </w:pPr>
      <w:r>
        <w:t>1.</w:t>
      </w:r>
      <w:r>
        <w:tab/>
      </w:r>
      <w:r>
        <w:t>soweit die Aufwendungen je Empfänger und Wirtschaftsjahr oder</w:t>
      </w:r>
    </w:p>
    <w:p>
      <w:pPr>
        <w:tabs>
          <w:tab w:pos="567" w:val="left"/>
        </w:tabs>
        <w:ind w:left="567" w:hanging="567"/>
      </w:pPr>
      <w:r>
        <w:t>2.</w:t>
      </w:r>
      <w:r>
        <w:tab/>
      </w:r>
      <w:r>
        <w:t>wenn die Aufwendungen für die einzelne Zuwendung</w:t>
      </w:r>
    </w:p>
    <w:p>
      <w:r>
        <w:t>den Betrag von 10 000 Euro übersteigen.</w:t>
      </w:r>
    </w:p>
    <w:p>
      <w:r>
        <w:t xml:space="preserve">(2) </w:t>
      </w:r>
      <w:r>
        <w:rPr>
          <w:rStyle w:val="Satznummer"/>
        </w:rPr>
        <w:t>1</w:t>
      </w:r>
      <w:r>
        <w:t xml:space="preserve">Absatz 1 gilt auch für betrieblich veranlasste Zuwendungen an Arbeitnehmer des Steuerpflichtigen, soweit sie nicht in Geld bestehen und zusätzlich zum ohnehin geschuldeten Arbeitslohn erbracht werden. </w:t>
      </w:r>
      <w:r>
        <w:rPr>
          <w:rStyle w:val="Satznummer"/>
        </w:rPr>
        <w:t>2</w:t>
      </w:r>
      <w:r>
        <w:t xml:space="preserve">In den Fällen des </w:t>
      </w:r>
      <w:hyperlink w:anchor="b45" w:history="1">
        <w:r>
          <w:rPr>
            <w:color w:val="0A3A8C"/>
            <w:u w:val="single"/>
          </w:rPr>
          <w:t xml:space="preserve">§ 8</w:t>
        </w:r>
      </w:hyperlink>
      <w:r>
        <w:t xml:space="preserve"> Absatz 2 Satz 2 bis 10, Absatz 3, </w:t>
      </w:r>
      <w:hyperlink w:anchor="b154" w:history="1">
        <w:r>
          <w:rPr>
            <w:color w:val="0A3A8C"/>
            <w:u w:val="single"/>
          </w:rPr>
          <w:t xml:space="preserve">§ 40</w:t>
        </w:r>
      </w:hyperlink>
      <w:r>
        <w:t xml:space="preserve"> Absatz 2 sowie in Fällen, in denen Vermögensbeteiligungen überlassen werden, ist Absatz 1 nicht anzuwenden; Entsprechendes gilt, soweit die Zuwendungen nach </w:t>
      </w:r>
      <w:hyperlink w:anchor="b154" w:history="1">
        <w:r>
          <w:rPr>
            <w:color w:val="0A3A8C"/>
            <w:u w:val="single"/>
          </w:rPr>
          <w:t xml:space="preserve">§ 40</w:t>
        </w:r>
      </w:hyperlink>
      <w:r>
        <w:t xml:space="preserve"> Absatz 1 pauschaliert worden sind. </w:t>
      </w:r>
      <w:r>
        <w:rPr>
          <w:rStyle w:val="Satznummer"/>
        </w:rPr>
        <w:t>3</w:t>
      </w:r>
      <w:hyperlink w:anchor="b141" w:history="1">
        <w:r>
          <w:rPr>
            <w:color w:val="0A3A8C"/>
            <w:u w:val="single"/>
          </w:rPr>
          <w:t xml:space="preserve">§ 37a</w:t>
        </w:r>
      </w:hyperlink>
      <w:r>
        <w:t xml:space="preserve"> Absatz 1 bleibt unberührt.</w:t>
      </w:r>
    </w:p>
    <w:p>
      <w:r>
        <w:t xml:space="preserve">(3) </w:t>
      </w:r>
      <w:r>
        <w:rPr>
          <w:rStyle w:val="Satznummer"/>
        </w:rPr>
        <w:t>1</w:t>
      </w:r>
      <w:r>
        <w:t xml:space="preserve">Die pauschal besteuerten Sachzuwendungen bleiben bei der Ermittlung der Einkünfte des Empfängers außer Ansatz. </w:t>
      </w:r>
      <w:r>
        <w:rPr>
          <w:rStyle w:val="Satznummer"/>
        </w:rPr>
        <w:t>2</w:t>
      </w:r>
      <w:r>
        <w:t xml:space="preserve">Auf die pauschale Einkommensteuer ist </w:t>
      </w:r>
      <w:hyperlink w:anchor="b154" w:history="1">
        <w:r>
          <w:rPr>
            <w:color w:val="0A3A8C"/>
            <w:u w:val="single"/>
          </w:rPr>
          <w:t xml:space="preserve">§ 40</w:t>
        </w:r>
      </w:hyperlink>
      <w:r>
        <w:t xml:space="preserve"> Absatz 3 und 4 sinngemäß anzuwenden. </w:t>
      </w:r>
      <w:r>
        <w:rPr>
          <w:rStyle w:val="Satznummer"/>
        </w:rPr>
        <w:t>3</w:t>
      </w:r>
      <w:r>
        <w:t>Der Steuerpflichtige hat den Empfänger von der Steuerübernahme zu unterrichten.</w:t>
      </w:r>
    </w:p>
    <w:p>
      <w:r>
        <w:t xml:space="preserve">(4) </w:t>
      </w:r>
      <w:r>
        <w:rPr>
          <w:rStyle w:val="Satznummer"/>
        </w:rPr>
        <w:t>1</w:t>
      </w:r>
      <w:r>
        <w:t xml:space="preserve">Die pauschale Einkommensteuer gilt als Lohnsteuer und ist von dem die Sachzuwendung gewährenden Steuerpflichtigen in der Lohnsteuer-Anmeldung der Betriebsstätte nach </w:t>
      </w:r>
      <w:hyperlink w:anchor="b157" w:history="1">
        <w:r>
          <w:rPr>
            <w:color w:val="0A3A8C"/>
            <w:u w:val="single"/>
          </w:rPr>
          <w:t xml:space="preserve">§ 41</w:t>
        </w:r>
      </w:hyperlink>
      <w:r>
        <w:t xml:space="preserve"> Absatz 2 anzumelden und spätestens am zehnten Tag nach Ablauf des für die Betriebsstätte maßgebenden Lohnsteuer-Anmeldungszeitraums an das Betriebsstättenfinanzamt abzuführen. </w:t>
      </w:r>
      <w:r>
        <w:rPr>
          <w:rStyle w:val="Satznummer"/>
        </w:rPr>
        <w:t>2</w:t>
      </w:r>
      <w:r>
        <w:t>Hat der Steuerpflichtige mehrere Betriebsstätten im Sinne des Satzes 1, so ist das Finanzamt der Betriebsstätte zuständig, in der die für die pauschale Besteuerung maßgebenden Sachbezüge ermittelt werden.</w:t>
      </w:r>
    </w:p>
    <w:p>
      <w:pPr>
        <w:pStyle w:val="Heading2"/>
      </w:pPr>
      <w:bookmarkStart w:id="144" w:name="b143"/>
      <w:r>
        <w:t>2. Steuerabzug vom Arbeitslohn (Lohnsteuer)</w:t>
      </w:r>
      <w:bookmarkEnd w:id="144"/>
    </w:p>
    <w:p>
      <w:pPr>
        <w:pStyle w:val="Heading3"/>
      </w:pPr>
      <w:bookmarkStart w:id="145" w:name="b144"/>
      <w:r>
        <w:t>§ 38 Erhebung der Lohnsteuer</w:t>
      </w:r>
      <w:r>
        <w:t xml:space="preserve"> </w:t>
      </w:r>
      <w:r>
        <w:rPr>
          <w:rStyle w:val="Suchmarke"/>
        </w:rPr>
        <w:t>#38#</w:t>
      </w:r>
      <w:bookmarkEnd w:id="145"/>
    </w:p>
    <w:p>
      <w:r>
        <w:t xml:space="preserve">(1) </w:t>
      </w:r>
      <w:r>
        <w:rPr>
          <w:rStyle w:val="Satznummer"/>
        </w:rPr>
        <w:t>1</w:t>
      </w:r>
      <w:r>
        <w:t>Bei Einkünften aus nichtselbständiger Arbeit wird die Einkommensteuer durch Abzug vom Arbeitslohn erhoben (Lohnsteuer), soweit der Arbeitslohn von einem Arbeitgeber gezahlt wird, der</w:t>
      </w:r>
    </w:p>
    <w:p>
      <w:pPr>
        <w:tabs>
          <w:tab w:pos="567" w:val="left"/>
        </w:tabs>
        <w:ind w:left="567" w:hanging="567"/>
      </w:pPr>
      <w:r>
        <w:t>1.</w:t>
      </w:r>
      <w:r>
        <w:tab/>
      </w:r>
      <w:r>
        <w:t>im Inland einen Wohnsitz, seinen gewöhnlichen Aufenthalt, seine Geschäftsleitung, seinen Sitz, eine Betriebsstätte oder einen ständigen Vertreter im Sinne der §§ 8 bis 13 der Abgabenordnung hat (inländischer Arbeitgeber) oder</w:t>
      </w:r>
    </w:p>
    <w:p>
      <w:pPr>
        <w:tabs>
          <w:tab w:pos="567" w:val="left"/>
        </w:tabs>
        <w:ind w:left="567" w:hanging="567"/>
      </w:pPr>
      <w:r>
        <w:t>2.</w:t>
      </w:r>
      <w:r>
        <w:tab/>
      </w:r>
      <w:r>
        <w:t>einem Dritten (Entleiher) Arbeitnehmer gewerbsmäßig zur Arbeitsleistung im Inland überlässt, ohne inländischer Arbeitgeber zu sein (ausländischer Verleiher).</w:t>
      </w:r>
    </w:p>
    <w:p>
      <w:r>
        <w:rPr>
          <w:rStyle w:val="Satznummer"/>
        </w:rPr>
        <w:t>2</w:t>
      </w:r>
      <w:r>
        <w:t xml:space="preserve">In den Fällen der internationalen Arbeitnehmerentsendung ist das nach Satz 1 Nummer 1 in Deutschland ansässige aufnehmende Unternehmen inländischer Arbeitgeber, wenn es den Arbeitslohn für die ihm geleistete Arbeit wirtschaftlich trägt oder nach dem Fremdvergleichsgrundsatz hätte tragen müssen; Voraussetzung hierfür ist nicht, dass das Unternehmen dem Arbeitnehmer den Arbeitslohn im eigenen Namen und für eigene Rechnung auszahlt. </w:t>
      </w:r>
      <w:r>
        <w:rPr>
          <w:rStyle w:val="Satznummer"/>
        </w:rPr>
        <w:t>3</w:t>
      </w:r>
      <w:r>
        <w:t>Der Lohnsteuer unterliegt auch der im Rahmen des Dienstverhältnisses von einem Dritten gewährte Arbeitslohn, wenn der Arbeitgeber weiß oder erkennen kann, dass derartige Vergütungen erbracht werden; dies ist insbesondere anzunehmen, wenn Arbeitgeber und Dritter verbundene Unternehmen im Sinne von § 15 des Aktiengesetzes sind.</w:t>
      </w:r>
    </w:p>
    <w:p>
      <w:r>
        <w:t xml:space="preserve">(2) </w:t>
      </w:r>
      <w:r>
        <w:rPr>
          <w:rStyle w:val="Satznummer"/>
        </w:rPr>
        <w:t>1</w:t>
      </w:r>
      <w:r>
        <w:t xml:space="preserve">Der Arbeitnehmer ist Schuldner der Lohnsteuer. </w:t>
      </w:r>
      <w:r>
        <w:rPr>
          <w:rStyle w:val="Satznummer"/>
        </w:rPr>
        <w:t>2</w:t>
      </w:r>
      <w:r>
        <w:t>Die Lohnsteuer entsteht in dem Zeitpunkt, in dem der Arbeitslohn dem Arbeitnehmer zufließt.</w:t>
      </w:r>
    </w:p>
    <w:p>
      <w:r>
        <w:t xml:space="preserve">(3) </w:t>
      </w:r>
      <w:r>
        <w:rPr>
          <w:rStyle w:val="Satznummer"/>
        </w:rPr>
        <w:t>1</w:t>
      </w:r>
      <w:r>
        <w:t xml:space="preserve">Der Arbeitgeber hat die Lohnsteuer für Rechnung des Arbeitnehmers bei jeder Lohnzahlung vom Arbeitslohn einzubehalten. </w:t>
      </w:r>
      <w:r>
        <w:rPr>
          <w:rStyle w:val="Satznummer"/>
        </w:rPr>
        <w:t>2</w:t>
      </w:r>
      <w:r>
        <w:t xml:space="preserve">Bei juristischen Personen des öffentlichen Rechts hat die öffentliche Kasse, die den Arbeitslohn zahlt, die Pflichten des Arbeitgebers. </w:t>
      </w:r>
      <w:r>
        <w:rPr>
          <w:rStyle w:val="Satznummer"/>
        </w:rPr>
        <w:t>3</w:t>
      </w:r>
      <w:r>
        <w:t>In den Fällen der nach § 7f Absatz 1 Satz 1 Nummer 2 des Vierten Buches Sozialgesetzbuch an die Deutsche Rentenversicherung Bund übertragenen Wertguthaben hat die Deutsche Rentenversicherung Bund bei Inanspruchnahme des Wertguthabens die Pflichten des Arbeitgebers.</w:t>
      </w:r>
    </w:p>
    <w:p>
      <w:r>
        <w:t xml:space="preserve">(3a) </w:t>
      </w:r>
      <w:r>
        <w:rPr>
          <w:rStyle w:val="Satznummer"/>
        </w:rPr>
        <w:t>1</w:t>
      </w:r>
      <w:r>
        <w:t xml:space="preserve">Soweit sich aus einem Dienstverhältnis oder einem früheren Dienstverhältnis tarifvertragliche Ansprüche des Arbeitnehmers auf Arbeitslohn unmittelbar gegen einen Dritten mit Wohnsitz, Geschäftsleitung oder Sitz im Inland richten und von diesem durch die Zahlung von Geld erfüllt werden, hat der Dritte die Pflichten des Arbeitgebers. </w:t>
      </w:r>
      <w:r>
        <w:rPr>
          <w:rStyle w:val="Satznummer"/>
        </w:rPr>
        <w:t>2</w:t>
      </w:r>
      <w:r>
        <w:t xml:space="preserve">In anderen Fällen kann das Finanzamt zulassen, dass ein Dritter mit Wohnsitz, Geschäftsleitung oder Sitz im Inland die Pflichten des Arbeitgebers im eigenen Namen erfüllt. </w:t>
      </w:r>
      <w:r>
        <w:rPr>
          <w:rStyle w:val="Satznummer"/>
        </w:rPr>
        <w:t>3</w:t>
      </w:r>
      <w:r>
        <w:t>Voraussetzung ist, dass der Dritte</w:t>
      </w:r>
    </w:p>
    <w:p>
      <w:pPr>
        <w:tabs>
          <w:tab w:pos="567" w:val="left"/>
        </w:tabs>
        <w:ind w:left="567" w:hanging="567"/>
      </w:pPr>
      <w:r>
        <w:t>1.</w:t>
      </w:r>
      <w:r>
        <w:tab/>
      </w:r>
      <w:r>
        <w:t>sich hierzu gegenüber dem Arbeitgeber verpflichtet hat,</w:t>
      </w:r>
    </w:p>
    <w:p>
      <w:pPr>
        <w:tabs>
          <w:tab w:pos="567" w:val="left"/>
        </w:tabs>
        <w:ind w:left="567" w:hanging="567"/>
      </w:pPr>
      <w:r>
        <w:t>2.</w:t>
      </w:r>
      <w:r>
        <w:tab/>
      </w:r>
      <w:r>
        <w:t>den Lohn auszahlt oder er nur Arbeitgeberpflichten für von ihm vermittelte Arbeitnehmer übernimmt und</w:t>
      </w:r>
    </w:p>
    <w:p>
      <w:pPr>
        <w:tabs>
          <w:tab w:pos="567" w:val="left"/>
        </w:tabs>
        <w:ind w:left="567" w:hanging="567"/>
      </w:pPr>
      <w:r>
        <w:t>3.</w:t>
      </w:r>
      <w:r>
        <w:tab/>
      </w:r>
      <w:r>
        <w:t>die Steuererhebung nicht beeinträchtigt wird.</w:t>
      </w:r>
    </w:p>
    <w:p>
      <w:r>
        <w:rPr>
          <w:rStyle w:val="Satznummer"/>
        </w:rPr>
        <w:t>4</w:t>
      </w:r>
      <w:r>
        <w:t xml:space="preserve">Die Zustimmung erteilt das Betriebsstättenfinanzamt des Dritten auf dessen Antrag im Einvernehmen mit dem Betriebsstättenfinanzamt des Arbeitgebers; sie darf mit Nebenbestimmungen versehen werden, die die ordnungsgemäße Steuererhebung sicherstellen und die Überprüfung des Lohnsteuerabzugs nach </w:t>
      </w:r>
      <w:hyperlink w:anchor="b166" w:history="1">
        <w:r>
          <w:rPr>
            <w:color w:val="0A3A8C"/>
            <w:u w:val="single"/>
          </w:rPr>
          <w:t xml:space="preserve">§ 42f</w:t>
        </w:r>
      </w:hyperlink>
      <w:r>
        <w:t xml:space="preserve"> erleichtern sollen. </w:t>
      </w:r>
      <w:r>
        <w:rPr>
          <w:rStyle w:val="Satznummer"/>
        </w:rPr>
        <w:t>5</w:t>
      </w:r>
      <w:r>
        <w:t xml:space="preserve">Die Zustimmung kann mit Wirkung für die Zukunft widerrufen werden. </w:t>
      </w:r>
      <w:r>
        <w:rPr>
          <w:rStyle w:val="Satznummer"/>
        </w:rPr>
        <w:t>6</w:t>
      </w:r>
      <w:r>
        <w:t xml:space="preserve">In den Fällen der Sätze 1 und 2 sind die das Lohnsteuerverfahren betreffenden Vorschriften mit der Maßgabe anzuwenden, dass an die Stelle des Arbeitgebers der Dritte tritt; der Arbeitgeber ist von seinen Pflichten befreit, soweit der Dritte diese Pflichten erfüllt hat. </w:t>
      </w:r>
      <w:r>
        <w:rPr>
          <w:rStyle w:val="Satznummer"/>
        </w:rPr>
        <w:t>7</w:t>
      </w:r>
      <w:r>
        <w:t>Erfüllt der Dritte die Pflichten des Arbeitgebers, kann er den Arbeitslohn, der einem Arbeitnehmer in demselben Lohnabrechnungszeitraum aus mehreren Dienstverhältnissen zufließt, für die Lohnsteuerermittlung und in der Lohnsteuerbescheinigung zusammenrechnen.</w:t>
      </w:r>
    </w:p>
    <w:p>
      <w:r>
        <w:t xml:space="preserve">(4) </w:t>
      </w:r>
      <w:r>
        <w:rPr>
          <w:rStyle w:val="Satznummer"/>
        </w:rPr>
        <w:t>1</w:t>
      </w:r>
      <w:r>
        <w:t xml:space="preserve">Wenn der vom Arbeitgeber geschuldete Barlohn zur Deckung der Lohnsteuer nicht ausreicht, hat der Arbeitnehmer dem Arbeitgeber den Fehlbetrag zur Verfügung zu stellen oder der Arbeitgeber einen entsprechenden Teil der anderen Bezüge des Arbeitnehmers zurückzubehalten. </w:t>
      </w:r>
      <w:r>
        <w:rPr>
          <w:rStyle w:val="Satznummer"/>
        </w:rPr>
        <w:t>2</w:t>
      </w:r>
      <w:r>
        <w:t>Soweit der Arbeitnehmer seiner Verpflichtung nicht nachkommt und der Arbeitgeber den Fehlbetrag nicht durch Zurückbehaltung von anderen Bezügen des Arbeitnehmers aufbringen kann, hat der Arbeitgeber dies dem Betriebsstättenfinanzamt (</w:t>
      </w:r>
      <w:hyperlink w:anchor="b158" w:history="1">
        <w:r>
          <w:rPr>
            <w:color w:val="0A3A8C"/>
            <w:u w:val="single"/>
          </w:rPr>
          <w:t xml:space="preserve">§ 41a</w:t>
        </w:r>
      </w:hyperlink>
      <w:r>
        <w:t xml:space="preserve"> Absatz 1 Satz 1 Nummer 1) anzuzeigen. </w:t>
      </w:r>
      <w:r>
        <w:rPr>
          <w:rStyle w:val="Satznummer"/>
        </w:rPr>
        <w:t>3</w:t>
      </w:r>
      <w:r>
        <w:t xml:space="preserve">Der Arbeitnehmer hat dem Arbeitgeber die von einem Dritten gewährten Bezüge (Absatz 1 Satz 3) am Ende des jeweiligen Lohnzahlungszeitraums anzugeben; wenn der Arbeitnehmer keine Angabe oder eine erkennbar unrichtige Angabe macht, hat der Arbeitgeber dies dem Betriebsstättenfinanzamt anzuzeigen. </w:t>
      </w:r>
      <w:r>
        <w:rPr>
          <w:rStyle w:val="Satznummer"/>
        </w:rPr>
        <w:t>4</w:t>
      </w:r>
      <w:r>
        <w:t>Das Finanzamt hat die zu wenig erhobene Lohnsteuer vom Arbeitnehmer nachzufordern.</w:t>
      </w:r>
    </w:p>
    <w:p>
      <w:pPr>
        <w:pStyle w:val="Heading3"/>
      </w:pPr>
      <w:bookmarkStart w:id="146" w:name="b145"/>
      <w:r>
        <w:t>§ 38a Höhe der Lohnsteuer</w:t>
      </w:r>
      <w:r>
        <w:t xml:space="preserve"> </w:t>
      </w:r>
      <w:r>
        <w:rPr>
          <w:rStyle w:val="Suchmarke"/>
        </w:rPr>
        <w:t>#38a#</w:t>
      </w:r>
      <w:bookmarkEnd w:id="146"/>
    </w:p>
    <w:p>
      <w:r>
        <w:t xml:space="preserve">(1) </w:t>
      </w:r>
      <w:r>
        <w:rPr>
          <w:rStyle w:val="Satznummer"/>
        </w:rPr>
        <w:t>1</w:t>
      </w:r>
      <w:r>
        <w:t xml:space="preserve">Die Jahreslohnsteuer bemisst sich nach dem Arbeitslohn, den der Arbeitnehmer im Kalenderjahr bezieht (Jahresarbeitslohn). </w:t>
      </w:r>
      <w:r>
        <w:rPr>
          <w:rStyle w:val="Satznummer"/>
        </w:rPr>
        <w:t>2</w:t>
      </w:r>
      <w:r>
        <w:t xml:space="preserve">Laufender Arbeitslohn gilt in dem Kalenderjahr als bezogen, in dem der Lohnzahlungszeitraum endet; in den Fällen des </w:t>
      </w:r>
      <w:hyperlink w:anchor="b149" w:history="1">
        <w:r>
          <w:rPr>
            <w:color w:val="0A3A8C"/>
            <w:u w:val="single"/>
          </w:rPr>
          <w:t xml:space="preserve">§ 39b</w:t>
        </w:r>
      </w:hyperlink>
      <w:r>
        <w:t xml:space="preserve"> Absatz 5 Satz 1 tritt der Lohnabrechnungszeitraum an die Stelle des Lohnzahlungszeitraums. </w:t>
      </w:r>
      <w:r>
        <w:rPr>
          <w:rStyle w:val="Satznummer"/>
        </w:rPr>
        <w:t>3</w:t>
      </w:r>
      <w:r>
        <w:t>Arbeitslohn, der nicht als laufender Arbeitslohn gezahlt wird (sonstige Bezüge), wird in dem Kalenderjahr bezogen, in dem er dem Arbeitnehmer zufließt.</w:t>
      </w:r>
    </w:p>
    <w:p>
      <w:r>
        <w:t>(2) Die Jahreslohnsteuer wird nach dem Jahresarbeitslohn so bemessen, dass sie der Einkommensteuer entspricht, die der Arbeitnehmer schuldet, wenn er ausschließlich Einkünfte aus nichtselbständiger Arbeit erzielt.</w:t>
      </w:r>
    </w:p>
    <w:p>
      <w:r>
        <w:t xml:space="preserve">(3) </w:t>
      </w:r>
      <w:r>
        <w:rPr>
          <w:rStyle w:val="Satznummer"/>
        </w:rPr>
        <w:t>1</w:t>
      </w:r>
      <w:r>
        <w:t xml:space="preserve">Vom laufenden Arbeitslohn wird die Lohnsteuer jeweils mit dem auf den Lohnzahlungszeitraum fallenden Teilbetrag der Jahreslohnsteuer erhoben, die sich bei Umrechnung des laufenden Arbeitslohns auf einen Jahresarbeitslohn ergibt. </w:t>
      </w:r>
      <w:r>
        <w:rPr>
          <w:rStyle w:val="Satznummer"/>
        </w:rPr>
        <w:t>2</w:t>
      </w:r>
      <w:r>
        <w:t>Von sonstigen Bezügen wird die Lohnsteuer mit dem Betrag erhoben, der zusammen mit der Lohnsteuer für den laufenden Arbeitslohn des Kalenderjahres und für etwa im Kalenderjahr bereits gezahlte sonstige Bezüge die voraussichtliche Jahreslohnsteuer ergibt.</w:t>
      </w:r>
    </w:p>
    <w:p>
      <w:r>
        <w:t>(4) Bei der Ermittlung der Lohnsteuer werden die Besteuerungsgrundlagen des Einzelfalls durch die Einreihung der Arbeitnehmer in Steuerklassen (</w:t>
      </w:r>
      <w:hyperlink w:anchor="b146" w:history="1">
        <w:r>
          <w:rPr>
            <w:color w:val="0A3A8C"/>
            <w:u w:val="single"/>
          </w:rPr>
          <w:t xml:space="preserve">§ 38b</w:t>
        </w:r>
      </w:hyperlink>
      <w:r>
        <w:t>), Feststellung von Freibeträgen und Hinzurechnungsbeträgen (</w:t>
      </w:r>
      <w:hyperlink w:anchor="b148" w:history="1">
        <w:r>
          <w:rPr>
            <w:color w:val="0A3A8C"/>
            <w:u w:val="single"/>
          </w:rPr>
          <w:t xml:space="preserve">§ 39a</w:t>
        </w:r>
      </w:hyperlink>
      <w:r>
        <w:t>) sowie Bereitstellung von elektronischen Lohnsteuerabzugsmerkmalen (</w:t>
      </w:r>
      <w:hyperlink w:anchor="b152" w:history="1">
        <w:r>
          <w:rPr>
            <w:color w:val="0A3A8C"/>
            <w:u w:val="single"/>
          </w:rPr>
          <w:t xml:space="preserve">§ 39e</w:t>
        </w:r>
      </w:hyperlink>
      <w:r>
        <w:t>) oder Ausstellung von entsprechenden Bescheinigungen für den Lohnsteuerabzug (</w:t>
      </w:r>
      <w:hyperlink w:anchor="b147" w:history="1">
        <w:r>
          <w:rPr>
            <w:color w:val="0A3A8C"/>
            <w:u w:val="single"/>
          </w:rPr>
          <w:t xml:space="preserve">§ 39</w:t>
        </w:r>
      </w:hyperlink>
      <w:r>
        <w:t xml:space="preserve"> Absatz 3 und </w:t>
      </w:r>
      <w:hyperlink w:anchor="b152" w:history="1">
        <w:r>
          <w:rPr>
            <w:color w:val="0A3A8C"/>
            <w:u w:val="single"/>
          </w:rPr>
          <w:t xml:space="preserve">§ 39e</w:t>
        </w:r>
      </w:hyperlink>
      <w:r>
        <w:t xml:space="preserve"> Absatz 7 und 8) berücksichtigt.</w:t>
      </w:r>
    </w:p>
    <w:p>
      <w:pPr>
        <w:pStyle w:val="Heading3"/>
      </w:pPr>
      <w:bookmarkStart w:id="147" w:name="b146"/>
      <w:r>
        <w:t>§ 38b Lohnsteuerklassen, Zahl der Kinderfreibeträge</w:t>
      </w:r>
      <w:r>
        <w:t xml:space="preserve"> </w:t>
      </w:r>
      <w:r>
        <w:rPr>
          <w:rStyle w:val="Suchmarke"/>
        </w:rPr>
        <w:t>#38b#</w:t>
      </w:r>
      <w:bookmarkEnd w:id="147"/>
    </w:p>
    <w:p>
      <w:r>
        <w:t xml:space="preserve">(1) </w:t>
      </w:r>
      <w:r>
        <w:rPr>
          <w:rStyle w:val="Satznummer"/>
        </w:rPr>
        <w:t>1</w:t>
      </w:r>
      <w:r>
        <w:t xml:space="preserve">Für die Durchführung des Lohnsteuerabzugs werden Arbeitnehmer in Steuerklassen eingereiht. </w:t>
      </w:r>
      <w:r>
        <w:rPr>
          <w:rStyle w:val="Satznummer"/>
        </w:rPr>
        <w:t>2</w:t>
      </w:r>
      <w:r>
        <w:t>Dabei gilt Folgendes:</w:t>
      </w:r>
    </w:p>
    <w:p>
      <w:pPr>
        <w:tabs>
          <w:tab w:pos="567" w:val="left"/>
        </w:tabs>
        <w:ind w:left="567" w:hanging="567"/>
      </w:pPr>
      <w:r>
        <w:t>1.</w:t>
      </w:r>
      <w:r>
        <w:tab/>
      </w:r>
      <w:r>
        <w:t>In die Steuerklasse I gehören Arbeitnehmer, die</w:t>
      </w:r>
    </w:p>
    <w:p>
      <w:pPr>
        <w:tabs>
          <w:tab w:pos="1134" w:val="left"/>
        </w:tabs>
        <w:ind w:left="1134" w:hanging="567"/>
      </w:pPr>
      <w:r>
        <w:t>a)</w:t>
      </w:r>
      <w:r>
        <w:tab/>
      </w:r>
      <w:r>
        <w:t>unbeschränkt einkommensteuerpflichtig und</w:t>
      </w:r>
    </w:p>
    <w:p>
      <w:pPr>
        <w:tabs>
          <w:tab w:pos="1701" w:val="left"/>
        </w:tabs>
        <w:ind w:left="1701" w:hanging="567"/>
      </w:pPr>
      <w:r>
        <w:t>aa)</w:t>
      </w:r>
      <w:r>
        <w:tab/>
      </w:r>
      <w:r>
        <w:t>ledig sind,</w:t>
      </w:r>
    </w:p>
    <w:p>
      <w:pPr>
        <w:tabs>
          <w:tab w:pos="1701" w:val="left"/>
        </w:tabs>
        <w:ind w:left="1701" w:hanging="567"/>
      </w:pPr>
      <w:r>
        <w:t>bb)</w:t>
      </w:r>
      <w:r>
        <w:tab/>
      </w:r>
      <w:r>
        <w:t>verheiratet, verwitwet oder geschieden sind und bei denen die Voraussetzungen für die Steuerklasse III oder IV nicht erfüllt sind; oder</w:t>
      </w:r>
    </w:p>
    <w:p>
      <w:pPr>
        <w:tabs>
          <w:tab w:pos="1134" w:val="left"/>
        </w:tabs>
        <w:ind w:left="1134" w:hanging="567"/>
      </w:pPr>
      <w:r>
        <w:t>b)</w:t>
      </w:r>
      <w:r>
        <w:tab/>
      </w:r>
      <w:r>
        <w:t>beschränkt einkommensteuerpflichtig sind;</w:t>
      </w:r>
    </w:p>
    <w:p>
      <w:pPr>
        <w:tabs>
          <w:tab w:pos="567" w:val="left"/>
        </w:tabs>
        <w:ind w:left="567" w:hanging="567"/>
      </w:pPr>
      <w:r>
        <w:t>2.</w:t>
      </w:r>
      <w:r>
        <w:tab/>
      </w:r>
      <w:r>
        <w:t>in die Steuerklasse II gehören die unter Nummer 1 Buchstabe a bezeichneten Arbeitnehmer, wenn bei ihnen der Entlastungsbetrag für Alleinerziehende (</w:t>
      </w:r>
      <w:hyperlink w:anchor="b96" w:history="1">
        <w:r>
          <w:rPr>
            <w:color w:val="0A3A8C"/>
            <w:u w:val="single"/>
          </w:rPr>
          <w:t xml:space="preserve">§ 24b</w:t>
        </w:r>
      </w:hyperlink>
      <w:r>
        <w:t>) zu berücksichtigen ist;</w:t>
      </w:r>
    </w:p>
    <w:p>
      <w:pPr>
        <w:tabs>
          <w:tab w:pos="567" w:val="left"/>
        </w:tabs>
        <w:ind w:left="567" w:hanging="567"/>
      </w:pPr>
      <w:r>
        <w:t>3.</w:t>
      </w:r>
      <w:r>
        <w:tab/>
      </w:r>
      <w:r>
        <w:t>in die Steuerklasse III gehören Arbeitnehmer,</w:t>
      </w:r>
    </w:p>
    <w:p>
      <w:pPr>
        <w:tabs>
          <w:tab w:pos="1134" w:val="left"/>
        </w:tabs>
        <w:ind w:left="1134" w:hanging="567"/>
      </w:pPr>
      <w:r>
        <w:t>a)</w:t>
      </w:r>
      <w:r>
        <w:tab/>
      </w:r>
      <w:r>
        <w:t>die verheiratet sind, wenn beide Ehegatten unbeschränkt einkommensteuerpflichtig sind und nicht dauernd getrennt leben und der Ehegatte des Arbeitnehmers auf Antrag beider Ehegatten in die Steuerklasse V eingereiht wird,</w:t>
      </w:r>
    </w:p>
    <w:p>
      <w:pPr>
        <w:tabs>
          <w:tab w:pos="1134" w:val="left"/>
        </w:tabs>
        <w:ind w:left="1134" w:hanging="567"/>
      </w:pPr>
      <w:r>
        <w:t>b)</w:t>
      </w:r>
      <w:r>
        <w:tab/>
      </w:r>
      <w:r>
        <w:t>die verwitwet sind, wenn sie und ihr verstorbener Ehegatte im Zeitpunkt seines Todes unbeschränkt einkommensteuerpflichtig waren und in diesem Zeitpunkt nicht dauernd getrennt gelebt haben, für das Kalenderjahr, das dem Kalenderjahr folgt, in dem der Ehegatte verstorben ist,</w:t>
      </w:r>
    </w:p>
    <w:p>
      <w:pPr>
        <w:tabs>
          <w:tab w:pos="1134" w:val="left"/>
        </w:tabs>
        <w:ind w:left="1134" w:hanging="567"/>
      </w:pPr>
      <w:r>
        <w:t>c)</w:t>
      </w:r>
      <w:r>
        <w:tab/>
      </w:r>
      <w:r>
        <w:t>deren Ehe aufgelöst worden ist, wenn</w:t>
      </w:r>
    </w:p>
    <w:p>
      <w:pPr>
        <w:tabs>
          <w:tab w:pos="1701" w:val="left"/>
        </w:tabs>
        <w:ind w:left="1701" w:hanging="567"/>
      </w:pPr>
      <w:r>
        <w:t>aa)</w:t>
      </w:r>
      <w:r>
        <w:tab/>
      </w:r>
      <w:r>
        <w:t>im Kalenderjahr der Auflösung der Ehe beide Ehegatten unbeschränkt einkommensteuerpflichtig waren und nicht dauernd getrennt gelebt haben und</w:t>
      </w:r>
    </w:p>
    <w:p>
      <w:pPr>
        <w:tabs>
          <w:tab w:pos="1701" w:val="left"/>
        </w:tabs>
        <w:ind w:left="1701" w:hanging="567"/>
      </w:pPr>
      <w:r>
        <w:t>bb)</w:t>
      </w:r>
      <w:r>
        <w:tab/>
      </w:r>
      <w:r>
        <w:t>der andere Ehegatte wieder geheiratet hat, von seinem neuen Ehegatten nicht dauernd getrennt lebt und er und sein neuer Ehegatte unbeschränkt einkommensteuerpflichtig sind,</w:t>
      </w:r>
    </w:p>
    <w:p>
      <w:pPr>
        <w:ind w:left="1134"/>
      </w:pPr>
      <w:r>
        <w:t>für das Kalenderjahr, in dem die Ehe aufgelöst worden ist;</w:t>
      </w:r>
    </w:p>
    <w:p>
      <w:pPr>
        <w:tabs>
          <w:tab w:pos="567" w:val="left"/>
        </w:tabs>
        <w:ind w:left="567" w:hanging="567"/>
      </w:pPr>
      <w:r>
        <w:t>4.</w:t>
      </w:r>
      <w:r>
        <w:tab/>
      </w:r>
      <w:r>
        <w:t>in die Steuerklasse IV gehören Arbeitnehmer, die verheiratet sind, wenn beide Ehegatten unbeschränkt einkommensteuerpflichtig sind und nicht dauernd getrennt leben; dies gilt auch, wenn einer der Ehegatten keinen Arbeitslohn bezieht und kein Antrag nach Nummer 3 Buchstabe a gestellt worden ist;</w:t>
      </w:r>
    </w:p>
    <w:p>
      <w:pPr>
        <w:tabs>
          <w:tab w:pos="567" w:val="left"/>
        </w:tabs>
        <w:ind w:left="567" w:hanging="567"/>
      </w:pPr>
      <w:r>
        <w:t>5.</w:t>
      </w:r>
      <w:r>
        <w:tab/>
      </w:r>
      <w:r>
        <w:t>in die Steuerklasse V gehören die unter Nummer 4 bezeichneten Arbeitnehmer, wenn der Ehegatte des Arbeitnehmers auf Antrag beider Ehegatten in die Steuerklasse III eingereiht wird;</w:t>
      </w:r>
    </w:p>
    <w:p>
      <w:pPr>
        <w:tabs>
          <w:tab w:pos="567" w:val="left"/>
        </w:tabs>
        <w:ind w:left="567" w:hanging="567"/>
      </w:pPr>
      <w:r>
        <w:t>6.</w:t>
      </w:r>
      <w:r>
        <w:tab/>
      </w:r>
      <w:r>
        <w:t xml:space="preserve">die Steuerklasse VI gilt bei Arbeitnehmern, die nebeneinander von mehreren Arbeitgebern Arbeitslohn beziehen, für die Einbehaltung der Lohnsteuer vom Arbeitslohn aus dem zweiten und einem weiteren Dienstverhältnis sowie in den Fällen des </w:t>
      </w:r>
      <w:hyperlink w:anchor="b150" w:history="1">
        <w:r>
          <w:rPr>
            <w:color w:val="0A3A8C"/>
            <w:u w:val="single"/>
          </w:rPr>
          <w:t xml:space="preserve">§ 39c</w:t>
        </w:r>
      </w:hyperlink>
      <w:r>
        <w:t>.</w:t>
      </w:r>
    </w:p>
    <w:p>
      <w:r>
        <w:rPr>
          <w:rStyle w:val="Satznummer"/>
        </w:rPr>
        <w:t>3</w:t>
      </w:r>
      <w:r>
        <w:t xml:space="preserve">Als unbeschränkt einkommensteuerpflichtig im Sinne der Nummern 3 und 4 gelten nur Personen, die die Voraussetzungen des </w:t>
      </w:r>
      <w:hyperlink w:anchor="b1" w:history="1">
        <w:r>
          <w:rPr>
            <w:color w:val="0A3A8C"/>
            <w:u w:val="single"/>
          </w:rPr>
          <w:t xml:space="preserve">§ 1</w:t>
        </w:r>
      </w:hyperlink>
      <w:r>
        <w:t xml:space="preserve"> Absatz 1 oder 2 oder des </w:t>
      </w:r>
      <w:hyperlink w:anchor="b2" w:history="1">
        <w:r>
          <w:rPr>
            <w:color w:val="0A3A8C"/>
            <w:u w:val="single"/>
          </w:rPr>
          <w:t xml:space="preserve">§ 1a</w:t>
        </w:r>
      </w:hyperlink>
      <w:r>
        <w:t xml:space="preserve"> erfüllen.</w:t>
      </w:r>
    </w:p>
    <w:p>
      <w:r>
        <w:t xml:space="preserve">(2) </w:t>
      </w:r>
      <w:r>
        <w:rPr>
          <w:rStyle w:val="Satznummer"/>
        </w:rPr>
        <w:t>1</w:t>
      </w:r>
      <w:r>
        <w:t xml:space="preserve">Für ein minderjähriges und nach </w:t>
      </w:r>
      <w:hyperlink w:anchor="b1" w:history="1">
        <w:r>
          <w:rPr>
            <w:color w:val="0A3A8C"/>
            <w:u w:val="single"/>
          </w:rPr>
          <w:t xml:space="preserve">§ 1</w:t>
        </w:r>
      </w:hyperlink>
      <w:r>
        <w:t xml:space="preserve"> Absatz 1 unbeschränkt einkommensteuerpflichtiges Kind im Sinne des </w:t>
      </w:r>
      <w:hyperlink w:anchor="b107" w:history="1">
        <w:r>
          <w:rPr>
            <w:color w:val="0A3A8C"/>
            <w:u w:val="single"/>
          </w:rPr>
          <w:t xml:space="preserve">§ 32</w:t>
        </w:r>
      </w:hyperlink>
      <w:r>
        <w:t xml:space="preserve"> Absatz 1 Nummer 1 und Absatz 3 werden bei der Anwendung der Steuerklassen I bis IV die Kinderfreibeträge als Lohnsteuerabzugsmerkmal nach </w:t>
      </w:r>
      <w:hyperlink w:anchor="b147" w:history="1">
        <w:r>
          <w:rPr>
            <w:color w:val="0A3A8C"/>
            <w:u w:val="single"/>
          </w:rPr>
          <w:t xml:space="preserve">§ 39</w:t>
        </w:r>
      </w:hyperlink>
      <w:r>
        <w:t xml:space="preserve"> Absatz 1 wie folgt berücksichtigt:</w:t>
      </w:r>
    </w:p>
    <w:p>
      <w:pPr>
        <w:tabs>
          <w:tab w:pos="567" w:val="left"/>
        </w:tabs>
        <w:ind w:left="567" w:hanging="567"/>
      </w:pPr>
      <w:r>
        <w:t>1.</w:t>
      </w:r>
      <w:r>
        <w:tab/>
      </w:r>
      <w:r>
        <w:t xml:space="preserve">mit Zähler 0,5, wenn dem Arbeitnehmer der Kinderfreibetrag nach </w:t>
      </w:r>
      <w:hyperlink w:anchor="b107" w:history="1">
        <w:r>
          <w:rPr>
            <w:color w:val="0A3A8C"/>
            <w:u w:val="single"/>
          </w:rPr>
          <w:t xml:space="preserve">§ 32</w:t>
        </w:r>
      </w:hyperlink>
      <w:r>
        <w:t xml:space="preserve"> Absatz 6 Satz 1 zusteht, oder</w:t>
      </w:r>
    </w:p>
    <w:p>
      <w:pPr>
        <w:tabs>
          <w:tab w:pos="567" w:val="left"/>
        </w:tabs>
        <w:ind w:left="567" w:hanging="567"/>
      </w:pPr>
      <w:r>
        <w:t>2.</w:t>
      </w:r>
      <w:r>
        <w:tab/>
      </w:r>
      <w:r>
        <w:t>mit Zähler 1, wenn dem Arbeitnehmer der Kinderfreibetrag zusteht, weil</w:t>
      </w:r>
    </w:p>
    <w:p>
      <w:pPr>
        <w:tabs>
          <w:tab w:pos="1134" w:val="left"/>
        </w:tabs>
        <w:ind w:left="1134" w:hanging="567"/>
      </w:pPr>
      <w:r>
        <w:t>a)</w:t>
      </w:r>
      <w:r>
        <w:tab/>
      </w:r>
      <w:r>
        <w:t xml:space="preserve">die Voraussetzungen des </w:t>
      </w:r>
      <w:hyperlink w:anchor="b107" w:history="1">
        <w:r>
          <w:rPr>
            <w:color w:val="0A3A8C"/>
            <w:u w:val="single"/>
          </w:rPr>
          <w:t xml:space="preserve">§ 32</w:t>
        </w:r>
      </w:hyperlink>
      <w:r>
        <w:t xml:space="preserve"> Absatz 6 Satz 2 vorliegen oder</w:t>
      </w:r>
    </w:p>
    <w:p>
      <w:pPr>
        <w:tabs>
          <w:tab w:pos="1134" w:val="left"/>
        </w:tabs>
        <w:ind w:left="1134" w:hanging="567"/>
      </w:pPr>
      <w:r>
        <w:t>b)</w:t>
      </w:r>
      <w:r>
        <w:tab/>
      </w:r>
      <w:r>
        <w:t>der andere Elternteil vor dem Beginn des Kalenderjahres verstorben ist oder</w:t>
      </w:r>
    </w:p>
    <w:p>
      <w:pPr>
        <w:tabs>
          <w:tab w:pos="1134" w:val="left"/>
        </w:tabs>
        <w:ind w:left="1134" w:hanging="567"/>
      </w:pPr>
      <w:r>
        <w:t>c)</w:t>
      </w:r>
      <w:r>
        <w:tab/>
      </w:r>
      <w:r>
        <w:t>der Arbeitnehmer allein das Kind angenommen hat.</w:t>
      </w:r>
    </w:p>
    <w:p>
      <w:r>
        <w:rPr>
          <w:rStyle w:val="Satznummer"/>
        </w:rPr>
        <w:t>2</w:t>
      </w:r>
      <w:r>
        <w:t xml:space="preserve">Soweit dem Arbeitnehmer Kinderfreibeträge nach </w:t>
      </w:r>
      <w:hyperlink w:anchor="b107" w:history="1">
        <w:r>
          <w:rPr>
            <w:color w:val="0A3A8C"/>
            <w:u w:val="single"/>
          </w:rPr>
          <w:t xml:space="preserve">§ 32</w:t>
        </w:r>
      </w:hyperlink>
      <w:r>
        <w:t xml:space="preserve"> Absatz 1 bis 6 zustehen, die nicht nach Satz 1 berücksichtigt werden, ist die Zahl der Kinderfreibeträge auf Antrag vorbehaltlich des </w:t>
      </w:r>
      <w:hyperlink w:anchor="b148" w:history="1">
        <w:r>
          <w:rPr>
            <w:color w:val="0A3A8C"/>
            <w:u w:val="single"/>
          </w:rPr>
          <w:t xml:space="preserve">§ 39a</w:t>
        </w:r>
      </w:hyperlink>
      <w:r>
        <w:t xml:space="preserve"> Absatz 1 Nummer 6 zu Grunde zu legen. </w:t>
      </w:r>
      <w:r>
        <w:rPr>
          <w:rStyle w:val="Satznummer"/>
        </w:rPr>
        <w:t>3</w:t>
      </w:r>
      <w:r>
        <w:t xml:space="preserve">In den Fällen des Satzes 2 können die Kinderfreibeträge für mehrere Jahre gelten, wenn nach den tatsächlichen Verhältnissen zu erwarten ist, dass die Voraussetzungen bestehen bleiben. </w:t>
      </w:r>
      <w:r>
        <w:rPr>
          <w:rStyle w:val="Satznummer"/>
        </w:rPr>
        <w:t>4</w:t>
      </w:r>
      <w:r>
        <w:t xml:space="preserve">Bei Anwendung der Steuerklassen III und IV sind auch Kinder des Ehegatten bei der Zahl der Kinderfreibeträge zu berücksichtigen. </w:t>
      </w:r>
      <w:r>
        <w:rPr>
          <w:rStyle w:val="Satznummer"/>
        </w:rPr>
        <w:t>5</w:t>
      </w:r>
      <w:r>
        <w:t>Der Antrag kann nur nach amtlich vorgeschriebenem Vordruck gestellt werden.</w:t>
      </w:r>
    </w:p>
    <w:p>
      <w:r>
        <w:t xml:space="preserve">(3) </w:t>
      </w:r>
      <w:r>
        <w:rPr>
          <w:rStyle w:val="Satznummer"/>
        </w:rPr>
        <w:t>1</w:t>
      </w:r>
      <w:r>
        <w:t xml:space="preserve">Auf Antrag des Arbeitnehmers kann abweichend von Absatz 1 oder 2 eine für ihn ungünstigere Steuerklasse oder geringere Zahl der Kinderfreibeträge als Lohnsteuerabzugsmerkmal gebildet werden. </w:t>
      </w:r>
      <w:r>
        <w:rPr>
          <w:rStyle w:val="Satznummer"/>
        </w:rPr>
        <w:t>2</w:t>
      </w:r>
      <w:r>
        <w:t xml:space="preserve">Der Wechsel von der Steuerklasse III oder V in die Steuerklasse IV ist auch auf Antrag nur eines Ehegatten möglich mit der Folge, dass beide Ehegatten in die Steuerklasse IV eingereiht werden. </w:t>
      </w:r>
      <w:r>
        <w:rPr>
          <w:rStyle w:val="Satznummer"/>
        </w:rPr>
        <w:t>3</w:t>
      </w:r>
      <w:r>
        <w:t>Diese Anträge sind nach amtlich vorgeschriebenem Vordruck zu stellen und vom Antragsteller eigenhändig zu unterschreiben.</w:t>
      </w:r>
    </w:p>
    <w:p>
      <w:pPr>
        <w:pStyle w:val="Heading3"/>
      </w:pPr>
      <w:bookmarkStart w:id="148" w:name="b147"/>
      <w:r>
        <w:t>§ 39 Lohnsteuerabzugsmerkmale</w:t>
      </w:r>
      <w:r>
        <w:t xml:space="preserve"> </w:t>
      </w:r>
      <w:r>
        <w:rPr>
          <w:rStyle w:val="Suchmarke"/>
        </w:rPr>
        <w:t>#39#</w:t>
      </w:r>
      <w:bookmarkEnd w:id="148"/>
    </w:p>
    <w:p>
      <w:r>
        <w:t xml:space="preserve">(1) </w:t>
      </w:r>
      <w:r>
        <w:rPr>
          <w:rStyle w:val="Satznummer"/>
        </w:rPr>
        <w:t>1</w:t>
      </w:r>
      <w:r>
        <w:t>Für die Durchführung des Lohnsteuerabzugs werden auf Veranlassung des Arbeitnehmers Lohnsteuerabzugsmerkmale gebildet (</w:t>
      </w:r>
      <w:hyperlink w:anchor="b148" w:history="1">
        <w:r>
          <w:rPr>
            <w:color w:val="0A3A8C"/>
            <w:u w:val="single"/>
          </w:rPr>
          <w:t xml:space="preserve">§ 39a</w:t>
        </w:r>
      </w:hyperlink>
      <w:r>
        <w:t xml:space="preserve"> Absatz 1 und 4, </w:t>
      </w:r>
      <w:hyperlink w:anchor="b152" w:history="1">
        <w:r>
          <w:rPr>
            <w:color w:val="0A3A8C"/>
            <w:u w:val="single"/>
          </w:rPr>
          <w:t xml:space="preserve">§ 39e</w:t>
        </w:r>
      </w:hyperlink>
      <w:r>
        <w:t xml:space="preserve"> Absatz 1 in Verbindung mit </w:t>
      </w:r>
      <w:hyperlink w:anchor="b152" w:history="1">
        <w:r>
          <w:rPr>
            <w:color w:val="0A3A8C"/>
            <w:u w:val="single"/>
          </w:rPr>
          <w:t xml:space="preserve">§ 39e</w:t>
        </w:r>
      </w:hyperlink>
      <w:r>
        <w:t xml:space="preserve"> Absatz 4 Satz 1 und nach </w:t>
      </w:r>
      <w:hyperlink w:anchor="b152" w:history="1">
        <w:r>
          <w:rPr>
            <w:color w:val="0A3A8C"/>
            <w:u w:val="single"/>
          </w:rPr>
          <w:t xml:space="preserve">§ 39e</w:t>
        </w:r>
      </w:hyperlink>
      <w:r>
        <w:t xml:space="preserve"> Absatz 8). </w:t>
      </w:r>
      <w:r>
        <w:rPr>
          <w:rStyle w:val="Satznummer"/>
        </w:rPr>
        <w:t>2</w:t>
      </w:r>
      <w:r>
        <w:t xml:space="preserve">Soweit Lohnsteuerabzugsmerkmale nicht nach </w:t>
      </w:r>
      <w:hyperlink w:anchor="b152" w:history="1">
        <w:r>
          <w:rPr>
            <w:color w:val="0A3A8C"/>
            <w:u w:val="single"/>
          </w:rPr>
          <w:t xml:space="preserve">§ 39e</w:t>
        </w:r>
      </w:hyperlink>
      <w:r>
        <w:t xml:space="preserve"> Absatz 1 Satz 1 automatisiert gebildet werden oder davon abweichend zu bilden sind, ist das Finanzamt für die Bildung der Lohnsteuerabzugsmerkmale nach den </w:t>
      </w:r>
      <w:hyperlink w:anchor="b146" w:history="1">
        <w:r>
          <w:rPr>
            <w:color w:val="0A3A8C"/>
            <w:u w:val="single"/>
          </w:rPr>
          <w:t xml:space="preserve">§§ 38b</w:t>
        </w:r>
      </w:hyperlink>
      <w:r>
        <w:t xml:space="preserve"> und </w:t>
      </w:r>
      <w:hyperlink w:anchor="b148" w:history="1">
        <w:r>
          <w:rPr>
            <w:color w:val="0A3A8C"/>
            <w:u w:val="single"/>
          </w:rPr>
          <w:t xml:space="preserve">39a</w:t>
        </w:r>
      </w:hyperlink>
      <w:r>
        <w:t xml:space="preserve"> und die Bestimmung ihrer Geltungsdauer zuständig. </w:t>
      </w:r>
      <w:r>
        <w:rPr>
          <w:rStyle w:val="Satznummer"/>
        </w:rPr>
        <w:t>3</w:t>
      </w:r>
      <w:r>
        <w:t xml:space="preserve">Für die Bildung der Lohnsteuerabzugsmerkmale sind die von den Meldebehörden nach </w:t>
      </w:r>
      <w:hyperlink w:anchor="b152" w:history="1">
        <w:r>
          <w:rPr>
            <w:color w:val="0A3A8C"/>
            <w:u w:val="single"/>
          </w:rPr>
          <w:t xml:space="preserve">§ 39e</w:t>
        </w:r>
      </w:hyperlink>
      <w:r>
        <w:t xml:space="preserve"> Absatz 2 Satz 2 mitgeteilten Daten vorbehaltlich einer nach Satz 2 abweichenden Bildung durch das Finanzamt bindend. </w:t>
      </w:r>
      <w:r>
        <w:rPr>
          <w:rStyle w:val="Satznummer"/>
        </w:rPr>
        <w:t>4</w:t>
      </w:r>
      <w:r>
        <w:t xml:space="preserve">Die Bildung der Lohnsteuerabzugsmerkmale ist eine gesonderte Feststellung von Besteuerungsgrundlagen im Sinne des § 179 Absatz 1 der Abgabenordnung, die unter dem Vorbehalt der Nachprüfung steht. </w:t>
      </w:r>
      <w:r>
        <w:rPr>
          <w:rStyle w:val="Satznummer"/>
        </w:rPr>
        <w:t>5</w:t>
      </w:r>
      <w:r>
        <w:t xml:space="preserve">Die Bildung und die Änderung der Lohnsteuerabzugsmerkmale sind dem Arbeitnehmer bekannt zu geben. </w:t>
      </w:r>
      <w:r>
        <w:rPr>
          <w:rStyle w:val="Satznummer"/>
        </w:rPr>
        <w:t>6</w:t>
      </w:r>
      <w:r>
        <w:t xml:space="preserve">Die Bekanntgabe richtet sich nach § 119 Absatz 2 der Abgabenordnung und </w:t>
      </w:r>
      <w:hyperlink w:anchor="b152" w:history="1">
        <w:r>
          <w:rPr>
            <w:color w:val="0A3A8C"/>
            <w:u w:val="single"/>
          </w:rPr>
          <w:t xml:space="preserve">§ 39e</w:t>
        </w:r>
      </w:hyperlink>
      <w:r>
        <w:t xml:space="preserve"> Absatz 6. </w:t>
      </w:r>
      <w:r>
        <w:rPr>
          <w:rStyle w:val="Satznummer"/>
        </w:rPr>
        <w:t>7</w:t>
      </w:r>
      <w:r>
        <w:t xml:space="preserve">Der Bekanntgabe braucht keine Belehrung über den zulässigen Rechtsbehelf beigefügt zu werden. </w:t>
      </w:r>
      <w:r>
        <w:rPr>
          <w:rStyle w:val="Satznummer"/>
        </w:rPr>
        <w:t>8</w:t>
      </w:r>
      <w:r>
        <w:t xml:space="preserve">Ein schriftlicher Bescheid mit einer Belehrung über den zulässigen Rechtsbehelf ist jedoch zu erteilen, wenn einem Antrag des Arbeitnehmers auf Bildung oder Änderung der Lohnsteuerabzugsmerkmale nicht oder nicht in vollem Umfang entsprochen wird oder der Arbeitnehmer die Erteilung eines Bescheids beantragt. </w:t>
      </w:r>
      <w:r>
        <w:rPr>
          <w:rStyle w:val="Satznummer"/>
        </w:rPr>
        <w:t>9</w:t>
      </w:r>
      <w:r>
        <w:t>Vorbehaltlich des Absatzes 5 ist § 153 Absatz 2 der Abgabenordnung nicht anzuwenden.</w:t>
      </w:r>
    </w:p>
    <w:p>
      <w:r>
        <w:t xml:space="preserve">(2) </w:t>
      </w:r>
      <w:r>
        <w:rPr>
          <w:rStyle w:val="Satznummer"/>
        </w:rPr>
        <w:t>1</w:t>
      </w:r>
      <w:r>
        <w:t xml:space="preserve">Für die Bildung und die Änderung der Lohnsteuerabzugsmerkmale nach Absatz 1 Satz 2 des nach </w:t>
      </w:r>
      <w:hyperlink w:anchor="b1" w:history="1">
        <w:r>
          <w:rPr>
            <w:color w:val="0A3A8C"/>
            <w:u w:val="single"/>
          </w:rPr>
          <w:t xml:space="preserve">§ 1</w:t>
        </w:r>
      </w:hyperlink>
      <w:r>
        <w:t xml:space="preserve"> Absatz 1 unbeschränkt einkommensteuerpflichtigen Arbeitnehmers ist das Wohnsitzfinanzamt im Sinne des § 19 Absatz 1 Satz 1 und 2 der Abgabenordnung und in den Fällen des Absatzes 4 Nummer 5 das Betriebsstättenfinanzamt nach </w:t>
      </w:r>
      <w:hyperlink w:anchor="b158" w:history="1">
        <w:r>
          <w:rPr>
            <w:color w:val="0A3A8C"/>
            <w:u w:val="single"/>
          </w:rPr>
          <w:t xml:space="preserve">§ 41a</w:t>
        </w:r>
      </w:hyperlink>
      <w:r>
        <w:t xml:space="preserve"> Absatz 1 Satz 1 Nummer 1 zuständig. </w:t>
      </w:r>
      <w:r>
        <w:rPr>
          <w:rStyle w:val="Satznummer"/>
        </w:rPr>
        <w:t>2</w:t>
      </w:r>
      <w:r>
        <w:t xml:space="preserve">Ist der Arbeitnehmer nach </w:t>
      </w:r>
      <w:hyperlink w:anchor="b1" w:history="1">
        <w:r>
          <w:rPr>
            <w:color w:val="0A3A8C"/>
            <w:u w:val="single"/>
          </w:rPr>
          <w:t xml:space="preserve">§ 1</w:t>
        </w:r>
      </w:hyperlink>
      <w:r>
        <w:t xml:space="preserve"> Absatz 2 unbeschränkt einkommensteuerpflichtig, nach </w:t>
      </w:r>
      <w:hyperlink w:anchor="b1" w:history="1">
        <w:r>
          <w:rPr>
            <w:color w:val="0A3A8C"/>
            <w:u w:val="single"/>
          </w:rPr>
          <w:t xml:space="preserve">§ 1</w:t>
        </w:r>
      </w:hyperlink>
      <w:r>
        <w:t xml:space="preserve"> Absatz 3 als unbeschränkt einkommensteuerpflichtig zu behandeln oder beschränkt einkommensteuerpflichtig, ist das Betriebsstättenfinanzamt für die Bildung und die Änderung der Lohnsteuerabzugsmerkmale zuständig. </w:t>
      </w:r>
      <w:r>
        <w:rPr>
          <w:rStyle w:val="Satznummer"/>
        </w:rPr>
        <w:t>3</w:t>
      </w:r>
      <w:r>
        <w:t xml:space="preserve">Ist der nach </w:t>
      </w:r>
      <w:hyperlink w:anchor="b1" w:history="1">
        <w:r>
          <w:rPr>
            <w:color w:val="0A3A8C"/>
            <w:u w:val="single"/>
          </w:rPr>
          <w:t xml:space="preserve">§ 1</w:t>
        </w:r>
      </w:hyperlink>
      <w:r>
        <w:t xml:space="preserve"> Absatz 3 als unbeschränkt einkommensteuerpflichtig zu behandelnde Arbeitnehmer gleichzeitig bei mehreren inländischen Arbeitgebern tätig, ist für die Bildung der weiteren Lohnsteuerabzugsmerkmale das Betriebsstättenfinanzamt zuständig, das erstmals Lohnsteuerabzugsmerkmale gebildet hat. </w:t>
      </w:r>
      <w:r>
        <w:rPr>
          <w:rStyle w:val="Satznummer"/>
        </w:rPr>
        <w:t>4</w:t>
      </w:r>
      <w:r>
        <w:t>Bei Ehegatten, die beide Arbeitslohn von inländischen Arbeitgebern beziehen, ist das Betriebsstättenfinanzamt des älteren Ehegatten zuständig.</w:t>
      </w:r>
    </w:p>
    <w:p>
      <w:r>
        <w:t xml:space="preserve">(3) </w:t>
      </w:r>
      <w:r>
        <w:rPr>
          <w:rStyle w:val="Satznummer"/>
        </w:rPr>
        <w:t>1</w:t>
      </w:r>
      <w:r>
        <w:t xml:space="preserve">In den Fällen des Absatzes 2 Satz 1 hat der Arbeitnehmer den Antrag für die erstmalige Zuteilung einer Identifikationsnummer (§ 139b der Abgabenordnung) beim Wohnsitzfinanzamt und in den Fällen des Absatzes 2 Satz 2 beim Betriebsstättenfinanzamt zu stellen. </w:t>
      </w:r>
      <w:r>
        <w:rPr>
          <w:rStyle w:val="Satznummer"/>
        </w:rPr>
        <w:t>2</w:t>
      </w:r>
      <w:r>
        <w:t xml:space="preserve">Die Zuteilung einer Identifikationsnummer kann auch der Arbeitgeber beantragen, wenn ihn der Arbeitnehmer dazu nach § 80 Absatz 1 der Abgabenordnung bevollmächtigt hat. </w:t>
      </w:r>
      <w:r>
        <w:rPr>
          <w:rStyle w:val="Satznummer"/>
        </w:rPr>
        <w:t>3</w:t>
      </w:r>
      <w:r>
        <w:t xml:space="preserve">Ist dem Arbeitnehmer in den Fällen des Absatzes 2 Satz 1 und 2 bereits eine Identifikationsnummer zugeteilt worden, teilt das zuständige Finanzamt diese auf Anfrage des Arbeitnehmers mit. </w:t>
      </w:r>
      <w:r>
        <w:rPr>
          <w:rStyle w:val="Satznummer"/>
        </w:rPr>
        <w:t>4</w:t>
      </w:r>
      <w:r>
        <w:t xml:space="preserve">Eine Anfrage nach Satz 3 kann auch der Arbeitgeber im Namen des Arbeitnehmers stellen. </w:t>
      </w:r>
      <w:r>
        <w:rPr>
          <w:rStyle w:val="Satznummer"/>
        </w:rPr>
        <w:t>5</w:t>
      </w:r>
      <w:r>
        <w:t xml:space="preserve">Wird einem Arbeitnehmer in den Fällen des Satzes 1 keine Identifikationsnummer zugeteilt, gilt </w:t>
      </w:r>
      <w:hyperlink w:anchor="b152" w:history="1">
        <w:r>
          <w:rPr>
            <w:color w:val="0A3A8C"/>
            <w:u w:val="single"/>
          </w:rPr>
          <w:t xml:space="preserve">§ 39e</w:t>
        </w:r>
      </w:hyperlink>
      <w:r>
        <w:t xml:space="preserve"> Absatz 8 sinngemäß. </w:t>
      </w:r>
      <w:r>
        <w:rPr>
          <w:rStyle w:val="Satznummer"/>
        </w:rPr>
        <w:t>6</w:t>
      </w:r>
      <w:r>
        <w:t>Hat der Arbeitgeber für den Arbeitnehmer für das Jahr 2022 eine Lohnsteuerbescheinigung übermittelt und versichert der Arbeitgeber, dass das Dienstverhältnis nach Ablauf des Jahres 2022 fortbestanden und der Arbeitnehmer trotz Aufforderung pflichtwidrig seine Identifikationsnummer bisher nicht mitgeteilt hat, teilt das zuständige Finanzamt die Identifikationsnummer des Arbeitnehmers auf Anfrage des Arbeitgebers mit.</w:t>
      </w:r>
    </w:p>
    <w:p>
      <w:r>
        <w:t>(4) Lohnsteuerabzugsmerkmale sind</w:t>
      </w:r>
    </w:p>
    <w:p>
      <w:pPr>
        <w:tabs>
          <w:tab w:pos="567" w:val="left"/>
        </w:tabs>
        <w:ind w:left="567" w:hanging="567"/>
      </w:pPr>
      <w:r>
        <w:t>1.</w:t>
      </w:r>
      <w:r>
        <w:tab/>
      </w:r>
      <w:r>
        <w:t>Steuerklasse (</w:t>
      </w:r>
      <w:hyperlink w:anchor="b146" w:history="1">
        <w:r>
          <w:rPr>
            <w:color w:val="0A3A8C"/>
            <w:u w:val="single"/>
          </w:rPr>
          <w:t xml:space="preserve">§ 38b</w:t>
        </w:r>
      </w:hyperlink>
      <w:r>
        <w:t xml:space="preserve"> Absatz 1) und Faktor (</w:t>
      </w:r>
      <w:hyperlink w:anchor="b153" w:history="1">
        <w:r>
          <w:rPr>
            <w:color w:val="0A3A8C"/>
            <w:u w:val="single"/>
          </w:rPr>
          <w:t xml:space="preserve">§ 39f</w:t>
        </w:r>
      </w:hyperlink>
      <w:r>
        <w:t>),</w:t>
      </w:r>
    </w:p>
    <w:p>
      <w:pPr>
        <w:tabs>
          <w:tab w:pos="567" w:val="left"/>
        </w:tabs>
        <w:ind w:left="567" w:hanging="567"/>
      </w:pPr>
      <w:r>
        <w:t>2.</w:t>
      </w:r>
      <w:r>
        <w:tab/>
      </w:r>
      <w:r>
        <w:t>Zahl der Kinderfreibeträge bei den Steuerklassen I bis IV (</w:t>
      </w:r>
      <w:hyperlink w:anchor="b146" w:history="1">
        <w:r>
          <w:rPr>
            <w:color w:val="0A3A8C"/>
            <w:u w:val="single"/>
          </w:rPr>
          <w:t xml:space="preserve">§ 38b</w:t>
        </w:r>
      </w:hyperlink>
      <w:r>
        <w:t xml:space="preserve"> Absatz 2),</w:t>
      </w:r>
    </w:p>
    <w:p>
      <w:pPr>
        <w:tabs>
          <w:tab w:pos="567" w:val="left"/>
        </w:tabs>
        <w:ind w:left="567" w:hanging="567"/>
      </w:pPr>
      <w:r>
        <w:t>3.</w:t>
      </w:r>
      <w:r>
        <w:tab/>
      </w:r>
      <w:r>
        <w:t>Freibetrag und Hinzurechnungsbetrag (</w:t>
      </w:r>
      <w:hyperlink w:anchor="b148" w:history="1">
        <w:r>
          <w:rPr>
            <w:color w:val="0A3A8C"/>
            <w:u w:val="single"/>
          </w:rPr>
          <w:t xml:space="preserve">§ 39a</w:t>
        </w:r>
      </w:hyperlink>
      <w:r>
        <w:t>),</w:t>
      </w:r>
    </w:p>
    <w:p>
      <w:pPr>
        <w:tabs>
          <w:tab w:pos="567" w:val="left"/>
        </w:tabs>
        <w:ind w:left="567" w:hanging="567"/>
      </w:pPr>
      <w:r>
        <w:t>4.</w:t>
      </w:r>
      <w:r>
        <w:tab/>
      </w:r>
      <w:r>
        <w:t>Höhe der monatlichen Beiträge</w:t>
      </w:r>
    </w:p>
    <w:p>
      <w:pPr>
        <w:tabs>
          <w:tab w:pos="1134" w:val="left"/>
        </w:tabs>
        <w:ind w:left="1134" w:hanging="567"/>
      </w:pPr>
      <w:r>
        <w:t>a)</w:t>
      </w:r>
      <w:r>
        <w:tab/>
      </w:r>
      <w:r>
        <w:t xml:space="preserve">für eine private Krankenversicherung und für eine private Pflege-Pflichtversicherung, wenn die Voraussetzungen für die Gewährung eines nach </w:t>
      </w:r>
      <w:hyperlink w:anchor="b8" w:history="1">
        <w:r>
          <w:rPr>
            <w:color w:val="0A3A8C"/>
            <w:u w:val="single"/>
          </w:rPr>
          <w:t xml:space="preserve">§ 3</w:t>
        </w:r>
      </w:hyperlink>
      <w:r>
        <w:t xml:space="preserve"> Nummer 62 steuerfreien Zuschusses für diese Beiträge vorliegen,</w:t>
      </w:r>
    </w:p>
    <w:p>
      <w:pPr>
        <w:tabs>
          <w:tab w:pos="1134" w:val="left"/>
        </w:tabs>
        <w:ind w:left="1134" w:hanging="567"/>
      </w:pPr>
      <w:r>
        <w:t>b)</w:t>
      </w:r>
      <w:r>
        <w:tab/>
      </w:r>
      <w:r>
        <w:t xml:space="preserve">für eine private Krankenversicherung und für eine private Pflege-Pflichtversicherung im Sinne des </w:t>
      </w:r>
      <w:hyperlink w:anchor="b51" w:history="1">
        <w:r>
          <w:rPr>
            <w:color w:val="0A3A8C"/>
            <w:u w:val="single"/>
          </w:rPr>
          <w:t xml:space="preserve">§ 10</w:t>
        </w:r>
      </w:hyperlink>
      <w:r>
        <w:t xml:space="preserve"> Absatz 1 Nummer 3 Satz 1,</w:t>
      </w:r>
    </w:p>
    <w:p>
      <w:pPr>
        <w:tabs>
          <w:tab w:pos="567" w:val="left"/>
        </w:tabs>
        <w:ind w:left="567" w:hanging="567"/>
      </w:pPr>
      <w:r>
        <w:t>5.</w:t>
      </w:r>
      <w:r>
        <w:tab/>
      </w:r>
      <w:r>
        <w:t>Mitteilung, dass der von einem Arbeitgeber gezahlte Arbeitslohn nach einem Abkommen zur Vermeidung der Doppelbesteuerung von der Lohnsteuer freizustellen ist, wenn der Arbeitnehmer oder der Arbeitgeber dies beantragt.</w:t>
      </w:r>
    </w:p>
    <w:p>
      <w:r>
        <w:t xml:space="preserve">(4a) </w:t>
      </w:r>
      <w:r>
        <w:rPr>
          <w:rStyle w:val="Satznummer"/>
        </w:rPr>
        <w:t>1</w:t>
      </w:r>
      <w:r>
        <w:t xml:space="preserve">Das Versicherungsunternehmen als mitteilungspflichtige Stelle hat dem Bundeszentralamt für Steuern nach Maßgabe des § 93c der Abgabenordnung die in Absatz 4 Nummer 4 genannten Beiträge unter Angabe der Vertrags- oder der Versicherungsdaten zu übermitteln, soweit der Versicherungsnehmer dieser Übermittlung nicht gegenüber dem Versicherungsunternehmen widerspricht; das Bundeszentralamt für Steuern bildet aus den automatisiert übermittelten Daten die entsprechenden Lohnsteuerabzugsmerkmale. </w:t>
      </w:r>
      <w:r>
        <w:rPr>
          <w:rStyle w:val="Satznummer"/>
        </w:rPr>
        <w:t>2</w:t>
      </w:r>
      <w:r>
        <w:t xml:space="preserve">Abweichend von § 93c Absatz 1 Nummer 1 der Abgabenordnung sind die Daten bis zum 20. November des Vorjahres, für das die Beiträge maßgeblich sind, zu übermitteln. </w:t>
      </w:r>
      <w:r>
        <w:rPr>
          <w:rStyle w:val="Satznummer"/>
        </w:rPr>
        <w:t>3</w:t>
      </w:r>
      <w:r>
        <w:t xml:space="preserve">Bei unterjährigen Beitragsänderungen sind die Daten dem Bundeszentralamt für Steuern zeitgleich mit der Mitteilung der Beitragsänderung an den Versicherungsnehmer zu übermitteln. </w:t>
      </w:r>
      <w:r>
        <w:rPr>
          <w:rStyle w:val="Satznummer"/>
        </w:rPr>
        <w:t>4</w:t>
      </w:r>
      <w:r>
        <w:t>Ändern sich die nach Satz 2 übermittelten Daten infolge von Beitragsvorausleistungen, sind die geänderten Daten bis zum letzten Tag des Monats Februar des laufenden Jahres dem Bundeszentralamt für Steuern zu übermitteln.</w:t>
      </w:r>
    </w:p>
    <w:p>
      <w:r>
        <w:t xml:space="preserve">(5) </w:t>
      </w:r>
      <w:r>
        <w:rPr>
          <w:rStyle w:val="Satznummer"/>
        </w:rPr>
        <w:t>1</w:t>
      </w:r>
      <w:r>
        <w:t xml:space="preserve">Treten bei einem Arbeitnehmer die Voraussetzungen für eine für ihn ungünstigere Steuerklasse oder geringere Zahl der Kinderfreibeträge ein, ist der Arbeitnehmer verpflichtet, dem Finanzamt dies mitzuteilen und die Steuerklasse und die Zahl der Kinderfreibeträge umgehend ändern zu lassen. </w:t>
      </w:r>
      <w:r>
        <w:rPr>
          <w:rStyle w:val="Satznummer"/>
        </w:rPr>
        <w:t>2</w:t>
      </w:r>
      <w:r>
        <w:t xml:space="preserve">Dies gilt insbesondere, wenn die Voraussetzungen für die Berücksichtigung des Entlastungsbetrags für Alleinerziehende, für die die Steuerklasse II zur Anwendung kommt, entfallen. </w:t>
      </w:r>
      <w:r>
        <w:rPr>
          <w:rStyle w:val="Satznummer"/>
        </w:rPr>
        <w:t>3</w:t>
      </w:r>
      <w:r>
        <w:t xml:space="preserve">Eine Mitteilung ist nicht erforderlich, wenn die Abweichung einen Sachverhalt betrifft, der zu einer Änderung der Daten führt, die nach § 39e Absatz 2 Satz 2 von den Meldebehörden zu übermitteln sind. </w:t>
      </w:r>
      <w:r>
        <w:rPr>
          <w:rStyle w:val="Satznummer"/>
        </w:rPr>
        <w:t>4</w:t>
      </w:r>
      <w:r>
        <w:t xml:space="preserve">Kommt der Arbeitnehmer seiner Verpflichtung nicht nach, ändert das Finanzamt die Steuerklasse und die Zahl der Kinderfreibeträge von Amts wegen. </w:t>
      </w:r>
      <w:r>
        <w:rPr>
          <w:rStyle w:val="Satznummer"/>
        </w:rPr>
        <w:t>5</w:t>
      </w:r>
      <w:r>
        <w:t>Unterbleibt die Änderung der Lohnsteuerabzugsmerkmale, hat das Finanzamt zu wenig erhobene Lohnsteuer vom Arbeitnehmer nachzufordern, wenn diese 10 Euro übersteigt.</w:t>
      </w:r>
    </w:p>
    <w:p>
      <w:r>
        <w:t xml:space="preserve">(6) </w:t>
      </w:r>
      <w:r>
        <w:rPr>
          <w:rStyle w:val="Satznummer"/>
        </w:rPr>
        <w:t>1</w:t>
      </w:r>
      <w:r>
        <w:t xml:space="preserve">Ändern sich die Voraussetzungen für die Steuerklasse oder für die Zahl der Kinderfreibeträge zu Gunsten des Arbeitnehmers, kann dieser beim Finanzamt die Änderung der Lohnsteuerabzugsmerkmale beantragen. </w:t>
      </w:r>
      <w:r>
        <w:rPr>
          <w:rStyle w:val="Satznummer"/>
        </w:rPr>
        <w:t>2</w:t>
      </w:r>
      <w:r>
        <w:t xml:space="preserve">Die Änderung ist mit Wirkung von dem ersten Tag des Monats an vorzunehmen, in dem erstmals die Voraussetzungen für die Änderung vorlagen. </w:t>
      </w:r>
      <w:r>
        <w:rPr>
          <w:rStyle w:val="Satznummer"/>
        </w:rPr>
        <w:t>3</w:t>
      </w:r>
      <w:r>
        <w:t xml:space="preserve">Ehegatten können im Laufe des Kalenderjahres beim Finanzamt die Änderung der Steuerklassen beantragen. </w:t>
      </w:r>
      <w:r>
        <w:rPr>
          <w:rStyle w:val="Satznummer"/>
        </w:rPr>
        <w:t>4</w:t>
      </w:r>
      <w:r>
        <w:t xml:space="preserve">Dies gilt unabhängig von der automatisierten Bildung der Steuerklassen nach </w:t>
      </w:r>
      <w:hyperlink w:anchor="b152" w:history="1">
        <w:r>
          <w:rPr>
            <w:color w:val="0A3A8C"/>
            <w:u w:val="single"/>
          </w:rPr>
          <w:t xml:space="preserve">§ 39e</w:t>
        </w:r>
      </w:hyperlink>
      <w:r>
        <w:t xml:space="preserve"> Absatz 3 Satz 3 sowie einer von den Ehegatten gewünschten Änderung dieser automatisierten Bildung. </w:t>
      </w:r>
      <w:r>
        <w:rPr>
          <w:rStyle w:val="Satznummer"/>
        </w:rPr>
        <w:t>5</w:t>
      </w:r>
      <w:r>
        <w:t xml:space="preserve">Das Finanzamt hat eine Änderung nach Satz 3 mit Wirkung vom Beginn des Kalendermonats vorzunehmen, der auf die Antragstellung folgt. </w:t>
      </w:r>
      <w:r>
        <w:rPr>
          <w:rStyle w:val="Satznummer"/>
        </w:rPr>
        <w:t>6</w:t>
      </w:r>
      <w:r>
        <w:t>Für eine Berücksichtigung der Änderung im laufenden Kalenderjahr ist der Antrag nach Satz 1 oder 3 spätestens bis zum 30. November zu stellen.</w:t>
      </w:r>
    </w:p>
    <w:p>
      <w:r>
        <w:t xml:space="preserve">(7) </w:t>
      </w:r>
      <w:r>
        <w:rPr>
          <w:rStyle w:val="Satznummer"/>
        </w:rPr>
        <w:t>1</w:t>
      </w:r>
      <w:r>
        <w:t xml:space="preserve">Wird ein unbeschränkt einkommensteuerpflichtiger Arbeitnehmer beschränkt einkommensteuerpflichtig, hat er dies dem Finanzamt unverzüglich mitzuteilen. </w:t>
      </w:r>
      <w:r>
        <w:rPr>
          <w:rStyle w:val="Satznummer"/>
        </w:rPr>
        <w:t>2</w:t>
      </w:r>
      <w:r>
        <w:t xml:space="preserve">Das Finanzamt hat die Lohnsteuerabzugsmerkmale vom Zeitpunkt des Eintritts der beschränkten Einkommensteuerpflicht an zu ändern. </w:t>
      </w:r>
      <w:r>
        <w:rPr>
          <w:rStyle w:val="Satznummer"/>
        </w:rPr>
        <w:t>3</w:t>
      </w:r>
      <w:r>
        <w:t xml:space="preserve">Absatz 1 Satz 5 bis 8 gilt entsprechend. </w:t>
      </w:r>
      <w:r>
        <w:rPr>
          <w:rStyle w:val="Satznummer"/>
        </w:rPr>
        <w:t>4</w:t>
      </w:r>
      <w:r>
        <w:t>Unterbleibt die Mitteilung, hat das Finanzamt zu wenig erhobene Lohnsteuer vom Arbeitnehmer nachzufordern, wenn diese 10 Euro übersteigt.</w:t>
      </w:r>
    </w:p>
    <w:p>
      <w:r>
        <w:t>(8) Ohne Einwilligung des Arbeitnehmers und soweit gesetzlich nichts anderes zugelassen ist, darf der Arbeitgeber die Lohnsteuerabzugsmerkmale nur für die Einbehaltung der Lohn- und Kirchensteuer verarbeiten.</w:t>
      </w:r>
    </w:p>
    <w:p>
      <w:r>
        <w:t>(9) (weggefallen)</w:t>
      </w:r>
    </w:p>
    <w:p>
      <w:pPr>
        <w:pStyle w:val="Heading3"/>
      </w:pPr>
      <w:bookmarkStart w:id="149" w:name="b148"/>
      <w:r>
        <w:t>§ 39a Freibetrag und Hinzurechnungsbetrag</w:t>
      </w:r>
      <w:r>
        <w:t xml:space="preserve"> </w:t>
      </w:r>
      <w:r>
        <w:rPr>
          <w:rStyle w:val="Suchmarke"/>
        </w:rPr>
        <w:t>#39a#</w:t>
      </w:r>
      <w:bookmarkEnd w:id="149"/>
    </w:p>
    <w:p>
      <w:r>
        <w:t xml:space="preserve">(1) </w:t>
      </w:r>
      <w:r>
        <w:rPr>
          <w:rStyle w:val="Satznummer"/>
        </w:rPr>
        <w:t>1</w:t>
      </w:r>
      <w:r>
        <w:t>Auf Antrag des unbeschränkt einkommensteuerpflichtigen Arbeitnehmers ermittelt das Finanzamt die Höhe eines vom Arbeitslohn insgesamt abzuziehenden Freibetrags aus der Summe der folgenden Beträge:</w:t>
      </w:r>
    </w:p>
    <w:p>
      <w:pPr>
        <w:tabs>
          <w:tab w:pos="567" w:val="left"/>
        </w:tabs>
        <w:ind w:left="567" w:hanging="567"/>
      </w:pPr>
      <w:r>
        <w:t>1.</w:t>
      </w:r>
      <w:r>
        <w:tab/>
      </w:r>
      <w:r>
        <w:t>Werbungskosten, die bei den Einkünften aus nichtselbständiger Arbeit anfallen, soweit sie den Arbeitnehmer-Pauschbetrag (§ 9a Satz 1 Nummer 1 Buchstabe a) oder bei Versorgungsbezügen den Pauschbetrag (§ 9a Satz 1 Nummer 1 Buchstabe b) übersteigen,</w:t>
      </w:r>
    </w:p>
    <w:p>
      <w:pPr>
        <w:tabs>
          <w:tab w:pos="567" w:val="left"/>
        </w:tabs>
        <w:ind w:left="567" w:hanging="567"/>
      </w:pPr>
      <w:r>
        <w:t>1a.</w:t>
      </w:r>
      <w:r>
        <w:tab/>
      </w:r>
      <w:r>
        <w:t xml:space="preserve">Sonderausgaben im Sinne des </w:t>
      </w:r>
      <w:hyperlink w:anchor="b51" w:history="1">
        <w:r>
          <w:rPr>
            <w:color w:val="0A3A8C"/>
            <w:u w:val="single"/>
          </w:rPr>
          <w:t xml:space="preserve">§ 10</w:t>
        </w:r>
      </w:hyperlink>
      <w:r>
        <w:t xml:space="preserve"> Absatz 1 Nummer 3 Satz 1 unter den Voraussetzungen des </w:t>
      </w:r>
      <w:hyperlink w:anchor="b51" w:history="1">
        <w:r>
          <w:rPr>
            <w:color w:val="0A3A8C"/>
            <w:u w:val="single"/>
          </w:rPr>
          <w:t xml:space="preserve">§ 10</w:t>
        </w:r>
      </w:hyperlink>
      <w:r>
        <w:t xml:space="preserve"> Absatz 2, wenn die Beiträge an Versicherungsunternehmen oder Sozialversicherungsträger geleistet werden, die ihren Sitz oder ihre Geschäftsleitung nicht im Inland haben,</w:t>
      </w:r>
    </w:p>
    <w:p>
      <w:pPr>
        <w:tabs>
          <w:tab w:pos="567" w:val="left"/>
        </w:tabs>
        <w:ind w:left="567" w:hanging="567"/>
      </w:pPr>
      <w:r>
        <w:t>2.</w:t>
      </w:r>
      <w:r>
        <w:tab/>
      </w:r>
      <w:r>
        <w:t xml:space="preserve">Sonderausgaben im Sinne des </w:t>
      </w:r>
      <w:hyperlink w:anchor="b51" w:history="1">
        <w:r>
          <w:rPr>
            <w:color w:val="0A3A8C"/>
            <w:u w:val="single"/>
          </w:rPr>
          <w:t xml:space="preserve">§ 10</w:t>
        </w:r>
      </w:hyperlink>
      <w:r>
        <w:t xml:space="preserve"> Absatz 1 Nummer 4, 5, 7 und 9 sowie Absatz 1a und des </w:t>
      </w:r>
      <w:hyperlink w:anchor="b53" w:history="1">
        <w:r>
          <w:rPr>
            <w:color w:val="0A3A8C"/>
            <w:u w:val="single"/>
          </w:rPr>
          <w:t xml:space="preserve">§ 10b</w:t>
        </w:r>
      </w:hyperlink>
      <w:r>
        <w:t>, soweit sie den Sonderausgaben-Pauschbetrag von 36 Euro übersteigen,</w:t>
      </w:r>
    </w:p>
    <w:p>
      <w:pPr>
        <w:tabs>
          <w:tab w:pos="567" w:val="left"/>
        </w:tabs>
        <w:ind w:left="567" w:hanging="567"/>
      </w:pPr>
      <w:r>
        <w:t>3.</w:t>
      </w:r>
      <w:r>
        <w:tab/>
      </w:r>
      <w:r>
        <w:t xml:space="preserve">der Betrag, der nach den </w:t>
      </w:r>
      <w:hyperlink w:anchor="b112" w:history="1">
        <w:r>
          <w:rPr>
            <w:color w:val="0A3A8C"/>
            <w:u w:val="single"/>
          </w:rPr>
          <w:t xml:space="preserve">§§ 33</w:t>
        </w:r>
      </w:hyperlink>
      <w:r>
        <w:t xml:space="preserve">, </w:t>
      </w:r>
      <w:hyperlink w:anchor="b113" w:history="1">
        <w:r>
          <w:rPr>
            <w:color w:val="0A3A8C"/>
            <w:u w:val="single"/>
          </w:rPr>
          <w:t xml:space="preserve">33a</w:t>
        </w:r>
      </w:hyperlink>
      <w:r>
        <w:t xml:space="preserve"> und </w:t>
      </w:r>
      <w:hyperlink w:anchor="b114" w:history="1">
        <w:r>
          <w:rPr>
            <w:color w:val="0A3A8C"/>
            <w:u w:val="single"/>
          </w:rPr>
          <w:t xml:space="preserve">33b</w:t>
        </w:r>
      </w:hyperlink>
      <w:r>
        <w:t xml:space="preserve"> Absatz 6 wegen außergewöhnlicher Belastungen zu gewähren ist,</w:t>
      </w:r>
    </w:p>
    <w:p>
      <w:pPr>
        <w:tabs>
          <w:tab w:pos="567" w:val="left"/>
        </w:tabs>
        <w:ind w:left="567" w:hanging="567"/>
      </w:pPr>
      <w:r>
        <w:t>4.</w:t>
      </w:r>
      <w:r>
        <w:tab/>
      </w:r>
      <w:r>
        <w:t>die Pauschbeträge für Menschen mit Behinderungen und Hinterbliebene (</w:t>
      </w:r>
      <w:hyperlink w:anchor="b114" w:history="1">
        <w:r>
          <w:rPr>
            <w:color w:val="0A3A8C"/>
            <w:u w:val="single"/>
          </w:rPr>
          <w:t xml:space="preserve">§ 33b</w:t>
        </w:r>
      </w:hyperlink>
      <w:r>
        <w:t xml:space="preserve"> Absatz 1 bis 5),</w:t>
      </w:r>
    </w:p>
    <w:p>
      <w:pPr>
        <w:tabs>
          <w:tab w:pos="567" w:val="left"/>
        </w:tabs>
        <w:ind w:left="567" w:hanging="567"/>
      </w:pPr>
      <w:r>
        <w:t>4a.</w:t>
      </w:r>
      <w:r>
        <w:tab/>
      </w:r>
      <w:r>
        <w:t xml:space="preserve">der Erhöhungsbetrag nach </w:t>
      </w:r>
      <w:hyperlink w:anchor="b96" w:history="1">
        <w:r>
          <w:rPr>
            <w:color w:val="0A3A8C"/>
            <w:u w:val="single"/>
          </w:rPr>
          <w:t xml:space="preserve">§ 24b</w:t>
        </w:r>
      </w:hyperlink>
      <w:r>
        <w:t xml:space="preserve"> Absatz 2 Satz 2,</w:t>
      </w:r>
    </w:p>
    <w:p>
      <w:pPr>
        <w:tabs>
          <w:tab w:pos="567" w:val="left"/>
        </w:tabs>
        <w:ind w:left="567" w:hanging="567"/>
      </w:pPr>
      <w:r>
        <w:t>5.</w:t>
      </w:r>
      <w:r>
        <w:tab/>
      </w:r>
      <w:r>
        <w:t xml:space="preserve">die folgenden Beträge, wie sie nach </w:t>
      </w:r>
      <w:hyperlink w:anchor="b140" w:history="1">
        <w:r>
          <w:rPr>
            <w:color w:val="0A3A8C"/>
            <w:u w:val="single"/>
          </w:rPr>
          <w:t xml:space="preserve">§ 37</w:t>
        </w:r>
      </w:hyperlink>
      <w:r>
        <w:t xml:space="preserve"> Absatz 3 bei der Festsetzung von Einkommensteuer-Vorauszahlungen zu berücksichtigen sind:</w:t>
      </w:r>
    </w:p>
    <w:p>
      <w:pPr>
        <w:tabs>
          <w:tab w:pos="1134" w:val="left"/>
        </w:tabs>
        <w:ind w:left="1134" w:hanging="567"/>
      </w:pPr>
      <w:r>
        <w:t>a)</w:t>
      </w:r>
      <w:r>
        <w:tab/>
      </w:r>
      <w:r>
        <w:t xml:space="preserve">die Beträge, die nach </w:t>
      </w:r>
      <w:hyperlink w:anchor="b55" w:history="1">
        <w:r>
          <w:rPr>
            <w:color w:val="0A3A8C"/>
            <w:u w:val="single"/>
          </w:rPr>
          <w:t xml:space="preserve">§ 10d</w:t>
        </w:r>
      </w:hyperlink>
      <w:r>
        <w:t xml:space="preserve"> Absatz 2, </w:t>
      </w:r>
      <w:hyperlink w:anchor="b56" w:history="1">
        <w:r>
          <w:rPr>
            <w:color w:val="0A3A8C"/>
            <w:u w:val="single"/>
          </w:rPr>
          <w:t xml:space="preserve">§§ 10e</w:t>
        </w:r>
      </w:hyperlink>
      <w:r>
        <w:t xml:space="preserve">, </w:t>
      </w:r>
      <w:hyperlink w:anchor="b57" w:history="1">
        <w:r>
          <w:rPr>
            <w:color w:val="0A3A8C"/>
            <w:u w:val="single"/>
          </w:rPr>
          <w:t xml:space="preserve">10f</w:t>
        </w:r>
      </w:hyperlink>
      <w:r>
        <w:t xml:space="preserve">, </w:t>
      </w:r>
      <w:hyperlink w:anchor="b58" w:history="1">
        <w:r>
          <w:rPr>
            <w:color w:val="0A3A8C"/>
            <w:u w:val="single"/>
          </w:rPr>
          <w:t xml:space="preserve">10g</w:t>
        </w:r>
      </w:hyperlink>
      <w:r>
        <w:t xml:space="preserve">, </w:t>
      </w:r>
      <w:hyperlink w:anchor="b59" w:history="1">
        <w:r>
          <w:rPr>
            <w:color w:val="0A3A8C"/>
            <w:u w:val="single"/>
          </w:rPr>
          <w:t xml:space="preserve">10h</w:t>
        </w:r>
      </w:hyperlink>
      <w:r>
        <w:t xml:space="preserve">, </w:t>
      </w:r>
      <w:hyperlink w:anchor="b60" w:history="1">
        <w:r>
          <w:rPr>
            <w:color w:val="0A3A8C"/>
            <w:u w:val="single"/>
          </w:rPr>
          <w:t xml:space="preserve">10i</w:t>
        </w:r>
      </w:hyperlink>
      <w:r>
        <w:t>, nach § 15b des Berlinförderungsgesetzes abgezogen werden können,</w:t>
      </w:r>
    </w:p>
    <w:p>
      <w:pPr>
        <w:tabs>
          <w:tab w:pos="1134" w:val="left"/>
        </w:tabs>
        <w:ind w:left="1134" w:hanging="567"/>
      </w:pPr>
      <w:r>
        <w:t>b)</w:t>
      </w:r>
      <w:r>
        <w:tab/>
      </w:r>
      <w:r>
        <w:t xml:space="preserve">die negative Summe der Einkünfte im Sinne des </w:t>
      </w:r>
      <w:hyperlink w:anchor="b5" w:history="1">
        <w:r>
          <w:rPr>
            <w:color w:val="0A3A8C"/>
            <w:u w:val="single"/>
          </w:rPr>
          <w:t xml:space="preserve">§ 2</w:t>
        </w:r>
      </w:hyperlink>
      <w:r>
        <w:t xml:space="preserve"> Absatz 1 Satz 1 Nummer 1 bis 3, 6 und 7 und der negativen Einkünfte im Sinne des </w:t>
      </w:r>
      <w:hyperlink w:anchor="b5" w:history="1">
        <w:r>
          <w:rPr>
            <w:color w:val="0A3A8C"/>
            <w:u w:val="single"/>
          </w:rPr>
          <w:t xml:space="preserve">§ 2</w:t>
        </w:r>
      </w:hyperlink>
      <w:r>
        <w:t xml:space="preserve"> Absatz 1 Satz 1 Nummer 5,</w:t>
      </w:r>
    </w:p>
    <w:p>
      <w:pPr>
        <w:tabs>
          <w:tab w:pos="1134" w:val="left"/>
        </w:tabs>
        <w:ind w:left="1134" w:hanging="567"/>
      </w:pPr>
      <w:r>
        <w:t>c)</w:t>
      </w:r>
      <w:r>
        <w:tab/>
      </w:r>
      <w:r>
        <w:t xml:space="preserve">das Vierfache der Steuerermäßigung nach den </w:t>
      </w:r>
      <w:hyperlink w:anchor="b125" w:history="1">
        <w:r>
          <w:rPr>
            <w:color w:val="0A3A8C"/>
            <w:u w:val="single"/>
          </w:rPr>
          <w:t xml:space="preserve">§§ 34f</w:t>
        </w:r>
      </w:hyperlink>
      <w:r>
        <w:t xml:space="preserve">, </w:t>
      </w:r>
      <w:hyperlink w:anchor="b131" w:history="1">
        <w:r>
          <w:rPr>
            <w:color w:val="0A3A8C"/>
            <w:u w:val="single"/>
          </w:rPr>
          <w:t xml:space="preserve">35a</w:t>
        </w:r>
      </w:hyperlink>
      <w:r>
        <w:t xml:space="preserve"> und </w:t>
      </w:r>
      <w:hyperlink w:anchor="b135" w:history="1">
        <w:r>
          <w:rPr>
            <w:color w:val="0A3A8C"/>
            <w:u w:val="single"/>
          </w:rPr>
          <w:t xml:space="preserve">35c</w:t>
        </w:r>
      </w:hyperlink>
      <w:r>
        <w:t>,</w:t>
      </w:r>
    </w:p>
    <w:p>
      <w:pPr>
        <w:tabs>
          <w:tab w:pos="567" w:val="left"/>
        </w:tabs>
        <w:ind w:left="567" w:hanging="567"/>
      </w:pPr>
      <w:r>
        <w:t>6.</w:t>
      </w:r>
      <w:r>
        <w:tab/>
      </w:r>
      <w:r>
        <w:t xml:space="preserve">die Freibeträge nach </w:t>
      </w:r>
      <w:hyperlink w:anchor="b107" w:history="1">
        <w:r>
          <w:rPr>
            <w:color w:val="0A3A8C"/>
            <w:u w:val="single"/>
          </w:rPr>
          <w:t xml:space="preserve">§ 32</w:t>
        </w:r>
      </w:hyperlink>
      <w:r>
        <w:t xml:space="preserve"> Absatz 6 für jedes Kind im Sinne des </w:t>
      </w:r>
      <w:hyperlink w:anchor="b107" w:history="1">
        <w:r>
          <w:rPr>
            <w:color w:val="0A3A8C"/>
            <w:u w:val="single"/>
          </w:rPr>
          <w:t xml:space="preserve">§ 32</w:t>
        </w:r>
      </w:hyperlink>
      <w:r>
        <w:t xml:space="preserve"> Absatz 1 bis 4, für das kein Anspruch auf Kindergeld besteht. </w:t>
      </w:r>
      <w:r>
        <w:rPr>
          <w:rStyle w:val="Satznummer"/>
        </w:rPr>
        <w:t>2</w:t>
      </w:r>
      <w:r>
        <w:t xml:space="preserve">Soweit für diese Kinder Kinderfreibeträge nach </w:t>
      </w:r>
      <w:hyperlink w:anchor="b146" w:history="1">
        <w:r>
          <w:rPr>
            <w:color w:val="0A3A8C"/>
            <w:u w:val="single"/>
          </w:rPr>
          <w:t xml:space="preserve">§ 38b</w:t>
        </w:r>
      </w:hyperlink>
      <w:r>
        <w:t xml:space="preserve"> Absatz 2 berücksichtigt worden sind, ist die Zahl der Kinderfreibeträge entsprechend zu vermindern. </w:t>
      </w:r>
      <w:r>
        <w:rPr>
          <w:rStyle w:val="Satznummer"/>
        </w:rPr>
        <w:t>3</w:t>
      </w:r>
      <w:r>
        <w:t xml:space="preserve">Der Arbeitnehmer ist verpflichtet, den nach Satz 1 ermittelten Freibetrag ändern zu lassen, wenn für das Kind ein Kinderfreibetrag nach </w:t>
      </w:r>
      <w:hyperlink w:anchor="b146" w:history="1">
        <w:r>
          <w:rPr>
            <w:color w:val="0A3A8C"/>
            <w:u w:val="single"/>
          </w:rPr>
          <w:t xml:space="preserve">§ 38b</w:t>
        </w:r>
      </w:hyperlink>
      <w:r>
        <w:t xml:space="preserve"> Absatz 2 berücksichtigt wird,</w:t>
      </w:r>
    </w:p>
    <w:p>
      <w:pPr>
        <w:tabs>
          <w:tab w:pos="567" w:val="left"/>
        </w:tabs>
        <w:ind w:left="567" w:hanging="567"/>
      </w:pPr>
      <w:r>
        <w:t>7.</w:t>
      </w:r>
      <w:r>
        <w:tab/>
      </w:r>
      <w:r>
        <w:t>ein Betrag für ein zweites oder ein weiteres Dienstverhältnis insgesamt bis zur Höhe der Summe aus dem Grundfreibetrag (</w:t>
      </w:r>
      <w:hyperlink w:anchor="b108" w:history="1">
        <w:r>
          <w:rPr>
            <w:color w:val="0A3A8C"/>
            <w:u w:val="single"/>
          </w:rPr>
          <w:t xml:space="preserve">§ 32a</w:t>
        </w:r>
      </w:hyperlink>
      <w:r>
        <w:t xml:space="preserve"> Absatz 1 Satz 2 Nummer 1), dem Arbeitnehmer-Pauschbetrag (§ 9a Satz 1 Nummer 1 Buchstabe a) und dem Sonderausgaben-Pauschbetrag (</w:t>
      </w:r>
      <w:hyperlink w:anchor="b54" w:history="1">
        <w:r>
          <w:rPr>
            <w:color w:val="0A3A8C"/>
            <w:u w:val="single"/>
          </w:rPr>
          <w:t xml:space="preserve">§ 10c</w:t>
        </w:r>
      </w:hyperlink>
      <w:r>
        <w:t xml:space="preserve"> Satz 1), wenn im ersten Dienstverhältnis die Steuerklasse I oder IV maßgeblich ist, sowie zusätzlich dem Entlastungsbetrag für Alleinerziehende (</w:t>
      </w:r>
      <w:hyperlink w:anchor="b96" w:history="1">
        <w:r>
          <w:rPr>
            <w:color w:val="0A3A8C"/>
            <w:u w:val="single"/>
          </w:rPr>
          <w:t xml:space="preserve">§ 24b</w:t>
        </w:r>
      </w:hyperlink>
      <w:r>
        <w:t xml:space="preserve"> Absatz 2 Satz 1), wenn im ersten Dienstverhältnis die Steuerklasse II maßgeblich ist; ist im ersten Dienstverhältnis die Steuerklasse III maßgeblich, sind der doppelte Grundfreibetrag, der Arbeitnehmer-Pauschbetrag und der Sonderausgaben-Pauschbetrag anzusetzen; ist im ersten Dienstverhältnis die Steuerklasse V maßgeblich, sind der Arbeitnehmer-Pauschbetrag und der Sonderausgaben-Pauschbetrag anzusetzen. </w:t>
      </w:r>
      <w:r>
        <w:rPr>
          <w:rStyle w:val="Satznummer"/>
        </w:rPr>
        <w:t>2</w:t>
      </w:r>
      <w:r>
        <w:t>Voraussetzung ist, dass</w:t>
      </w:r>
    </w:p>
    <w:p>
      <w:pPr>
        <w:tabs>
          <w:tab w:pos="1134" w:val="left"/>
        </w:tabs>
        <w:ind w:left="1134" w:hanging="567"/>
      </w:pPr>
      <w:r>
        <w:t>a)</w:t>
      </w:r>
      <w:r>
        <w:tab/>
      </w:r>
      <w:r>
        <w:t>der Jahresarbeitslohn aus dem ersten Dienstverhältnis geringer ist als der nach Satz 1 maßgebende Betrag und</w:t>
      </w:r>
    </w:p>
    <w:p>
      <w:pPr>
        <w:tabs>
          <w:tab w:pos="1134" w:val="left"/>
        </w:tabs>
        <w:ind w:left="1134" w:hanging="567"/>
      </w:pPr>
      <w:r>
        <w:t>b)</w:t>
      </w:r>
      <w:r>
        <w:tab/>
      </w:r>
      <w:r>
        <w:t>in Höhe des Betrags für ein zweites oder ein weiteres Dienstverhältnis zugleich für das erste Dienstverhältnis ein Betrag ermittelt wird, der dem Arbeitslohn hinzuzurechnen ist (Hinzurechnungsbetrag).</w:t>
      </w:r>
    </w:p>
    <w:p>
      <w:pPr>
        <w:ind w:left="567"/>
      </w:pPr>
      <w:r>
        <w:rPr>
          <w:rStyle w:val="Satznummer"/>
        </w:rPr>
        <w:t>3</w:t>
      </w:r>
      <w:r>
        <w:t xml:space="preserve">Soll für das erste Dienstverhältnis auch ein Freibetrag nach den Nummern 1 bis 6, 8 und 9 ermittelt werden, ist nur der diesen Freibetrag übersteigende Betrag als Hinzurechnungsbetrag zu berücksichtigen. </w:t>
      </w:r>
      <w:r>
        <w:rPr>
          <w:rStyle w:val="Satznummer"/>
        </w:rPr>
        <w:t>4</w:t>
      </w:r>
      <w:r>
        <w:t>Ist der Freibetrag höher als der Hinzurechnungsbetrag, ist nur der den Hinzurechnungsbetrag übersteigende Freibetrag zu berücksichtigen,</w:t>
      </w:r>
    </w:p>
    <w:p>
      <w:pPr>
        <w:tabs>
          <w:tab w:pos="567" w:val="left"/>
        </w:tabs>
        <w:ind w:left="567" w:hanging="567"/>
      </w:pPr>
      <w:r>
        <w:t>8.</w:t>
      </w:r>
      <w:r>
        <w:tab/>
      </w:r>
      <w:r>
        <w:t>der Entlastungsbetrag für Alleinerziehende (</w:t>
      </w:r>
      <w:hyperlink w:anchor="b96" w:history="1">
        <w:r>
          <w:rPr>
            <w:color w:val="0A3A8C"/>
            <w:u w:val="single"/>
          </w:rPr>
          <w:t xml:space="preserve">§ 24b</w:t>
        </w:r>
      </w:hyperlink>
      <w:r>
        <w:t>) bei Verwitweten, die nicht in Steuerklasse II gehören,</w:t>
      </w:r>
    </w:p>
    <w:p>
      <w:pPr>
        <w:tabs>
          <w:tab w:pos="567" w:val="left"/>
        </w:tabs>
        <w:ind w:left="567" w:hanging="567"/>
      </w:pPr>
      <w:r>
        <w:t>9.</w:t>
      </w:r>
      <w:r>
        <w:tab/>
      </w:r>
      <w:r>
        <w:t>der anteilige Entlastungsbetrag für Alleinerziehende (</w:t>
      </w:r>
      <w:hyperlink w:anchor="b96" w:history="1">
        <w:r>
          <w:rPr>
            <w:color w:val="0A3A8C"/>
            <w:u w:val="single"/>
          </w:rPr>
          <w:t xml:space="preserve">§ 24b</w:t>
        </w:r>
      </w:hyperlink>
      <w:r>
        <w:t xml:space="preserve"> Absatz 4) bei dauerndem Getrenntleben der Ehegatten, ab dem Monat der Trennung bis zum Ende des Kalenderjahres und soweit die übrigen Voraussetzungen des </w:t>
      </w:r>
      <w:hyperlink w:anchor="b96" w:history="1">
        <w:r>
          <w:rPr>
            <w:color w:val="0A3A8C"/>
            <w:u w:val="single"/>
          </w:rPr>
          <w:t xml:space="preserve">§ 24b</w:t>
        </w:r>
      </w:hyperlink>
      <w:r>
        <w:t xml:space="preserve"> erfüllt sind.</w:t>
      </w:r>
    </w:p>
    <w:p>
      <w:r>
        <w:rPr>
          <w:rStyle w:val="Satznummer"/>
        </w:rPr>
        <w:t>2</w:t>
      </w:r>
      <w:r>
        <w:t xml:space="preserve">Der insgesamt abzuziehende Freibetrag und der Hinzurechnungsbetrag gelten mit Ausnahme von Satz 1 Nummer 4 und vorbehaltlich der Sätze 3 bis 5 für die gesamte Dauer eines Kalenderjahres. </w:t>
      </w:r>
      <w:r>
        <w:rPr>
          <w:rStyle w:val="Satznummer"/>
        </w:rPr>
        <w:t>3</w:t>
      </w:r>
      <w:r>
        <w:t xml:space="preserve">Die Summe der nach Satz 1 Nummer 1 bis 3 sowie 4a bis 9 ermittelten Beträge wird längstens für einen Zeitraum von zwei Kalenderjahren ab Beginn des Kalenderjahres, für das der Freibetrag erstmals gilt oder geändert wird, berücksichtigt. </w:t>
      </w:r>
      <w:r>
        <w:rPr>
          <w:rStyle w:val="Satznummer"/>
        </w:rPr>
        <w:t>4</w:t>
      </w:r>
      <w:r>
        <w:t xml:space="preserve">Der Arbeitnehmer kann eine Änderung des Freibetrags innerhalb dieses Zeitraums beantragen, wenn sich die Verhältnisse zu seinen Gunsten ändern. </w:t>
      </w:r>
      <w:r>
        <w:rPr>
          <w:rStyle w:val="Satznummer"/>
        </w:rPr>
        <w:t>5</w:t>
      </w:r>
      <w:r>
        <w:t>Ändern sich die Verhältnisse zu seinen Ungunsten, ist er verpflichtet, dies dem Finanzamt umgehend anzuzeigen.</w:t>
      </w:r>
    </w:p>
    <w:p>
      <w:r>
        <w:t xml:space="preserve">(2) </w:t>
      </w:r>
      <w:r>
        <w:rPr>
          <w:rStyle w:val="Satznummer"/>
        </w:rPr>
        <w:t>1</w:t>
      </w:r>
      <w:r>
        <w:t xml:space="preserve">Der Antrag nach Absatz 1 ist nach amtlich vorgeschriebenem Vordruck zu stellen und vom Arbeitnehmer eigenhändig zu unterschreiben. </w:t>
      </w:r>
      <w:r>
        <w:rPr>
          <w:rStyle w:val="Satznummer"/>
        </w:rPr>
        <w:t>2</w:t>
      </w:r>
      <w:r>
        <w:t xml:space="preserve">Die Frist für die Antragstellung beginnt am 1. November des Vorjahres, für das der Freibetrag gelten soll. </w:t>
      </w:r>
      <w:r>
        <w:rPr>
          <w:rStyle w:val="Satznummer"/>
        </w:rPr>
        <w:t>3</w:t>
      </w:r>
      <w:r>
        <w:t xml:space="preserve">Sie endet am 30. November des Kalenderjahres, in dem der Freibetrag gilt. </w:t>
      </w:r>
      <w:r>
        <w:rPr>
          <w:rStyle w:val="Satznummer"/>
        </w:rPr>
        <w:t>4</w:t>
      </w:r>
      <w:r>
        <w:t xml:space="preserve">Der Antrag ist hinsichtlich eines Freibetrags aus der Summe der nach Absatz 1 Satz 1 Nummer 1 bis 3, 8 und 9 in Betracht kommenden Aufwendungen und Beträge unzulässig, wenn die Aufwendungen im Sinne des </w:t>
      </w:r>
      <w:hyperlink w:anchor="b46" w:history="1">
        <w:r>
          <w:rPr>
            <w:color w:val="0A3A8C"/>
            <w:u w:val="single"/>
          </w:rPr>
          <w:t xml:space="preserve">§ 9</w:t>
        </w:r>
      </w:hyperlink>
      <w:r>
        <w:t xml:space="preserve">, soweit sie den Arbeitnehmer-Pauschbetrag übersteigen, die Aufwendungen im Sinne des </w:t>
      </w:r>
      <w:hyperlink w:anchor="b51" w:history="1">
        <w:r>
          <w:rPr>
            <w:color w:val="0A3A8C"/>
            <w:u w:val="single"/>
          </w:rPr>
          <w:t xml:space="preserve">§ 10</w:t>
        </w:r>
      </w:hyperlink>
      <w:r>
        <w:t xml:space="preserve"> Absatz 1 Nummer 3 Satz 1, Nummer 4, 5, 7 und 9 sowie Absatz 1a, der </w:t>
      </w:r>
      <w:hyperlink w:anchor="b53" w:history="1">
        <w:r>
          <w:rPr>
            <w:color w:val="0A3A8C"/>
            <w:u w:val="single"/>
          </w:rPr>
          <w:t xml:space="preserve">§§ 10b</w:t>
        </w:r>
      </w:hyperlink>
      <w:r>
        <w:t xml:space="preserve"> und </w:t>
      </w:r>
      <w:hyperlink w:anchor="b112" w:history="1">
        <w:r>
          <w:rPr>
            <w:color w:val="0A3A8C"/>
            <w:u w:val="single"/>
          </w:rPr>
          <w:t xml:space="preserve">33</w:t>
        </w:r>
      </w:hyperlink>
      <w:r>
        <w:t xml:space="preserve"> sowie die abziehbaren Beträge nach den </w:t>
      </w:r>
      <w:hyperlink w:anchor="b96" w:history="1">
        <w:r>
          <w:rPr>
            <w:color w:val="0A3A8C"/>
            <w:u w:val="single"/>
          </w:rPr>
          <w:t xml:space="preserve">§§ 24b</w:t>
        </w:r>
      </w:hyperlink>
      <w:r>
        <w:t xml:space="preserve">, </w:t>
      </w:r>
      <w:hyperlink w:anchor="b113" w:history="1">
        <w:r>
          <w:rPr>
            <w:color w:val="0A3A8C"/>
            <w:u w:val="single"/>
          </w:rPr>
          <w:t xml:space="preserve">33a</w:t>
        </w:r>
      </w:hyperlink>
      <w:r>
        <w:t xml:space="preserve"> und </w:t>
      </w:r>
      <w:hyperlink w:anchor="b114" w:history="1">
        <w:r>
          <w:rPr>
            <w:color w:val="0A3A8C"/>
            <w:u w:val="single"/>
          </w:rPr>
          <w:t xml:space="preserve">33b</w:t>
        </w:r>
      </w:hyperlink>
      <w:r>
        <w:t xml:space="preserve"> Absatz 6 insgesamt 600 Euro nicht übersteigen. </w:t>
      </w:r>
      <w:r>
        <w:rPr>
          <w:rStyle w:val="Satznummer"/>
        </w:rPr>
        <w:t>5</w:t>
      </w:r>
      <w:r>
        <w:t>Das Finanzamt kann auf nähere Angaben des Arbeitnehmers verzichten, wenn er</w:t>
      </w:r>
    </w:p>
    <w:p>
      <w:pPr>
        <w:tabs>
          <w:tab w:pos="567" w:val="left"/>
        </w:tabs>
        <w:ind w:left="567" w:hanging="567"/>
      </w:pPr>
      <w:r>
        <w:t>1.</w:t>
      </w:r>
      <w:r>
        <w:tab/>
      </w:r>
      <w:r>
        <w:t>höchstens den Freibetrag beantragt, der für das vorangegangene Kalenderjahr ermittelt wurde, und</w:t>
      </w:r>
    </w:p>
    <w:p>
      <w:pPr>
        <w:tabs>
          <w:tab w:pos="567" w:val="left"/>
        </w:tabs>
        <w:ind w:left="567" w:hanging="567"/>
      </w:pPr>
      <w:r>
        <w:t>2.</w:t>
      </w:r>
      <w:r>
        <w:tab/>
      </w:r>
      <w:r>
        <w:t>versichert, dass sich die maßgebenden Verhältnisse nicht wesentlich geändert haben.</w:t>
      </w:r>
    </w:p>
    <w:p>
      <w:r>
        <w:rPr>
          <w:rStyle w:val="Satznummer"/>
        </w:rPr>
        <w:t>6</w:t>
      </w:r>
      <w:r>
        <w:t xml:space="preserve">Das Finanzamt hat den Freibetrag durch Aufteilung in Monatsfreibeträge, falls erforderlich in Wochen- und Tagesfreibeträge, jeweils auf die der Antragstellung folgenden Monate des Kalenderjahres gleichmäßig zu verteilen. </w:t>
      </w:r>
      <w:r>
        <w:rPr>
          <w:rStyle w:val="Satznummer"/>
        </w:rPr>
        <w:t>7</w:t>
      </w:r>
      <w:r>
        <w:t xml:space="preserve">Abweichend hiervon darf ein Freibetrag, der im Monat Januar eines Kalenderjahres beantragt wird, mit Wirkung vom 1. Januar dieses Kalenderjahres an berücksichtigt werden. </w:t>
      </w:r>
      <w:r>
        <w:rPr>
          <w:rStyle w:val="Satznummer"/>
        </w:rPr>
        <w:t>8</w:t>
      </w:r>
      <w:r>
        <w:t xml:space="preserve">Ist der Arbeitnehmer beschränkt einkommensteuerpflichtig, hat das Finanzamt den nach Absatz 4 ermittelten Freibetrag durch Aufteilung in Monatsbeträge, falls erforderlich in Wochen und Tagesbeträge, jeweils auf die voraussichtliche Dauer des Dienstverhältnisses im Kalenderjahr gleichmäßig zu verteilen. </w:t>
      </w:r>
      <w:r>
        <w:rPr>
          <w:rStyle w:val="Satznummer"/>
        </w:rPr>
        <w:t>9</w:t>
      </w:r>
      <w:r>
        <w:t>Die Sätze 5 bis 8 gelten für den Hinzurechnungsbetrag nach Absatz 1 Satz 1 Nummer 7 entsprechend.</w:t>
      </w:r>
    </w:p>
    <w:p>
      <w:r>
        <w:t xml:space="preserve">(3) </w:t>
      </w:r>
      <w:r>
        <w:rPr>
          <w:rStyle w:val="Satznummer"/>
        </w:rPr>
        <w:t>1</w:t>
      </w:r>
      <w:r>
        <w:t xml:space="preserve">Für Ehegatten, die beide unbeschränkt einkommensteuerpflichtig sind und nicht dauernd getrennt leben, ist jeweils die Summe der nach Absatz 1 Satz 1 Nummer 2 bis 4 und 5 in Betracht kommenden Beträge gemeinsam zu ermitteln; der in Absatz 1 Satz 1 Nummer 2 genannte Betrag ist zu verdoppeln. </w:t>
      </w:r>
      <w:r>
        <w:rPr>
          <w:rStyle w:val="Satznummer"/>
        </w:rPr>
        <w:t>2</w:t>
      </w:r>
      <w:r>
        <w:t xml:space="preserve">Für die Anwendung des Absatzes 2 Satz 4 ist die Summe der für beide Ehegatten in Betracht kommenden Aufwendungen im Sinne des </w:t>
      </w:r>
      <w:hyperlink w:anchor="b46" w:history="1">
        <w:r>
          <w:rPr>
            <w:color w:val="0A3A8C"/>
            <w:u w:val="single"/>
          </w:rPr>
          <w:t xml:space="preserve">§ 9</w:t>
        </w:r>
      </w:hyperlink>
      <w:r>
        <w:t xml:space="preserve">, soweit sie jeweils den Arbeitnehmer-Pauschbetrag übersteigen, und der Aufwendungen im Sinne des </w:t>
      </w:r>
      <w:hyperlink w:anchor="b51" w:history="1">
        <w:r>
          <w:rPr>
            <w:color w:val="0A3A8C"/>
            <w:u w:val="single"/>
          </w:rPr>
          <w:t xml:space="preserve">§ 10</w:t>
        </w:r>
      </w:hyperlink>
      <w:r>
        <w:t xml:space="preserve"> Absatz 1 Nummer 3 Satz 1, Nummer 4, 5, 7 und 9 sowie Absatz 1a, der </w:t>
      </w:r>
      <w:hyperlink w:anchor="b53" w:history="1">
        <w:r>
          <w:rPr>
            <w:color w:val="0A3A8C"/>
            <w:u w:val="single"/>
          </w:rPr>
          <w:t xml:space="preserve">§§ 10b</w:t>
        </w:r>
      </w:hyperlink>
      <w:r>
        <w:t xml:space="preserve"> und </w:t>
      </w:r>
      <w:hyperlink w:anchor="b112" w:history="1">
        <w:r>
          <w:rPr>
            <w:color w:val="0A3A8C"/>
            <w:u w:val="single"/>
          </w:rPr>
          <w:t xml:space="preserve">33</w:t>
        </w:r>
      </w:hyperlink>
      <w:r>
        <w:t xml:space="preserve"> sowie der abziehbaren Beträge nach den </w:t>
      </w:r>
      <w:hyperlink w:anchor="b96" w:history="1">
        <w:r>
          <w:rPr>
            <w:color w:val="0A3A8C"/>
            <w:u w:val="single"/>
          </w:rPr>
          <w:t xml:space="preserve">§§ 24b</w:t>
        </w:r>
      </w:hyperlink>
      <w:r>
        <w:t xml:space="preserve">, </w:t>
      </w:r>
      <w:hyperlink w:anchor="b113" w:history="1">
        <w:r>
          <w:rPr>
            <w:color w:val="0A3A8C"/>
            <w:u w:val="single"/>
          </w:rPr>
          <w:t xml:space="preserve">33a</w:t>
        </w:r>
      </w:hyperlink>
      <w:r>
        <w:t xml:space="preserve"> und </w:t>
      </w:r>
      <w:hyperlink w:anchor="b114" w:history="1">
        <w:r>
          <w:rPr>
            <w:color w:val="0A3A8C"/>
            <w:u w:val="single"/>
          </w:rPr>
          <w:t xml:space="preserve">33b</w:t>
        </w:r>
      </w:hyperlink>
      <w:r>
        <w:t xml:space="preserve"> Absatz 6 maßgebend. </w:t>
      </w:r>
      <w:r>
        <w:rPr>
          <w:rStyle w:val="Satznummer"/>
        </w:rPr>
        <w:t>3</w:t>
      </w:r>
      <w:r>
        <w:t xml:space="preserve">Die nach Satz 1 ermittelte Summe ist je zur Hälfte auf die Ehegatten aufzuteilen, wenn für jeden Ehegatten Lohnsteuerabzugsmerkmale gebildet werden und die Ehegatten keine andere Aufteilung beantragen. </w:t>
      </w:r>
      <w:r>
        <w:rPr>
          <w:rStyle w:val="Satznummer"/>
        </w:rPr>
        <w:t>4</w:t>
      </w:r>
      <w:r>
        <w:t xml:space="preserve">Für eine andere Aufteilung gilt Absatz 1 Satz 2 entsprechend. </w:t>
      </w:r>
      <w:r>
        <w:rPr>
          <w:rStyle w:val="Satznummer"/>
        </w:rPr>
        <w:t>5</w:t>
      </w:r>
      <w:r>
        <w:t xml:space="preserve">Für einen Arbeitnehmer, dessen Ehe in dem Kalenderjahr, für das der Freibetrag gilt, aufgelöst worden ist und dessen bisheriger Ehegatte in demselben Kalenderjahr wieder geheiratet hat, sind die nach Absatz 1 in Betracht kommenden Beträge ausschließlich auf Grund der in seiner Person erfüllten Voraussetzungen zu ermitteln. </w:t>
      </w:r>
      <w:r>
        <w:rPr>
          <w:rStyle w:val="Satznummer"/>
        </w:rPr>
        <w:t>6</w:t>
      </w:r>
      <w:r>
        <w:t xml:space="preserve">Satz 1 zweiter Halbsatz ist auch anzuwenden, wenn die tarifliche Einkommensteuer nach </w:t>
      </w:r>
      <w:hyperlink w:anchor="b108" w:history="1">
        <w:r>
          <w:rPr>
            <w:color w:val="0A3A8C"/>
            <w:u w:val="single"/>
          </w:rPr>
          <w:t xml:space="preserve">§ 32a</w:t>
        </w:r>
      </w:hyperlink>
      <w:r>
        <w:t xml:space="preserve"> Absatz 6 zu ermitteln ist.</w:t>
      </w:r>
    </w:p>
    <w:p>
      <w:r>
        <w:t xml:space="preserve">(4) </w:t>
      </w:r>
      <w:r>
        <w:rPr>
          <w:rStyle w:val="Satznummer"/>
        </w:rPr>
        <w:t>1</w:t>
      </w:r>
      <w:r>
        <w:t xml:space="preserve">Für einen beschränkt einkommensteuerpflichtigen Arbeitnehmer, für den </w:t>
      </w:r>
      <w:hyperlink w:anchor="b192" w:history="1">
        <w:r>
          <w:rPr>
            <w:color w:val="0A3A8C"/>
            <w:u w:val="single"/>
          </w:rPr>
          <w:t xml:space="preserve">§ 50</w:t>
        </w:r>
      </w:hyperlink>
      <w:r>
        <w:t xml:space="preserve"> Absatz 1 Satz 5 anzuwenden ist, ermittelt das Finanzamt auf Antrag einen Freibetrag, der vom Arbeitslohn insgesamt abzuziehen ist, aus der Summe der folgenden Beträge:</w:t>
      </w:r>
    </w:p>
    <w:p>
      <w:pPr>
        <w:tabs>
          <w:tab w:pos="567" w:val="left"/>
        </w:tabs>
        <w:ind w:left="567" w:hanging="567"/>
      </w:pPr>
      <w:r>
        <w:t>1.</w:t>
      </w:r>
      <w:r>
        <w:tab/>
      </w:r>
      <w:r>
        <w:t>Werbungskosten, die bei den Einkünften aus nichtselbständiger Arbeit anfallen, soweit sie den Arbeitnehmer-Pauschbetrag (§ 9a Satz 1 Nummer 1 Buchstabe a) oder bei Versorgungsbezügen den Pauschbetrag (§ 9a Satz 1 Nummer 1 Buchstabe b) übersteigen,</w:t>
      </w:r>
    </w:p>
    <w:p>
      <w:pPr>
        <w:tabs>
          <w:tab w:pos="567" w:val="left"/>
        </w:tabs>
        <w:ind w:left="567" w:hanging="567"/>
      </w:pPr>
      <w:r>
        <w:t>1a.</w:t>
      </w:r>
      <w:r>
        <w:tab/>
      </w:r>
      <w:r>
        <w:t xml:space="preserve">Sonderausgaben im Sinne des </w:t>
      </w:r>
      <w:hyperlink w:anchor="b51" w:history="1">
        <w:r>
          <w:rPr>
            <w:color w:val="0A3A8C"/>
            <w:u w:val="single"/>
          </w:rPr>
          <w:t xml:space="preserve">§ 10</w:t>
        </w:r>
      </w:hyperlink>
      <w:r>
        <w:t xml:space="preserve"> Absatz 1 Nummer 3 Satz 1 unter den Voraussetzungen des </w:t>
      </w:r>
      <w:hyperlink w:anchor="b51" w:history="1">
        <w:r>
          <w:rPr>
            <w:color w:val="0A3A8C"/>
            <w:u w:val="single"/>
          </w:rPr>
          <w:t xml:space="preserve">§ 10</w:t>
        </w:r>
      </w:hyperlink>
      <w:r>
        <w:t xml:space="preserve"> Absatz 2, wenn die Beiträge an Versicherungsunternehmen oder Sozialversicherungsträger geleistet werden, die ihren Sitz oder ihre Geschäftsleitung nicht im Inland haben,</w:t>
      </w:r>
    </w:p>
    <w:p>
      <w:pPr>
        <w:tabs>
          <w:tab w:pos="567" w:val="left"/>
        </w:tabs>
        <w:ind w:left="567" w:hanging="567"/>
      </w:pPr>
      <w:r>
        <w:t>2.</w:t>
      </w:r>
      <w:r>
        <w:tab/>
      </w:r>
      <w:r>
        <w:t xml:space="preserve">Sonderausgaben im Sinne des </w:t>
      </w:r>
      <w:hyperlink w:anchor="b53" w:history="1">
        <w:r>
          <w:rPr>
            <w:color w:val="0A3A8C"/>
            <w:u w:val="single"/>
          </w:rPr>
          <w:t xml:space="preserve">§ 10b</w:t>
        </w:r>
      </w:hyperlink>
      <w:r>
        <w:t>, soweit sie den Sonderausgaben-Pauschbetrag (</w:t>
      </w:r>
      <w:hyperlink w:anchor="b54" w:history="1">
        <w:r>
          <w:rPr>
            <w:color w:val="0A3A8C"/>
            <w:u w:val="single"/>
          </w:rPr>
          <w:t xml:space="preserve">§ 10c</w:t>
        </w:r>
      </w:hyperlink>
      <w:r>
        <w:t xml:space="preserve">) übersteigen, und die wie Sonderausgaben abziehbaren Beträge nach </w:t>
      </w:r>
      <w:hyperlink w:anchor="b56" w:history="1">
        <w:r>
          <w:rPr>
            <w:color w:val="0A3A8C"/>
            <w:u w:val="single"/>
          </w:rPr>
          <w:t xml:space="preserve">§ 10e</w:t>
        </w:r>
      </w:hyperlink>
      <w:r>
        <w:t xml:space="preserve"> oder </w:t>
      </w:r>
      <w:hyperlink w:anchor="b60" w:history="1">
        <w:r>
          <w:rPr>
            <w:color w:val="0A3A8C"/>
            <w:u w:val="single"/>
          </w:rPr>
          <w:t xml:space="preserve">§ 10i</w:t>
        </w:r>
      </w:hyperlink>
      <w:r>
        <w:t>, jedoch erst nach Fertigstellung oder Anschaffung des begünstigten Objekts oder nach Fertigstellung der begünstigten Maßnahme,</w:t>
      </w:r>
    </w:p>
    <w:p>
      <w:pPr>
        <w:tabs>
          <w:tab w:pos="567" w:val="left"/>
        </w:tabs>
        <w:ind w:left="567" w:hanging="567"/>
      </w:pPr>
      <w:r>
        <w:t>3.</w:t>
      </w:r>
      <w:r>
        <w:tab/>
      </w:r>
      <w:r>
        <w:t>den Freibetrag oder den Hinzurechnungsbetrag nach Absatz 1 Satz 1 Nummer 7.</w:t>
      </w:r>
    </w:p>
    <w:p>
      <w:r>
        <w:rPr>
          <w:rStyle w:val="Satznummer"/>
        </w:rPr>
        <w:t>2</w:t>
      </w:r>
      <w:r>
        <w:t>Der Antrag kann nur nach amtlich vorgeschriebenem Vordruck bis zum Ablauf des Kalenderjahres gestellt werden, für das die Lohnsteuerabzugsmerkmale gelten.</w:t>
      </w:r>
    </w:p>
    <w:p>
      <w:r>
        <w:t>(5) Ist zuwenig Lohnsteuer erhoben worden, weil ein Freibetrag unzutreffend als Lohnsteuerabzugsmerkmal ermittelt worden ist, hat das Finanzamt den Fehlbetrag vom Arbeitnehmer nachzufordern, wenn er 10 Euro übersteigt.</w:t>
      </w:r>
    </w:p>
    <w:p>
      <w:pPr>
        <w:pStyle w:val="Heading3"/>
      </w:pPr>
      <w:bookmarkStart w:id="150" w:name="b149"/>
      <w:r>
        <w:t>§ 39b Einbehaltung der Lohnsteuer</w:t>
      </w:r>
      <w:r>
        <w:t xml:space="preserve"> </w:t>
      </w:r>
      <w:r>
        <w:rPr>
          <w:rStyle w:val="Suchmarke"/>
        </w:rPr>
        <w:t>#39b#</w:t>
      </w:r>
      <w:bookmarkEnd w:id="150"/>
    </w:p>
    <w:p>
      <w:r>
        <w:t>(1) Bei unbeschränkt und beschränkt einkommensteuerpflichtigen Arbeitnehmern hat der Arbeitgeber den Lohnsteuerabzug nach Maßgabe der Absätze 2 bis 6 durchzuführen.</w:t>
      </w:r>
    </w:p>
    <w:p>
      <w:r>
        <w:t xml:space="preserve">(2) </w:t>
      </w:r>
      <w:r>
        <w:rPr>
          <w:rStyle w:val="Satznummer"/>
        </w:rPr>
        <w:t>1</w:t>
      </w:r>
      <w:r>
        <w:t xml:space="preserve">Für die Einbehaltung der Lohnsteuer vom laufenden Arbeitslohn hat der Arbeitgeber die Höhe des laufenden Arbeitslohns im Lohnzahlungszeitraum festzustellen und auf einen Jahresarbeitslohn hochzurechnen. </w:t>
      </w:r>
      <w:r>
        <w:rPr>
          <w:rStyle w:val="Satznummer"/>
        </w:rPr>
        <w:t>2</w:t>
      </w:r>
      <w:r>
        <w:t xml:space="preserve">Der Arbeitslohn eines monatlichen Lohnzahlungszeitraums ist mit zwölf, der Arbeitslohn eines wöchentlichen Lohnzahlungszeitraums mit </w:t>
      </w:r>
      <w:r>
        <w:rPr>
          <w:vertAlign w:val="superscript"/>
        </w:rPr>
        <w:t>360</w:t>
      </w:r>
      <w:r>
        <w:t>/</w:t>
      </w:r>
      <w:r>
        <w:rPr>
          <w:vertAlign w:val="subscript"/>
        </w:rPr>
        <w:t>7</w:t>
      </w:r>
      <w:r>
        <w:t xml:space="preserve"> und der Arbeitslohn eines täglichen Lohnzahlungszeitraums mit 360 zu vervielfältigen. </w:t>
      </w:r>
      <w:r>
        <w:rPr>
          <w:rStyle w:val="Satznummer"/>
        </w:rPr>
        <w:t>3</w:t>
      </w:r>
      <w:r>
        <w:t>Von dem hochgerechneten Jahresarbeitslohn sind ein etwaiger Versorgungsfreibetrag (</w:t>
      </w:r>
      <w:hyperlink w:anchor="b83" w:history="1">
        <w:r>
          <w:rPr>
            <w:color w:val="0A3A8C"/>
            <w:u w:val="single"/>
          </w:rPr>
          <w:t xml:space="preserve">§ 19</w:t>
        </w:r>
      </w:hyperlink>
      <w:r>
        <w:t xml:space="preserve"> Absatz 2) und Altersentlastungsbetrag (</w:t>
      </w:r>
      <w:hyperlink w:anchor="b95" w:history="1">
        <w:r>
          <w:rPr>
            <w:color w:val="0A3A8C"/>
            <w:u w:val="single"/>
          </w:rPr>
          <w:t xml:space="preserve">§ 24a</w:t>
        </w:r>
      </w:hyperlink>
      <w:r>
        <w:t xml:space="preserve">) abzuziehen. </w:t>
      </w:r>
      <w:r>
        <w:rPr>
          <w:rStyle w:val="Satznummer"/>
        </w:rPr>
        <w:t>4</w:t>
      </w:r>
      <w:r>
        <w:t>Außerdem ist der hochgerechnete Jahresarbeitslohn um einen etwaigen als Lohnsteuerabzugsmerkmal für den Lohnzahlungszeitraum mitgeteilten Freibetrag (</w:t>
      </w:r>
      <w:hyperlink w:anchor="b148" w:history="1">
        <w:r>
          <w:rPr>
            <w:color w:val="0A3A8C"/>
            <w:u w:val="single"/>
          </w:rPr>
          <w:t xml:space="preserve">§ 39a</w:t>
        </w:r>
      </w:hyperlink>
      <w:r>
        <w:t xml:space="preserve"> Absatz 1) oder Hinzurechnungsbetrag (</w:t>
      </w:r>
      <w:hyperlink w:anchor="b148" w:history="1">
        <w:r>
          <w:rPr>
            <w:color w:val="0A3A8C"/>
            <w:u w:val="single"/>
          </w:rPr>
          <w:t xml:space="preserve">§ 39a</w:t>
        </w:r>
      </w:hyperlink>
      <w:r>
        <w:t xml:space="preserve"> Absatz 1 Satz 1 Nummer 7), vervielfältigt unter sinngemäßer Anwendung von Satz 2, zu vermindern oder zu erhöhen. </w:t>
      </w:r>
      <w:r>
        <w:rPr>
          <w:rStyle w:val="Satznummer"/>
        </w:rPr>
        <w:t>5</w:t>
      </w:r>
      <w:r>
        <w:t>Der so verminderte oder erhöhte hochgerechnete Jahresarbeitslohn, vermindert um</w:t>
      </w:r>
    </w:p>
    <w:p>
      <w:pPr>
        <w:tabs>
          <w:tab w:pos="567" w:val="left"/>
        </w:tabs>
        <w:ind w:left="567" w:hanging="567"/>
      </w:pPr>
      <w:r>
        <w:t>1.</w:t>
      </w:r>
      <w:r>
        <w:tab/>
      </w:r>
      <w:r>
        <w:t>den Arbeitnehmer-Pauschbetrag (§ 9a Satz 1 Nummer 1 Buchstabe a) oder bei Versorgungsbezügen den Pauschbetrag (§ 9a Satz 1 Nummer 1 Buchstabe b) und den Zuschlag zum Versorgungsfreibetrag (</w:t>
      </w:r>
      <w:hyperlink w:anchor="b83" w:history="1">
        <w:r>
          <w:rPr>
            <w:color w:val="0A3A8C"/>
            <w:u w:val="single"/>
          </w:rPr>
          <w:t xml:space="preserve">§ 19</w:t>
        </w:r>
      </w:hyperlink>
      <w:r>
        <w:t xml:space="preserve"> Absatz 2) in den Steuerklassen I bis V,</w:t>
      </w:r>
    </w:p>
    <w:p>
      <w:pPr>
        <w:tabs>
          <w:tab w:pos="567" w:val="left"/>
        </w:tabs>
        <w:ind w:left="567" w:hanging="567"/>
      </w:pPr>
      <w:r>
        <w:t>2.</w:t>
      </w:r>
      <w:r>
        <w:tab/>
      </w:r>
      <w:r>
        <w:t>den Sonderausgaben-Pauschbetrag (</w:t>
      </w:r>
      <w:hyperlink w:anchor="b54" w:history="1">
        <w:r>
          <w:rPr>
            <w:color w:val="0A3A8C"/>
            <w:u w:val="single"/>
          </w:rPr>
          <w:t xml:space="preserve">§ 10c</w:t>
        </w:r>
      </w:hyperlink>
      <w:r>
        <w:t xml:space="preserve"> Satz 1) in den Steuerklassen I bis V,</w:t>
      </w:r>
    </w:p>
    <w:p>
      <w:pPr>
        <w:tabs>
          <w:tab w:pos="567" w:val="left"/>
        </w:tabs>
        <w:ind w:left="567" w:hanging="567"/>
      </w:pPr>
      <w:r>
        <w:t>3.</w:t>
      </w:r>
      <w:r>
        <w:tab/>
      </w:r>
      <w:r>
        <w:t>eine Vorsorgepauschale aus den Teilbeträgen</w:t>
      </w:r>
    </w:p>
    <w:p>
      <w:pPr>
        <w:tabs>
          <w:tab w:pos="1134" w:val="left"/>
        </w:tabs>
        <w:ind w:left="1134" w:hanging="567"/>
      </w:pPr>
      <w:r>
        <w:t>a)</w:t>
      </w:r>
      <w:r>
        <w:tab/>
      </w:r>
      <w:r>
        <w:t>für die Rentenversicherung bei Arbeitnehmern, die in der gesetzlichen Rentenversicherung pflichtversichert oder von der gesetzlichen Rentenversicherung nach § 6 Absatz 1 Nummer 1 des Sechsten Buches Sozialgesetzbuch befreit sind, in den Steuerklassen I bis VI in Höhe des Betrags, der bezogen auf den Arbeitslohn 50 Prozent des Beitrags in der allgemeinen Rentenversicherung unter Berücksichtigung der jeweiligen Beitragsbemessungsgrenzen entspricht,</w:t>
      </w:r>
    </w:p>
    <w:p>
      <w:pPr>
        <w:tabs>
          <w:tab w:pos="1134" w:val="left"/>
        </w:tabs>
        <w:ind w:left="1134" w:hanging="567"/>
      </w:pPr>
      <w:r>
        <w:t>b)</w:t>
      </w:r>
      <w:r>
        <w:tab/>
      </w:r>
      <w:r>
        <w:t>für die Krankenversicherung bei Arbeitnehmern, die in der gesetzlichen Krankenversicherung versichert sind, in den Steuerklassen I bis VI in Höhe des Betrags, der bezogen auf den Arbeitslohn unter Berücksichtigung der Beitragsbemessungsgrenze, den ermäßigten Beitragssatz (§ 243 des Fünften Buches Sozialgesetzbuch) und den Zusatzbeitragssatz der Krankenkasse (§ 242 des Fünften Buches Sozialgesetzbuch) dem Arbeitnehmeranteil eines pflichtversicherten Arbeitnehmers entspricht,</w:t>
      </w:r>
    </w:p>
    <w:p>
      <w:pPr>
        <w:tabs>
          <w:tab w:pos="1134" w:val="left"/>
        </w:tabs>
        <w:ind w:left="1134" w:hanging="567"/>
      </w:pPr>
      <w:r>
        <w:t>c)</w:t>
      </w:r>
      <w:r>
        <w:tab/>
      </w:r>
      <w:r>
        <w:t>für die Pflegeversicherung bei Arbeitnehmern, die in der sozialen Pflegeversicherung versichert sind, in den Steuerklassen I bis VI in Höhe des Betrags, der bezogen auf den Arbeitslohn unter Berücksichtigung der Beitragsbemessungsgrenze und den bundeseinheitlichen Beitragssatz dem Arbeitnehmeranteil eines pflichtversicherten Arbeitnehmers entspricht, erhöht um den Beitragszuschlag und vermindert um die Abschläge des Arbeitnehmers nach § 55 Absatz 3 des Elften Buches Sozialgesetzbuch, wenn die Voraussetzungen dafür vorliegen,</w:t>
      </w:r>
    </w:p>
    <w:p>
      <w:pPr>
        <w:tabs>
          <w:tab w:pos="1134" w:val="left"/>
        </w:tabs>
        <w:ind w:left="1134" w:hanging="567"/>
      </w:pPr>
      <w:r>
        <w:t>d)</w:t>
      </w:r>
      <w:r>
        <w:tab/>
      </w:r>
      <w:r>
        <w:t xml:space="preserve">für die Krankenversicherung und für die private Pflege-Pflichtversicherung bei Arbeitnehmern, die nicht unter die Buchstaben b und c fallen, in den Steuerklassen I bis V in Höhe der dem Arbeitgeber als Lohnsteuerabzugsmerkmal bereitgestellten Beiträge nach § 39 Absatz 4 Nummer 4 Buchstabe b, etwaig vervielfältigt unter sinngemäßer Anwendung von Satz 2 auf einen Jahresbetrag, vermindert um die nach </w:t>
      </w:r>
      <w:hyperlink w:anchor="b8" w:history="1">
        <w:r>
          <w:rPr>
            <w:color w:val="0A3A8C"/>
            <w:u w:val="single"/>
          </w:rPr>
          <w:t xml:space="preserve">§ 3</w:t>
        </w:r>
      </w:hyperlink>
      <w:r>
        <w:t xml:space="preserve"> Nummer 62 steuerfreien Zuschüsse, die unter Berücksichtigung der als Lohnsteuerabzugsmerkmal bereitgestellten Beiträge nach § 39 Absatz 4 Nummer 4 Buchstabe a ermittelt wurden;</w:t>
      </w:r>
    </w:p>
    <w:p>
      <w:pPr>
        <w:tabs>
          <w:tab w:pos="1134" w:val="left"/>
        </w:tabs>
        <w:ind w:left="1134" w:hanging="567"/>
      </w:pPr>
      <w:r>
        <w:t>e)</w:t>
      </w:r>
      <w:r>
        <w:tab/>
      </w:r>
      <w:r>
        <w:t>für die Versicherung gegen Arbeitslosigkeit bei Arbeitnehmern, die in der Arbeitslosenversicherung (Drittes Buch Sozialgesetzbuch) versichert sind, in den Steuerklassen I bis V in Höhe des Betrags, der bezogen auf den Arbeitslohn unter Berücksichtigung der jeweiligen Beitragsbemessungsgrenze und den bundeseinheitlichen Beitragssatz, dem Arbeitnehmeranteil eines pflichtversicherten Arbeitnehmers entspricht; der Teilbetrag ist jedoch nur anzusetzen, soweit er zusammen mit den Teilbeträgen nach den Buchstaben b bis d einen Betrag in Höhe von 1 900 Euro nicht übersteigt;</w:t>
      </w:r>
    </w:p>
    <w:p>
      <w:pPr>
        <w:ind w:left="567"/>
      </w:pPr>
      <w:r>
        <w:t xml:space="preserve">Entschädigungen im Sinne des </w:t>
      </w:r>
      <w:hyperlink w:anchor="b94" w:history="1">
        <w:r>
          <w:rPr>
            <w:color w:val="0A3A8C"/>
            <w:u w:val="single"/>
          </w:rPr>
          <w:t xml:space="preserve">§ 24</w:t>
        </w:r>
      </w:hyperlink>
      <w:r>
        <w:t xml:space="preserve"> Nummer 1 sind bei Anwendung der Buchstaben a bis c und e nicht zu berücksichtigen,</w:t>
      </w:r>
    </w:p>
    <w:p>
      <w:pPr>
        <w:tabs>
          <w:tab w:pos="567" w:val="left"/>
        </w:tabs>
        <w:ind w:left="567" w:hanging="567"/>
      </w:pPr>
      <w:r>
        <w:t>4.</w:t>
      </w:r>
      <w:r>
        <w:tab/>
      </w:r>
      <w:r>
        <w:t>den Entlastungsbetrag für Alleinerziehende für ein Kind (</w:t>
      </w:r>
      <w:hyperlink w:anchor="b96" w:history="1">
        <w:r>
          <w:rPr>
            <w:color w:val="0A3A8C"/>
            <w:u w:val="single"/>
          </w:rPr>
          <w:t xml:space="preserve">§ 24b</w:t>
        </w:r>
      </w:hyperlink>
      <w:r>
        <w:t xml:space="preserve"> Absatz 2 Satz 1) in der Steuerklasse II,</w:t>
      </w:r>
    </w:p>
    <w:p>
      <w:r>
        <w:t xml:space="preserve">ergibt den zu versteuernden Jahresbetrag. </w:t>
      </w:r>
      <w:r>
        <w:rPr>
          <w:rStyle w:val="Satznummer"/>
        </w:rPr>
        <w:t>6</w:t>
      </w:r>
      <w:r>
        <w:t xml:space="preserve">Für den zu versteuernden Jahresbetrag ist die Jahreslohnsteuer in den Steuerklassen I, II und IV nach </w:t>
      </w:r>
      <w:hyperlink w:anchor="b108" w:history="1">
        <w:r>
          <w:rPr>
            <w:color w:val="0A3A8C"/>
            <w:u w:val="single"/>
          </w:rPr>
          <w:t xml:space="preserve">§ 32a</w:t>
        </w:r>
      </w:hyperlink>
      <w:r>
        <w:t xml:space="preserve"> Absatz 1 sowie in der Steuerklasse III nach </w:t>
      </w:r>
      <w:hyperlink w:anchor="b108" w:history="1">
        <w:r>
          <w:rPr>
            <w:color w:val="0A3A8C"/>
            <w:u w:val="single"/>
          </w:rPr>
          <w:t xml:space="preserve">§ 32a</w:t>
        </w:r>
      </w:hyperlink>
      <w:r>
        <w:t xml:space="preserve"> Absatz 5 zu berechnen. </w:t>
      </w:r>
      <w:r>
        <w:rPr>
          <w:rStyle w:val="Satznummer"/>
        </w:rPr>
        <w:t>7</w:t>
      </w:r>
      <w:r>
        <w:t xml:space="preserve">In den Steuerklassen V und VI ist die Jahreslohnsteuer zu berechnen, die sich aus dem Zweifachen des Unterschiedsbetrags zwischen dem Steuerbetrag für das Eineinviertelfache und dem Steuerbetrag für das Dreiviertelfache des zu versteuernden Jahresbetrags nach </w:t>
      </w:r>
      <w:hyperlink w:anchor="b108" w:history="1">
        <w:r>
          <w:rPr>
            <w:color w:val="0A3A8C"/>
            <w:u w:val="single"/>
          </w:rPr>
          <w:t xml:space="preserve">§ 32a</w:t>
        </w:r>
      </w:hyperlink>
      <w:r>
        <w:t xml:space="preserve"> Absatz 1 ergibt; die Jahreslohnsteuer beträgt jedoch mindestens 14 Prozent des zu versteuernden Jahresbetrags, für den 14 071 Euro übersteigenden Teil des zu versteuernden Jahresbetrags höchstens 42 Prozent, für den 34 939 Euro übersteigenden Teil des zu versteuernden Jahresbetrags 42 Prozent und für den 222 260 Euro übersteigenden Teil des zu versteuernden Jahresbetrags 45 Prozent. </w:t>
      </w:r>
      <w:r>
        <w:rPr>
          <w:rStyle w:val="Satznummer"/>
        </w:rPr>
        <w:t>8</w:t>
      </w:r>
      <w:r>
        <w:t xml:space="preserve">Für die Lohnsteuerberechnung ist die als Lohnsteuerabzugsmerkmal mitgeteilte oder die nach </w:t>
      </w:r>
      <w:hyperlink w:anchor="b150" w:history="1">
        <w:r>
          <w:rPr>
            <w:color w:val="0A3A8C"/>
            <w:u w:val="single"/>
          </w:rPr>
          <w:t xml:space="preserve">§ 39c</w:t>
        </w:r>
      </w:hyperlink>
      <w:r>
        <w:t xml:space="preserve"> Absatz 1 oder Absatz 2 oder nach </w:t>
      </w:r>
      <w:hyperlink w:anchor="b152" w:history="1">
        <w:r>
          <w:rPr>
            <w:color w:val="0A3A8C"/>
            <w:u w:val="single"/>
          </w:rPr>
          <w:t xml:space="preserve">§ 39e</w:t>
        </w:r>
      </w:hyperlink>
      <w:r>
        <w:t xml:space="preserve"> Absatz 5a oder Absatz 6 Satz 8 anzuwendende Steuerklasse maßgebend. </w:t>
      </w:r>
      <w:r>
        <w:rPr>
          <w:rStyle w:val="Satznummer"/>
        </w:rPr>
        <w:t>9</w:t>
      </w:r>
      <w:r>
        <w:t xml:space="preserve">Die monatliche Lohnsteuer ist </w:t>
      </w:r>
      <w:r>
        <w:rPr>
          <w:vertAlign w:val="superscript"/>
        </w:rPr>
        <w:t>1</w:t>
      </w:r>
      <w:r>
        <w:t>/</w:t>
      </w:r>
      <w:r>
        <w:rPr>
          <w:vertAlign w:val="subscript"/>
        </w:rPr>
        <w:t>12</w:t>
      </w:r>
      <w:r>
        <w:t xml:space="preserve">, die wöchentliche Lohnsteuer sind </w:t>
      </w:r>
      <w:r>
        <w:rPr>
          <w:vertAlign w:val="superscript"/>
        </w:rPr>
        <w:t>7</w:t>
      </w:r>
      <w:r>
        <w:t>/</w:t>
      </w:r>
      <w:r>
        <w:rPr>
          <w:vertAlign w:val="subscript"/>
        </w:rPr>
        <w:t>360</w:t>
      </w:r>
      <w:r>
        <w:t xml:space="preserve"> und die tägliche Lohnsteuer ist </w:t>
      </w:r>
      <w:r>
        <w:rPr>
          <w:vertAlign w:val="superscript"/>
        </w:rPr>
        <w:t>1</w:t>
      </w:r>
      <w:r>
        <w:t>/</w:t>
      </w:r>
      <w:r>
        <w:rPr>
          <w:vertAlign w:val="subscript"/>
        </w:rPr>
        <w:t>360</w:t>
      </w:r>
      <w:r>
        <w:t xml:space="preserve"> der Jahreslohnsteuer. </w:t>
      </w:r>
      <w:r>
        <w:rPr>
          <w:rStyle w:val="Satznummer"/>
        </w:rPr>
        <w:t>10</w:t>
      </w:r>
      <w:r>
        <w:t xml:space="preserve">Bruchteile eines Cents, die sich bei der Berechnung nach den Sätzen 2 und 9 ergeben, bleiben jeweils außer Ansatz. </w:t>
      </w:r>
      <w:r>
        <w:rPr>
          <w:rStyle w:val="Satznummer"/>
        </w:rPr>
        <w:t>11</w:t>
      </w:r>
      <w:r>
        <w:t xml:space="preserve">Die auf den Lohnzahlungszeitraum entfallende Lohnsteuer ist vom Arbeitslohn einzubehalten. </w:t>
      </w:r>
      <w:r>
        <w:rPr>
          <w:rStyle w:val="Satznummer"/>
        </w:rPr>
        <w:t>12</w:t>
      </w:r>
      <w:r>
        <w:t xml:space="preserve">Das Betriebsstättenfinanzamt kann allgemein oder auf Antrag zulassen, dass die Lohnsteuer unter den Voraussetzungen des </w:t>
      </w:r>
      <w:hyperlink w:anchor="b162" w:history="1">
        <w:r>
          <w:rPr>
            <w:color w:val="0A3A8C"/>
            <w:u w:val="single"/>
          </w:rPr>
          <w:t xml:space="preserve">§ 42b</w:t>
        </w:r>
      </w:hyperlink>
      <w:r>
        <w:t xml:space="preserve"> Absatz 1 nach dem voraussichtlichen Jahresarbeitslohn ermittelt wird, wenn gewährleistet ist, dass die zutreffende Jahreslohnsteuer (</w:t>
      </w:r>
      <w:hyperlink w:anchor="b145" w:history="1">
        <w:r>
          <w:rPr>
            <w:color w:val="0A3A8C"/>
            <w:u w:val="single"/>
          </w:rPr>
          <w:t xml:space="preserve">§ 38a</w:t>
        </w:r>
      </w:hyperlink>
      <w:r>
        <w:t xml:space="preserve"> Absatz 2) nicht unterschritten wird. </w:t>
      </w:r>
      <w:r>
        <w:rPr>
          <w:rStyle w:val="Satznummer"/>
        </w:rPr>
        <w:t>13</w:t>
      </w:r>
      <w:r>
        <w:t xml:space="preserve">Darüber hinaus kann das Betriebsstättenfinanzamt auf Antrag zulassen, dass bei nach </w:t>
      </w:r>
      <w:hyperlink w:anchor="b1" w:history="1">
        <w:r>
          <w:rPr>
            <w:color w:val="0A3A8C"/>
            <w:u w:val="single"/>
          </w:rPr>
          <w:t xml:space="preserve">§ 1</w:t>
        </w:r>
      </w:hyperlink>
      <w:r>
        <w:t xml:space="preserve"> Absatz 1 unbeschränkt einkommensteuerpflichtigen Arbeitnehmern mit Steuerklasse VI und ohne Freibetrag nach </w:t>
      </w:r>
      <w:hyperlink w:anchor="b148" w:history="1">
        <w:r>
          <w:rPr>
            <w:color w:val="0A3A8C"/>
            <w:u w:val="single"/>
          </w:rPr>
          <w:t xml:space="preserve">§ 39a</w:t>
        </w:r>
      </w:hyperlink>
      <w:r>
        <w:t xml:space="preserve">, die bei dem Arbeitgeber gelegentlich, nicht regelmäßig wiederkehrend beschäftigt werden und deren Dauer der Beschäftigung 24 zusammenhängende Arbeitstage nicht übersteigt, der während der Beschäftigung erzielte Arbeitslohn auf einen Jahresbetrag hochgerechnet und die sich ergebende Lohnsteuer auf den Lohnabrechnungszeitraum zurückgerechnet wird, wobei als Lohnabrechnungszeitraum der Zeitraum vom Beginn des Kalenderjahres bis zum Ende der Beschäftigung gilt. </w:t>
      </w:r>
      <w:r>
        <w:rPr>
          <w:rStyle w:val="Satznummer"/>
        </w:rPr>
        <w:t>14</w:t>
      </w:r>
      <w:r>
        <w:t xml:space="preserve">Bei Anwendung des Satzes 13 sind auch der im Kalenderjahr in etwaigen vorangegangenen und beendeten weiteren Dienstverhältnissen in der Steuerklasse VI bezogene Arbeitslohn und die darauf erhobene Lohnsteuer einzubeziehen, soweit dort bereits Satz 13 angewandt wurde. </w:t>
      </w:r>
      <w:r>
        <w:rPr>
          <w:rStyle w:val="Satznummer"/>
        </w:rPr>
        <w:t>15</w:t>
      </w:r>
      <w:r>
        <w:t>Voraussetzung für die Anwendung des Verfahrens nach Satz 13 ist zudem, dass der Arbeitnehmer vor Aufnahme der Beschäftigung</w:t>
      </w:r>
    </w:p>
    <w:p>
      <w:pPr>
        <w:tabs>
          <w:tab w:pos="567" w:val="left"/>
        </w:tabs>
        <w:ind w:left="567" w:hanging="567"/>
      </w:pPr>
      <w:r>
        <w:t>1.</w:t>
      </w:r>
      <w:r>
        <w:tab/>
      </w:r>
      <w:r>
        <w:t>unter Angabe seiner Identifikationsnummer gegenüber dem Arbeitgeber schriftlich zustimmt,</w:t>
      </w:r>
    </w:p>
    <w:p>
      <w:pPr>
        <w:tabs>
          <w:tab w:pos="567" w:val="left"/>
        </w:tabs>
        <w:ind w:left="567" w:hanging="567"/>
      </w:pPr>
      <w:r>
        <w:t>2.</w:t>
      </w:r>
      <w:r>
        <w:tab/>
      </w:r>
      <w:r>
        <w:t>mit der Zustimmung den nach Satz 14 einzubeziehenden Arbeitslohn und die darauf erhobene Lohnsteuer erklärt und</w:t>
      </w:r>
    </w:p>
    <w:p>
      <w:pPr>
        <w:tabs>
          <w:tab w:pos="567" w:val="left"/>
        </w:tabs>
        <w:ind w:left="567" w:hanging="567"/>
      </w:pPr>
      <w:r>
        <w:t>3.</w:t>
      </w:r>
      <w:r>
        <w:tab/>
      </w:r>
      <w:r>
        <w:t xml:space="preserve">mit der Zustimmung versichert, dass ihm der Pflichtveranlagungstatbestand nach </w:t>
      </w:r>
      <w:hyperlink w:anchor="b182" w:history="1">
        <w:r>
          <w:rPr>
            <w:color w:val="0A3A8C"/>
            <w:u w:val="single"/>
          </w:rPr>
          <w:t xml:space="preserve">§ 46</w:t>
        </w:r>
      </w:hyperlink>
      <w:r>
        <w:t xml:space="preserve"> Absatz 2 Nummer 2 und 3a bekannt ist.</w:t>
      </w:r>
    </w:p>
    <w:p>
      <w:r>
        <w:rPr>
          <w:rStyle w:val="Satznummer"/>
        </w:rPr>
        <w:t>16</w:t>
      </w:r>
      <w:r>
        <w:t>Die Zustimmungserklärung des Arbeitnehmers ist zum Lohnkonto zu nehmen.</w:t>
      </w:r>
    </w:p>
    <w:p>
      <w:r>
        <w:t xml:space="preserve">(3) </w:t>
      </w:r>
      <w:r>
        <w:rPr>
          <w:rStyle w:val="Satznummer"/>
        </w:rPr>
        <w:t>1</w:t>
      </w:r>
      <w:r>
        <w:t xml:space="preserve">Für die Einbehaltung der Lohnsteuer von einem sonstigen Bezug hat der Arbeitgeber den voraussichtlichen Jahresarbeitslohn ohne den sonstigen Bezug festzustellen. </w:t>
      </w:r>
      <w:r>
        <w:rPr>
          <w:rStyle w:val="Satznummer"/>
        </w:rPr>
        <w:t>2</w:t>
      </w:r>
      <w:r>
        <w:t xml:space="preserve">Hat der Arbeitnehmer Lohnsteuerbescheinigungen aus früheren Dienstverhältnissen des Kalenderjahres nicht vorgelegt, so ist bei der Ermittlung des voraussichtlichen Jahresarbeitslohns der Arbeitslohn für Beschäftigungszeiten bei früheren Arbeitgebern mit dem Betrag anzusetzen, der sich ergibt, wenn der laufende Arbeitslohn im Monat der Zahlung des sonstigen Bezugs entsprechend der Beschäftigungsdauer bei früheren Arbeitgebern hochgerechnet wird. </w:t>
      </w:r>
      <w:r>
        <w:rPr>
          <w:rStyle w:val="Satznummer"/>
        </w:rPr>
        <w:t>3</w:t>
      </w:r>
      <w:r>
        <w:t>Der voraussichtliche Jahresarbeitslohn ist um den Versorgungsfreibetrag (</w:t>
      </w:r>
      <w:hyperlink w:anchor="b83" w:history="1">
        <w:r>
          <w:rPr>
            <w:color w:val="0A3A8C"/>
            <w:u w:val="single"/>
          </w:rPr>
          <w:t xml:space="preserve">§ 19</w:t>
        </w:r>
      </w:hyperlink>
      <w:r>
        <w:t xml:space="preserve"> Absatz 2) und den Altersentlastungsbetrag (</w:t>
      </w:r>
      <w:hyperlink w:anchor="b95" w:history="1">
        <w:r>
          <w:rPr>
            <w:color w:val="0A3A8C"/>
            <w:u w:val="single"/>
          </w:rPr>
          <w:t xml:space="preserve">§ 24a</w:t>
        </w:r>
      </w:hyperlink>
      <w:r>
        <w:t xml:space="preserve">), wenn die Voraussetzungen für den Abzug dieser Beträge jeweils erfüllt sind, sowie um einen etwaigen als Lohnsteuerabzugsmerkmal mitgeteilten Jahresfreibetrag zu vermindern und um einen etwaigen Jahreshinzurechnungsbetrag zu erhöhen. </w:t>
      </w:r>
      <w:r>
        <w:rPr>
          <w:rStyle w:val="Satznummer"/>
        </w:rPr>
        <w:t>4</w:t>
      </w:r>
      <w:r>
        <w:t xml:space="preserve">Für den so ermittelten Jahresarbeitslohn (maßgebender Jahresarbeitslohn) ist die Lohnsteuer nach Maßgabe des Absatzes 2 Satz 5 bis 7 zu ermitteln. </w:t>
      </w:r>
      <w:r>
        <w:rPr>
          <w:rStyle w:val="Satznummer"/>
        </w:rPr>
        <w:t>5</w:t>
      </w:r>
      <w:r>
        <w:t xml:space="preserve">Außerdem ist die Jahreslohnsteuer für den maßgebenden Jahresarbeitslohn unter Einbeziehung des sonstigen Bezugs zu ermitteln. </w:t>
      </w:r>
      <w:r>
        <w:rPr>
          <w:rStyle w:val="Satznummer"/>
        </w:rPr>
        <w:t>6</w:t>
      </w:r>
      <w:r>
        <w:t xml:space="preserve">Dabei ist der sonstige Bezug um den Versorgungsfreibetrag und den Altersentlastungsbetrag zu vermindern, wenn die Voraussetzungen für den Abzug dieser Beträge jeweils erfüllt sind und soweit sie nicht bei der Steuerberechnung für den maßgebenden Jahresarbeitslohn berücksichtigt worden sind. </w:t>
      </w:r>
      <w:r>
        <w:rPr>
          <w:rStyle w:val="Satznummer"/>
        </w:rPr>
        <w:t>7</w:t>
      </w:r>
      <w:r>
        <w:t xml:space="preserve">Für die Lohnsteuerberechnung ist die als Lohnsteuerabzugsmerkmal mitgeteilte oder die nach </w:t>
      </w:r>
      <w:hyperlink w:anchor="b150" w:history="1">
        <w:r>
          <w:rPr>
            <w:color w:val="0A3A8C"/>
            <w:u w:val="single"/>
          </w:rPr>
          <w:t xml:space="preserve">§ 39c</w:t>
        </w:r>
      </w:hyperlink>
      <w:r>
        <w:t xml:space="preserve"> Absatz 1 oder Absatz 2 oder nach </w:t>
      </w:r>
      <w:hyperlink w:anchor="b152" w:history="1">
        <w:r>
          <w:rPr>
            <w:color w:val="0A3A8C"/>
            <w:u w:val="single"/>
          </w:rPr>
          <w:t xml:space="preserve">§ 39e</w:t>
        </w:r>
      </w:hyperlink>
      <w:r>
        <w:t xml:space="preserve"> Absatz 5a oder Absatz 6 Satz 8 anzuwendende Steuerklasse maßgebend. </w:t>
      </w:r>
      <w:r>
        <w:rPr>
          <w:rStyle w:val="Satznummer"/>
        </w:rPr>
        <w:t>8</w:t>
      </w:r>
      <w:r>
        <w:t>Der Unterschiedsbetrag zwischen den ermittelten Jahreslohnsteuerbeträgen ist die Lohnsteuer, die vom sonstigen Bezug einzubehalten ist.</w:t>
      </w:r>
    </w:p>
    <w:p>
      <w:r>
        <w:t>(4) (weggefallen)</w:t>
      </w:r>
    </w:p>
    <w:p>
      <w:r>
        <w:t xml:space="preserve">(5) </w:t>
      </w:r>
      <w:r>
        <w:rPr>
          <w:rStyle w:val="Satznummer"/>
        </w:rPr>
        <w:t>1</w:t>
      </w:r>
      <w:r>
        <w:t xml:space="preserve">Wenn der Arbeitgeber für den Lohnzahlungszeitraum lediglich Abschlagszahlungen leistet und eine Lohnabrechnung für einen längeren Zeitraum (Lohnabrechnungszeitraum) vornimmt, kann er den Lohnabrechnungszeitraum als Lohnzahlungszeitraum behandeln und die Lohnsteuer abweichend von </w:t>
      </w:r>
      <w:hyperlink w:anchor="b144" w:history="1">
        <w:r>
          <w:rPr>
            <w:color w:val="0A3A8C"/>
            <w:u w:val="single"/>
          </w:rPr>
          <w:t xml:space="preserve">§ 38</w:t>
        </w:r>
      </w:hyperlink>
      <w:r>
        <w:t xml:space="preserve"> Absatz 3 bei der Lohnabrechnung einbehalten. </w:t>
      </w:r>
      <w:r>
        <w:rPr>
          <w:rStyle w:val="Satznummer"/>
        </w:rPr>
        <w:t>2</w:t>
      </w:r>
      <w:r>
        <w:t xml:space="preserve">Satz 1 gilt nicht, wenn der Lohnabrechnungszeitraum fünf Wochen übersteigt oder die Lohnabrechnung nicht innerhalb von drei Wochen nach dessen Ablauf erfolgt. </w:t>
      </w:r>
      <w:r>
        <w:rPr>
          <w:rStyle w:val="Satznummer"/>
        </w:rPr>
        <w:t>3</w:t>
      </w:r>
      <w:r>
        <w:t xml:space="preserve">Das Betriebsstättenfinanzamt kann anordnen, dass die Lohnsteuer von den Abschlagszahlungen einzubehalten ist, wenn die Erhebung der Lohnsteuer sonst nicht gesichert erscheint. </w:t>
      </w:r>
      <w:r>
        <w:rPr>
          <w:rStyle w:val="Satznummer"/>
        </w:rPr>
        <w:t>4</w:t>
      </w:r>
      <w:r>
        <w:t>Wenn wegen einer besonderen Entlohnungsart weder ein Lohnzahlungszeitraum noch ein Lohnabrechnungszeitraum festgestellt werden kann, gilt als Lohnzahlungszeitraum die Summe der tatsächlichen Arbeitstage oder Arbeitswochen.</w:t>
      </w:r>
    </w:p>
    <w:p>
      <w:r>
        <w:t xml:space="preserve">(6) </w:t>
      </w:r>
      <w:r>
        <w:rPr>
          <w:rStyle w:val="Satznummer"/>
        </w:rPr>
        <w:t>1</w:t>
      </w:r>
      <w:r>
        <w:t xml:space="preserve">Das Bundesministerium der Finanzen hat im Einvernehmen mit den obersten Finanzbehörden der Länder auf der Grundlage der Absätze 2 und 3 einen Programmablaufplan für die maschinelle Berechnung der Lohnsteuer aufzustellen und bekannt zu machen. </w:t>
      </w:r>
      <w:r>
        <w:rPr>
          <w:rStyle w:val="Satznummer"/>
        </w:rPr>
        <w:t>2</w:t>
      </w:r>
      <w:r>
        <w:t>Im Programmablaufplan kann von den Regelungen in den Absätzen 2 und 3 abgewichen werden, wenn sich das Ergebnis der maschinellen Berechnung der Lohnsteuer an das Ergebnis einer Veranlagung zur Einkommensteuer anlehnt.</w:t>
      </w:r>
    </w:p>
    <w:p>
      <w:pPr>
        <w:pStyle w:val="Heading3"/>
      </w:pPr>
      <w:bookmarkStart w:id="151" w:name="b150"/>
      <w:r>
        <w:t>§ 39c Einbehaltung der Lohnsteuer ohne Lohnsteuerabzugsmerkmale</w:t>
      </w:r>
      <w:r>
        <w:t xml:space="preserve"> </w:t>
      </w:r>
      <w:r>
        <w:rPr>
          <w:rStyle w:val="Suchmarke"/>
        </w:rPr>
        <w:t>#39c#</w:t>
      </w:r>
      <w:bookmarkEnd w:id="151"/>
    </w:p>
    <w:p>
      <w:r>
        <w:t xml:space="preserve">(1) </w:t>
      </w:r>
      <w:r>
        <w:rPr>
          <w:rStyle w:val="Satznummer"/>
        </w:rPr>
        <w:t>1</w:t>
      </w:r>
      <w:r>
        <w:t>Solange der Arbeitnehmer dem Arbeitgeber zum Zweck des Abrufs der elektronischen Lohnsteuerabzugsmerkmale (</w:t>
      </w:r>
      <w:hyperlink w:anchor="b152" w:history="1">
        <w:r>
          <w:rPr>
            <w:color w:val="0A3A8C"/>
            <w:u w:val="single"/>
          </w:rPr>
          <w:t xml:space="preserve">§ 39e</w:t>
        </w:r>
      </w:hyperlink>
      <w:r>
        <w:t xml:space="preserve"> Absatz 4 Satz 1) die ihm zugeteilte Identifikationsnummer sowie den Tag der Geburt schuldhaft nicht mitteilt oder das Bundeszentralamt für Steuern die Mitteilung elektronischer Lohnsteuerabzugsmerkmale ablehnt, hat der Arbeitgeber die Lohnsteuer nach Steuerklasse VI zu ermitteln. </w:t>
      </w:r>
      <w:r>
        <w:rPr>
          <w:rStyle w:val="Satznummer"/>
        </w:rPr>
        <w:t>2</w:t>
      </w:r>
      <w:r>
        <w:t xml:space="preserve">Kann der Arbeitgeber die elektronischen Lohnsteuerabzugsmerkmale wegen technischer Störungen nicht abrufen oder hat der Arbeitnehmer die fehlende Mitteilung der ihm zuzuteilenden Identifikationsnummer nicht zu vertreten, hat der Arbeitgeber für die Lohnsteuerberechnung die voraussichtlichen Lohnsteuerabzugsmerkmale im Sinne des </w:t>
      </w:r>
      <w:hyperlink w:anchor="b146" w:history="1">
        <w:r>
          <w:rPr>
            <w:color w:val="0A3A8C"/>
            <w:u w:val="single"/>
          </w:rPr>
          <w:t xml:space="preserve">§ 38b</w:t>
        </w:r>
      </w:hyperlink>
      <w:r>
        <w:t xml:space="preserve"> längstens für die Dauer von drei Kalendermonaten zu Grunde zu legen. </w:t>
      </w:r>
      <w:r>
        <w:rPr>
          <w:rStyle w:val="Satznummer"/>
        </w:rPr>
        <w:t>3</w:t>
      </w:r>
      <w:r>
        <w:t xml:space="preserve">Hat nach Ablauf der drei Kalendermonate der Arbeitnehmer die Identifikationsnummer sowie den Tag der Geburt nicht mitgeteilt, ist rückwirkend Satz 1 anzuwenden. </w:t>
      </w:r>
      <w:r>
        <w:rPr>
          <w:rStyle w:val="Satznummer"/>
        </w:rPr>
        <w:t>4</w:t>
      </w:r>
      <w:r>
        <w:t xml:space="preserve">Sobald dem Arbeitgeber in den Fällen des Satzes 2 die elektronischen Lohnsteuerabzugsmerkmale vorliegen, sind die Lohnsteuerermittlungen für die vorangegangenen Monate zu überprüfen und, falls erforderlich, zu ändern. </w:t>
      </w:r>
      <w:r>
        <w:rPr>
          <w:rStyle w:val="Satznummer"/>
        </w:rPr>
        <w:t>5</w:t>
      </w:r>
      <w:r>
        <w:t>Die zu wenig oder zu viel einbehaltene Lohnsteuer ist jeweils bei der nächsten Lohnabrechnung auszugleichen.</w:t>
      </w:r>
    </w:p>
    <w:p>
      <w:r>
        <w:t xml:space="preserve">(2) </w:t>
      </w:r>
      <w:r>
        <w:rPr>
          <w:rStyle w:val="Satznummer"/>
        </w:rPr>
        <w:t>1</w:t>
      </w:r>
      <w:r>
        <w:t xml:space="preserve">Ist ein Antrag nach </w:t>
      </w:r>
      <w:hyperlink w:anchor="b147" w:history="1">
        <w:r>
          <w:rPr>
            <w:color w:val="0A3A8C"/>
            <w:u w:val="single"/>
          </w:rPr>
          <w:t xml:space="preserve">§ 39</w:t>
        </w:r>
      </w:hyperlink>
      <w:r>
        <w:t xml:space="preserve"> Absatz 3 Satz 1 oder </w:t>
      </w:r>
      <w:hyperlink w:anchor="b152" w:history="1">
        <w:r>
          <w:rPr>
            <w:color w:val="0A3A8C"/>
            <w:u w:val="single"/>
          </w:rPr>
          <w:t xml:space="preserve">§ 39e</w:t>
        </w:r>
      </w:hyperlink>
      <w:r>
        <w:t xml:space="preserve"> Absatz 8 nicht gestellt, hat der Arbeitgeber die Lohnsteuer nach Steuerklasse VI zu ermitteln. </w:t>
      </w:r>
      <w:r>
        <w:rPr>
          <w:rStyle w:val="Satznummer"/>
        </w:rPr>
        <w:t>2</w:t>
      </w:r>
      <w:r>
        <w:t>Legt der Arbeitnehmer binnen sechs Wochen nach Eintritt in das Dienstverhältnis oder nach Beginn des Kalenderjahres eine Bescheinigung für den Lohnsteuerabzug vor, ist Absatz 1 Satz 4 und 5 sinngemäß anzuwenden.</w:t>
      </w:r>
    </w:p>
    <w:p>
      <w:r>
        <w:t xml:space="preserve">(3) </w:t>
      </w:r>
      <w:r>
        <w:rPr>
          <w:rStyle w:val="Satznummer"/>
        </w:rPr>
        <w:t>1</w:t>
      </w:r>
      <w:r>
        <w:t xml:space="preserve">In den Fällen des </w:t>
      </w:r>
      <w:hyperlink w:anchor="b144" w:history="1">
        <w:r>
          <w:rPr>
            <w:color w:val="0A3A8C"/>
            <w:u w:val="single"/>
          </w:rPr>
          <w:t xml:space="preserve">§ 38</w:t>
        </w:r>
      </w:hyperlink>
      <w:r>
        <w:t xml:space="preserve"> Absatz 3a Satz 1 kann der Dritte die Lohnsteuer für einen sonstigen Bezug mit 20 Prozent unabhängig von den Lohnsteuerabzugsmerkmalen des Arbeitnehmers ermitteln, wenn der maßgebende Jahresarbeitslohn nach </w:t>
      </w:r>
      <w:hyperlink w:anchor="b149" w:history="1">
        <w:r>
          <w:rPr>
            <w:color w:val="0A3A8C"/>
            <w:u w:val="single"/>
          </w:rPr>
          <w:t xml:space="preserve">§ 39b</w:t>
        </w:r>
      </w:hyperlink>
      <w:r>
        <w:t xml:space="preserve"> Absatz 3 zuzüglich des sonstigen Bezugs 10 000 Euro nicht übersteigt. </w:t>
      </w:r>
      <w:r>
        <w:rPr>
          <w:rStyle w:val="Satznummer"/>
        </w:rPr>
        <w:t>2</w:t>
      </w:r>
      <w:r>
        <w:t>Bei der Feststellung des maßgebenden Jahresarbeitslohns sind nur die Lohnzahlungen des Dritten zu berücksichtigen.</w:t>
      </w:r>
    </w:p>
    <w:p>
      <w:pPr>
        <w:pStyle w:val="Heading3"/>
      </w:pPr>
      <w:bookmarkStart w:id="152" w:name="b151"/>
      <w:r>
        <w:t>§ 39d (weggefallen)</w:t>
      </w:r>
      <w:r>
        <w:t xml:space="preserve"> </w:t>
      </w:r>
      <w:r>
        <w:rPr>
          <w:rStyle w:val="Suchmarke"/>
        </w:rPr>
        <w:t>#39d#</w:t>
      </w:r>
      <w:bookmarkEnd w:id="152"/>
    </w:p>
    <w:p>
      <w:r>
        <w:t>-</w:t>
      </w:r>
    </w:p>
    <w:p>
      <w:pPr>
        <w:pStyle w:val="Heading3"/>
      </w:pPr>
      <w:bookmarkStart w:id="153" w:name="b152"/>
      <w:r>
        <w:t>§ 39e Verfahren zur Bildung und Anwendung der elektronischen Lohnsteuerabzugsmerkmale</w:t>
      </w:r>
      <w:r>
        <w:t xml:space="preserve"> </w:t>
      </w:r>
      <w:r>
        <w:rPr>
          <w:rStyle w:val="Suchmarke"/>
        </w:rPr>
        <w:t>#39e#</w:t>
      </w:r>
      <w:bookmarkEnd w:id="153"/>
    </w:p>
    <w:p>
      <w:r>
        <w:t xml:space="preserve">(1) </w:t>
      </w:r>
      <w:r>
        <w:rPr>
          <w:rStyle w:val="Satznummer"/>
        </w:rPr>
        <w:t>1</w:t>
      </w:r>
      <w:r>
        <w:t xml:space="preserve">Das Bundeszentralamt für Steuern bildet für jeden Arbeitnehmer grundsätzlich automatisiert die Steuerklasse und für die bei den Steuerklassen I bis IV zu berücksichtigenden Kinder die Zahl der Kinderfreibeträge nach </w:t>
      </w:r>
      <w:hyperlink w:anchor="b146" w:history="1">
        <w:r>
          <w:rPr>
            <w:color w:val="0A3A8C"/>
            <w:u w:val="single"/>
          </w:rPr>
          <w:t xml:space="preserve">§ 38b</w:t>
        </w:r>
      </w:hyperlink>
      <w:r>
        <w:t xml:space="preserve"> Absatz 2 Satz 1 als Lohnsteuerabzugsmerkmale (</w:t>
      </w:r>
      <w:hyperlink w:anchor="b147" w:history="1">
        <w:r>
          <w:rPr>
            <w:color w:val="0A3A8C"/>
            <w:u w:val="single"/>
          </w:rPr>
          <w:t xml:space="preserve">§ 39</w:t>
        </w:r>
      </w:hyperlink>
      <w:r>
        <w:t xml:space="preserve"> Absatz 4 Satz 1 Nummer 1 und 2); für Änderungen gilt </w:t>
      </w:r>
      <w:hyperlink w:anchor="b147" w:history="1">
        <w:r>
          <w:rPr>
            <w:color w:val="0A3A8C"/>
            <w:u w:val="single"/>
          </w:rPr>
          <w:t xml:space="preserve">§ 39</w:t>
        </w:r>
      </w:hyperlink>
      <w:r>
        <w:t xml:space="preserve"> Absatz 2 entsprechend. </w:t>
      </w:r>
      <w:r>
        <w:rPr>
          <w:rStyle w:val="Satznummer"/>
        </w:rPr>
        <w:t>2</w:t>
      </w:r>
      <w:r>
        <w:t xml:space="preserve">Soweit das Finanzamt Lohnsteuerabzugsmerkmale nach </w:t>
      </w:r>
      <w:hyperlink w:anchor="b147" w:history="1">
        <w:r>
          <w:rPr>
            <w:color w:val="0A3A8C"/>
            <w:u w:val="single"/>
          </w:rPr>
          <w:t xml:space="preserve">§ 39</w:t>
        </w:r>
      </w:hyperlink>
      <w:r>
        <w:t xml:space="preserve"> bildet, teilt es sie dem Bundeszentralamt für Steuern zum Zweck der Bereitstellung für den automatisierten Abruf durch den Arbeitgeber mit. </w:t>
      </w:r>
      <w:r>
        <w:rPr>
          <w:rStyle w:val="Satznummer"/>
        </w:rPr>
        <w:t>3</w:t>
      </w:r>
      <w:r>
        <w:t>Lohnsteuerabzugsmerkmale sind frühestens bereitzustellen mit Wirkung von Beginn des Kalenderjahres an, für das sie anzuwenden sind, jedoch nicht für einen Zeitpunkt vor Beginn des Dienstverhältnisses.</w:t>
      </w:r>
    </w:p>
    <w:p>
      <w:r>
        <w:t xml:space="preserve">(2) </w:t>
      </w:r>
      <w:r>
        <w:rPr>
          <w:rStyle w:val="Satznummer"/>
        </w:rPr>
        <w:t>1</w:t>
      </w:r>
      <w:r>
        <w:t>Das Bundeszentralamt für Steuern speichert zum Zweck der Bereitstellung automatisiert abrufbarer Lohnsteuerabzugsmerkmale für den Arbeitgeber die Lohnsteuerabzugsmerkmale unter Angabe der Identifikationsnummer sowie für jeden Steuerpflichtigen folgende Daten zu den in § 139b Absatz 3 der Abgabenordnung genannten Daten hinzu:</w:t>
      </w:r>
    </w:p>
    <w:p>
      <w:pPr>
        <w:tabs>
          <w:tab w:pos="567" w:val="left"/>
        </w:tabs>
        <w:ind w:left="567" w:hanging="567"/>
      </w:pPr>
      <w:r>
        <w:t>1.</w:t>
      </w:r>
      <w:r>
        <w:tab/>
      </w:r>
      <w:r>
        <w:t>rechtliche Zugehörigkeit zu einer steuererhebenden Religionsgemeinschaft sowie Datum des Eintritts und Austritts,</w:t>
      </w:r>
    </w:p>
    <w:p>
      <w:pPr>
        <w:tabs>
          <w:tab w:pos="567" w:val="left"/>
        </w:tabs>
        <w:ind w:left="567" w:hanging="567"/>
      </w:pPr>
      <w:r>
        <w:t>2.</w:t>
      </w:r>
      <w:r>
        <w:tab/>
      </w:r>
      <w:r>
        <w:t>melderechtlichen Familienstand sowie den Tag der Begründung oder Auflösung des Familienstands und bei Verheirateten die Identifikationsnummer des Ehegatten,</w:t>
      </w:r>
    </w:p>
    <w:p>
      <w:pPr>
        <w:tabs>
          <w:tab w:pos="567" w:val="left"/>
        </w:tabs>
        <w:ind w:left="567" w:hanging="567"/>
      </w:pPr>
      <w:r>
        <w:t>3.</w:t>
      </w:r>
      <w:r>
        <w:tab/>
      </w:r>
      <w:r>
        <w:t>Kinder mit ihrer Identifikationsnummer,</w:t>
      </w:r>
    </w:p>
    <w:p>
      <w:pPr>
        <w:tabs>
          <w:tab w:pos="567" w:val="left"/>
        </w:tabs>
        <w:ind w:left="567" w:hanging="567"/>
      </w:pPr>
      <w:r>
        <w:t>4.</w:t>
      </w:r>
      <w:r>
        <w:tab/>
      </w:r>
      <w:r>
        <w:t>bei Verheirateten, ob und in welchem Zeitraum der Ehegatte im Inland nicht meldepflichtig ist oder die Ehegatten dauernd getrennt leben,</w:t>
      </w:r>
    </w:p>
    <w:p>
      <w:pPr>
        <w:tabs>
          <w:tab w:pos="567" w:val="left"/>
        </w:tabs>
        <w:ind w:left="567" w:hanging="567"/>
      </w:pPr>
      <w:r>
        <w:t>5.</w:t>
      </w:r>
      <w:r>
        <w:tab/>
      </w:r>
      <w:r>
        <w:t>die Bildung einer geringeren Zahl der Kinderfreibeträge als Lohnsteuerabzugsmerkmal (</w:t>
      </w:r>
      <w:hyperlink w:anchor="b146" w:history="1">
        <w:r>
          <w:rPr>
            <w:color w:val="0A3A8C"/>
            <w:u w:val="single"/>
          </w:rPr>
          <w:t xml:space="preserve">§ 38b</w:t>
        </w:r>
      </w:hyperlink>
      <w:r>
        <w:t xml:space="preserve"> Absatz 3) bei einer Pflicht der Meldebehörden zur Mitteilung der in Nummer 3 genannten Daten,</w:t>
      </w:r>
    </w:p>
    <w:p>
      <w:pPr>
        <w:tabs>
          <w:tab w:pos="567" w:val="left"/>
        </w:tabs>
        <w:ind w:left="567" w:hanging="567"/>
      </w:pPr>
      <w:r>
        <w:t>6.</w:t>
      </w:r>
      <w:r>
        <w:tab/>
      </w:r>
      <w:r>
        <w:t xml:space="preserve">Beträge nach </w:t>
      </w:r>
      <w:hyperlink w:anchor="b148" w:history="1">
        <w:r>
          <w:rPr>
            <w:color w:val="0A3A8C"/>
            <w:u w:val="single"/>
          </w:rPr>
          <w:t xml:space="preserve">§ 39a</w:t>
        </w:r>
      </w:hyperlink>
      <w:r>
        <w:t xml:space="preserve"> Absatz 1 Satz 1,</w:t>
      </w:r>
    </w:p>
    <w:p>
      <w:pPr>
        <w:tabs>
          <w:tab w:pos="567" w:val="left"/>
        </w:tabs>
        <w:ind w:left="567" w:hanging="567"/>
      </w:pPr>
      <w:r>
        <w:t>7.</w:t>
      </w:r>
      <w:r>
        <w:tab/>
      </w:r>
      <w:r>
        <w:t>Grad der Behinderung sowie den Gültigkeitszeitraum,</w:t>
      </w:r>
    </w:p>
    <w:p>
      <w:pPr>
        <w:tabs>
          <w:tab w:pos="567" w:val="left"/>
        </w:tabs>
        <w:ind w:left="567" w:hanging="567"/>
      </w:pPr>
      <w:r>
        <w:t>8.</w:t>
      </w:r>
      <w:r>
        <w:tab/>
      </w:r>
      <w:r>
        <w:t>ob und in welchem Zeitraum der Arbeitnehmer die Voraussetzungen des § 33b Absatz 4 (Hinterbliebenen-Pauschbetrag) erfüllt,</w:t>
      </w:r>
    </w:p>
    <w:p>
      <w:pPr>
        <w:tabs>
          <w:tab w:pos="567" w:val="left"/>
        </w:tabs>
        <w:ind w:left="567" w:hanging="567"/>
      </w:pPr>
      <w:r>
        <w:t>9.</w:t>
      </w:r>
      <w:r>
        <w:tab/>
      </w:r>
      <w:r>
        <w:t>Datum, ab dem die elektronischen Lohnsteuerabzugsmerkmale dem Arbeitgeber zum Abruf bereitgestellt werden (Referenzdatum des Arbeitgebers).</w:t>
      </w:r>
    </w:p>
    <w:p>
      <w:r>
        <w:rPr>
          <w:rStyle w:val="Satznummer"/>
        </w:rPr>
        <w:t>2</w:t>
      </w:r>
      <w:r>
        <w:t xml:space="preserve">Die nach Landesrecht für das Meldewesen zuständigen Behörden (Meldebehörden) haben dem Bundeszentralamt für Steuern unter Angabe der Identifikationsnummer und des Tages der Geburt die in Satz 1 Nummer 1 bis 3 bezeichneten Daten und deren Änderungen im Melderegister mitzuteilen. </w:t>
      </w:r>
      <w:r>
        <w:rPr>
          <w:rStyle w:val="Satznummer"/>
        </w:rPr>
        <w:t>3</w:t>
      </w:r>
      <w:r>
        <w:t xml:space="preserve">In den Fällen des Satzes 1 Nummer 3 besteht die Mitteilungspflicht nur, wenn das Kind mit Hauptwohnsitz oder alleinigem Wohnsitz im Zuständigkeitsbereich der Meldebehörde gemeldet ist und solange das Kind das 18. Lebensjahr noch nicht vollendet hat. </w:t>
      </w:r>
      <w:r>
        <w:rPr>
          <w:rStyle w:val="Satznummer"/>
        </w:rPr>
        <w:t>4</w:t>
      </w:r>
      <w:r>
        <w:t xml:space="preserve">Sofern die Identifikationsnummer noch nicht zugeteilt wurde, teilt die Meldebehörde die Daten unter Angabe des Vorläufigen Bearbeitungsmerkmals nach § 139b Absatz 6 Satz 2 der Abgabenordnung mit. </w:t>
      </w:r>
      <w:r>
        <w:rPr>
          <w:rStyle w:val="Satznummer"/>
        </w:rPr>
        <w:t>5</w:t>
      </w:r>
      <w:r>
        <w:t xml:space="preserve">Für die Datenübermittlung gelten die §§ 2 und 3 der Zweiten Bundesmeldedatenübermittlungsverordnung vom 1. Dezember 2014 (BGBl. I S. 1950) in der jeweils geltenden Fassung entsprechend. </w:t>
      </w:r>
      <w:r>
        <w:rPr>
          <w:rStyle w:val="Satznummer"/>
        </w:rPr>
        <w:t>6</w:t>
      </w:r>
      <w:r>
        <w:t xml:space="preserve">Das nach § 19 der Abgabenordnung zuständige Finanzamt hat dem Bundeszentralamt für Steuern unter Angabe der Identifikationsnummer des Steuerpflichtigen die in Satz 1 Nummer 4 bis 9 bezeichneten Daten und deren Änderungen automatisiert mitzuteilen und trägt die Verantwortung für die Rechtmäßigkeit der übermittelten Daten. </w:t>
      </w:r>
      <w:r>
        <w:rPr>
          <w:rStyle w:val="Satznummer"/>
        </w:rPr>
        <w:t>7</w:t>
      </w:r>
      <w:r>
        <w:t>Das in Satz 6 genannte Finanzamt kann die nach Satz 1 Nummer 4 bis 9 bezeichneten Daten automatisiert abrufen.</w:t>
      </w:r>
    </w:p>
    <w:p>
      <w:r>
        <w:t xml:space="preserve">(3) </w:t>
      </w:r>
      <w:r>
        <w:rPr>
          <w:rStyle w:val="Satznummer"/>
        </w:rPr>
        <w:t>1</w:t>
      </w:r>
      <w:r>
        <w:t xml:space="preserve">Das Bundeszentralamt für Steuern hält die Identifikationsnummer, den Tag der Geburt, Merkmale für den Kirchensteuerabzug und die Lohnsteuerabzugsmerkmale des Arbeitnehmers nach § 39 Absatz 4 zum unentgeltlichen automatisierten Abruf durch den Arbeitgeber nach amtlich vorgeschriebenem Datensatz bereit (elektronische Lohnsteuerabzugsmerkmale). </w:t>
      </w:r>
      <w:r>
        <w:rPr>
          <w:rStyle w:val="Satznummer"/>
        </w:rPr>
        <w:t>2</w:t>
      </w:r>
      <w:r>
        <w:t xml:space="preserve">Bezieht ein Arbeitnehmer nebeneinander von mehreren Arbeitgebern Arbeitslohn, sind für jedes weitere Dienstverhältnis elektronische Lohnsteuerabzugsmerkmale zu bilden. </w:t>
      </w:r>
      <w:r>
        <w:rPr>
          <w:rStyle w:val="Satznummer"/>
        </w:rPr>
        <w:t>3</w:t>
      </w:r>
      <w:r>
        <w:t xml:space="preserve">Bei Eheschließung wird für jeden Ehegatten automatisiert die Steuerklasse IV gebildet, wenn zum Zeitpunkt der Eheschließung die Voraussetzungen des </w:t>
      </w:r>
      <w:hyperlink w:anchor="b146" w:history="1">
        <w:r>
          <w:rPr>
            <w:color w:val="0A3A8C"/>
            <w:u w:val="single"/>
          </w:rPr>
          <w:t xml:space="preserve">§ 38b</w:t>
        </w:r>
      </w:hyperlink>
      <w:r>
        <w:t xml:space="preserve"> Absatz 1 Satz 2 Nummer 4 vorliegen. </w:t>
      </w:r>
      <w:r>
        <w:rPr>
          <w:rStyle w:val="Satznummer"/>
        </w:rPr>
        <w:t>4</w:t>
      </w:r>
      <w:r>
        <w:t>Das Bundeszentralamt für Steuern führt die elektronischen Lohnsteuerabzugsmerkmale des Arbeitnehmers zum Zweck ihrer Bereitstellung nach Satz 1 mit der Wirtschafts-Identifikationsnummer (§ 139c der Abgabenordnung) des Arbeitgebers zusammen.</w:t>
      </w:r>
    </w:p>
    <w:p>
      <w:r>
        <w:t xml:space="preserve">(4) </w:t>
      </w:r>
      <w:r>
        <w:rPr>
          <w:rStyle w:val="Satznummer"/>
        </w:rPr>
        <w:t>1</w:t>
      </w:r>
      <w:r>
        <w:t>Der Arbeitnehmer hat jedem seiner Arbeitgeber bei Eintritt in das Dienstverhältnis zum Zweck des Abrufs der Lohnsteuerabzugsmerkmale mitzuteilen,</w:t>
      </w:r>
    </w:p>
    <w:p>
      <w:pPr>
        <w:tabs>
          <w:tab w:pos="567" w:val="left"/>
        </w:tabs>
        <w:ind w:left="567" w:hanging="567"/>
      </w:pPr>
      <w:r>
        <w:t>1.</w:t>
      </w:r>
      <w:r>
        <w:tab/>
      </w:r>
      <w:r>
        <w:t>wie die Identifikationsnummer sowie der Tag der Geburt lauten,</w:t>
      </w:r>
    </w:p>
    <w:p>
      <w:pPr>
        <w:tabs>
          <w:tab w:pos="567" w:val="left"/>
        </w:tabs>
        <w:ind w:left="567" w:hanging="567"/>
      </w:pPr>
      <w:r>
        <w:t>2.</w:t>
      </w:r>
      <w:r>
        <w:tab/>
      </w:r>
      <w:r>
        <w:t>ob es sich um das erste oder ein weiteres Dienstverhältnis handelt (</w:t>
      </w:r>
      <w:hyperlink w:anchor="b146" w:history="1">
        <w:r>
          <w:rPr>
            <w:color w:val="0A3A8C"/>
            <w:u w:val="single"/>
          </w:rPr>
          <w:t xml:space="preserve">§ 38b</w:t>
        </w:r>
      </w:hyperlink>
      <w:r>
        <w:t xml:space="preserve"> Absatz 1 Satz 2 Nummer 6) und</w:t>
      </w:r>
    </w:p>
    <w:p>
      <w:pPr>
        <w:tabs>
          <w:tab w:pos="567" w:val="left"/>
        </w:tabs>
        <w:ind w:left="567" w:hanging="567"/>
      </w:pPr>
      <w:r>
        <w:t>3.</w:t>
      </w:r>
      <w:r>
        <w:tab/>
      </w:r>
      <w:r>
        <w:t xml:space="preserve">ob und in welcher Höhe ein nach </w:t>
      </w:r>
      <w:hyperlink w:anchor="b148" w:history="1">
        <w:r>
          <w:rPr>
            <w:color w:val="0A3A8C"/>
            <w:u w:val="single"/>
          </w:rPr>
          <w:t xml:space="preserve">§ 39a</w:t>
        </w:r>
      </w:hyperlink>
      <w:r>
        <w:t xml:space="preserve"> Absatz 1 Satz 1 Nummer 7 festgestellter Freibetrag abgerufen werden soll.</w:t>
      </w:r>
    </w:p>
    <w:p>
      <w:r>
        <w:rPr>
          <w:rStyle w:val="Satznummer"/>
        </w:rPr>
        <w:t>2</w:t>
      </w:r>
      <w:r>
        <w:t xml:space="preserve">Der Arbeitgeber hat bei Beginn des Dienstverhältnisses die elektronischen Lohnsteuerabzugsmerkmale für den Arbeitnehmer beim Bundeszentralamt für Steuern durch Datenfernübertragung abzurufen und sie in das Lohnkonto für den Arbeitnehmer zu übernehmen. </w:t>
      </w:r>
      <w:r>
        <w:rPr>
          <w:rStyle w:val="Satznummer"/>
        </w:rPr>
        <w:t>3</w:t>
      </w:r>
      <w:r>
        <w:t xml:space="preserve">Für den Abruf der elektronischen Lohnsteuerabzugsmerkmale hat sich der Arbeitgeber zu authentifizieren und seine Wirtschafts-Identifikationsnummer, die Daten des Arbeitnehmers nach Satz 1 Nummer 1 und 2, den Tag des Beginns des Dienstverhältnisses und etwaige Angaben nach Satz 1 Nummer 3 mitzuteilen. </w:t>
      </w:r>
      <w:r>
        <w:rPr>
          <w:rStyle w:val="Satznummer"/>
        </w:rPr>
        <w:t>4</w:t>
      </w:r>
      <w:r>
        <w:t xml:space="preserve">Zur Plausibilitätsprüfung der Identifikationsnummer hält das Bundeszentralamt für Steuern für den Arbeitgeber entsprechende Regeln bereit. </w:t>
      </w:r>
      <w:r>
        <w:rPr>
          <w:rStyle w:val="Satznummer"/>
        </w:rPr>
        <w:t>5</w:t>
      </w:r>
      <w:r>
        <w:t xml:space="preserve">Der Arbeitgeber hat den Tag der Beendigung des Dienstverhältnisses unverzüglich dem Bundeszentralamt für Steuern durch Datenfernübertragung mitzuteilen. </w:t>
      </w:r>
      <w:r>
        <w:rPr>
          <w:rStyle w:val="Satznummer"/>
        </w:rPr>
        <w:t>6</w:t>
      </w:r>
      <w:r>
        <w:t xml:space="preserve">Beauftragt der Arbeitgeber einen Dritten mit der Durchführung des Lohnsteuerabzugs, hat sich der Dritte für den Datenabruf zu authentifizieren und zusätzlich seine Wirtschafts-Identifikationsnummer mitzuteilen. </w:t>
      </w:r>
      <w:r>
        <w:rPr>
          <w:rStyle w:val="Satznummer"/>
        </w:rPr>
        <w:t>7</w:t>
      </w:r>
      <w:r>
        <w:t xml:space="preserve">Für die Verarbeitung der elektronischen Lohnsteuerabzugsmerkmale gilt </w:t>
      </w:r>
      <w:hyperlink w:anchor="b147" w:history="1">
        <w:r>
          <w:rPr>
            <w:color w:val="0A3A8C"/>
            <w:u w:val="single"/>
          </w:rPr>
          <w:t xml:space="preserve">§ 39</w:t>
        </w:r>
      </w:hyperlink>
      <w:r>
        <w:t xml:space="preserve"> Absatz 8 entsprechend.</w:t>
      </w:r>
    </w:p>
    <w:p>
      <w:r>
        <w:t xml:space="preserve">(5) </w:t>
      </w:r>
      <w:r>
        <w:rPr>
          <w:rStyle w:val="Satznummer"/>
        </w:rPr>
        <w:t>1</w:t>
      </w:r>
      <w:r>
        <w:t>Die abgerufenen elektronischen Lohnsteuerabzugsmerkmale sind vom Arbeitgeber für die Durchführung des Lohnsteuerabzugs des Arbeitnehmers anzuwenden, bis</w:t>
      </w:r>
    </w:p>
    <w:p>
      <w:pPr>
        <w:tabs>
          <w:tab w:pos="567" w:val="left"/>
        </w:tabs>
        <w:ind w:left="567" w:hanging="567"/>
      </w:pPr>
      <w:r>
        <w:t>1.</w:t>
      </w:r>
      <w:r>
        <w:tab/>
      </w:r>
      <w:r>
        <w:t>ihm das Bundeszentralamt für Steuern geänderte elektronische Lohnsteuerabzugsmerkmale zum Abruf bereitstellt oder</w:t>
      </w:r>
    </w:p>
    <w:p>
      <w:pPr>
        <w:tabs>
          <w:tab w:pos="567" w:val="left"/>
        </w:tabs>
        <w:ind w:left="567" w:hanging="567"/>
      </w:pPr>
      <w:r>
        <w:t>2.</w:t>
      </w:r>
      <w:r>
        <w:tab/>
      </w:r>
      <w:r>
        <w:t>der Arbeitgeber dem Bundeszentralamt für Steuern die Beendigung des Dienstverhältnisses mitteilt.</w:t>
      </w:r>
    </w:p>
    <w:p>
      <w:r>
        <w:rPr>
          <w:rStyle w:val="Satznummer"/>
        </w:rPr>
        <w:t>2</w:t>
      </w:r>
      <w:r>
        <w:t xml:space="preserve">Sie sind in der üblichen Lohnabrechnung anzugeben. </w:t>
      </w:r>
      <w:r>
        <w:rPr>
          <w:rStyle w:val="Satznummer"/>
        </w:rPr>
        <w:t>3</w:t>
      </w:r>
      <w:r>
        <w:t xml:space="preserve">Der Arbeitgeber ist verpflichtet, die vom Bundeszentralamt für Steuern bereitgestellten Mitteilungen und elektronischen Lohnsteuerabzugsmerkmale monatlich anzufragen und abzurufen. </w:t>
      </w:r>
      <w:r>
        <w:rPr>
          <w:rStyle w:val="Satznummer"/>
        </w:rPr>
        <w:t>4</w:t>
      </w:r>
      <w:r>
        <w:t>Kommt der Arbeitgeber seinen Verpflichtungen nach den Sätzen 1 und 3 sowie nach Absatz 4 Satz 2, 3 und 5 nicht nach, ist das Betriebsstättenfinanzamt für die Aufforderung zum Abruf und zur Anwendung der Lohnsteuerabzugsmerkmale sowie zur Mitteilung der Beendigung des Dienstverhältnisses und für die Androhung und Festsetzung von Zwangsmitteln zuständig.</w:t>
      </w:r>
    </w:p>
    <w:p>
      <w:r>
        <w:t xml:space="preserve">(5a) </w:t>
      </w:r>
      <w:r>
        <w:rPr>
          <w:rStyle w:val="Satznummer"/>
        </w:rPr>
        <w:t>1</w:t>
      </w:r>
      <w:r>
        <w:t xml:space="preserve">Zahlt der Arbeitgeber, ein von diesem beauftragter Dritter in dessen Namen oder ein Dritter im Sinne des </w:t>
      </w:r>
      <w:hyperlink w:anchor="b144" w:history="1">
        <w:r>
          <w:rPr>
            <w:color w:val="0A3A8C"/>
            <w:u w:val="single"/>
          </w:rPr>
          <w:t xml:space="preserve">§ 38</w:t>
        </w:r>
      </w:hyperlink>
      <w:r>
        <w:t xml:space="preserve"> Absatz 3a verschiedenartige Bezüge als Arbeitslohn, kann der Arbeitgeber oder der Dritte die Lohnsteuer für den zweiten und jeden weiteren Bezug abweichend von Absatz 5 ohne Abruf weiterer elektronischer Lohnsteuerabzugsmerkmale nach der Steuerklasse VI einbehalten. </w:t>
      </w:r>
      <w:r>
        <w:rPr>
          <w:rStyle w:val="Satznummer"/>
        </w:rPr>
        <w:t>2</w:t>
      </w:r>
      <w:r>
        <w:t>Verschiedenartige Bezüge liegen vor, wenn der Arbeitnehmer vom Arbeitgeber folgenden Arbeitslohn bezieht:</w:t>
      </w:r>
    </w:p>
    <w:p>
      <w:pPr>
        <w:tabs>
          <w:tab w:pos="567" w:val="left"/>
        </w:tabs>
        <w:ind w:left="567" w:hanging="567"/>
      </w:pPr>
      <w:r>
        <w:t>1.</w:t>
      </w:r>
      <w:r>
        <w:tab/>
      </w:r>
      <w:r>
        <w:t>neben dem Arbeitslohn für ein aktives Dienstverhältnis auch Versorgungsbezüge,</w:t>
      </w:r>
    </w:p>
    <w:p>
      <w:pPr>
        <w:tabs>
          <w:tab w:pos="567" w:val="left"/>
        </w:tabs>
        <w:ind w:left="567" w:hanging="567"/>
      </w:pPr>
      <w:r>
        <w:t>2.</w:t>
      </w:r>
      <w:r>
        <w:tab/>
      </w:r>
      <w:r>
        <w:t>neben Versorgungsbezügen, Bezügen und Vorteilen aus seinem früheren Dienstverhältnis auch andere Versorgungsbezüge oder</w:t>
      </w:r>
    </w:p>
    <w:p>
      <w:pPr>
        <w:tabs>
          <w:tab w:pos="567" w:val="left"/>
        </w:tabs>
        <w:ind w:left="567" w:hanging="567"/>
      </w:pPr>
      <w:r>
        <w:t>3.</w:t>
      </w:r>
      <w:r>
        <w:tab/>
      </w:r>
      <w:r>
        <w:t>neben Bezügen und Vorteilen während der Elternzeit oder vergleichbaren Unterbrechungszeiten des aktiven Dienstverhältnisses auch Arbeitslohn für ein weiteres befristetes aktives Dienstverhältnis.</w:t>
      </w:r>
    </w:p>
    <w:p>
      <w:r>
        <w:rPr>
          <w:rStyle w:val="Satznummer"/>
        </w:rPr>
        <w:t>3</w:t>
      </w:r>
      <w:hyperlink w:anchor="b182" w:history="1">
        <w:r>
          <w:rPr>
            <w:color w:val="0A3A8C"/>
            <w:u w:val="single"/>
          </w:rPr>
          <w:t xml:space="preserve">§ 46</w:t>
        </w:r>
      </w:hyperlink>
      <w:r>
        <w:t xml:space="preserve"> Absatz 2 Nummer 2 ist entsprechend anzuwenden.</w:t>
      </w:r>
    </w:p>
    <w:p>
      <w:r>
        <w:t xml:space="preserve">(6) </w:t>
      </w:r>
      <w:r>
        <w:rPr>
          <w:rStyle w:val="Satznummer"/>
        </w:rPr>
        <w:t>1</w:t>
      </w:r>
      <w:r>
        <w:t>Gegenüber dem Arbeitgeber gelten die Lohnsteuerabzugsmerkmale (</w:t>
      </w:r>
      <w:hyperlink w:anchor="b147" w:history="1">
        <w:r>
          <w:rPr>
            <w:color w:val="0A3A8C"/>
            <w:u w:val="single"/>
          </w:rPr>
          <w:t xml:space="preserve">§ 39</w:t>
        </w:r>
      </w:hyperlink>
      <w:r>
        <w:t xml:space="preserve"> Absatz 4) mit dem Abruf der elektronischen Lohnsteuerabzugsmerkmale als bekannt gegeben. </w:t>
      </w:r>
      <w:r>
        <w:rPr>
          <w:rStyle w:val="Satznummer"/>
        </w:rPr>
        <w:t>2</w:t>
      </w:r>
      <w:r>
        <w:t xml:space="preserve">Einer Rechtsbehelfsbelehrung bedarf es nicht. </w:t>
      </w:r>
      <w:r>
        <w:rPr>
          <w:rStyle w:val="Satznummer"/>
        </w:rPr>
        <w:t>3</w:t>
      </w:r>
      <w:r>
        <w:t xml:space="preserve">Die Lohnsteuerabzugsmerkmale gelten gegenüber dem Arbeitnehmer als bekannt gegeben, sobald der Arbeitgeber dem Arbeitnehmer den Ausdruck der Lohnabrechnung mit den nach Absatz 5 Satz 2 darin ausgewiesenen elektronischen Lohnsteuerabzugsmerkmalen ausgehändigt oder elektronisch bereitgestellt hat. </w:t>
      </w:r>
      <w:r>
        <w:rPr>
          <w:rStyle w:val="Satznummer"/>
        </w:rPr>
        <w:t>4</w:t>
      </w:r>
      <w:r>
        <w:t xml:space="preserve">Die elektronischen Lohnsteuerabzugsmerkmale sind dem Steuerpflichtigen auf Antrag vom zuständigen Finanzamt mitzuteilen oder elektronisch bereitzustellen. </w:t>
      </w:r>
      <w:r>
        <w:rPr>
          <w:rStyle w:val="Satznummer"/>
        </w:rPr>
        <w:t>5</w:t>
      </w:r>
      <w:r>
        <w:t xml:space="preserve">Wird dem Arbeitnehmer bekannt, dass die elektronischen Lohnsteuerabzugsmerkmale zu seinen Gunsten von den nach </w:t>
      </w:r>
      <w:hyperlink w:anchor="b147" w:history="1">
        <w:r>
          <w:rPr>
            <w:color w:val="0A3A8C"/>
            <w:u w:val="single"/>
          </w:rPr>
          <w:t xml:space="preserve">§ 39</w:t>
        </w:r>
      </w:hyperlink>
      <w:r>
        <w:t xml:space="preserve"> zu bildenden Lohnsteuerabzugsmerkmalen abweichen, ist er verpflichtet, dies dem Finanzamt unverzüglich mitzuteilen. </w:t>
      </w:r>
      <w:r>
        <w:rPr>
          <w:rStyle w:val="Satznummer"/>
        </w:rPr>
        <w:t>6</w:t>
      </w:r>
      <w:r>
        <w:t>Der Steuerpflichtige kann beim zuständigen Finanzamt</w:t>
      </w:r>
    </w:p>
    <w:p>
      <w:pPr>
        <w:tabs>
          <w:tab w:pos="567" w:val="left"/>
        </w:tabs>
        <w:ind w:left="567" w:hanging="567"/>
      </w:pPr>
      <w:r>
        <w:t>1.</w:t>
      </w:r>
      <w:r>
        <w:tab/>
      </w:r>
      <w:r>
        <w:t xml:space="preserve">den Arbeitgeber benennen, der zum Abruf von elektronischen Lohnsteuerabzugsmerkmalen berechtigt ist (Positivliste) oder nicht berechtigt ist (Negativliste). </w:t>
      </w:r>
      <w:r>
        <w:rPr>
          <w:rStyle w:val="Satznummer"/>
        </w:rPr>
        <w:t>2</w:t>
      </w:r>
      <w:r>
        <w:t xml:space="preserve">Hierfür hat der Arbeitgeber dem Arbeitnehmer seine Wirtschafts-Identifikationsnummer mitzuteilen. </w:t>
      </w:r>
      <w:r>
        <w:rPr>
          <w:rStyle w:val="Satznummer"/>
        </w:rPr>
        <w:t>3</w:t>
      </w:r>
      <w:r>
        <w:t xml:space="preserve">Für die Verarbeitung der Wirtschafts-Identifikationsnummer gilt </w:t>
      </w:r>
      <w:hyperlink w:anchor="b147" w:history="1">
        <w:r>
          <w:rPr>
            <w:color w:val="0A3A8C"/>
            <w:u w:val="single"/>
          </w:rPr>
          <w:t xml:space="preserve">§ 39</w:t>
        </w:r>
      </w:hyperlink>
      <w:r>
        <w:t xml:space="preserve"> Absatz 8 entsprechend; oder</w:t>
      </w:r>
    </w:p>
    <w:p>
      <w:pPr>
        <w:tabs>
          <w:tab w:pos="567" w:val="left"/>
        </w:tabs>
        <w:ind w:left="567" w:hanging="567"/>
      </w:pPr>
      <w:r>
        <w:t>2.</w:t>
      </w:r>
      <w:r>
        <w:tab/>
      </w:r>
      <w:r>
        <w:t>die Bildung oder die Bereitstellung der elektronischen Lohnsteuerabzugsmerkmale allgemein sperren oder allgemein freischalten lassen.</w:t>
      </w:r>
    </w:p>
    <w:p>
      <w:r>
        <w:rPr>
          <w:rStyle w:val="Satznummer"/>
        </w:rPr>
        <w:t>7</w:t>
      </w:r>
      <w:r>
        <w:t xml:space="preserve">Macht der Steuerpflichtige von seinem Recht nach Satz 6 Gebrauch, hat er die Positivliste, die Negativliste, die allgemeine Sperrung oder die allgemeine Freischaltung in einem bereitgestellten elektronischen Verfahren oder nach amtlich vorgeschriebenem Vordruck dem Finanzamt zu übermitteln. </w:t>
      </w:r>
      <w:r>
        <w:rPr>
          <w:rStyle w:val="Satznummer"/>
        </w:rPr>
        <w:t>8</w:t>
      </w:r>
      <w:r>
        <w:t>Werden wegen einer Sperrung nach Satz 6 einem Arbeitgeber, der Daten abrufen möchte, keine elektronischen Lohnsteuerabzugsmerkmale bereitgestellt, wird dem Arbeitgeber die Sperrung mitgeteilt und dieser hat die Lohnsteuer nach Steuerklasse VI zu ermitteln.</w:t>
      </w:r>
    </w:p>
    <w:p>
      <w:r>
        <w:t xml:space="preserve">(7) </w:t>
      </w:r>
      <w:r>
        <w:rPr>
          <w:rStyle w:val="Satznummer"/>
        </w:rPr>
        <w:t>1</w:t>
      </w:r>
      <w:r>
        <w:t xml:space="preserve">Auf Antrag des Arbeitgebers kann das Betriebsstättenfinanzamt zur Vermeidung unbilliger Härten zulassen, dass er nicht am Abrufverfahren teilnimmt. </w:t>
      </w:r>
      <w:r>
        <w:rPr>
          <w:rStyle w:val="Satznummer"/>
        </w:rPr>
        <w:t>2</w:t>
      </w:r>
      <w:r>
        <w:t xml:space="preserve">Dem Antrag eines Arbeitgebers ohne maschinelle Lohnabrechnung, der ausschließlich Arbeitnehmer im Rahmen einer geringfügigen Beschäftigung in seinem Privathaushalt im Sinne des § 8a des Vierten Buches Sozialgesetzbuch beschäftigt, ist stattzugeben. </w:t>
      </w:r>
      <w:r>
        <w:rPr>
          <w:rStyle w:val="Satznummer"/>
        </w:rPr>
        <w:t>3</w:t>
      </w:r>
      <w:r>
        <w:t xml:space="preserve">Der Arbeitgeber hat dem Antrag unter Angabe seiner Wirtschafts-Identifikationsnummer ein Verzeichnis der beschäftigten Arbeitnehmer mit Angabe der jeweiligen Identifikationsnummer und des Tages der Geburt des Arbeitnehmers beizufügen. </w:t>
      </w:r>
      <w:r>
        <w:rPr>
          <w:rStyle w:val="Satznummer"/>
        </w:rPr>
        <w:t>4</w:t>
      </w:r>
      <w:r>
        <w:t xml:space="preserve">Der Antrag ist nach amtlich vorgeschriebenem Vordruck jährlich zu stellen und vom Arbeitgeber zu unterschreiben. </w:t>
      </w:r>
      <w:r>
        <w:rPr>
          <w:rStyle w:val="Satznummer"/>
        </w:rPr>
        <w:t>5</w:t>
      </w:r>
      <w:r>
        <w:t xml:space="preserve">Das Betriebsstättenfinanzamt übermittelt dem Arbeitgeber für die Durchführung des Lohnsteuerabzugs für ein Kalenderjahr eine arbeitgeberbezogene Bescheinigung mit den Lohnsteuerabzugsmerkmalen des Arbeitnehmers (Bescheinigung für den Lohnsteuerabzug) sowie etwaige Änderungen. </w:t>
      </w:r>
      <w:r>
        <w:rPr>
          <w:rStyle w:val="Satznummer"/>
        </w:rPr>
        <w:t>6</w:t>
      </w:r>
      <w:r>
        <w:t xml:space="preserve">Diese Bescheinigung sowie die Änderungsmitteilungen sind als Belege zum Lohnkonto zu nehmen und bis zum Ablauf des Kalenderjahres aufzubewahren. </w:t>
      </w:r>
      <w:r>
        <w:rPr>
          <w:rStyle w:val="Satznummer"/>
        </w:rPr>
        <w:t>7</w:t>
      </w:r>
      <w:r>
        <w:t xml:space="preserve">Absatz 5 Satz 1 und 2 sowie Absatz 6 Satz 3 gelten entsprechend. </w:t>
      </w:r>
      <w:r>
        <w:rPr>
          <w:rStyle w:val="Satznummer"/>
        </w:rPr>
        <w:t>8</w:t>
      </w:r>
      <w:r>
        <w:t>Der Arbeitgeber hat den Tag der Beendigung des Dienstverhältnisses unverzüglich dem Betriebsstättenfinanzamt mitzuteilen.</w:t>
      </w:r>
    </w:p>
    <w:p>
      <w:r>
        <w:t xml:space="preserve">(8) </w:t>
      </w:r>
      <w:r>
        <w:rPr>
          <w:rStyle w:val="Satznummer"/>
        </w:rPr>
        <w:t>1</w:t>
      </w:r>
      <w:r>
        <w:t xml:space="preserve">Ist einem nach </w:t>
      </w:r>
      <w:hyperlink w:anchor="b1" w:history="1">
        <w:r>
          <w:rPr>
            <w:color w:val="0A3A8C"/>
            <w:u w:val="single"/>
          </w:rPr>
          <w:t xml:space="preserve">§ 1</w:t>
        </w:r>
      </w:hyperlink>
      <w:r>
        <w:t xml:space="preserve"> Absatz 1 unbeschränkt einkommensteuerpflichtigen Arbeitnehmer keine Identifikationsnummer zugeteilt, hat das Wohnsitzfinanzamt auf Antrag eine Bescheinigung für den Lohnsteuerabzug für die Dauer eines Kalenderjahres auszustellen. </w:t>
      </w:r>
      <w:r>
        <w:rPr>
          <w:rStyle w:val="Satznummer"/>
        </w:rPr>
        <w:t>2</w:t>
      </w:r>
      <w:r>
        <w:t xml:space="preserve">Die Bescheinigung kann auch der Arbeitgeber beantragen, wenn ihn der Arbeitnehmer dazu nach § 80 Absatz 1 der Abgabenordnung bevollmächtigt hat. </w:t>
      </w:r>
      <w:r>
        <w:rPr>
          <w:rStyle w:val="Satznummer"/>
        </w:rPr>
        <w:t>3</w:t>
      </w:r>
      <w:r>
        <w:t xml:space="preserve">Diese Bescheinigung ersetzt die Verpflichtung und Berechtigung des Arbeitgebers zum Abruf der elektronischen Lohnsteuerabzugsmerkmale (Absätze 4 und 6). </w:t>
      </w:r>
      <w:r>
        <w:rPr>
          <w:rStyle w:val="Satznummer"/>
        </w:rPr>
        <w:t>4</w:t>
      </w:r>
      <w:r>
        <w:t xml:space="preserve">In diesem Fall tritt an die Stelle der Identifikationsnummer das lohnsteuerliche Ordnungsmerkmal nach </w:t>
      </w:r>
      <w:hyperlink w:anchor="b159" w:history="1">
        <w:r>
          <w:rPr>
            <w:color w:val="0A3A8C"/>
            <w:u w:val="single"/>
          </w:rPr>
          <w:t xml:space="preserve">§ 41b</w:t>
        </w:r>
      </w:hyperlink>
      <w:r>
        <w:t xml:space="preserve"> Absatz 2 Satz 1 und 2. </w:t>
      </w:r>
      <w:r>
        <w:rPr>
          <w:rStyle w:val="Satznummer"/>
        </w:rPr>
        <w:t>5</w:t>
      </w:r>
      <w:r>
        <w:t xml:space="preserve">Für die Durchführung des Lohnsteuerabzugs hat der Arbeitnehmer seinem Arbeitgeber vor Beginn des Kalenderjahres oder bei Eintritt in das Dienstverhältnis die nach Satz 1 ausgestellte Bescheinigung für den Lohnsteuerabzug vorzulegen. </w:t>
      </w:r>
      <w:r>
        <w:rPr>
          <w:rStyle w:val="Satznummer"/>
        </w:rPr>
        <w:t>6</w:t>
      </w:r>
      <w:hyperlink w:anchor="b150" w:history="1">
        <w:r>
          <w:rPr>
            <w:color w:val="0A3A8C"/>
            <w:u w:val="single"/>
          </w:rPr>
          <w:t xml:space="preserve">§ 39c</w:t>
        </w:r>
      </w:hyperlink>
      <w:r>
        <w:t xml:space="preserve"> Absatz 1 Satz 2 bis 5 ist sinngemäß anzuwenden. </w:t>
      </w:r>
      <w:r>
        <w:rPr>
          <w:rStyle w:val="Satznummer"/>
        </w:rPr>
        <w:t>7</w:t>
      </w:r>
      <w:r>
        <w:t>Der Arbeitgeber hat die Bescheinigung für den Lohnsteuerabzug entgegenzunehmen und während des Dienstverhältnisses, längstens bis zum Ablauf des jeweiligen Kalenderjahres, aufzubewahren.</w:t>
      </w:r>
    </w:p>
    <w:p>
      <w:r>
        <w:t>(9) Ist die Wirtschafts-Identifikationsnummer noch nicht oder nicht vollständig eingeführt, tritt an ihre Stelle die Steuernummer der Betriebsstätte oder des Teils des Betriebs des Arbeitgebers, in dem der für den Lohnsteuerabzug maßgebende Arbeitslohn des Arbeitnehmers ermittelt wird (</w:t>
      </w:r>
      <w:hyperlink w:anchor="b157" w:history="1">
        <w:r>
          <w:rPr>
            <w:color w:val="0A3A8C"/>
            <w:u w:val="single"/>
          </w:rPr>
          <w:t xml:space="preserve">§ 41</w:t>
        </w:r>
      </w:hyperlink>
      <w:r>
        <w:t xml:space="preserve"> Absatz 2).</w:t>
      </w:r>
    </w:p>
    <w:p>
      <w:r>
        <w:t>(10) Die beim Bundeszentralamt für Steuern nach Absatz 2 Satz 1 gespeicherten Daten können auch zur Prüfung und Durchführung der Einkommensbesteuerung (</w:t>
      </w:r>
      <w:hyperlink w:anchor="b5" w:history="1">
        <w:r>
          <w:rPr>
            <w:color w:val="0A3A8C"/>
            <w:u w:val="single"/>
          </w:rPr>
          <w:t xml:space="preserve">§ 2</w:t>
        </w:r>
      </w:hyperlink>
      <w:r>
        <w:t>) des Steuerpflichtigen für Veranlagungszeiträume ab 2005, zur Ermittlung des reduzierten Beitragssatzes nach § 55 Absatz 3 Satz 3 bis 5 des Elften Buches Sozialgesetzbuch, zur Ermittlung des Einkommens nach § 97a des Sechsten Buches Sozialgesetzbuch und zur Prüfung eines Anspruchs auf Kindergeld verarbeitet werden.</w:t>
      </w:r>
    </w:p>
    <w:p>
      <w:pPr>
        <w:pStyle w:val="Heading3"/>
      </w:pPr>
      <w:bookmarkStart w:id="154" w:name="b153"/>
      <w:r>
        <w:t>§ 39f Faktorverfahren anstelle Steuerklassenkombination III/V</w:t>
      </w:r>
      <w:r>
        <w:t xml:space="preserve"> </w:t>
      </w:r>
      <w:r>
        <w:rPr>
          <w:rStyle w:val="Suchmarke"/>
        </w:rPr>
        <w:t>#39f#</w:t>
      </w:r>
      <w:bookmarkEnd w:id="154"/>
    </w:p>
    <w:p>
      <w:r>
        <w:t xml:space="preserve">(1) </w:t>
      </w:r>
      <w:r>
        <w:rPr>
          <w:rStyle w:val="Satznummer"/>
        </w:rPr>
        <w:t>1</w:t>
      </w:r>
      <w:r>
        <w:t>Bei Ehegatten, die in die Steuerklasse IV gehören (</w:t>
      </w:r>
      <w:hyperlink w:anchor="b146" w:history="1">
        <w:r>
          <w:rPr>
            <w:color w:val="0A3A8C"/>
            <w:u w:val="single"/>
          </w:rPr>
          <w:t xml:space="preserve">§ 38b</w:t>
        </w:r>
      </w:hyperlink>
      <w:r>
        <w:t xml:space="preserve"> Absatz 1 Satz 2 Nummer 4 erster Halbsatz), hat das Finanzamt auf Antrag beider Ehegatten nach </w:t>
      </w:r>
      <w:hyperlink w:anchor="b148" w:history="1">
        <w:r>
          <w:rPr>
            <w:color w:val="0A3A8C"/>
            <w:u w:val="single"/>
          </w:rPr>
          <w:t xml:space="preserve">§ 39a</w:t>
        </w:r>
      </w:hyperlink>
      <w:r>
        <w:t xml:space="preserve"> anstelle der Steuerklassenkombination III/V (</w:t>
      </w:r>
      <w:hyperlink w:anchor="b146" w:history="1">
        <w:r>
          <w:rPr>
            <w:color w:val="0A3A8C"/>
            <w:u w:val="single"/>
          </w:rPr>
          <w:t xml:space="preserve">§ 38b</w:t>
        </w:r>
      </w:hyperlink>
      <w:r>
        <w:t xml:space="preserve"> Absatz 1 Satz 2 Nummer 5) als Lohnsteuerabzugsmerkmal jeweils die Steuerklasse IV in Verbindung mit einem Faktor zur Ermittlung der Lohnsteuer zu bilden, wenn der Faktor kleiner als 1 ist. </w:t>
      </w:r>
      <w:r>
        <w:rPr>
          <w:rStyle w:val="Satznummer"/>
        </w:rPr>
        <w:t>2</w:t>
      </w:r>
      <w:r>
        <w:t xml:space="preserve">Der Faktor ist Y : X und vom Finanzamt mit drei Nachkommastellen ohne Rundung zu berechnen. </w:t>
      </w:r>
      <w:r>
        <w:rPr>
          <w:rStyle w:val="Satznummer"/>
        </w:rPr>
        <w:t>3</w:t>
      </w:r>
      <w:r>
        <w:t>„Y“ ist die voraussichtliche Einkommensteuer für beide Ehegatten nach dem Splittingverfahren (</w:t>
      </w:r>
      <w:hyperlink w:anchor="b108" w:history="1">
        <w:r>
          <w:rPr>
            <w:color w:val="0A3A8C"/>
            <w:u w:val="single"/>
          </w:rPr>
          <w:t xml:space="preserve">§ 32a</w:t>
        </w:r>
      </w:hyperlink>
      <w:r>
        <w:t xml:space="preserve"> Absatz 5) unter Berücksichtigung der in </w:t>
      </w:r>
      <w:hyperlink w:anchor="b149" w:history="1">
        <w:r>
          <w:rPr>
            <w:color w:val="0A3A8C"/>
            <w:u w:val="single"/>
          </w:rPr>
          <w:t xml:space="preserve">§ 39b</w:t>
        </w:r>
      </w:hyperlink>
      <w:r>
        <w:t xml:space="preserve"> Absatz 2 genannten Abzugsbeträge. </w:t>
      </w:r>
      <w:r>
        <w:rPr>
          <w:rStyle w:val="Satznummer"/>
        </w:rPr>
        <w:t>4</w:t>
      </w:r>
      <w:r>
        <w:t xml:space="preserve">„X“ ist die Summe der voraussichtlichen Lohnsteuer bei Anwendung der Steuerklasse IV für jeden Ehegatten. </w:t>
      </w:r>
      <w:r>
        <w:rPr>
          <w:rStyle w:val="Satznummer"/>
        </w:rPr>
        <w:t>5</w:t>
      </w:r>
      <w:r>
        <w:t>Maßgeblich sind die Steuerbeträge des Kalenderjahres, für das der Faktor erstmals gelten soll.</w:t>
      </w:r>
      <w:r>
        <w:rPr>
          <w:rStyle w:val="Satznummer"/>
        </w:rPr>
        <w:t>6</w:t>
      </w:r>
      <w:r>
        <w:t xml:space="preserve">In die Bemessungsgrundlage für Y werden jeweils neben den Jahresarbeitslöhnen der ersten Dienstverhältnisse zusätzlich nur Beträge einbezogen, die nach </w:t>
      </w:r>
      <w:hyperlink w:anchor="b148" w:history="1">
        <w:r>
          <w:rPr>
            <w:color w:val="0A3A8C"/>
            <w:u w:val="single"/>
          </w:rPr>
          <w:t xml:space="preserve">§ 39a</w:t>
        </w:r>
      </w:hyperlink>
      <w:r>
        <w:t xml:space="preserve"> Absatz 1 Satz 1 Nummer 1 bis 6 als Freibetrag ermittelt und als Lohnsteuerabzugsmerkmal gebildet werden könnten; Freibeträge werden neben dem Faktor nicht als Lohnsteuerabzugsmerkmal gebildet. </w:t>
      </w:r>
      <w:r>
        <w:rPr>
          <w:rStyle w:val="Satznummer"/>
        </w:rPr>
        <w:t>7</w:t>
      </w:r>
      <w:r>
        <w:t xml:space="preserve">In den Fällen des </w:t>
      </w:r>
      <w:hyperlink w:anchor="b148" w:history="1">
        <w:r>
          <w:rPr>
            <w:color w:val="0A3A8C"/>
            <w:u w:val="single"/>
          </w:rPr>
          <w:t xml:space="preserve">§ 39a</w:t>
        </w:r>
      </w:hyperlink>
      <w:r>
        <w:t xml:space="preserve"> Absatz 1 Satz 1 Nummer 7 sind bei der Ermittlung von Y und X die Hinzurechnungsbeträge zu berücksichtigen; die Hinzurechnungsbeträge sind zusätzlich als Lohnsteuerabzugsmerkmal für das erste Dienstverhältnis zu bilden. </w:t>
      </w:r>
      <w:r>
        <w:rPr>
          <w:rStyle w:val="Satznummer"/>
        </w:rPr>
        <w:t>8</w:t>
      </w:r>
      <w:r>
        <w:t xml:space="preserve">Arbeitslöhne aus zweiten und weiteren Dienstverhältnissen (Steuerklasse VI) sind im Faktorverfahren nicht zu berücksichtigen. </w:t>
      </w:r>
      <w:r>
        <w:rPr>
          <w:rStyle w:val="Satznummer"/>
        </w:rPr>
        <w:t>9</w:t>
      </w:r>
      <w:r>
        <w:t xml:space="preserve">Der nach Satz 1 gebildete Faktor gilt bis zum Ablauf des Kalenderjahres, das auf das Kalenderjahr folgt, in dem der Faktor erstmals gilt oder zuletzt geändert worden ist. </w:t>
      </w:r>
      <w:r>
        <w:rPr>
          <w:rStyle w:val="Satznummer"/>
        </w:rPr>
        <w:t>10</w:t>
      </w:r>
      <w:r>
        <w:t xml:space="preserve">Die Ehegatten können eine Änderung des Faktors beantragen, wenn sich die für die Ermittlung des Faktors maßgeblichen Jahresarbeitslöhne im Sinne des Satzes 6 ändern. </w:t>
      </w:r>
      <w:r>
        <w:rPr>
          <w:rStyle w:val="Satznummer"/>
        </w:rPr>
        <w:t>11</w:t>
      </w:r>
      <w:r>
        <w:t xml:space="preserve">Besteht eine Anzeigepflicht nach </w:t>
      </w:r>
      <w:hyperlink w:anchor="b148" w:history="1">
        <w:r>
          <w:rPr>
            <w:color w:val="0A3A8C"/>
            <w:u w:val="single"/>
          </w:rPr>
          <w:t xml:space="preserve">§ 39a</w:t>
        </w:r>
      </w:hyperlink>
      <w:r>
        <w:t xml:space="preserve"> Absatz 1 Satz 5 oder wird eine Änderung des Freibetrags nach </w:t>
      </w:r>
      <w:hyperlink w:anchor="b148" w:history="1">
        <w:r>
          <w:rPr>
            <w:color w:val="0A3A8C"/>
            <w:u w:val="single"/>
          </w:rPr>
          <w:t xml:space="preserve">§ 39a</w:t>
        </w:r>
      </w:hyperlink>
      <w:r>
        <w:t xml:space="preserve"> Absatz 1 Satz 4 beantragt, gilt die Anzeige oder der Antrag auf Änderung des Freibetrags zugleich als Antrag auf Anpassung des Faktors.</w:t>
      </w:r>
    </w:p>
    <w:p>
      <w:r>
        <w:t>(2) Für die Einbehaltung der Lohnsteuer vom Arbeitslohn hat der Arbeitgeber Steuerklasse IV und den Faktor anzuwenden.</w:t>
      </w:r>
    </w:p>
    <w:p>
      <w:r>
        <w:t xml:space="preserve">(3) </w:t>
      </w:r>
      <w:r>
        <w:rPr>
          <w:rStyle w:val="Satznummer"/>
        </w:rPr>
        <w:t>1</w:t>
      </w:r>
      <w:hyperlink w:anchor="b147" w:history="1">
        <w:r>
          <w:rPr>
            <w:color w:val="0A3A8C"/>
            <w:u w:val="single"/>
          </w:rPr>
          <w:t xml:space="preserve">§ 39</w:t>
        </w:r>
      </w:hyperlink>
      <w:r>
        <w:t xml:space="preserve"> Absatz 6 Satz 3 und 5 gilt mit der Maßgabe, dass die Änderungen nach Absatz 1 Satz 10 und 11 keine Änderungen im Sinne des </w:t>
      </w:r>
      <w:hyperlink w:anchor="b147" w:history="1">
        <w:r>
          <w:rPr>
            <w:color w:val="0A3A8C"/>
            <w:u w:val="single"/>
          </w:rPr>
          <w:t xml:space="preserve">§ 39</w:t>
        </w:r>
      </w:hyperlink>
      <w:r>
        <w:t xml:space="preserve"> Absatz 6 Satz 3 sind. </w:t>
      </w:r>
      <w:r>
        <w:rPr>
          <w:rStyle w:val="Satznummer"/>
        </w:rPr>
        <w:t>2</w:t>
      </w:r>
      <w:hyperlink w:anchor="b148" w:history="1">
        <w:r>
          <w:rPr>
            <w:color w:val="0A3A8C"/>
            <w:u w:val="single"/>
          </w:rPr>
          <w:t xml:space="preserve">§ 39a</w:t>
        </w:r>
      </w:hyperlink>
      <w:r>
        <w:t xml:space="preserve"> ist anzuwenden mit der Maßgabe, dass ein Antrag nach amtlich vorgeschriebenem Vordruck (</w:t>
      </w:r>
      <w:hyperlink w:anchor="b148" w:history="1">
        <w:r>
          <w:rPr>
            <w:color w:val="0A3A8C"/>
            <w:u w:val="single"/>
          </w:rPr>
          <w:t xml:space="preserve">§ 39a</w:t>
        </w:r>
      </w:hyperlink>
      <w:r>
        <w:t xml:space="preserve"> Absatz 2) nur erforderlich ist, wenn bei der Faktorermittlung zugleich Beträge nach </w:t>
      </w:r>
      <w:hyperlink w:anchor="b148" w:history="1">
        <w:r>
          <w:rPr>
            <w:color w:val="0A3A8C"/>
            <w:u w:val="single"/>
          </w:rPr>
          <w:t xml:space="preserve">§ 39a</w:t>
        </w:r>
      </w:hyperlink>
      <w:r>
        <w:t xml:space="preserve"> Absatz 1 Satz 1 Nummer 1 bis 6 berücksichtigt werden sollen.</w:t>
      </w:r>
    </w:p>
    <w:p>
      <w:r>
        <w:t>(4) Das Faktorverfahren ist im Programmablaufplan für die maschinelle Berechnung der Lohnsteuer (</w:t>
      </w:r>
      <w:hyperlink w:anchor="b149" w:history="1">
        <w:r>
          <w:rPr>
            <w:color w:val="0A3A8C"/>
            <w:u w:val="single"/>
          </w:rPr>
          <w:t xml:space="preserve">§ 39b</w:t>
        </w:r>
      </w:hyperlink>
      <w:r>
        <w:t xml:space="preserve"> Absatz 6) zu berücksichtigen.</w:t>
      </w:r>
    </w:p>
    <w:p>
      <w:pPr>
        <w:pStyle w:val="Heading3"/>
      </w:pPr>
      <w:bookmarkStart w:id="155" w:name="b154"/>
      <w:r>
        <w:t>§ 40 Pauschalierung der Lohnsteuer in besonderen Fällen</w:t>
      </w:r>
      <w:r>
        <w:t xml:space="preserve"> </w:t>
      </w:r>
      <w:r>
        <w:rPr>
          <w:rStyle w:val="Suchmarke"/>
        </w:rPr>
        <w:t>#40#</w:t>
      </w:r>
      <w:bookmarkEnd w:id="155"/>
    </w:p>
    <w:p>
      <w:r>
        <w:t xml:space="preserve">(1) </w:t>
      </w:r>
      <w:r>
        <w:rPr>
          <w:rStyle w:val="Satznummer"/>
        </w:rPr>
        <w:t>1</w:t>
      </w:r>
      <w:r>
        <w:t>Das Betriebsstättenfinanzamt (</w:t>
      </w:r>
      <w:hyperlink w:anchor="b158" w:history="1">
        <w:r>
          <w:rPr>
            <w:color w:val="0A3A8C"/>
            <w:u w:val="single"/>
          </w:rPr>
          <w:t xml:space="preserve">§ 41a</w:t>
        </w:r>
      </w:hyperlink>
      <w:r>
        <w:t xml:space="preserve"> Absatz 1 Satz 1 Nummer 1) kann auf Antrag des Arbeitgebers zulassen, dass die Lohnsteuer mit einem unter Berücksichtigung der Vorschriften des </w:t>
      </w:r>
      <w:hyperlink w:anchor="b145" w:history="1">
        <w:r>
          <w:rPr>
            <w:color w:val="0A3A8C"/>
            <w:u w:val="single"/>
          </w:rPr>
          <w:t xml:space="preserve">§ 38a</w:t>
        </w:r>
      </w:hyperlink>
      <w:r>
        <w:t xml:space="preserve"> zu ermittelnden Pauschsteuersatz erhoben wird, soweit</w:t>
      </w:r>
    </w:p>
    <w:p>
      <w:pPr>
        <w:tabs>
          <w:tab w:pos="567" w:val="left"/>
        </w:tabs>
        <w:ind w:left="567" w:hanging="567"/>
      </w:pPr>
      <w:r>
        <w:t>1.</w:t>
      </w:r>
      <w:r>
        <w:tab/>
      </w:r>
      <w:r>
        <w:t>von dem Arbeitgeber sonstige Bezüge in einer größeren Zahl von Fällen gewährt werden oder</w:t>
      </w:r>
    </w:p>
    <w:p>
      <w:pPr>
        <w:tabs>
          <w:tab w:pos="567" w:val="left"/>
        </w:tabs>
        <w:ind w:left="567" w:hanging="567"/>
      </w:pPr>
      <w:r>
        <w:t>2.</w:t>
      </w:r>
      <w:r>
        <w:tab/>
      </w:r>
      <w:r>
        <w:t>in einer größeren Zahl von Fällen Lohnsteuer nachzuerheben ist, weil der Arbeitgeber die Lohnsteuer nicht vorschriftsmäßig einbehalten hat.</w:t>
      </w:r>
    </w:p>
    <w:p>
      <w:r>
        <w:rPr>
          <w:rStyle w:val="Satznummer"/>
        </w:rPr>
        <w:t>2</w:t>
      </w:r>
      <w:r>
        <w:t xml:space="preserve">Bei der Ermittlung des Pauschsteuersatzes ist zu berücksichtigen, dass die in Absatz 3 vorgeschriebene Übernahme der pauschalen Lohnsteuer durch den Arbeitgeber für den Arbeitnehmer eine in Geldeswert bestehende Einnahme im Sinne des </w:t>
      </w:r>
      <w:hyperlink w:anchor="b45" w:history="1">
        <w:r>
          <w:rPr>
            <w:color w:val="0A3A8C"/>
            <w:u w:val="single"/>
          </w:rPr>
          <w:t xml:space="preserve">§ 8</w:t>
        </w:r>
      </w:hyperlink>
      <w:r>
        <w:t xml:space="preserve"> Absatz 1 darstellt (Nettosteuersatz). </w:t>
      </w:r>
      <w:r>
        <w:rPr>
          <w:rStyle w:val="Satznummer"/>
        </w:rPr>
        <w:t>3</w:t>
      </w:r>
      <w:r>
        <w:t xml:space="preserve">Die Pauschalierung ist in den Fällen des Satzes 1 Nummer 1 ausgeschlossen, soweit der Arbeitgeber einem Arbeitnehmer sonstige Bezüge von mehr als 1 000 Euro im Kalenderjahr gewährt. </w:t>
      </w:r>
      <w:r>
        <w:rPr>
          <w:rStyle w:val="Satznummer"/>
        </w:rPr>
        <w:t>4</w:t>
      </w:r>
      <w:r>
        <w:t>Der Arbeitgeber hat dem Antrag eine Berechnung beizufügen, aus der sich der durchschnittliche Steuersatz unter Zugrundelegung der durchschnittlichen Jahresarbeitslöhne und der durchschnittlichen Jahreslohnsteuer in jeder Steuerklasse für diejenigen Arbeitnehmer ergibt, denen die Bezüge gewährt werden sollen oder gewährt worden sind.</w:t>
      </w:r>
    </w:p>
    <w:p>
      <w:r>
        <w:t xml:space="preserve">(2) </w:t>
      </w:r>
      <w:r>
        <w:rPr>
          <w:rStyle w:val="Satznummer"/>
        </w:rPr>
        <w:t>1</w:t>
      </w:r>
      <w:r>
        <w:t>Abweichend von Absatz 1 kann der Arbeitgeber die Lohnsteuer mit einem Pauschsteuersatz von 25 Prozent erheben, soweit er</w:t>
      </w:r>
    </w:p>
    <w:p>
      <w:pPr>
        <w:tabs>
          <w:tab w:pos="567" w:val="left"/>
        </w:tabs>
        <w:ind w:left="567" w:hanging="567"/>
      </w:pPr>
      <w:r>
        <w:t>1.</w:t>
      </w:r>
      <w:r>
        <w:tab/>
      </w:r>
      <w:r>
        <w:t xml:space="preserve">arbeitstäglich Mahlzeiten im Betrieb an die Arbeitnehmer unentgeltlich oder verbilligt abgibt oder Barzuschüsse an ein anderes Unternehmen leistet, das arbeitstäglich Mahlzeiten an die Arbeitnehmer unentgeltlich oder verbilligt abgibt. </w:t>
      </w:r>
      <w:r>
        <w:rPr>
          <w:rStyle w:val="Satznummer"/>
        </w:rPr>
        <w:t>2</w:t>
      </w:r>
      <w:r>
        <w:t>Voraussetzung ist, dass die Mahlzeiten nicht als Lohnbestandteile vereinbart sind,</w:t>
      </w:r>
    </w:p>
    <w:p>
      <w:pPr>
        <w:tabs>
          <w:tab w:pos="567" w:val="left"/>
        </w:tabs>
        <w:ind w:left="567" w:hanging="567"/>
      </w:pPr>
      <w:r>
        <w:t>1a.</w:t>
      </w:r>
      <w:r>
        <w:tab/>
      </w:r>
      <w:r>
        <w:t xml:space="preserve">oder auf seine Veranlassung ein Dritter den Arbeitnehmern anlässlich einer beruflichen Tätigkeit außerhalb seiner Wohnung und ersten Tätigkeitsstätte Mahlzeiten zur Verfügung stellt, die nach </w:t>
      </w:r>
      <w:hyperlink w:anchor="b45" w:history="1">
        <w:r>
          <w:rPr>
            <w:color w:val="0A3A8C"/>
            <w:u w:val="single"/>
          </w:rPr>
          <w:t xml:space="preserve">§ 8</w:t>
        </w:r>
      </w:hyperlink>
      <w:r>
        <w:t xml:space="preserve"> Absatz 2 Satz 8 und 9 mit dem Sachbezugswert anzusetzen sind,</w:t>
      </w:r>
    </w:p>
    <w:p>
      <w:pPr>
        <w:tabs>
          <w:tab w:pos="567" w:val="left"/>
        </w:tabs>
        <w:ind w:left="567" w:hanging="567"/>
      </w:pPr>
      <w:r>
        <w:t>2.</w:t>
      </w:r>
      <w:r>
        <w:tab/>
      </w:r>
      <w:r>
        <w:t>Arbeitslohn aus Anlass von Betriebsveranstaltungen zahlt, wenn die Teilnahme an der Betriebsveranstaltung allen Angehörigen des Betriebs oder eines Betriebsteils offensteht,</w:t>
      </w:r>
    </w:p>
    <w:p>
      <w:pPr>
        <w:tabs>
          <w:tab w:pos="567" w:val="left"/>
        </w:tabs>
        <w:ind w:left="567" w:hanging="567"/>
      </w:pPr>
      <w:r>
        <w:t>3.</w:t>
      </w:r>
      <w:r>
        <w:tab/>
      </w:r>
      <w:r>
        <w:t>Erholungsbeihilfen gewährt, wenn diese zusammen mit Erholungsbeihilfen, die in demselben Kalenderjahr früher gewährt worden sind, 156 Euro für den Arbeitnehmer, 104 Euro für dessen Ehegatten und 52 Euro für jedes Kind nicht übersteigen und der Arbeitgeber sicherstellt, dass die Beihilfen zu Erholungszwecken verwendet werden,</w:t>
      </w:r>
    </w:p>
    <w:p>
      <w:pPr>
        <w:tabs>
          <w:tab w:pos="567" w:val="left"/>
        </w:tabs>
        <w:ind w:left="567" w:hanging="567"/>
      </w:pPr>
      <w:r>
        <w:t>4.</w:t>
      </w:r>
      <w:r>
        <w:tab/>
      </w:r>
      <w:r>
        <w:t xml:space="preserve">Vergütungen für Verpflegungsmehraufwendungen anlässlich einer Tätigkeit im Sinne des </w:t>
      </w:r>
      <w:hyperlink w:anchor="b46" w:history="1">
        <w:r>
          <w:rPr>
            <w:color w:val="0A3A8C"/>
            <w:u w:val="single"/>
          </w:rPr>
          <w:t xml:space="preserve">§ 9</w:t>
        </w:r>
      </w:hyperlink>
      <w:r>
        <w:t xml:space="preserve"> Absatz 4a Satz 2 oder Satz 4 zahlt, soweit die Vergütungen die nach </w:t>
      </w:r>
      <w:hyperlink w:anchor="b46" w:history="1">
        <w:r>
          <w:rPr>
            <w:color w:val="0A3A8C"/>
            <w:u w:val="single"/>
          </w:rPr>
          <w:t xml:space="preserve">§ 9</w:t>
        </w:r>
      </w:hyperlink>
      <w:r>
        <w:t xml:space="preserve"> Absatz 4a Satz 3, 5 und 6 zustehenden Pauschalen um nicht mehr als 100 Prozent übersteigen,</w:t>
      </w:r>
    </w:p>
    <w:p>
      <w:pPr>
        <w:tabs>
          <w:tab w:pos="567" w:val="left"/>
        </w:tabs>
        <w:ind w:left="567" w:hanging="567"/>
      </w:pPr>
      <w:r>
        <w:t>5.</w:t>
      </w:r>
      <w:r>
        <w:tab/>
      </w:r>
      <w:r>
        <w:t xml:space="preserve">den Arbeitnehmern zusätzlich zum ohnehin geschuldeten Arbeitslohn unentgeltlich oder verbilligt Datenverarbeitungsgeräte übereignet; das gilt auch für Zubehör und Internetzugang. </w:t>
      </w:r>
      <w:r>
        <w:rPr>
          <w:rStyle w:val="Satznummer"/>
        </w:rPr>
        <w:t>2</w:t>
      </w:r>
      <w:r>
        <w:t>Das Gleiche gilt für Zuschüsse des Arbeitgebers, die zusätzlich zum ohnehin geschuldeten Arbeitslohn zu den Aufwendungen des Arbeitnehmers für die Internetnutzung gezahlt werden,</w:t>
      </w:r>
    </w:p>
    <w:p>
      <w:pPr>
        <w:tabs>
          <w:tab w:pos="567" w:val="left"/>
        </w:tabs>
        <w:ind w:left="567" w:hanging="567"/>
      </w:pPr>
      <w:r>
        <w:t>6.</w:t>
      </w:r>
      <w:r>
        <w:tab/>
      </w:r>
      <w:r>
        <w:t xml:space="preserve">den Arbeitnehmern zusätzlich zum ohnehin geschuldeten Arbeitslohn unentgeltlich oder verbilligt die Ladevorrichtung für Elektrofahrzeuge oder Hybridelektrofahrzeuge im Sinne des </w:t>
      </w:r>
      <w:hyperlink w:anchor="b28" w:history="1">
        <w:r>
          <w:rPr>
            <w:color w:val="0A3A8C"/>
            <w:u w:val="single"/>
          </w:rPr>
          <w:t xml:space="preserve">§ 6</w:t>
        </w:r>
      </w:hyperlink>
      <w:r>
        <w:t xml:space="preserve"> Absatz 1 Nummer 4 Satz 2 zweiter Halbsatz übereignet. </w:t>
      </w:r>
      <w:r>
        <w:rPr>
          <w:rStyle w:val="Satznummer"/>
        </w:rPr>
        <w:t>2</w:t>
      </w:r>
      <w:r>
        <w:t>Das Gleiche gilt für Zuschüsse des Arbeitgebers, die zusätzlich zum ohnehin geschuldeten Arbeitslohn zu den Aufwendungen des Arbeitnehmers für den Erwerb und die Nutzung dieser Ladevorrichtung gezahlt werden,</w:t>
      </w:r>
    </w:p>
    <w:p>
      <w:pPr>
        <w:tabs>
          <w:tab w:pos="567" w:val="left"/>
        </w:tabs>
        <w:ind w:left="567" w:hanging="567"/>
      </w:pPr>
      <w:r>
        <w:t>7.</w:t>
      </w:r>
      <w:r>
        <w:tab/>
      </w:r>
      <w:r>
        <w:t xml:space="preserve">den Arbeitnehmern zusätzlich zum ohnehin geschuldeten Arbeitslohn unentgeltlich oder verbilligt ein betriebliches Fahrrad, das kein Kraftfahrzeug im Sinne des </w:t>
      </w:r>
      <w:hyperlink w:anchor="b28" w:history="1">
        <w:r>
          <w:rPr>
            <w:color w:val="0A3A8C"/>
            <w:u w:val="single"/>
          </w:rPr>
          <w:t xml:space="preserve">§ 6</w:t>
        </w:r>
      </w:hyperlink>
      <w:r>
        <w:t xml:space="preserve"> Absatz 1 Nummer 4 Satz 2 ist, übereignet.</w:t>
      </w:r>
    </w:p>
    <w:p>
      <w:r>
        <w:rPr>
          <w:rStyle w:val="Satznummer"/>
        </w:rPr>
        <w:t>2</w:t>
      </w:r>
      <w:r>
        <w:t>Der Arbeitgeber kann die Lohnsteuer mit folgenden Pauschsteuersätzen erheben:</w:t>
      </w:r>
    </w:p>
    <w:p>
      <w:pPr>
        <w:tabs>
          <w:tab w:pos="567" w:val="left"/>
        </w:tabs>
        <w:ind w:left="567" w:hanging="567"/>
      </w:pPr>
      <w:r>
        <w:t>1.</w:t>
      </w:r>
      <w:r>
        <w:tab/>
      </w:r>
      <w:r>
        <w:t xml:space="preserve">mit einem Pauschsteuersatz von 15 Prozent für die nicht nach </w:t>
      </w:r>
      <w:hyperlink w:anchor="b8" w:history="1">
        <w:r>
          <w:rPr>
            <w:color w:val="0A3A8C"/>
            <w:u w:val="single"/>
          </w:rPr>
          <w:t xml:space="preserve">§ 3</w:t>
        </w:r>
      </w:hyperlink>
      <w:r>
        <w:t xml:space="preserve"> Nummer 15 steuerfreien</w:t>
      </w:r>
    </w:p>
    <w:p>
      <w:pPr>
        <w:tabs>
          <w:tab w:pos="1134" w:val="left"/>
        </w:tabs>
        <w:ind w:left="1134" w:hanging="567"/>
      </w:pPr>
      <w:r>
        <w:t>a)</w:t>
      </w:r>
      <w:r>
        <w:tab/>
      </w:r>
      <w:r>
        <w:t xml:space="preserve">Sachbezüge in Form einer unentgeltlichen oder verbilligten Beförderung eines Arbeitnehmers zwischen Wohnung und erster Tätigkeitsstätte sowie Fahrten nach </w:t>
      </w:r>
      <w:hyperlink w:anchor="b46" w:history="1">
        <w:r>
          <w:rPr>
            <w:color w:val="0A3A8C"/>
            <w:u w:val="single"/>
          </w:rPr>
          <w:t xml:space="preserve">§ 9</w:t>
        </w:r>
      </w:hyperlink>
      <w:r>
        <w:t xml:space="preserve"> Absatz 1 Satz 3 Nummer 4a Satz 3 oder</w:t>
      </w:r>
    </w:p>
    <w:p>
      <w:pPr>
        <w:tabs>
          <w:tab w:pos="1134" w:val="left"/>
        </w:tabs>
        <w:ind w:left="1134" w:hanging="567"/>
      </w:pPr>
      <w:r>
        <w:t>b)</w:t>
      </w:r>
      <w:r>
        <w:tab/>
      </w:r>
      <w:r>
        <w:t xml:space="preserve">Zuschüsse zu den Aufwendungen des Arbeitnehmers für Fahrten zwischen Wohnung und erster Tätigkeitsstätte oder Fahrten nach </w:t>
      </w:r>
      <w:hyperlink w:anchor="b46" w:history="1">
        <w:r>
          <w:rPr>
            <w:color w:val="0A3A8C"/>
            <w:u w:val="single"/>
          </w:rPr>
          <w:t xml:space="preserve">§ 9</w:t>
        </w:r>
      </w:hyperlink>
      <w:r>
        <w:t xml:space="preserve"> Absatz 1 Satz 3 Nummer 4a Satz 3, die zusätzlich zum ohnehin geschuldeten Arbeitslohn geleistet werden,</w:t>
      </w:r>
    </w:p>
    <w:p>
      <w:pPr>
        <w:ind w:left="567"/>
      </w:pPr>
      <w:r>
        <w:t xml:space="preserve">soweit die Bezüge den Betrag nicht übersteigen, den der Arbeitnehmer nach </w:t>
      </w:r>
      <w:hyperlink w:anchor="b46" w:history="1">
        <w:r>
          <w:rPr>
            <w:color w:val="0A3A8C"/>
            <w:u w:val="single"/>
          </w:rPr>
          <w:t xml:space="preserve">§ 9</w:t>
        </w:r>
      </w:hyperlink>
      <w:r>
        <w:t xml:space="preserve"> Absatz 1 Satz 3 Nummer 4 und Absatz 2 als Werbungskosten geltend machen könnte, wenn die Bezüge nicht pauschal besteuert würden; diese pauschal besteuerten Bezüge mindern die nach </w:t>
      </w:r>
      <w:hyperlink w:anchor="b46" w:history="1">
        <w:r>
          <w:rPr>
            <w:color w:val="0A3A8C"/>
            <w:u w:val="single"/>
          </w:rPr>
          <w:t xml:space="preserve">§ 9</w:t>
        </w:r>
      </w:hyperlink>
      <w:r>
        <w:t xml:space="preserve"> Absatz 1 Satz 3 Nummer 4 Satz 2 und Absatz 2 abziehbaren Werbungskosten oder</w:t>
      </w:r>
    </w:p>
    <w:p>
      <w:pPr>
        <w:tabs>
          <w:tab w:pos="567" w:val="left"/>
        </w:tabs>
        <w:ind w:left="567" w:hanging="567"/>
      </w:pPr>
      <w:r>
        <w:t>2.</w:t>
      </w:r>
      <w:r>
        <w:tab/>
      </w:r>
      <w:r>
        <w:t xml:space="preserve">mit einem Pauschsteuersatz von 25 Prozent anstelle der Steuerfreiheit nach </w:t>
      </w:r>
      <w:hyperlink w:anchor="b8" w:history="1">
        <w:r>
          <w:rPr>
            <w:color w:val="0A3A8C"/>
            <w:u w:val="single"/>
          </w:rPr>
          <w:t xml:space="preserve">§ 3</w:t>
        </w:r>
      </w:hyperlink>
      <w:r>
        <w:t xml:space="preserve"> Nummer 15 einheitlich für alle dort genannten Bezüge eines Kalenderjahres, auch wenn die Bezüge dem Arbeitnehmer nicht zusätzlich zum ohnehin geschuldeten Arbeitslohn gewährt werden; für diese pauschal besteuerten Bezüge unterbleibt eine Minderung der nach </w:t>
      </w:r>
      <w:hyperlink w:anchor="b46" w:history="1">
        <w:r>
          <w:rPr>
            <w:color w:val="0A3A8C"/>
            <w:u w:val="single"/>
          </w:rPr>
          <w:t xml:space="preserve">§ 9</w:t>
        </w:r>
      </w:hyperlink>
      <w:r>
        <w:t xml:space="preserve"> Absatz 1 Satz 3 Nummer 4 Satz 2 und Absatz 2 abziehbaren Werbungskosten oder</w:t>
      </w:r>
    </w:p>
    <w:p>
      <w:pPr>
        <w:tabs>
          <w:tab w:pos="567" w:val="left"/>
        </w:tabs>
        <w:ind w:left="567" w:hanging="567"/>
      </w:pPr>
      <w:r>
        <w:t>3.</w:t>
      </w:r>
      <w:r>
        <w:tab/>
      </w:r>
      <w:r>
        <w:t xml:space="preserve">mit einem Pauschsteuersatz von 25 Prozent für die Freifahrtberechtigungen, die Soldaten nach § 30 Absatz 6 des Soldatengesetzes erhalten; für diese pauschal besteuerten Bezüge unterbleibt eine Minderung der nach </w:t>
      </w:r>
      <w:hyperlink w:anchor="b46" w:history="1">
        <w:r>
          <w:rPr>
            <w:color w:val="0A3A8C"/>
            <w:u w:val="single"/>
          </w:rPr>
          <w:t xml:space="preserve">§ 9</w:t>
        </w:r>
      </w:hyperlink>
      <w:r>
        <w:t xml:space="preserve"> Absatz 1 Satz 3 Nummer 4 Satz 2 sowie Nummer 5 Satz 6 abziehbaren Werbungskosten.</w:t>
      </w:r>
    </w:p>
    <w:p>
      <w:r>
        <w:rPr>
          <w:rStyle w:val="Satznummer"/>
        </w:rPr>
        <w:t>3</w:t>
      </w:r>
      <w:r>
        <w:t xml:space="preserve">Die nach Satz 2 pauschalbesteuerten Bezüge bleiben bei der Anwendung des </w:t>
      </w:r>
      <w:hyperlink w:anchor="b155" w:history="1">
        <w:r>
          <w:rPr>
            <w:color w:val="0A3A8C"/>
            <w:u w:val="single"/>
          </w:rPr>
          <w:t xml:space="preserve">§ 40a</w:t>
        </w:r>
      </w:hyperlink>
      <w:r>
        <w:t xml:space="preserve"> Absatz 1 bis 4 außer Ansatz. </w:t>
      </w:r>
      <w:r>
        <w:rPr>
          <w:rStyle w:val="Satznummer"/>
        </w:rPr>
        <w:t>4</w:t>
      </w:r>
      <w:r>
        <w:t>Bemessungsgrundlage der pauschalen Lohnsteuer sind in den Fällen des Satzes 2 Nummer 2 und 3 die Aufwendungen des Arbeitgebers einschließlich Umsatzsteuer.</w:t>
      </w:r>
    </w:p>
    <w:p>
      <w:r>
        <w:t xml:space="preserve">(3) </w:t>
      </w:r>
      <w:r>
        <w:rPr>
          <w:rStyle w:val="Satznummer"/>
        </w:rPr>
        <w:t>1</w:t>
      </w:r>
      <w:r>
        <w:t xml:space="preserve">Der Arbeitgeber hat die pauschale Lohnsteuer zu übernehmen. </w:t>
      </w:r>
      <w:r>
        <w:rPr>
          <w:rStyle w:val="Satznummer"/>
        </w:rPr>
        <w:t>2</w:t>
      </w:r>
      <w:r>
        <w:t xml:space="preserve">Er ist Schuldner der pauschalen Lohnsteuer; auf den Arbeitnehmer abgewälzte pauschale Lohnsteuer gilt als zugeflossener Arbeitslohn und mindert nicht die Bemessungsgrundlage. </w:t>
      </w:r>
      <w:r>
        <w:rPr>
          <w:rStyle w:val="Satznummer"/>
        </w:rPr>
        <w:t>3</w:t>
      </w:r>
      <w:r>
        <w:t xml:space="preserve">Der pauschal besteuerte Arbeitslohn und die pauschale Lohnsteuer bleiben bei einer Veranlagung zur Einkommensteuer und beim Lohnsteuer-Jahresausgleich außer Ansatz. </w:t>
      </w:r>
      <w:r>
        <w:rPr>
          <w:rStyle w:val="Satznummer"/>
        </w:rPr>
        <w:t>4</w:t>
      </w:r>
      <w:r>
        <w:t>Die pauschale Lohnsteuer ist weder auf die Einkommensteuer noch auf die Jahreslohnsteuer anzurechnen.</w:t>
      </w:r>
    </w:p>
    <w:p>
      <w:r>
        <w:t xml:space="preserve">(4) </w:t>
      </w:r>
      <w:r>
        <w:rPr>
          <w:rStyle w:val="Satznummer"/>
        </w:rPr>
        <w:t>1</w:t>
      </w:r>
      <w:r>
        <w:t xml:space="preserve">Das Pauschalierungswahlrecht des Arbeitgebers ist durch Übermittlung oder Abgabe einer Lohnsteuer-Anmeldung, in der die pauschale Lohnsteuer angegeben wird, auszuüben. </w:t>
      </w:r>
      <w:r>
        <w:rPr>
          <w:rStyle w:val="Satznummer"/>
        </w:rPr>
        <w:t>2</w:t>
      </w:r>
      <w:r>
        <w:t xml:space="preserve">Abweichend von Satz 1 kann der Arbeitgeber für den Prüfungszeitraum einer Lohnsteuer-Außenprüfung das Pauschalierungswahlrecht durch schriftliche oder elektronische Erklärung gegenüber dem Betriebsstättenfinanzamt ausüben. </w:t>
      </w:r>
      <w:r>
        <w:rPr>
          <w:rStyle w:val="Satznummer"/>
        </w:rPr>
        <w:t>3</w:t>
      </w:r>
      <w:r>
        <w:t xml:space="preserve">Die Erklärung nach Satz 2 ist spätestens bis zur Bestandskraft der auf Grund der Lohnsteuer-Außenprüfung erlassenen Bescheide abzugeben. </w:t>
      </w:r>
      <w:r>
        <w:rPr>
          <w:rStyle w:val="Satznummer"/>
        </w:rPr>
        <w:t>4</w:t>
      </w:r>
      <w:r>
        <w:t>Im Fall des Satzes 2 wird die pauschale Lohnsteuer vom Betriebsstättenfinanzamt durch Steuerbescheid festgesetzt.</w:t>
      </w:r>
    </w:p>
    <w:p>
      <w:pPr>
        <w:pStyle w:val="Heading3"/>
      </w:pPr>
      <w:bookmarkStart w:id="156" w:name="b155"/>
      <w:r>
        <w:t>§ 40a Pauschalierung der Lohnsteuer für Teilzeitbeschäftigte und geringfügig Beschäftigte</w:t>
      </w:r>
      <w:r>
        <w:t xml:space="preserve"> </w:t>
      </w:r>
      <w:r>
        <w:rPr>
          <w:rStyle w:val="Suchmarke"/>
        </w:rPr>
        <w:t>#40a#</w:t>
      </w:r>
      <w:bookmarkEnd w:id="156"/>
    </w:p>
    <w:p>
      <w:r>
        <w:t xml:space="preserve">(1) </w:t>
      </w:r>
      <w:r>
        <w:rPr>
          <w:rStyle w:val="Satznummer"/>
        </w:rPr>
        <w:t>1</w:t>
      </w:r>
      <w:r>
        <w:t>Der Arbeitgeber kann unter Verzicht auf den Abruf von elektronischen Lohnsteuerabzugsmerkmalen (</w:t>
      </w:r>
      <w:hyperlink w:anchor="b152" w:history="1">
        <w:r>
          <w:rPr>
            <w:color w:val="0A3A8C"/>
            <w:u w:val="single"/>
          </w:rPr>
          <w:t xml:space="preserve">§ 39e</w:t>
        </w:r>
      </w:hyperlink>
      <w:r>
        <w:t xml:space="preserve"> Absatz 4 Satz 2) oder die Vorlage einer Bescheinigung für den Lohnsteuerabzug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oder Absatz 8) bei Arbeitnehmern, die nur kurzfristig beschäftigt werden, die Lohnsteuer mit einem Pauschsteuersatz von 25 Prozent des Arbeitslohns erheben. </w:t>
      </w:r>
      <w:r>
        <w:rPr>
          <w:rStyle w:val="Satznummer"/>
        </w:rPr>
        <w:t>2</w:t>
      </w:r>
      <w:r>
        <w:t>Eine kurzfristige Beschäftigung liegt vor, wenn der Arbeitnehmer bei dem Arbeitgeber gelegentlich, nicht regelmäßig wiederkehrend beschäftigt wird, die Dauer der Beschäftigung 18 zusammenhängende Arbeitstage nicht übersteigt und</w:t>
      </w:r>
    </w:p>
    <w:p>
      <w:pPr>
        <w:tabs>
          <w:tab w:pos="567" w:val="left"/>
        </w:tabs>
        <w:ind w:left="567" w:hanging="567"/>
      </w:pPr>
      <w:r>
        <w:t>1.</w:t>
      </w:r>
      <w:r>
        <w:tab/>
      </w:r>
      <w:r>
        <w:t>der Arbeitslohn während der Beschäftigungsdauer 150 Euro durchschnittlich je Arbeitstag nicht übersteigt oder</w:t>
      </w:r>
    </w:p>
    <w:p>
      <w:pPr>
        <w:tabs>
          <w:tab w:pos="567" w:val="left"/>
        </w:tabs>
        <w:ind w:left="567" w:hanging="567"/>
      </w:pPr>
      <w:r>
        <w:t>2.</w:t>
      </w:r>
      <w:r>
        <w:tab/>
      </w:r>
      <w:r>
        <w:t>die Beschäftigung zu einem unvorhersehbaren Zeitpunkt sofort erforderlich wird.</w:t>
      </w:r>
    </w:p>
    <w:p>
      <w:r>
        <w:t>(2) Der Arbeitgeber kann unter Verzicht auf den Abruf von elektronischen Lohnsteuerabzugsmerkmalen (</w:t>
      </w:r>
      <w:hyperlink w:anchor="b152" w:history="1">
        <w:r>
          <w:rPr>
            <w:color w:val="0A3A8C"/>
            <w:u w:val="single"/>
          </w:rPr>
          <w:t xml:space="preserve">§ 39e</w:t>
        </w:r>
      </w:hyperlink>
      <w:r>
        <w:t xml:space="preserve"> Absatz 4 Satz 2) oder die Vorlage einer Bescheinigung für den Lohnsteuerabzug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oder Absatz 8) die Lohnsteuer einschließlich Solidaritätszuschlag und Kirchensteuern (einheitliche Pauschsteuer) für das Arbeitsentgelt aus geringfügigen Beschäftigungen im Sinne des </w:t>
      </w:r>
      <w:hyperlink w:anchor="b45" w:history="1">
        <w:r>
          <w:rPr>
            <w:color w:val="0A3A8C"/>
            <w:u w:val="single"/>
          </w:rPr>
          <w:t xml:space="preserve">§ 8</w:t>
        </w:r>
      </w:hyperlink>
      <w:r>
        <w:t xml:space="preserve"> Absatz 1 Nummer 1 oder des § 8a des Vierten Buches Sozialgesetzbuch, für das er Beiträge nach § 168 Absatz 1 Nummer 1b oder 1c (geringfügig versicherungspflichtig Beschäftigte) oder nach § 172 Absatz 3 oder 3a (versicherungsfrei oder von der Versicherungspflicht befreite geringfügig Beschäftigte) oder nach § 276a Absatz 1 (versicherungsfrei geringfügig Beschäftigte) des Sechsten Buches Sozialgesetzbuch zu entrichten hat, mit einem einheitlichen Pauschsteuersatz in Höhe von insgesamt 2 Prozent des Arbeitsentgelts erheben.</w:t>
      </w:r>
    </w:p>
    <w:p>
      <w:r>
        <w:t>(2a) Hat der Arbeitgeber in den Fällen des Absatzes 2 keine Beiträge nach § 168 Absatz 1 Nummer 1b oder 1c oder nach § 172 Absatz 3 oder 3a oder nach § 276a Absatz 1 des Sechsten Buches Sozialgesetzbuch zu entrichten, kann er unter Verzicht auf den Abruf von elektronischen Lohnsteuerabzugsmerkmalen (</w:t>
      </w:r>
      <w:hyperlink w:anchor="b152" w:history="1">
        <w:r>
          <w:rPr>
            <w:color w:val="0A3A8C"/>
            <w:u w:val="single"/>
          </w:rPr>
          <w:t xml:space="preserve">§ 39e</w:t>
        </w:r>
      </w:hyperlink>
      <w:r>
        <w:t xml:space="preserve"> Absatz 4 Satz 2) oder die Vorlage einer Bescheinigung für den Lohnsteuerabzug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oder Absatz 8) die Lohnsteuer mit einem Pauschsteuersatz in Höhe von 20 Prozent des Arbeitsentgelts erheben.</w:t>
      </w:r>
    </w:p>
    <w:p>
      <w:r>
        <w:t xml:space="preserve">(3) </w:t>
      </w:r>
      <w:r>
        <w:rPr>
          <w:rStyle w:val="Satznummer"/>
        </w:rPr>
        <w:t>1</w:t>
      </w:r>
      <w:r>
        <w:t>Abweichend von den Absätzen 1 und 2a kann der Arbeitgeber unter Verzicht auf den Abruf von elektronischen Lohnsteuerabzugsmerkmalen (</w:t>
      </w:r>
      <w:hyperlink w:anchor="b152" w:history="1">
        <w:r>
          <w:rPr>
            <w:color w:val="0A3A8C"/>
            <w:u w:val="single"/>
          </w:rPr>
          <w:t xml:space="preserve">§ 39e</w:t>
        </w:r>
      </w:hyperlink>
      <w:r>
        <w:t xml:space="preserve"> Absatz 4 Satz 2) oder die Vorlage einer Bescheinigung für den Lohnsteuerabzug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oder Absatz 8) bei Aushilfskräften, die in Betrieben der Land- und Forstwirtschaft im Sinne des </w:t>
      </w:r>
      <w:hyperlink w:anchor="b69" w:history="1">
        <w:r>
          <w:rPr>
            <w:color w:val="0A3A8C"/>
            <w:u w:val="single"/>
          </w:rPr>
          <w:t xml:space="preserve">§ 13</w:t>
        </w:r>
      </w:hyperlink>
      <w:r>
        <w:t xml:space="preserve"> Absatz 1 Nummer 1 bis 4 ausschließlich mit typisch land- oder forstwirtschaftlichen Arbeiten beschäftigt werden, die Lohnsteuer mit einem Pauschsteuersatz von 5 Prozent des Arbeitslohns erheben. </w:t>
      </w:r>
      <w:r>
        <w:rPr>
          <w:rStyle w:val="Satznummer"/>
        </w:rPr>
        <w:t>2</w:t>
      </w:r>
      <w:r>
        <w:t xml:space="preserve">Aushilfskräfte im Sinne dieser Vorschrift sind Personen, die für die Ausführung und für die Dauer von Arbeiten, die nicht ganzjährig anfallen, beschäftigt werden; eine Beschäftigung mit anderen land- und forstwirtschaftlichen Arbeiten ist unschädlich, wenn deren Dauer 25 Prozent der Gesamtbeschäftigungsdauer nicht überschreitet. </w:t>
      </w:r>
      <w:r>
        <w:rPr>
          <w:rStyle w:val="Satznummer"/>
        </w:rPr>
        <w:t>3</w:t>
      </w:r>
      <w:r>
        <w:t>Aushilfskräfte sind nicht Arbeitnehmer, die zu den land- und forstwirtschaftlichen Fachkräften gehören oder die der Arbeitgeber mehr als 180 Tage im Kalenderjahr beschäftigt.</w:t>
      </w:r>
    </w:p>
    <w:p>
      <w:r>
        <w:t>(4) Die Pauschalierungen nach den Absätzen 1 und 3 sind unzulässig</w:t>
      </w:r>
    </w:p>
    <w:p>
      <w:pPr>
        <w:tabs>
          <w:tab w:pos="567" w:val="left"/>
        </w:tabs>
        <w:ind w:left="567" w:hanging="567"/>
      </w:pPr>
      <w:r>
        <w:t>1.</w:t>
      </w:r>
      <w:r>
        <w:tab/>
      </w:r>
      <w:r>
        <w:t>bei Arbeitnehmern, deren Arbeitslohn während der Beschäftigungsdauer durchschnittlich je Arbeitsstunde 19 Euro übersteigt,</w:t>
      </w:r>
    </w:p>
    <w:p>
      <w:pPr>
        <w:tabs>
          <w:tab w:pos="567" w:val="left"/>
        </w:tabs>
        <w:ind w:left="567" w:hanging="567"/>
      </w:pPr>
      <w:r>
        <w:t>2.</w:t>
      </w:r>
      <w:r>
        <w:tab/>
      </w:r>
      <w:r>
        <w:t>bei Arbeitnehmern, die für eine andere Beschäftigung von demselben Arbeitgeber Arbeitslohn beziehen, der nach § 39b oder § 39c dem Lohnsteuerabzug unterworfen wird.</w:t>
      </w:r>
    </w:p>
    <w:p>
      <w:r>
        <w:t xml:space="preserve">(5) </w:t>
      </w:r>
      <w:r>
        <w:rPr>
          <w:rStyle w:val="Satznummer"/>
        </w:rPr>
        <w:t>1</w:t>
      </w:r>
      <w:r>
        <w:t xml:space="preserve">Auf die Pauschalierungen nach den Absätzen 1 bis 3 und 7 ist </w:t>
      </w:r>
      <w:hyperlink w:anchor="b154" w:history="1">
        <w:r>
          <w:rPr>
            <w:color w:val="0A3A8C"/>
            <w:u w:val="single"/>
          </w:rPr>
          <w:t xml:space="preserve">§ 40</w:t>
        </w:r>
      </w:hyperlink>
      <w:r>
        <w:t xml:space="preserve"> Absatz 3 anzuwenden. </w:t>
      </w:r>
      <w:r>
        <w:rPr>
          <w:rStyle w:val="Satznummer"/>
        </w:rPr>
        <w:t>2</w:t>
      </w:r>
      <w:r>
        <w:t xml:space="preserve">Auf die Pauschalierungen nach den Absätzen 1, 2a, 3 und 7 ist </w:t>
      </w:r>
      <w:hyperlink w:anchor="b154" w:history="1">
        <w:r>
          <w:rPr>
            <w:color w:val="0A3A8C"/>
            <w:u w:val="single"/>
          </w:rPr>
          <w:t xml:space="preserve">§ 40</w:t>
        </w:r>
      </w:hyperlink>
      <w:r>
        <w:t xml:space="preserve"> Absatz 4 entsprechend anzuwenden.</w:t>
      </w:r>
    </w:p>
    <w:p>
      <w:r>
        <w:t xml:space="preserve">(6) </w:t>
      </w:r>
      <w:r>
        <w:rPr>
          <w:rStyle w:val="Satznummer"/>
        </w:rPr>
        <w:t>1</w:t>
      </w:r>
      <w:r>
        <w:t xml:space="preserve">Für die Erhebung der einheitlichen Pauschsteuer nach Absatz 2 ist die Deutsche Rentenversicherung Knappschaft-Bahn-See zuständig. </w:t>
      </w:r>
      <w:r>
        <w:rPr>
          <w:rStyle w:val="Satznummer"/>
        </w:rPr>
        <w:t>2</w:t>
      </w:r>
      <w:r>
        <w:t xml:space="preserve">Die Regelungen zum Steuerabzug vom Arbeitslohn sind entsprechend anzuwenden. </w:t>
      </w:r>
      <w:r>
        <w:rPr>
          <w:rStyle w:val="Satznummer"/>
        </w:rPr>
        <w:t>3</w:t>
      </w:r>
      <w:r>
        <w:t xml:space="preserve">Für die Anmeldung, Abführung und Vollstreckung der einheitlichen Pauschsteuer sowie die Erhebung eines Säumniszuschlags und das Mahnverfahren für die einheitliche Pauschsteuer gelten dabei die Regelungen für die Beiträge nach § 168 Absatz 1 Nummer 1b oder 1c oder nach § 172 Absatz 3 oder 3a oder nach § 276a Absatz 1 des Sechsten Buches Sozialgesetzbuch. </w:t>
      </w:r>
      <w:r>
        <w:rPr>
          <w:rStyle w:val="Satznummer"/>
        </w:rPr>
        <w:t>4</w:t>
      </w:r>
      <w:r>
        <w:t xml:space="preserve">Die Deutsche Rentenversicherung Knappschaft-Bahn-See hat die einheitliche Pauschsteuer auf die erhebungsberechtigten Körperschaften aufzuteilen; dabei entfallen aus Vereinfachungsgründen 90 Prozent der einheitlichen Pauschsteuer auf die Lohnsteuer, 5 Prozent auf den Solidaritätszuschlag und 5 Prozent auf die Kirchensteuern. </w:t>
      </w:r>
      <w:r>
        <w:rPr>
          <w:rStyle w:val="Satznummer"/>
        </w:rPr>
        <w:t>5</w:t>
      </w:r>
      <w:r>
        <w:t xml:space="preserve">Die erhebungsberechtigten Kirchen haben sich auf eine Aufteilung des Kirchensteueranteils zu verständigen und diesen der Deutschen Rentenversicherung Knappschaft-Bahn-See mitzuteilen. </w:t>
      </w:r>
      <w:r>
        <w:rPr>
          <w:rStyle w:val="Satznummer"/>
        </w:rPr>
        <w:t>6</w:t>
      </w:r>
      <w:r>
        <w:t>Die Deutsche Rentenversicherung Knappschaft-Bahn-See ist berechtigt, die einheitliche Pauschsteuer nach Absatz 2 zusammen mit den Sozialversicherungsbeiträgen beim Arbeitgeber einzuziehen.</w:t>
      </w:r>
    </w:p>
    <w:p>
      <w:r>
        <w:t xml:space="preserve">(7) </w:t>
      </w:r>
      <w:r>
        <w:rPr>
          <w:rStyle w:val="Satznummer"/>
        </w:rPr>
        <w:t>1</w:t>
      </w:r>
      <w:r>
        <w:t>Der Arbeitgeber kann unter Verzicht auf den Abruf von elektronischen Lohnsteuerabzugsmerkmalen (</w:t>
      </w:r>
      <w:hyperlink w:anchor="b152" w:history="1">
        <w:r>
          <w:rPr>
            <w:color w:val="0A3A8C"/>
            <w:u w:val="single"/>
          </w:rPr>
          <w:t xml:space="preserve">§ 39e</w:t>
        </w:r>
      </w:hyperlink>
      <w:r>
        <w:t xml:space="preserve"> Absatz 4 Satz 2) die Lohnsteuer für Bezüge von kurzfristigen, im Inland ausgeübten Tätigkeiten beschränkt steuerpflichtiger Arbeitnehmer, die einer ausländischen Betriebsstätte dieses Arbeitgebers zugeordnet sind, mit einem Pauschsteuersatz von 30 Prozent des Arbeitslohns erheben. </w:t>
      </w:r>
      <w:r>
        <w:rPr>
          <w:rStyle w:val="Satznummer"/>
        </w:rPr>
        <w:t>2</w:t>
      </w:r>
      <w:r>
        <w:t>Eine kurzfristige Tätigkeit im Sinne des Satzes 1 liegt nur vor, wenn die im Inland ausgeübte Tätigkeit 18 zusammenhängende Arbeitstage nicht übersteigt.</w:t>
      </w:r>
    </w:p>
    <w:p>
      <w:pPr>
        <w:pStyle w:val="Heading3"/>
      </w:pPr>
      <w:bookmarkStart w:id="157" w:name="b156"/>
      <w:r>
        <w:t>§ 40b Pauschalierung der Lohnsteuer bei bestimmten Zukunftssicherungsleistungen</w:t>
      </w:r>
      <w:r>
        <w:t xml:space="preserve"> </w:t>
      </w:r>
      <w:r>
        <w:rPr>
          <w:rStyle w:val="Suchmarke"/>
        </w:rPr>
        <w:t>#40b#</w:t>
      </w:r>
      <w:bookmarkEnd w:id="157"/>
    </w:p>
    <w:p>
      <w:r>
        <w:t>(1) Der Arbeitgeber kann die Lohnsteuer von den Zuwendungen zum Aufbau einer nicht kapitalgedeckten betrieblichen Altersversorgung an eine Pensionskasse mit einem Pauschsteuersatz von 20 Prozent der Zuwendungen erheben.</w:t>
      </w:r>
    </w:p>
    <w:p>
      <w:r>
        <w:t xml:space="preserve">(2) </w:t>
      </w:r>
      <w:r>
        <w:rPr>
          <w:rStyle w:val="Satznummer"/>
        </w:rPr>
        <w:t>1</w:t>
      </w:r>
      <w:r>
        <w:t xml:space="preserve">Absatz 1 gilt nicht, soweit die zu besteuernden Zuwendungen des Arbeitgebers für den Arbeitnehmer 1 752 Euro im Kalenderjahr übersteigen oder nicht aus seinem ersten Dienstverhältnis bezogen werden. </w:t>
      </w:r>
      <w:r>
        <w:rPr>
          <w:rStyle w:val="Satznummer"/>
        </w:rPr>
        <w:t>2</w:t>
      </w:r>
      <w:r>
        <w:t xml:space="preserve">Sind mehrere Arbeitnehmer gemeinsam in der Pensionskasse versichert, so gilt als Zuwendung für den einzelnen Arbeitnehmer der Teilbetrag, der sich bei einer Aufteilung der gesamten Zuwendungen durch die Zahl der begünstigten Arbeitnehmer ergibt, wenn dieser Teilbetrag 1 752 Euro nicht übersteigt; hierbei sind Arbeitnehmer, für die Zuwendungen von mehr als 2 148 Euro im Kalenderjahr geleistet werden, nicht einzubeziehen. </w:t>
      </w:r>
      <w:r>
        <w:rPr>
          <w:rStyle w:val="Satznummer"/>
        </w:rPr>
        <w:t>3</w:t>
      </w:r>
      <w:r>
        <w:t xml:space="preserve">Für Zuwendungen, die der Arbeitgeber für den Arbeitnehmer aus Anlass der Beendigung des Dienstverhältnisses erbracht hat, vervielfältigt sich der Betrag von 1 752 Euro mit der Anzahl der Kalenderjahre, in denen das Dienstverhältnis des Arbeitnehmers zu dem Arbeitgeber bestanden hat; in diesem Fall ist Satz 2 nicht anzuwenden. </w:t>
      </w:r>
      <w:r>
        <w:rPr>
          <w:rStyle w:val="Satznummer"/>
        </w:rPr>
        <w:t>4</w:t>
      </w:r>
      <w:r>
        <w:t>Der vervielfältigte Betrag vermindert sich um die nach Absatz 1 pauschal besteuerten Zuwendungen, die der Arbeitgeber in dem Kalenderjahr, in dem das Dienstverhältnis beendet wird, und in den sechs vorangegangenen Kalenderjahren erbracht hat.</w:t>
      </w:r>
    </w:p>
    <w:p>
      <w:r>
        <w:t>(3) Von den Beiträgen für eine Unfallversicherung des Arbeitnehmers kann der Arbeitgeber die Lohnsteuer mit einem Pauschsteuersatz von 20 Prozent der Beiträge erheben, wenn mehrere Arbeitnehmer gemeinsam in einem Unfallversicherungsvertrag versichert sind.</w:t>
      </w:r>
    </w:p>
    <w:p>
      <w:r>
        <w:t xml:space="preserve">(4) In den Fällen des </w:t>
      </w:r>
      <w:hyperlink w:anchor="b83" w:history="1">
        <w:r>
          <w:rPr>
            <w:color w:val="0A3A8C"/>
            <w:u w:val="single"/>
          </w:rPr>
          <w:t xml:space="preserve">§ 19</w:t>
        </w:r>
      </w:hyperlink>
      <w:r>
        <w:t xml:space="preserve"> Absatz 1 Satz 1 Nummer 3 Satz 2 hat der Arbeitgeber die Lohnsteuer mit einem Pauschsteuersatz in Höhe von 15 Prozent der Sonderzahlungen zu erheben.</w:t>
      </w:r>
    </w:p>
    <w:p>
      <w:r>
        <w:t xml:space="preserve">(5) </w:t>
      </w:r>
      <w:r>
        <w:rPr>
          <w:rStyle w:val="Satznummer"/>
        </w:rPr>
        <w:t>1</w:t>
      </w:r>
      <w:hyperlink w:anchor="b154" w:history="1">
        <w:r>
          <w:rPr>
            <w:color w:val="0A3A8C"/>
            <w:u w:val="single"/>
          </w:rPr>
          <w:t xml:space="preserve">§ 40</w:t>
        </w:r>
      </w:hyperlink>
      <w:r>
        <w:t xml:space="preserve"> Absatz 3 und 4 ist anzuwenden. </w:t>
      </w:r>
      <w:r>
        <w:rPr>
          <w:rStyle w:val="Satznummer"/>
        </w:rPr>
        <w:t>2</w:t>
      </w:r>
      <w:r>
        <w:t xml:space="preserve">Die Anwendung des </w:t>
      </w:r>
      <w:hyperlink w:anchor="b154" w:history="1">
        <w:r>
          <w:rPr>
            <w:color w:val="0A3A8C"/>
            <w:u w:val="single"/>
          </w:rPr>
          <w:t xml:space="preserve">§ 40</w:t>
        </w:r>
      </w:hyperlink>
      <w:r>
        <w:t xml:space="preserve"> Absatz 1 Satz 1 Nummer 1 auf Bezüge im Sinne des Absatzes 1, des Absatzes 3 und des Absatzes 4 ist ausgeschlossen.</w:t>
      </w:r>
    </w:p>
    <w:p>
      <w:pPr>
        <w:pStyle w:val="Heading3"/>
      </w:pPr>
      <w:bookmarkStart w:id="158" w:name="b157"/>
      <w:r>
        <w:t>§ 41 Aufzeichnungspflichten beim Lohnsteuerabzug</w:t>
      </w:r>
      <w:r>
        <w:t xml:space="preserve"> </w:t>
      </w:r>
      <w:r>
        <w:rPr>
          <w:rStyle w:val="Suchmarke"/>
        </w:rPr>
        <w:t>#41#</w:t>
      </w:r>
      <w:bookmarkEnd w:id="158"/>
    </w:p>
    <w:p>
      <w:r>
        <w:t xml:space="preserve">(1) </w:t>
      </w:r>
      <w:r>
        <w:rPr>
          <w:rStyle w:val="Satznummer"/>
        </w:rPr>
        <w:t>1</w:t>
      </w:r>
      <w:r>
        <w:t xml:space="preserve">Der Arbeitgeber hat am Ort der Betriebsstätte (Absatz 2) für jeden Arbeitnehmer und jedes Kalenderjahr ein Lohnkonto zu führen. </w:t>
      </w:r>
      <w:r>
        <w:rPr>
          <w:rStyle w:val="Satznummer"/>
        </w:rPr>
        <w:t>2</w:t>
      </w:r>
      <w:r>
        <w:t xml:space="preserve">In das Lohnkonto sind die nach </w:t>
      </w:r>
      <w:hyperlink w:anchor="b152" w:history="1">
        <w:r>
          <w:rPr>
            <w:color w:val="0A3A8C"/>
            <w:u w:val="single"/>
          </w:rPr>
          <w:t xml:space="preserve">§ 39e</w:t>
        </w:r>
      </w:hyperlink>
      <w:r>
        <w:t xml:space="preserve"> Absatz 4 Satz 2 und Absatz 5 Satz 3 abgerufenen elektronischen Lohnsteuerabzugsmerkmale sowie die für den Lohnsteuerabzug erforderlichen Merkmale aus der vom Finanzamt ausgestellten Bescheinigung für den Lohnsteuerabzug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oder Absatz 8) zu übernehmen. </w:t>
      </w:r>
      <w:r>
        <w:rPr>
          <w:rStyle w:val="Satznummer"/>
        </w:rPr>
        <w:t>3</w:t>
      </w:r>
      <w:r>
        <w:t xml:space="preserve">Bei jeder Lohnzahlung für das Kalenderjahr, für das das Lohnkonto gilt, sind im Lohnkonto die Art und Höhe des gezahlten Arbeitslohns einschließlich der steuerfreien Bezüge sowie die einbehaltene oder übernommene Lohnsteuer einzutragen; an die Stelle der Lohnzahlung tritt in den Fällen des </w:t>
      </w:r>
      <w:hyperlink w:anchor="b149" w:history="1">
        <w:r>
          <w:rPr>
            <w:color w:val="0A3A8C"/>
            <w:u w:val="single"/>
          </w:rPr>
          <w:t xml:space="preserve">§ 39b</w:t>
        </w:r>
      </w:hyperlink>
      <w:r>
        <w:t xml:space="preserve"> Absatz 5 Satz 1 die Lohnabrechnung. </w:t>
      </w:r>
      <w:r>
        <w:rPr>
          <w:rStyle w:val="Satznummer"/>
        </w:rPr>
        <w:t>4</w:t>
      </w:r>
      <w:r>
        <w:t xml:space="preserve">Ferner sind das Kurzarbeitergeld, das Qualifizierungsgeld, der Zuschuss zum Mutterschaftsgeld nach dem Mutterschutzgesetz, der Zuschuss bei Beschäftigungsverboten für die Zeit vor oder nach einer Entbindung sowie für den Entbindungstag während einer Elternzeit nach beamtenrechtlichen Vorschriften, die Entschädigungen für Verdienstausfall nach dem Infektionsschutzgesetz, die nach </w:t>
      </w:r>
      <w:hyperlink w:anchor="b8" w:history="1">
        <w:r>
          <w:rPr>
            <w:color w:val="0A3A8C"/>
            <w:u w:val="single"/>
          </w:rPr>
          <w:t xml:space="preserve">§ 3</w:t>
        </w:r>
      </w:hyperlink>
      <w:r>
        <w:t xml:space="preserve"> Nummer 21 steuerfreien Einnahmen, die nach </w:t>
      </w:r>
      <w:hyperlink w:anchor="b8" w:history="1">
        <w:r>
          <w:rPr>
            <w:color w:val="0A3A8C"/>
            <w:u w:val="single"/>
          </w:rPr>
          <w:t xml:space="preserve">§ 3</w:t>
        </w:r>
      </w:hyperlink>
      <w:r>
        <w:t xml:space="preserve"> Nummer 28 steuerfreien Aufstockungsbeträge oder Zuschläge und die nach </w:t>
      </w:r>
      <w:hyperlink w:anchor="b8" w:history="1">
        <w:r>
          <w:rPr>
            <w:color w:val="0A3A8C"/>
            <w:u w:val="single"/>
          </w:rPr>
          <w:t xml:space="preserve">§ 3</w:t>
        </w:r>
      </w:hyperlink>
      <w:r>
        <w:t xml:space="preserve"> Nummer 28a steuerfreien Zuschüsse einzutragen. </w:t>
      </w:r>
      <w:r>
        <w:rPr>
          <w:rStyle w:val="Satznummer"/>
        </w:rPr>
        <w:t>5</w:t>
      </w:r>
      <w:r>
        <w:t xml:space="preserve">Ist während der Dauer des Dienstverhältnisses in anderen Fällen als in denen des Satzes 4 der Anspruch auf Arbeitslohn für mindestens fünf aufeinander folgende Arbeitstage im Wesentlichen weggefallen, so ist dies jeweils durch Eintragung des Großbuchstabens U zu vermerken. </w:t>
      </w:r>
      <w:r>
        <w:rPr>
          <w:rStyle w:val="Satznummer"/>
        </w:rPr>
        <w:t>6</w:t>
      </w:r>
      <w:r>
        <w:t xml:space="preserve">Hat der Arbeitgeber die Lohnsteuer von einem sonstigen Bezug im ersten Dienstverhältnis berechnet und ist dabei der Arbeitslohn aus früheren Dienstverhältnissen des Kalenderjahres außer Betracht geblieben, so ist dies durch Eintragung des Großbuchstabens S zu vermerken. </w:t>
      </w:r>
      <w:r>
        <w:rPr>
          <w:rStyle w:val="Satznummer"/>
        </w:rPr>
        <w:t>7</w:t>
      </w:r>
      <w:r>
        <w:t xml:space="preserve">Die Bundesregierung wird ermächtigt, durch Rechtsverordnung mit Zustimmung des Bundesrates vorzuschreiben, welche Einzelangaben im Lohnkonto aufzuzeichnen sind und Einzelheiten für eine elektronische Bereitstellung dieser Daten im Rahmen einer Lohnsteuer-Außenprüfung oder einer Lohnsteuer-Nachschau durch die Einrichtung einer einheitlichen digitalen Schnittstelle zu regeln. </w:t>
      </w:r>
      <w:r>
        <w:rPr>
          <w:rStyle w:val="Satznummer"/>
        </w:rPr>
        <w:t>8</w:t>
      </w:r>
      <w:r>
        <w:t xml:space="preserve">Dabei können für Arbeitnehmer mit geringem Arbeitslohn und für die Fälle der §§ 40 bis 40b Aufzeichnungserleichterungen sowie für steuerfreie Bezüge Aufzeichnungen außerhalb des Lohnkontos zugelassen werden. </w:t>
      </w:r>
      <w:r>
        <w:rPr>
          <w:rStyle w:val="Satznummer"/>
        </w:rPr>
        <w:t>9</w:t>
      </w:r>
      <w:r>
        <w:t xml:space="preserve">Die Lohnkonten sind bis zum Ablauf des sechsten Kalenderjahres, das auf die zuletzt eingetragene Lohnzahlung folgt, aufzubewahren. </w:t>
      </w:r>
      <w:r>
        <w:rPr>
          <w:rStyle w:val="Satznummer"/>
        </w:rPr>
        <w:t>10</w:t>
      </w:r>
      <w:r>
        <w:t>Die Aufbewahrungsfrist nach Satz 9 gilt abweichend von § 93c Absatz 1 Nummer 4 der Abgabenordnung auch für die dort genannten Aufzeichnungen und Unterlagen.</w:t>
      </w:r>
    </w:p>
    <w:p>
      <w:r>
        <w:t xml:space="preserve">(2) </w:t>
      </w:r>
      <w:r>
        <w:rPr>
          <w:rStyle w:val="Satznummer"/>
        </w:rPr>
        <w:t>1</w:t>
      </w:r>
      <w:r>
        <w:t xml:space="preserve">Betriebsstätte ist der Betrieb oder Teil des Betriebs des Arbeitgebers, in dem der für die Durchführung des Lohnsteuerabzugs maßgebende Arbeitslohn ermittelt wird. </w:t>
      </w:r>
      <w:r>
        <w:rPr>
          <w:rStyle w:val="Satznummer"/>
        </w:rPr>
        <w:t>2</w:t>
      </w:r>
      <w:r>
        <w:t xml:space="preserve">Wird der maßgebende Arbeitslohn nicht in dem Betrieb oder einem Teil des Betriebs des Arbeitgebers oder nicht im Inland ermittelt, so gilt als Betriebsstätte der Mittelpunkt der geschäftlichen Leitung des Arbeitgebers im Inland; im Fall des </w:t>
      </w:r>
      <w:hyperlink w:anchor="b144" w:history="1">
        <w:r>
          <w:rPr>
            <w:color w:val="0A3A8C"/>
            <w:u w:val="single"/>
          </w:rPr>
          <w:t xml:space="preserve">§ 38</w:t>
        </w:r>
      </w:hyperlink>
      <w:r>
        <w:t xml:space="preserve"> Absatz 1 Satz 1 Nummer 2 gilt als Betriebsstätte der Ort im Inland, an dem die Arbeitsleistung ganz oder vorwiegend stattfindet. </w:t>
      </w:r>
      <w:r>
        <w:rPr>
          <w:rStyle w:val="Satznummer"/>
        </w:rPr>
        <w:t>3</w:t>
      </w:r>
      <w:r>
        <w:t>Als Betriebsstätte gilt auch der inländische Heimathafen deutscher Handelsschiffe, wenn die Reederei im Inland keine Niederlassung hat.</w:t>
      </w:r>
    </w:p>
    <w:p>
      <w:pPr>
        <w:pStyle w:val="Heading3"/>
      </w:pPr>
      <w:bookmarkStart w:id="159" w:name="b158"/>
      <w:r>
        <w:t>§ 41a Anmeldung und Abführung der Lohnsteuer</w:t>
      </w:r>
      <w:r>
        <w:t xml:space="preserve"> </w:t>
      </w:r>
      <w:r>
        <w:rPr>
          <w:rStyle w:val="Suchmarke"/>
        </w:rPr>
        <w:t>#41a#</w:t>
      </w:r>
      <w:bookmarkEnd w:id="159"/>
    </w:p>
    <w:p>
      <w:r>
        <w:t xml:space="preserve">(1) </w:t>
      </w:r>
      <w:r>
        <w:rPr>
          <w:rStyle w:val="Satznummer"/>
        </w:rPr>
        <w:t>1</w:t>
      </w:r>
      <w:r>
        <w:t>Der Arbeitgeber hat spätestens am zehnten Tag nach Ablauf eines jeden Lohnsteuer-Anmeldungszeitraums</w:t>
      </w:r>
    </w:p>
    <w:p>
      <w:pPr>
        <w:tabs>
          <w:tab w:pos="567" w:val="left"/>
        </w:tabs>
        <w:ind w:left="567" w:hanging="567"/>
      </w:pPr>
      <w:r>
        <w:t>1.</w:t>
      </w:r>
      <w:r>
        <w:tab/>
      </w:r>
      <w:r>
        <w:t>dem Finanzamt, in dessen Bezirk sich die Betriebsstätte (</w:t>
      </w:r>
      <w:hyperlink w:anchor="b157" w:history="1">
        <w:r>
          <w:rPr>
            <w:color w:val="0A3A8C"/>
            <w:u w:val="single"/>
          </w:rPr>
          <w:t xml:space="preserve">§ 41</w:t>
        </w:r>
      </w:hyperlink>
      <w:r>
        <w:t xml:space="preserve"> Absatz 2) befindet (Betriebsstättenfinanzamt), eine Steuererklärung einzureichen, in der er die Summen der im Lohnsteuer-Anmeldungszeitraum einzubehaltenden und zu übernehmenden Lohnsteuer, getrennt nach den Kalenderjahren in denen der Arbeitslohn bezogen wird oder als bezogen gilt, angibt (Lohnsteuer-Anmeldung),</w:t>
      </w:r>
    </w:p>
    <w:p>
      <w:pPr>
        <w:tabs>
          <w:tab w:pos="567" w:val="left"/>
        </w:tabs>
        <w:ind w:left="567" w:hanging="567"/>
      </w:pPr>
      <w:r>
        <w:t>2.</w:t>
      </w:r>
      <w:r>
        <w:tab/>
      </w:r>
      <w:r>
        <w:t>die im Lohnsteuer-Anmeldungszeitraum insgesamt einbehaltene und übernommene Lohnsteuer an das Betriebsstättenfinanzamt abzuführen.</w:t>
      </w:r>
    </w:p>
    <w:p>
      <w:r>
        <w:rPr>
          <w:rStyle w:val="Satznummer"/>
        </w:rPr>
        <w:t>2</w:t>
      </w:r>
      <w:r>
        <w:t xml:space="preserve">Die Lohnsteuer-Anmeldung ist nach amtlich vorgeschriebenem Datensatz durch Datenfernübertragung zu übermitteln. </w:t>
      </w:r>
      <w:r>
        <w:rPr>
          <w:rStyle w:val="Satznummer"/>
        </w:rPr>
        <w:t>3</w:t>
      </w:r>
      <w:r>
        <w:t xml:space="preserve">Auf Antrag kann das Finanzamt zur Vermeidung unbilliger Härten auf eine elektronische Übermittlung verzichten; in diesem Fall ist die Lohnsteuer-Anmeldung nach amtlich vorgeschriebenem Vordruck abzugeben und vom Arbeitgeber oder von einer zu seiner Vertretung berechtigten Person zu unterschreiben. </w:t>
      </w:r>
      <w:r>
        <w:rPr>
          <w:rStyle w:val="Satznummer"/>
        </w:rPr>
        <w:t>4</w:t>
      </w:r>
      <w:r>
        <w:t>Der Arbeitgeber wird von der Verpflichtung zur Abgabe weiterer Lohnsteuer-Anmeldungen befreit, wenn er Arbeitnehmer, für die er Lohnsteuer einzubehalten oder zu übernehmen hat, nicht mehr beschäftigt und das dem Finanzamt mitteilt.</w:t>
      </w:r>
    </w:p>
    <w:p>
      <w:r>
        <w:t xml:space="preserve">(2) </w:t>
      </w:r>
      <w:r>
        <w:rPr>
          <w:rStyle w:val="Satznummer"/>
        </w:rPr>
        <w:t>1</w:t>
      </w:r>
      <w:r>
        <w:t xml:space="preserve">Lohnsteuer-Anmeldungszeitraum ist grundsätzlich der Kalendermonat. </w:t>
      </w:r>
      <w:r>
        <w:rPr>
          <w:rStyle w:val="Satznummer"/>
        </w:rPr>
        <w:t>2</w:t>
      </w:r>
      <w:r>
        <w:t xml:space="preserve">Lohnsteuer-Anmeldungszeitraum ist das Kalendervierteljahr, wenn die abzuführende Lohnsteuer für das vorangegangene Kalenderjahr mehr als 1 080 Euro, aber nicht mehr als 5 000 Euro betragen hat; Lohnsteuer-Anmeldungszeitraum ist das Kalenderjahr, wenn die abzuführende Lohnsteuer für das vorangegangene Kalenderjahr nicht mehr als 1 080 Euro betragen hat. </w:t>
      </w:r>
      <w:r>
        <w:rPr>
          <w:rStyle w:val="Satznummer"/>
        </w:rPr>
        <w:t>3</w:t>
      </w:r>
      <w:r>
        <w:t xml:space="preserve">Hat die Betriebsstätte nicht während des ganzen vorangegangenen Kalenderjahres bestanden, so ist die für das vorangegangene Kalenderjahr abzuführende Lohnsteuer für die Feststellung des Lohnsteuer-Anmeldungszeitraums auf einen Jahresbetrag umzurechnen. </w:t>
      </w:r>
      <w:r>
        <w:rPr>
          <w:rStyle w:val="Satznummer"/>
        </w:rPr>
        <w:t>4</w:t>
      </w:r>
      <w:r>
        <w:t>Wenn die Betriebsstätte im vorangegangenen Kalenderjahr noch nicht bestanden hat, ist die auf einen Jahresbetrag umgerechnete für den ersten vollen Kalendermonat nach der Eröffnung der Betriebsstätte abzuführende Lohnsteuer maßgebend.</w:t>
      </w:r>
    </w:p>
    <w:p>
      <w:r>
        <w:t xml:space="preserve">(3) </w:t>
      </w:r>
      <w:r>
        <w:rPr>
          <w:rStyle w:val="Satznummer"/>
        </w:rPr>
        <w:t>1</w:t>
      </w:r>
      <w:r>
        <w:t xml:space="preserve">Die oberste Finanzbehörde des Landes kann bestimmen, dass die Lohnsteuer nicht dem Betriebsstättenfinanzamt, sondern einer anderen öffentlichen Kasse anzumelden und an diese abzuführen ist; die Kasse erhält insoweit die Stellung einer Landesfinanzbehörde. </w:t>
      </w:r>
      <w:r>
        <w:rPr>
          <w:rStyle w:val="Satznummer"/>
        </w:rPr>
        <w:t>2</w:t>
      </w:r>
      <w:r>
        <w:t>Das Betriebsstättenfinanzamt oder die zuständige andere öffentliche Kasse können anordnen, dass die Lohnsteuer abweichend von dem nach Absatz 1 maßgebenden Zeitpunkt anzumelden und abzuführen ist, wenn die Abführung der Lohnsteuer nicht gesichert erscheint.</w:t>
      </w:r>
    </w:p>
    <w:p>
      <w:r>
        <w:t xml:space="preserve">(4) </w:t>
      </w:r>
      <w:r>
        <w:rPr>
          <w:rStyle w:val="Satznummer"/>
        </w:rPr>
        <w:t>1</w:t>
      </w:r>
      <w:r>
        <w:t xml:space="preserve">Arbeitgeber, die eigene oder gecharterte Handelsschiffe betreiben, dürfen die anzumeldende und abzuführende Lohnsteuer abziehen und einbehalten, die auf den Arbeitslohn entfällt, der an die Besatzungsmitglieder für die Beschäftigungszeiten auf diesen Schiffen gezahlt wird. </w:t>
      </w:r>
      <w:r>
        <w:rPr>
          <w:rStyle w:val="Satznummer"/>
        </w:rPr>
        <w:t>2</w:t>
      </w:r>
      <w:r>
        <w:t xml:space="preserve">Die Handelsschiffe müssen in einem Seeschiffsregister eines Mitgliedstaates der Europäischen Union oder eines Staates, auf den das Abkommen über den Europäischen Wirtschaftsraum anwendbar ist, eingetragen sein, die Flagge eines dieser Staaten führen und zur Beförderung von Personen oder Gütern im Verkehr mit oder zwischen ausländischen Häfen, innerhalb eines ausländischen Hafens oder zwischen einem ausländischen Hafen und der Hohen See betrieben werden. </w:t>
      </w:r>
      <w:r>
        <w:rPr>
          <w:rStyle w:val="Satznummer"/>
        </w:rPr>
        <w:t>3</w:t>
      </w:r>
      <w:r>
        <w:t xml:space="preserve">Die Sätze 1 und 2 sind entsprechend anzuwenden, wenn Seeschiffe im Wirtschaftsjahr überwiegend außerhalb der deutschen Hoheitsgewässer zum Schleppen, Bergen oder zur Aufsuchung von Bodenschätzen oder zur Vermessung von Energielagerstätten unter dem Meeresboden eingesetzt werden. </w:t>
      </w:r>
      <w:r>
        <w:rPr>
          <w:rStyle w:val="Satznummer"/>
        </w:rPr>
        <w:t>4</w:t>
      </w:r>
      <w:r>
        <w:t xml:space="preserve">Bei Besatzungsmitgliedern, die auf Schiffen, einschließlich Ro-Ro-Fahrgastschiffen, arbeiten, die im regelmäßigen Personenbeförderungsdienst zwischen Häfen im Hoheitsgebiet der Mitgliedstaaten der Europäischen Union eingesetzt werden, gelten die Sätze 1 und 2 nur, wenn die Besatzungsmitglieder Staatsangehörige eines Mitgliedstaates der Europäischen Union oder eines Staates sind, auf den das Abkommen über den Europäischen Wirtschaftsraum anwendbar ist. </w:t>
      </w:r>
      <w:r>
        <w:rPr>
          <w:rStyle w:val="Satznummer"/>
        </w:rPr>
        <w:t>5</w:t>
      </w:r>
      <w:r>
        <w:t xml:space="preserve">Bei Seeschiffen, die für Schlepp- und Baggerarbeiten genutzt werden, gelten die Sätze 1 und 2 nur, wenn es sich um seetüchtige Schlepper und Baggerschiffe mit Eigenantrieb handelt und die Schiffe während mindestens 50 Prozent ihrer Betriebszeit für Tätigkeiten auf See eingesetzt werden. </w:t>
      </w:r>
      <w:r>
        <w:rPr>
          <w:rStyle w:val="Satznummer"/>
        </w:rPr>
        <w:t>6</w:t>
      </w:r>
      <w:r>
        <w:t>Ist für den Lohnsteuerabzug die Lohnsteuer nach der Steuerklasse V oder VI zu ermitteln, bemisst sich der Betrag nach Satz 1 nach der Lohnsteuer der Steuerklasse I.</w:t>
      </w:r>
    </w:p>
    <w:p>
      <w:pPr>
        <w:pStyle w:val="Heading3"/>
      </w:pPr>
      <w:bookmarkStart w:id="160" w:name="b159"/>
      <w:r>
        <w:t>§ 41b Abschluss des Lohnsteuerabzugs</w:t>
      </w:r>
      <w:r>
        <w:t xml:space="preserve"> </w:t>
      </w:r>
      <w:r>
        <w:rPr>
          <w:rStyle w:val="Suchmarke"/>
        </w:rPr>
        <w:t>#41b#</w:t>
      </w:r>
      <w:bookmarkEnd w:id="160"/>
    </w:p>
    <w:p>
      <w:r>
        <w:t xml:space="preserve">(1) </w:t>
      </w:r>
      <w:r>
        <w:rPr>
          <w:rStyle w:val="Satznummer"/>
        </w:rPr>
        <w:t>1</w:t>
      </w:r>
      <w:r>
        <w:t xml:space="preserve">Bei Beendigung eines Dienstverhältnisses oder am Ende des Kalenderjahres hat der Arbeitgeber das Lohnkonto des Arbeitnehmers abzuschließen. </w:t>
      </w:r>
      <w:r>
        <w:rPr>
          <w:rStyle w:val="Satznummer"/>
        </w:rPr>
        <w:t>2</w:t>
      </w:r>
      <w:r>
        <w:t>Auf Grund der Aufzeichnungen im Lohnkonto hat der Arbeitgeber nach Abschluss des Lohnkontos für jeden Arbeitnehmer der für dessen Besteuerung nach dem Einkommen zuständigen Finanzbehörde nach Maßgabe des § 93c der Abgabenordnung neben den in § 93c Absatz 1 der Abgabenordnung genannten Daten insbesondere folgende Angaben zu übermitteln (elektronische Lohnsteuerbescheinigung):</w:t>
      </w:r>
    </w:p>
    <w:p>
      <w:pPr>
        <w:tabs>
          <w:tab w:pos="567" w:val="left"/>
        </w:tabs>
        <w:ind w:left="567" w:hanging="567"/>
      </w:pPr>
      <w:r>
        <w:t>1.</w:t>
      </w:r>
      <w:r>
        <w:tab/>
      </w:r>
      <w:r>
        <w:t>die abgerufenen elektronischen Lohnsteuerabzugsmerkmale oder die auf der entsprechenden Bescheinigung für den Lohnsteuerabzug eingetragenen Lohnsteuerabzugsmerkmale sowie die Bezeichnung und die Nummer des Finanzamts, an das die Lohnsteuer abgeführt worden ist,</w:t>
      </w:r>
    </w:p>
    <w:p>
      <w:pPr>
        <w:tabs>
          <w:tab w:pos="567" w:val="left"/>
        </w:tabs>
        <w:ind w:left="567" w:hanging="567"/>
      </w:pPr>
      <w:r>
        <w:t>2.</w:t>
      </w:r>
      <w:r>
        <w:tab/>
      </w:r>
      <w:r>
        <w:t xml:space="preserve">die Dauer des Dienstverhältnisses während des Kalenderjahres sowie die Anzahl der nach </w:t>
      </w:r>
      <w:hyperlink w:anchor="b157" w:history="1">
        <w:r>
          <w:rPr>
            <w:color w:val="0A3A8C"/>
            <w:u w:val="single"/>
          </w:rPr>
          <w:t xml:space="preserve">§ 41</w:t>
        </w:r>
      </w:hyperlink>
      <w:r>
        <w:t xml:space="preserve"> Absatz 1 Satz 5 vermerkten Großbuchstaben U,</w:t>
      </w:r>
    </w:p>
    <w:p>
      <w:pPr>
        <w:tabs>
          <w:tab w:pos="567" w:val="left"/>
        </w:tabs>
        <w:ind w:left="567" w:hanging="567"/>
      </w:pPr>
      <w:r>
        <w:t>3.</w:t>
      </w:r>
      <w:r>
        <w:tab/>
      </w:r>
      <w:r>
        <w:t xml:space="preserve">die Art und Höhe des gezahlten Arbeitslohns sowie den nach </w:t>
      </w:r>
      <w:hyperlink w:anchor="b157" w:history="1">
        <w:r>
          <w:rPr>
            <w:color w:val="0A3A8C"/>
            <w:u w:val="single"/>
          </w:rPr>
          <w:t xml:space="preserve">§ 41</w:t>
        </w:r>
      </w:hyperlink>
      <w:r>
        <w:t xml:space="preserve"> Absatz 1 Satz 6 vermerkten Großbuchstaben S,</w:t>
      </w:r>
    </w:p>
    <w:p>
      <w:pPr>
        <w:tabs>
          <w:tab w:pos="567" w:val="left"/>
        </w:tabs>
        <w:ind w:left="567" w:hanging="567"/>
      </w:pPr>
      <w:r>
        <w:t>4.</w:t>
      </w:r>
      <w:r>
        <w:tab/>
      </w:r>
      <w:r>
        <w:t>die einbehaltene Lohnsteuer, den Solidaritätszuschlag und die Kirchensteuer,</w:t>
      </w:r>
    </w:p>
    <w:p>
      <w:pPr>
        <w:tabs>
          <w:tab w:pos="567" w:val="left"/>
        </w:tabs>
        <w:ind w:left="567" w:hanging="567"/>
      </w:pPr>
      <w:r>
        <w:t>5.</w:t>
      </w:r>
      <w:r>
        <w:tab/>
      </w:r>
      <w:r>
        <w:t xml:space="preserve">das Kurzarbeitergeld, das Qualifizierungsgeld, den Zuschuss zum Mutterschaftsgeld nach dem Mutterschutzgesetz, die Entschädigungen für Verdienstausfall nach dem Infektionsschutzgesetz, die nach </w:t>
      </w:r>
      <w:hyperlink w:anchor="b8" w:history="1">
        <w:r>
          <w:rPr>
            <w:color w:val="0A3A8C"/>
            <w:u w:val="single"/>
          </w:rPr>
          <w:t xml:space="preserve">§ 3</w:t>
        </w:r>
      </w:hyperlink>
      <w:r>
        <w:t xml:space="preserve"> Nummer 21 steuerfreien Einnahmen, die nach </w:t>
      </w:r>
      <w:hyperlink w:anchor="b8" w:history="1">
        <w:r>
          <w:rPr>
            <w:color w:val="0A3A8C"/>
            <w:u w:val="single"/>
          </w:rPr>
          <w:t xml:space="preserve">§ 3</w:t>
        </w:r>
      </w:hyperlink>
      <w:r>
        <w:t xml:space="preserve"> Nummer 28 steuerfreien Aufstockungsbeträge oder Zuschläge sowie die nach </w:t>
      </w:r>
      <w:hyperlink w:anchor="b8" w:history="1">
        <w:r>
          <w:rPr>
            <w:color w:val="0A3A8C"/>
            <w:u w:val="single"/>
          </w:rPr>
          <w:t xml:space="preserve">§ 3</w:t>
        </w:r>
      </w:hyperlink>
      <w:r>
        <w:t xml:space="preserve"> Nummer 28a steuerfreien Zuschüsse,</w:t>
      </w:r>
    </w:p>
    <w:p>
      <w:pPr>
        <w:tabs>
          <w:tab w:pos="567" w:val="left"/>
        </w:tabs>
        <w:ind w:left="567" w:hanging="567"/>
      </w:pPr>
      <w:r>
        <w:t>6.</w:t>
      </w:r>
      <w:r>
        <w:tab/>
      </w:r>
      <w:r>
        <w:t xml:space="preserve">die auf die Entfernungspauschale nach </w:t>
      </w:r>
      <w:hyperlink w:anchor="b8" w:history="1">
        <w:r>
          <w:rPr>
            <w:color w:val="0A3A8C"/>
            <w:u w:val="single"/>
          </w:rPr>
          <w:t xml:space="preserve">§ 3</w:t>
        </w:r>
      </w:hyperlink>
      <w:r>
        <w:t xml:space="preserve"> Nummer 15 Satz 3 und </w:t>
      </w:r>
      <w:hyperlink w:anchor="b46" w:history="1">
        <w:r>
          <w:rPr>
            <w:color w:val="0A3A8C"/>
            <w:u w:val="single"/>
          </w:rPr>
          <w:t xml:space="preserve">§ 9</w:t>
        </w:r>
      </w:hyperlink>
      <w:r>
        <w:t xml:space="preserve"> Absatz 1 Satz 3 Nummer 4 Satz 5 anzurechnenden steuerfreien Arbeitgeberleistungen,</w:t>
      </w:r>
    </w:p>
    <w:p>
      <w:pPr>
        <w:tabs>
          <w:tab w:pos="567" w:val="left"/>
        </w:tabs>
        <w:ind w:left="567" w:hanging="567"/>
      </w:pPr>
      <w:r>
        <w:t>7.</w:t>
      </w:r>
      <w:r>
        <w:tab/>
      </w:r>
      <w:r>
        <w:t>die auf die Entfernungspauschale nach § 40 Absatz 2 Satz 2 Nummer 1 2. Halbsatz anzurechnenden pauschal besteuerten Arbeitgeberleistungen,</w:t>
      </w:r>
    </w:p>
    <w:p>
      <w:pPr>
        <w:tabs>
          <w:tab w:pos="567" w:val="left"/>
        </w:tabs>
        <w:ind w:left="567" w:hanging="567"/>
      </w:pPr>
      <w:r>
        <w:t>8.</w:t>
      </w:r>
      <w:r>
        <w:tab/>
      </w:r>
      <w:r>
        <w:t>für die dem Arbeitnehmer zur Verfügung gestellten Mahlzeiten nach § 8 Absatz 2 Satz 8 den Großbuchstaben M,</w:t>
      </w:r>
    </w:p>
    <w:p>
      <w:pPr>
        <w:tabs>
          <w:tab w:pos="567" w:val="left"/>
        </w:tabs>
        <w:ind w:left="567" w:hanging="567"/>
      </w:pPr>
      <w:r>
        <w:t>9.</w:t>
      </w:r>
      <w:r>
        <w:tab/>
      </w:r>
      <w:r>
        <w:t>für die steuerfreie Sammelbeförderung nach § 3 Nummer 32 den Großbuchstaben F,</w:t>
      </w:r>
    </w:p>
    <w:p>
      <w:pPr>
        <w:tabs>
          <w:tab w:pos="567" w:val="left"/>
        </w:tabs>
        <w:ind w:left="567" w:hanging="567"/>
      </w:pPr>
      <w:r>
        <w:t>10.</w:t>
      </w:r>
      <w:r>
        <w:tab/>
      </w:r>
      <w:r>
        <w:t xml:space="preserve">die nach </w:t>
      </w:r>
      <w:hyperlink w:anchor="b8" w:history="1">
        <w:r>
          <w:rPr>
            <w:color w:val="0A3A8C"/>
            <w:u w:val="single"/>
          </w:rPr>
          <w:t xml:space="preserve">§ 3</w:t>
        </w:r>
      </w:hyperlink>
      <w:r>
        <w:t xml:space="preserve"> Nummer 13 und 16 steuerfrei gezahlten Verpflegungszuschüsse und Vergütungen bei doppelter Haushaltsführung,</w:t>
      </w:r>
    </w:p>
    <w:p>
      <w:pPr>
        <w:tabs>
          <w:tab w:pos="567" w:val="left"/>
        </w:tabs>
        <w:ind w:left="567" w:hanging="567"/>
      </w:pPr>
      <w:r>
        <w:t>11.</w:t>
      </w:r>
      <w:r>
        <w:tab/>
      </w:r>
      <w:r>
        <w:t>Beiträge zu den gesetzlichen Rentenversicherungen und an berufsständische Versorgungseinrichtungen, getrennt nach Arbeitgeber- und Arbeitnehmeranteil,</w:t>
      </w:r>
    </w:p>
    <w:p>
      <w:pPr>
        <w:tabs>
          <w:tab w:pos="567" w:val="left"/>
        </w:tabs>
        <w:ind w:left="567" w:hanging="567"/>
      </w:pPr>
      <w:r>
        <w:t>12.</w:t>
      </w:r>
      <w:r>
        <w:tab/>
      </w:r>
      <w:r>
        <w:t xml:space="preserve">die nach </w:t>
      </w:r>
      <w:hyperlink w:anchor="b8" w:history="1">
        <w:r>
          <w:rPr>
            <w:color w:val="0A3A8C"/>
            <w:u w:val="single"/>
          </w:rPr>
          <w:t xml:space="preserve">§ 3</w:t>
        </w:r>
      </w:hyperlink>
      <w:r>
        <w:t xml:space="preserve"> Nummer 62 gezahlten Zuschüsse zur Kranken- und Pflegeversicherung,</w:t>
      </w:r>
    </w:p>
    <w:p>
      <w:pPr>
        <w:tabs>
          <w:tab w:pos="567" w:val="left"/>
        </w:tabs>
        <w:ind w:left="567" w:hanging="567"/>
      </w:pPr>
      <w:r>
        <w:t>13.</w:t>
      </w:r>
      <w:r>
        <w:tab/>
      </w:r>
      <w:r>
        <w:t>die Beiträge des Arbeitnehmers zur gesetzlichen Krankenversicherung und zur sozialen Pflegeversicherung,</w:t>
      </w:r>
    </w:p>
    <w:p>
      <w:pPr>
        <w:tabs>
          <w:tab w:pos="567" w:val="left"/>
        </w:tabs>
        <w:ind w:left="567" w:hanging="567"/>
      </w:pPr>
      <w:r>
        <w:t>14.</w:t>
      </w:r>
      <w:r>
        <w:tab/>
      </w:r>
      <w:r>
        <w:t>die Beiträge des Arbeitnehmers zur Arbeitslosenversicherung.</w:t>
      </w:r>
    </w:p>
    <w:p>
      <w:r>
        <w:rPr>
          <w:rStyle w:val="Satznummer"/>
        </w:rPr>
        <w:t>3</w:t>
      </w:r>
      <w:r>
        <w:t xml:space="preserve">Der Arbeitgeber hat dem Arbeitnehmer die elektronische Lohnsteuerbescheinigung nach amtlich vorgeschriebenem Muster binnen angemessener Frist als Ausdruck auszuhändigen oder elektronisch bereitzustellen. </w:t>
      </w:r>
      <w:r>
        <w:rPr>
          <w:rStyle w:val="Satznummer"/>
        </w:rPr>
        <w:t>4</w:t>
      </w:r>
      <w:r>
        <w:t xml:space="preserve">Soweit der Arbeitgeber nicht zur elektronischen Übermittlung nach Absatz 1 Satz 2 verpflichtet ist, hat er nach Ablauf des Kalenderjahres oder wenn das Dienstverhältnis vor Ablauf des Kalenderjahres beendet wird, eine Lohnsteuerbescheinigung nach amtlich vorgeschriebenem Muster auszustellen und an das Betriebsstättenfinanzamt bis zum letzten Tag des Monats Februar des auf den Abschluss des Lohnkontos folgenden Kalenderjahres zu übersenden. </w:t>
      </w:r>
      <w:r>
        <w:rPr>
          <w:rStyle w:val="Satznummer"/>
        </w:rPr>
        <w:t>5</w:t>
      </w:r>
      <w:r>
        <w:t xml:space="preserve">Er hat dem Arbeitnehmer eine Zweitausfertigung dieser Bescheinigung auszuhändigen. </w:t>
      </w:r>
      <w:r>
        <w:rPr>
          <w:rStyle w:val="Satznummer"/>
        </w:rPr>
        <w:t>6</w:t>
      </w:r>
      <w:r>
        <w:t>Nicht ausgehändigte Lohnsteuerbescheinigungen hat der Arbeitgeber dem Betriebsstättenfinanzamt einzureichen.</w:t>
      </w:r>
    </w:p>
    <w:p>
      <w:r>
        <w:t xml:space="preserve">(2) </w:t>
      </w:r>
      <w:r>
        <w:rPr>
          <w:rStyle w:val="Satznummer"/>
        </w:rPr>
        <w:t>1</w:t>
      </w:r>
      <w:r>
        <w:t xml:space="preserve">Ist dem Arbeitgeber die Identifikationsnummer (§ 139b der Abgabenordnung) des Arbeitnehmers nicht bekannt, hat er bis zum Veranlagungszeitraum 2022 für die Datenübermittlung nach Absatz 1 Satz 2 aus dem Namen, Vornamen und Geburtsdatum des Arbeitnehmers ein Ordnungsmerkmal nach amtlich festgelegter Regel für den Arbeitnehmer zu bilden und das Ordnungsmerkmal zu verwenden. </w:t>
      </w:r>
      <w:r>
        <w:rPr>
          <w:rStyle w:val="Satznummer"/>
        </w:rPr>
        <w:t>2</w:t>
      </w:r>
      <w:r>
        <w:t>Er darf das lohnsteuerliche Ordnungsmerkmal nur für die Zuordnung der elektronischen Lohnsteuerbescheinigung oder sonstiger für das Besteuerungsverfahren erforderlicher Daten zu einem bestimmten Steuerpflichtigen und für Zwecke des Besteuerungsverfahrens verarbeiten oder bilden.</w:t>
      </w:r>
    </w:p>
    <w:p>
      <w:r>
        <w:t>(2a) (weggefallen)</w:t>
      </w:r>
    </w:p>
    <w:p>
      <w:r>
        <w:t xml:space="preserve">(3) </w:t>
      </w:r>
      <w:r>
        <w:rPr>
          <w:rStyle w:val="Satznummer"/>
        </w:rPr>
        <w:t>1</w:t>
      </w:r>
      <w:r>
        <w:t xml:space="preserve">Ein Arbeitgeber ohne maschinelle Lohnabrechnung, der ausschließlich Arbeitnehmer im Rahmen einer geringfügigen Beschäftigung in seinem Privathaushalt im Sinne des § 8a des Vierten Buches Sozialgesetzbuch beschäftigt und keine elektronische Lohnsteuerbescheinigung erteilt, hat anstelle der elektronischen Lohnsteuerbescheinigung eine entsprechende Lohnsteuerbescheinigung nach amtlich vorgeschriebenem Muster auszustellen und an das Betriebsstättenfinanzamt bis zum letzten Tag des Monats Februar des auf den Abschluss des Lohnkontos folgenden Kalenderjahres zu übersenden. </w:t>
      </w:r>
      <w:r>
        <w:rPr>
          <w:rStyle w:val="Satznummer"/>
        </w:rPr>
        <w:t>2</w:t>
      </w:r>
      <w:r>
        <w:t xml:space="preserve">Der Arbeitgeber hat dem Arbeitnehmer nach Ablauf des Kalenderjahres oder nach Beendigung des Dienstverhältnisses, wenn es vor Ablauf des Kalenderjahres beendet wird, eine Zweitausfertigung der Lohnsteuerbescheinigung auszuhändigen. </w:t>
      </w:r>
      <w:r>
        <w:rPr>
          <w:rStyle w:val="Satznummer"/>
        </w:rPr>
        <w:t>3</w:t>
      </w:r>
      <w:r>
        <w:t>Nicht ausgehändigte Lohnsteuerbescheinigungen hat der Arbeitgeber dem Betriebsstättenfinanzamt einzureichen.</w:t>
      </w:r>
    </w:p>
    <w:p>
      <w:r>
        <w:t xml:space="preserve">(4) </w:t>
      </w:r>
      <w:r>
        <w:rPr>
          <w:rStyle w:val="Satznummer"/>
        </w:rPr>
        <w:t>1</w:t>
      </w:r>
      <w:r>
        <w:t xml:space="preserve">In den Fällen des Absatzes 1 ist für die Anwendung des § 72a Absatz 4 und des § 93c Absatz 4 Satz 1 der Abgabenordnung sowie für die Anwendung des Absatzes 2a das Betriebsstättenfinanzamt des Arbeitgebers zuständig. </w:t>
      </w:r>
      <w:r>
        <w:rPr>
          <w:rStyle w:val="Satznummer"/>
        </w:rPr>
        <w:t>2</w:t>
      </w:r>
      <w:r>
        <w:t xml:space="preserve">Sind für einen Arbeitgeber mehrere Betriebsstättenfinanzämter zuständig, so ist das Finanzamt zuständig, in dessen Bezirk sich die Geschäftsleitung des Arbeitgebers im Inland befindet. </w:t>
      </w:r>
      <w:r>
        <w:rPr>
          <w:rStyle w:val="Satznummer"/>
        </w:rPr>
        <w:t>3</w:t>
      </w:r>
      <w:r>
        <w:t>Ist dieses Finanzamt kein Betriebsstättenfinanzamt, so ist das Finanzamt zuständig, in dessen Bezirk sich die Betriebsstätte mit den meisten Arbeitnehmern befindet.</w:t>
      </w:r>
    </w:p>
    <w:p>
      <w:r>
        <w:t xml:space="preserve">(5) </w:t>
      </w:r>
      <w:r>
        <w:rPr>
          <w:rStyle w:val="Satznummer"/>
        </w:rPr>
        <w:t>1</w:t>
      </w:r>
      <w:r>
        <w:t xml:space="preserve">Die nach Absatz 1 übermittelten Daten können durch das nach Absatz 4 zuständige Finanzamt zum Zweck der Anwendung des § 72a Absatz 4 und des § 93c Absatz 4 Satz 1 der Abgabenordnung verarbeitet werden. </w:t>
      </w:r>
      <w:r>
        <w:rPr>
          <w:rStyle w:val="Satznummer"/>
        </w:rPr>
        <w:t>2</w:t>
      </w:r>
      <w:r>
        <w:t>Zur Überprüfung der Ordnungsmäßigkeit der Einbehaltung und Abführung der Lohnsteuer können diese Daten auch von den hierfür zuständigen Finanzbehörden bei den für die Besteuerung der Arbeitnehmer nach dem Einkommen zuständigen Finanzbehörden verarbeitet werden.</w:t>
      </w:r>
    </w:p>
    <w:p>
      <w:r>
        <w:t xml:space="preserve">(6) Die Absätze 1 bis 5 gelten nicht für Arbeitnehmer, soweit sie Arbeitslohn bezogen haben, der nach den </w:t>
      </w:r>
      <w:hyperlink w:anchor="b154" w:history="1">
        <w:r>
          <w:rPr>
            <w:color w:val="0A3A8C"/>
            <w:u w:val="single"/>
          </w:rPr>
          <w:t xml:space="preserve">§§ 40</w:t>
        </w:r>
      </w:hyperlink>
      <w:r>
        <w:t xml:space="preserve"> bis </w:t>
      </w:r>
      <w:hyperlink w:anchor="b156" w:history="1">
        <w:r>
          <w:rPr>
            <w:color w:val="0A3A8C"/>
            <w:u w:val="single"/>
          </w:rPr>
          <w:t xml:space="preserve">40b</w:t>
        </w:r>
      </w:hyperlink>
      <w:r>
        <w:t xml:space="preserve"> pauschal besteuert worden ist.</w:t>
      </w:r>
    </w:p>
    <w:p>
      <w:pPr>
        <w:pStyle w:val="Heading3"/>
      </w:pPr>
      <w:bookmarkStart w:id="161" w:name="b160"/>
      <w:r>
        <w:t>§ 41c Änderung des Lohnsteuerabzugs</w:t>
      </w:r>
      <w:r>
        <w:t xml:space="preserve"> </w:t>
      </w:r>
      <w:r>
        <w:rPr>
          <w:rStyle w:val="Suchmarke"/>
        </w:rPr>
        <w:t>#41c#</w:t>
      </w:r>
      <w:bookmarkEnd w:id="161"/>
    </w:p>
    <w:p>
      <w:r>
        <w:t xml:space="preserve">(1) </w:t>
      </w:r>
      <w:r>
        <w:rPr>
          <w:rStyle w:val="Satznummer"/>
        </w:rPr>
        <w:t>1</w:t>
      </w:r>
      <w:r>
        <w:t>Der Arbeitgeber ist berechtigt, bei der jeweils nächstfolgenden Lohnzahlung bisher erhobene Lohnsteuer zu erstatten oder noch nicht erhobene Lohnsteuer nachträglich einzubehalten,</w:t>
      </w:r>
    </w:p>
    <w:p>
      <w:pPr>
        <w:tabs>
          <w:tab w:pos="567" w:val="left"/>
        </w:tabs>
        <w:ind w:left="567" w:hanging="567"/>
      </w:pPr>
      <w:r>
        <w:t>1.</w:t>
      </w:r>
      <w:r>
        <w:tab/>
      </w:r>
      <w:r>
        <w:t>wenn ihm elektronische Lohnsteuerabzugsmerkmale zum Abruf zur Verfügung gestellt werden oder ihm der Arbeitnehmer eine Bescheinigung für den Lohnsteuerabzug mit Eintragungen vorlegt, die auf einen Zeitpunkt vor Abruf der Lohnsteuerabzugsmerkmale oder vor Vorlage der Bescheinigung für den Lohnsteuerabzug zurückwirken, oder</w:t>
      </w:r>
    </w:p>
    <w:p>
      <w:pPr>
        <w:tabs>
          <w:tab w:pos="567" w:val="left"/>
        </w:tabs>
        <w:ind w:left="567" w:hanging="567"/>
      </w:pPr>
      <w:r>
        <w:t>2.</w:t>
      </w:r>
      <w:r>
        <w:tab/>
      </w:r>
      <w:r>
        <w:t>wenn er erkennt, dass er die Lohnsteuer bisher nicht vorschriftsmäßig einbehalten hat; dies gilt auch bei rückwirkender Gesetzesänderung.</w:t>
      </w:r>
    </w:p>
    <w:p>
      <w:r>
        <w:rPr>
          <w:rStyle w:val="Satznummer"/>
        </w:rPr>
        <w:t>2</w:t>
      </w:r>
      <w:r>
        <w:t xml:space="preserve">In den Fällen des Satzes 1 Nummer 1, wenn es sich um Lohnsteuerabzugsmerkmale nach </w:t>
      </w:r>
      <w:hyperlink w:anchor="b147" w:history="1">
        <w:r>
          <w:rPr>
            <w:color w:val="0A3A8C"/>
            <w:u w:val="single"/>
          </w:rPr>
          <w:t xml:space="preserve">§ 39</w:t>
        </w:r>
      </w:hyperlink>
      <w:r>
        <w:t xml:space="preserve"> Absatz 4 Nummer 4 handelt, und in den Fällen des Satzes 1 Nummer 2 ist der Arbeitgeber jedoch verpflichtet, wenn ihm dies wirtschaftlich zumutbar ist.</w:t>
      </w:r>
    </w:p>
    <w:p>
      <w:r>
        <w:t xml:space="preserve">(2) </w:t>
      </w:r>
      <w:r>
        <w:rPr>
          <w:rStyle w:val="Satznummer"/>
        </w:rPr>
        <w:t>1</w:t>
      </w:r>
      <w:r>
        <w:t xml:space="preserve">Die zu erstattende Lohnsteuer ist dem Betrag zu entnehmen, den der Arbeitgeber für seine Arbeitnehmer insgesamt an Lohnsteuer einbehalten oder übernommen hat. </w:t>
      </w:r>
      <w:r>
        <w:rPr>
          <w:rStyle w:val="Satznummer"/>
        </w:rPr>
        <w:t>2</w:t>
      </w:r>
      <w:r>
        <w:t>Wenn die zu erstattende Lohnsteuer aus dem Betrag nicht gedeckt werden kann, der insgesamt an Lohnsteuer einzubehalten oder zu übernehmen ist, wird der Fehlbetrag dem Arbeitgeber auf Antrag vom Betriebsstättenfinanzamt ersetzt.</w:t>
      </w:r>
    </w:p>
    <w:p>
      <w:r>
        <w:t xml:space="preserve">(3) </w:t>
      </w:r>
      <w:r>
        <w:rPr>
          <w:rStyle w:val="Satznummer"/>
        </w:rPr>
        <w:t>1</w:t>
      </w:r>
      <w:r>
        <w:t xml:space="preserve">Nach Ablauf des Kalenderjahres oder, wenn das Dienstverhältnis vor Ablauf des Kalenderjahres endet, nach Beendigung des Dienstverhältnisses, ist die Änderung des Lohnsteuerabzugs nur bis zur Übermittlung oder Ausschreibung der Lohnsteuerbescheinigung zulässig. </w:t>
      </w:r>
      <w:r>
        <w:rPr>
          <w:rStyle w:val="Satznummer"/>
        </w:rPr>
        <w:t>2</w:t>
      </w:r>
      <w:r>
        <w:t xml:space="preserve">Bei Änderung des Lohnsteuerabzugs nach Ablauf des Kalenderjahres ist die nachträglich einzubehaltende Lohnsteuer nach dem Jahresarbeitslohn zu ermitteln. </w:t>
      </w:r>
      <w:r>
        <w:rPr>
          <w:rStyle w:val="Satznummer"/>
        </w:rPr>
        <w:t>3</w:t>
      </w:r>
      <w:r>
        <w:t xml:space="preserve">Eine Erstattung von Lohnsteuer ist nach Ablauf des Kalenderjahres nur im Wege des Lohnsteuer-Jahresausgleichs nach </w:t>
      </w:r>
      <w:hyperlink w:anchor="b162" w:history="1">
        <w:r>
          <w:rPr>
            <w:color w:val="0A3A8C"/>
            <w:u w:val="single"/>
          </w:rPr>
          <w:t xml:space="preserve">§ 42b</w:t>
        </w:r>
      </w:hyperlink>
      <w:r>
        <w:t xml:space="preserve"> zulässig. </w:t>
      </w:r>
      <w:r>
        <w:rPr>
          <w:rStyle w:val="Satznummer"/>
        </w:rPr>
        <w:t>4</w:t>
      </w:r>
      <w:r>
        <w:t>Eine Minderung der einzubehaltenden und zu übernehmenden Lohnsteuer (</w:t>
      </w:r>
      <w:hyperlink w:anchor="b158" w:history="1">
        <w:r>
          <w:rPr>
            <w:color w:val="0A3A8C"/>
            <w:u w:val="single"/>
          </w:rPr>
          <w:t xml:space="preserve">§ 41a</w:t>
        </w:r>
      </w:hyperlink>
      <w:r>
        <w:t xml:space="preserve"> Absatz 1 Satz 1 Nummer 1) nach § 164 Absatz 2 Satz 1 der Abgabenordnung ist nach der Übermittlung oder Ausschreibung der Lohnsteuerbescheinigung nur dann zulässig, wenn sich der Arbeitnehmer ohne vertraglichen Anspruch und gegen den Willen des Arbeitgebers Beträge verschafft hat, für die Lohnsteuer einbehalten wurde. </w:t>
      </w:r>
      <w:r>
        <w:rPr>
          <w:rStyle w:val="Satznummer"/>
        </w:rPr>
        <w:t>5</w:t>
      </w:r>
      <w:r>
        <w:t xml:space="preserve">In diesem Fall hat der Arbeitgeber die bereits übermittelte oder ausgestellte Lohnsteuerbescheinigung zu berichtigen und sie als geändert gekennzeichnet an die Finanzverwaltung zu übermitteln; </w:t>
      </w:r>
      <w:hyperlink w:anchor="b159" w:history="1">
        <w:r>
          <w:rPr>
            <w:color w:val="0A3A8C"/>
            <w:u w:val="single"/>
          </w:rPr>
          <w:t xml:space="preserve">§ 41b</w:t>
        </w:r>
      </w:hyperlink>
      <w:r>
        <w:t xml:space="preserve"> Absatz 1 gilt entsprechend. </w:t>
      </w:r>
      <w:r>
        <w:rPr>
          <w:rStyle w:val="Satznummer"/>
        </w:rPr>
        <w:t>6</w:t>
      </w:r>
      <w:r>
        <w:t>Der Arbeitgeber hat seinen Antrag zu begründen und die Lohnsteuer-Anmeldung (</w:t>
      </w:r>
      <w:hyperlink w:anchor="b158" w:history="1">
        <w:r>
          <w:rPr>
            <w:color w:val="0A3A8C"/>
            <w:u w:val="single"/>
          </w:rPr>
          <w:t xml:space="preserve">§ 41a</w:t>
        </w:r>
      </w:hyperlink>
      <w:r>
        <w:t xml:space="preserve"> Absatz 1 Satz 1) zu berichtigen.</w:t>
      </w:r>
    </w:p>
    <w:p>
      <w:r>
        <w:t xml:space="preserve">(4) </w:t>
      </w:r>
      <w:r>
        <w:rPr>
          <w:rStyle w:val="Satznummer"/>
        </w:rPr>
        <w:t>1</w:t>
      </w:r>
      <w:r>
        <w:t>Der Arbeitgeber hat die Fälle, in denen er die Lohnsteuer nach Absatz 1 nicht nachträglich einbehält oder die Lohnsteuer nicht nachträglich einbehalten kann, weil</w:t>
      </w:r>
    </w:p>
    <w:p>
      <w:pPr>
        <w:tabs>
          <w:tab w:pos="567" w:val="left"/>
        </w:tabs>
        <w:ind w:left="567" w:hanging="567"/>
      </w:pPr>
      <w:r>
        <w:t>1.</w:t>
      </w:r>
      <w:r>
        <w:tab/>
      </w:r>
      <w:r>
        <w:t>der Arbeitnehmer vom Arbeitgeber Arbeitslohn nicht mehr bezieht oder</w:t>
      </w:r>
    </w:p>
    <w:p>
      <w:pPr>
        <w:tabs>
          <w:tab w:pos="567" w:val="left"/>
        </w:tabs>
        <w:ind w:left="567" w:hanging="567"/>
      </w:pPr>
      <w:r>
        <w:t>2.</w:t>
      </w:r>
      <w:r>
        <w:tab/>
      </w:r>
      <w:r>
        <w:t>der Arbeitgeber nach Ablauf des Kalenderjahres bereits die Lohnsteuerbescheinigung übermittelt oder ausgeschrieben hat,</w:t>
      </w:r>
    </w:p>
    <w:p>
      <w:r>
        <w:t xml:space="preserve">dem Betriebsstättenfinanzamt unverzüglich elektronisch anzuzeigen. </w:t>
      </w:r>
      <w:r>
        <w:rPr>
          <w:rStyle w:val="Satznummer"/>
        </w:rPr>
        <w:t>2</w:t>
      </w:r>
      <w:r>
        <w:t xml:space="preserve">Das Finanzamt hat die zu wenig erhobene Lohnsteuer vom Arbeitnehmer nachzufordern, wenn der nachzufordernde Betrag 10 Euro übersteigt. </w:t>
      </w:r>
      <w:r>
        <w:rPr>
          <w:rStyle w:val="Satznummer"/>
        </w:rPr>
        <w:t>3</w:t>
      </w:r>
      <w:hyperlink w:anchor="b164" w:history="1">
        <w:r>
          <w:rPr>
            <w:color w:val="0A3A8C"/>
            <w:u w:val="single"/>
          </w:rPr>
          <w:t xml:space="preserve">§ 42d</w:t>
        </w:r>
      </w:hyperlink>
      <w:r>
        <w:t xml:space="preserve"> bleibt unberührt.</w:t>
      </w:r>
    </w:p>
    <w:p>
      <w:pPr>
        <w:pStyle w:val="Heading3"/>
      </w:pPr>
      <w:bookmarkStart w:id="162" w:name="b161"/>
      <w:r>
        <w:t>§§ 42 und 42a (weggefallen)</w:t>
      </w:r>
      <w:bookmarkEnd w:id="162"/>
    </w:p>
    <w:p>
      <w:pPr>
        <w:pStyle w:val="Heading3"/>
      </w:pPr>
      <w:bookmarkStart w:id="163" w:name="b162"/>
      <w:r>
        <w:t>§ 42b Lohnsteuer-Jahresausgleich durch den Arbeitgeber</w:t>
      </w:r>
      <w:r>
        <w:t xml:space="preserve"> </w:t>
      </w:r>
      <w:r>
        <w:rPr>
          <w:rStyle w:val="Suchmarke"/>
        </w:rPr>
        <w:t>#42b#</w:t>
      </w:r>
      <w:bookmarkEnd w:id="163"/>
    </w:p>
    <w:p>
      <w:r>
        <w:t xml:space="preserve">(1) </w:t>
      </w:r>
      <w:r>
        <w:rPr>
          <w:rStyle w:val="Satznummer"/>
        </w:rPr>
        <w:t>1</w:t>
      </w:r>
      <w:r>
        <w:t xml:space="preserve">Der Arbeitgeber ist berechtigt, seinen Arbeitnehmern, die während des abgelaufenen Kalenderjahres (Ausgleichsjahr) ständig in einem zu ihm bestehenden Dienstverhältnis gestanden haben, die für das Ausgleichsjahr einbehaltene Lohnsteuer insoweit zu erstatten, als sie die auf den Jahresarbeitslohn entfallende Jahreslohnsteuer übersteigt (Lohnsteuer-Jahresausgleich). </w:t>
      </w:r>
      <w:r>
        <w:rPr>
          <w:rStyle w:val="Satznummer"/>
        </w:rPr>
        <w:t>2</w:t>
      </w:r>
      <w:r>
        <w:t xml:space="preserve">Er ist zur Durchführung des Lohnsteuer-Jahresausgleichs verpflichtet, wenn er am 31. Dezember des Ausgleichsjahres mindestens zehn Arbeitnehmer beschäftigt. </w:t>
      </w:r>
      <w:r>
        <w:rPr>
          <w:rStyle w:val="Satznummer"/>
        </w:rPr>
        <w:t>3</w:t>
      </w:r>
      <w:r>
        <w:t>Der Arbeitgeber darf den Lohnsteuer-Jahresausgleich nicht durchführen, wenn</w:t>
      </w:r>
    </w:p>
    <w:p>
      <w:pPr>
        <w:tabs>
          <w:tab w:pos="567" w:val="left"/>
        </w:tabs>
        <w:ind w:left="567" w:hanging="567"/>
      </w:pPr>
      <w:r>
        <w:t>1.</w:t>
      </w:r>
      <w:r>
        <w:tab/>
      </w:r>
      <w:r>
        <w:t>der Arbeitnehmer es beantragt oder</w:t>
      </w:r>
    </w:p>
    <w:p>
      <w:pPr>
        <w:tabs>
          <w:tab w:pos="567" w:val="left"/>
        </w:tabs>
        <w:ind w:left="567" w:hanging="567"/>
      </w:pPr>
      <w:r>
        <w:t>2.</w:t>
      </w:r>
      <w:r>
        <w:tab/>
      </w:r>
      <w:r>
        <w:t>der Arbeitnehmer für das Ausgleichsjahr oder für einen Teil des Ausgleichsjahres nach den Steuerklassen V oder VI zu besteuern war oder</w:t>
      </w:r>
    </w:p>
    <w:p>
      <w:pPr>
        <w:tabs>
          <w:tab w:pos="567" w:val="left"/>
        </w:tabs>
        <w:ind w:left="567" w:hanging="567"/>
      </w:pPr>
      <w:r>
        <w:t>3.</w:t>
      </w:r>
      <w:r>
        <w:tab/>
      </w:r>
      <w:r>
        <w:t>der Arbeitnehmer für einen Teil des Ausgleichsjahres nach den Steuerklassen II, III oder IV zu besteuern war oder</w:t>
      </w:r>
    </w:p>
    <w:p>
      <w:pPr>
        <w:tabs>
          <w:tab w:pos="567" w:val="left"/>
        </w:tabs>
        <w:ind w:left="567" w:hanging="567"/>
      </w:pPr>
      <w:r>
        <w:t>3a.</w:t>
      </w:r>
      <w:r>
        <w:tab/>
      </w:r>
      <w:r>
        <w:t>bei der Lohnsteuerberechnung ein Freibetrag oder Hinzurechnungsbetrag zu berücksichtigen war oder</w:t>
      </w:r>
    </w:p>
    <w:p>
      <w:pPr>
        <w:tabs>
          <w:tab w:pos="567" w:val="left"/>
        </w:tabs>
        <w:ind w:left="567" w:hanging="567"/>
      </w:pPr>
      <w:r>
        <w:t>3b.</w:t>
      </w:r>
      <w:r>
        <w:tab/>
      </w:r>
      <w:r>
        <w:t>das Faktorverfahren angewandt wurde oder</w:t>
      </w:r>
    </w:p>
    <w:p>
      <w:pPr>
        <w:tabs>
          <w:tab w:pos="567" w:val="left"/>
        </w:tabs>
        <w:ind w:left="567" w:hanging="567"/>
      </w:pPr>
      <w:r>
        <w:t>4.</w:t>
      </w:r>
      <w:r>
        <w:tab/>
      </w:r>
      <w:r>
        <w:t xml:space="preserve">der Arbeitnehmer im Ausgleichsjahr Kurzarbeitergeld, Qualifizierungsgeld, Zuschuss zum Mutterschaftsgeld nach dem Mutterschutzgesetz, Zuschuss bei Beschäftigungsverboten für die Zeit vor oder nach einer Entbindung sowie für den Entbindungstag während einer Elternzeit nach beamtenrechtlichen Vorschriften, Entschädigungen für Verdienstausfall nach dem Infektionsschutzgesetz, nach </w:t>
      </w:r>
      <w:hyperlink w:anchor="b8" w:history="1">
        <w:r>
          <w:rPr>
            <w:color w:val="0A3A8C"/>
            <w:u w:val="single"/>
          </w:rPr>
          <w:t xml:space="preserve">§ 3</w:t>
        </w:r>
      </w:hyperlink>
      <w:r>
        <w:t xml:space="preserve"> Nummer 21 steuerfreie Einnahmen, nach </w:t>
      </w:r>
      <w:hyperlink w:anchor="b8" w:history="1">
        <w:r>
          <w:rPr>
            <w:color w:val="0A3A8C"/>
            <w:u w:val="single"/>
          </w:rPr>
          <w:t xml:space="preserve">§ 3</w:t>
        </w:r>
      </w:hyperlink>
      <w:r>
        <w:t xml:space="preserve"> Nummer 28 steuerfreie Aufstockungsbeträge oder Zuschläge oder nach </w:t>
      </w:r>
      <w:hyperlink w:anchor="b8" w:history="1">
        <w:r>
          <w:rPr>
            <w:color w:val="0A3A8C"/>
            <w:u w:val="single"/>
          </w:rPr>
          <w:t xml:space="preserve">§ 3</w:t>
        </w:r>
      </w:hyperlink>
      <w:r>
        <w:t xml:space="preserve"> Nummer 28a steuerfreie Zuschüsse bezogen hat oder</w:t>
      </w:r>
    </w:p>
    <w:p>
      <w:pPr>
        <w:tabs>
          <w:tab w:pos="567" w:val="left"/>
        </w:tabs>
        <w:ind w:left="567" w:hanging="567"/>
      </w:pPr>
      <w:r>
        <w:t>4a.</w:t>
      </w:r>
      <w:r>
        <w:tab/>
      </w:r>
      <w:r>
        <w:t>die Anzahl der im Lohnkonto oder in der Lohnsteuerbescheinigung eingetragenen Großbuchstaben U mindestens eins beträgt oder</w:t>
      </w:r>
    </w:p>
    <w:p>
      <w:pPr>
        <w:tabs>
          <w:tab w:pos="567" w:val="left"/>
        </w:tabs>
        <w:ind w:left="567" w:hanging="567"/>
      </w:pPr>
      <w:r>
        <w:t>5.</w:t>
      </w:r>
      <w:r>
        <w:tab/>
      </w:r>
      <w:r>
        <w:t>für den Arbeitnehmer im Ausgleichsjahr im Rahmen der Vorsorgepauschale jeweils nur zeitweise Beträge nach § 39b Absatz 2 Satz 5 Nummer 3 Buchstabe a bis e oder der Beitragszuschlag nach § 39b Absatz 2 Satz 5 Nummer 3 Buchstabe c berücksichtigt wurden oder sich im Ausgleichsjahr der Zusatzbeitragssatz (§ 39b Absatz 2 Satz 5 Nummer 3 Buchstabe b) geändert hat oder</w:t>
      </w:r>
    </w:p>
    <w:p>
      <w:pPr>
        <w:tabs>
          <w:tab w:pos="567" w:val="left"/>
        </w:tabs>
        <w:ind w:left="567" w:hanging="567"/>
      </w:pPr>
      <w:r>
        <w:t>5a.</w:t>
      </w:r>
      <w:r>
        <w:tab/>
      </w:r>
      <w:r>
        <w:t>für den Arbeitnehmer im Ausgleichsjahr im Rahmen der Vorsorgepauschale im Zusammenhang mit der Pflegeversicherung unterschiedliche Abschläge (§ 39b Absatz 2 Satz 5 Nummer 3 Buchstabe c) berücksichtigt wurden oder</w:t>
      </w:r>
    </w:p>
    <w:p>
      <w:pPr>
        <w:tabs>
          <w:tab w:pos="567" w:val="left"/>
        </w:tabs>
        <w:ind w:left="567" w:hanging="567"/>
      </w:pPr>
      <w:r>
        <w:t>6.</w:t>
      </w:r>
      <w:r>
        <w:tab/>
      </w:r>
      <w:r>
        <w:t>der Arbeitnehmer im Ausgleichsjahr ausländische Einkünfte aus nichtselbständiger Arbeit bezogen hat, von denen keine inländische Lohnsteuer einbehalten wurde.</w:t>
      </w:r>
    </w:p>
    <w:p>
      <w:r>
        <w:rPr>
          <w:rStyle w:val="Satznummer"/>
        </w:rPr>
        <w:t>4</w:t>
      </w:r>
      <w:r>
        <w:t>Bei der Anwendung von Satz 3 bleiben die Verhältnisse aus einem Dienstverhältnis zu einem anderen Arbeitgeber unberücksichtigt.</w:t>
      </w:r>
    </w:p>
    <w:p>
      <w:r>
        <w:t xml:space="preserve">(2) </w:t>
      </w:r>
      <w:r>
        <w:rPr>
          <w:rStyle w:val="Satznummer"/>
        </w:rPr>
        <w:t>1</w:t>
      </w:r>
      <w:r>
        <w:t xml:space="preserve">Für den Lohnsteuer-Jahresausgleich hat der Arbeitgeber den Jahresarbeitslohn aus dem zu ihm bestehenden Dienstverhältnis festzustellen. </w:t>
      </w:r>
      <w:r>
        <w:rPr>
          <w:rStyle w:val="Satznummer"/>
        </w:rPr>
        <w:t>2</w:t>
      </w:r>
      <w:r>
        <w:t xml:space="preserve">Vom Jahresarbeitslohn sind der etwa in Betracht kommende Versorgungsfreibetrag und Zuschlag zum Versorgungsfreibetrag und der etwa in Betracht kommende Altersentlastungsbetrag abzuziehen. </w:t>
      </w:r>
      <w:r>
        <w:rPr>
          <w:rStyle w:val="Satznummer"/>
        </w:rPr>
        <w:t>3</w:t>
      </w:r>
      <w:r>
        <w:t xml:space="preserve">Für den so geminderten Jahresarbeitslohn ist die Jahreslohnsteuer nach </w:t>
      </w:r>
      <w:hyperlink w:anchor="b149" w:history="1">
        <w:r>
          <w:rPr>
            <w:color w:val="0A3A8C"/>
            <w:u w:val="single"/>
          </w:rPr>
          <w:t xml:space="preserve">§ 39b</w:t>
        </w:r>
      </w:hyperlink>
      <w:r>
        <w:t xml:space="preserve"> Absatz 2 Satz 6 und 7 zu ermitteln nach Maßgabe der Steuerklasse, die für den letzten Lohnzahlungszeitraum des Ausgleichsjahres als elektronisches Lohnsteuerabzugsmerkmal abgerufen oder auf der Bescheinigung für den Lohnsteuerabzug oder etwaigen Mitteilungen über Änderungen zuletzt eingetragen wurde. </w:t>
      </w:r>
      <w:r>
        <w:rPr>
          <w:rStyle w:val="Satznummer"/>
        </w:rPr>
        <w:t>4</w:t>
      </w:r>
      <w:r>
        <w:t>Den Betrag, um den die sich hiernach ergebende Jahreslohnsteuer die Lohnsteuer unterschreitet, die von dem zugrunde gelegten Jahresarbeitslohn insgesamt erhoben worden ist, hat der Arbeitgeber dem Arbeitnehmer zu erstatten.</w:t>
      </w:r>
    </w:p>
    <w:p>
      <w:r>
        <w:t xml:space="preserve">(3) </w:t>
      </w:r>
      <w:r>
        <w:rPr>
          <w:rStyle w:val="Satznummer"/>
        </w:rPr>
        <w:t>1</w:t>
      </w:r>
      <w:r>
        <w:t xml:space="preserve">Der Arbeitgeber darf den Lohnsteuer-Jahresausgleich frühestens bei der Lohnabrechnung für den letzten im Ausgleichsjahr endenden Lohnzahlungszeitraum, spätestens bei der Lohnabrechnung für den letzten Lohnzahlungszeitraum, der im Monat Februar des dem Ausgleichsjahr folgenden Kalenderjahres endet, durchführen. </w:t>
      </w:r>
      <w:r>
        <w:rPr>
          <w:rStyle w:val="Satznummer"/>
        </w:rPr>
        <w:t>2</w:t>
      </w:r>
      <w:r>
        <w:t xml:space="preserve">Die zu erstattende Lohnsteuer ist dem Betrag zu entnehmen, den der Arbeitgeber für seine Arbeitnehmer für den Lohnzahlungszeitraum insgesamt an Lohnsteuer erhoben hat. </w:t>
      </w:r>
      <w:r>
        <w:rPr>
          <w:rStyle w:val="Satznummer"/>
        </w:rPr>
        <w:t>3</w:t>
      </w:r>
      <w:hyperlink w:anchor="b160" w:history="1">
        <w:r>
          <w:rPr>
            <w:color w:val="0A3A8C"/>
            <w:u w:val="single"/>
          </w:rPr>
          <w:t xml:space="preserve">§ 41c</w:t>
        </w:r>
      </w:hyperlink>
      <w:r>
        <w:t xml:space="preserve"> Absatz 2 Satz 2 ist anzuwenden.</w:t>
      </w:r>
    </w:p>
    <w:p>
      <w:r>
        <w:t xml:space="preserve">(4) </w:t>
      </w:r>
      <w:r>
        <w:rPr>
          <w:rStyle w:val="Satznummer"/>
        </w:rPr>
        <w:t>1</w:t>
      </w:r>
      <w:r>
        <w:t xml:space="preserve">Im Lohnkonto für das Ausgleichsjahr ist die im Lohnsteuer-Jahresausgleich erstattete Lohnsteuer gesondert einzutragen. </w:t>
      </w:r>
      <w:r>
        <w:rPr>
          <w:rStyle w:val="Satznummer"/>
        </w:rPr>
        <w:t>2</w:t>
      </w:r>
      <w:r>
        <w:t>In der Lohnsteuerbescheinigung für das Ausgleichsjahr ist der sich nach Verrechnung der erhobenen Lohnsteuer mit der erstatteten Lohnsteuer ergebende Betrag als erhobene Lohnsteuer einzutragen.</w:t>
      </w:r>
    </w:p>
    <w:p>
      <w:pPr>
        <w:pStyle w:val="Heading3"/>
      </w:pPr>
      <w:bookmarkStart w:id="164" w:name="b163"/>
      <w:r>
        <w:t>§ 42c (weggefallen)</w:t>
      </w:r>
      <w:r>
        <w:t xml:space="preserve"> </w:t>
      </w:r>
      <w:r>
        <w:rPr>
          <w:rStyle w:val="Suchmarke"/>
        </w:rPr>
        <w:t>#42c#</w:t>
      </w:r>
      <w:bookmarkEnd w:id="164"/>
    </w:p>
    <w:p>
      <w:r>
        <w:t>-</w:t>
      </w:r>
    </w:p>
    <w:p>
      <w:pPr>
        <w:pStyle w:val="Heading3"/>
      </w:pPr>
      <w:bookmarkStart w:id="165" w:name="b164"/>
      <w:r>
        <w:t>§ 42d Haftung des Arbeitgebers und Haftung bei Arbeitnehmerüberlassung</w:t>
      </w:r>
      <w:r>
        <w:t xml:space="preserve"> </w:t>
      </w:r>
      <w:r>
        <w:rPr>
          <w:rStyle w:val="Suchmarke"/>
        </w:rPr>
        <w:t>#42d#</w:t>
      </w:r>
      <w:bookmarkEnd w:id="165"/>
    </w:p>
    <w:p>
      <w:r>
        <w:t>(1) Der Arbeitgeber haftet</w:t>
      </w:r>
    </w:p>
    <w:p>
      <w:pPr>
        <w:tabs>
          <w:tab w:pos="567" w:val="left"/>
        </w:tabs>
        <w:ind w:left="567" w:hanging="567"/>
      </w:pPr>
      <w:r>
        <w:t>1.</w:t>
      </w:r>
      <w:r>
        <w:tab/>
      </w:r>
      <w:r>
        <w:t>für die Lohnsteuer, die er einzubehalten und abzuführen hat,</w:t>
      </w:r>
    </w:p>
    <w:p>
      <w:pPr>
        <w:tabs>
          <w:tab w:pos="567" w:val="left"/>
        </w:tabs>
        <w:ind w:left="567" w:hanging="567"/>
      </w:pPr>
      <w:r>
        <w:t>2.</w:t>
      </w:r>
      <w:r>
        <w:tab/>
      </w:r>
      <w:r>
        <w:t>für die Lohnsteuer, die er beim Lohnsteuer-Jahresausgleich zu Unrecht erstattet hat,</w:t>
      </w:r>
    </w:p>
    <w:p>
      <w:pPr>
        <w:tabs>
          <w:tab w:pos="567" w:val="left"/>
        </w:tabs>
        <w:ind w:left="567" w:hanging="567"/>
      </w:pPr>
      <w:r>
        <w:t>3.</w:t>
      </w:r>
      <w:r>
        <w:tab/>
      </w:r>
      <w:r>
        <w:t>für die Einkommensteuer (Lohnsteuer), die auf Grund fehlerhafter Angaben im Lohnkonto oder in der Lohnsteuerbescheinigung verkürzt wird,</w:t>
      </w:r>
    </w:p>
    <w:p>
      <w:pPr>
        <w:tabs>
          <w:tab w:pos="567" w:val="left"/>
        </w:tabs>
        <w:ind w:left="567" w:hanging="567"/>
      </w:pPr>
      <w:r>
        <w:t>4.</w:t>
      </w:r>
      <w:r>
        <w:tab/>
      </w:r>
      <w:r>
        <w:t>für die Lohnsteuer, die in den Fällen des § 38 Absatz 3a der Dritte zu übernehmen hat.</w:t>
      </w:r>
    </w:p>
    <w:p>
      <w:r>
        <w:t xml:space="preserve">(2) Der Arbeitgeber haftet nicht, soweit Lohnsteuer nach </w:t>
      </w:r>
      <w:hyperlink w:anchor="b147" w:history="1">
        <w:r>
          <w:rPr>
            <w:color w:val="0A3A8C"/>
            <w:u w:val="single"/>
          </w:rPr>
          <w:t xml:space="preserve">§ 39</w:t>
        </w:r>
      </w:hyperlink>
      <w:r>
        <w:t xml:space="preserve"> Absatz 5 oder </w:t>
      </w:r>
      <w:hyperlink w:anchor="b148" w:history="1">
        <w:r>
          <w:rPr>
            <w:color w:val="0A3A8C"/>
            <w:u w:val="single"/>
          </w:rPr>
          <w:t xml:space="preserve">§ 39a</w:t>
        </w:r>
      </w:hyperlink>
      <w:r>
        <w:t xml:space="preserve"> Absatz 5 nachzufordern ist und in den vom Arbeitgeber angezeigten Fällen des </w:t>
      </w:r>
      <w:hyperlink w:anchor="b144" w:history="1">
        <w:r>
          <w:rPr>
            <w:color w:val="0A3A8C"/>
            <w:u w:val="single"/>
          </w:rPr>
          <w:t xml:space="preserve">§ 38</w:t>
        </w:r>
      </w:hyperlink>
      <w:r>
        <w:t xml:space="preserve"> Absatz 4 Satz 2 und 3 und des </w:t>
      </w:r>
      <w:hyperlink w:anchor="b160" w:history="1">
        <w:r>
          <w:rPr>
            <w:color w:val="0A3A8C"/>
            <w:u w:val="single"/>
          </w:rPr>
          <w:t xml:space="preserve">§ 41c</w:t>
        </w:r>
      </w:hyperlink>
      <w:r>
        <w:t xml:space="preserve"> Absatz 4.</w:t>
      </w:r>
    </w:p>
    <w:p>
      <w:r>
        <w:t xml:space="preserve">(3) </w:t>
      </w:r>
      <w:r>
        <w:rPr>
          <w:rStyle w:val="Satznummer"/>
        </w:rPr>
        <w:t>1</w:t>
      </w:r>
      <w:r>
        <w:t xml:space="preserve">Soweit die Haftung des Arbeitgebers reicht, sind der Arbeitgeber und der Arbeitnehmer Gesamtschuldner. </w:t>
      </w:r>
      <w:r>
        <w:rPr>
          <w:rStyle w:val="Satznummer"/>
        </w:rPr>
        <w:t>2</w:t>
      </w:r>
      <w:r>
        <w:t xml:space="preserve">Das Betriebsstättenfinanzamt kann die Steuerschuld oder Haftungsschuld nach pflichtgemäßem Ermessen gegenüber jedem Gesamtschuldner geltend machen. </w:t>
      </w:r>
      <w:r>
        <w:rPr>
          <w:rStyle w:val="Satznummer"/>
        </w:rPr>
        <w:t>3</w:t>
      </w:r>
      <w:r>
        <w:t xml:space="preserve">Der Arbeitgeber kann auch dann in Anspruch genommen werden, wenn der Arbeitnehmer zur Einkommensteuer veranlagt wird. </w:t>
      </w:r>
      <w:r>
        <w:rPr>
          <w:rStyle w:val="Satznummer"/>
        </w:rPr>
        <w:t>4</w:t>
      </w:r>
      <w:r>
        <w:t>Der Arbeitnehmer kann im Rahmen der Gesamtschuldnerschaft nur in Anspruch genommen werden,</w:t>
      </w:r>
    </w:p>
    <w:p>
      <w:pPr>
        <w:tabs>
          <w:tab w:pos="567" w:val="left"/>
        </w:tabs>
        <w:ind w:left="567" w:hanging="567"/>
      </w:pPr>
      <w:r>
        <w:t>1.</w:t>
      </w:r>
      <w:r>
        <w:tab/>
      </w:r>
      <w:r>
        <w:t>wenn der Arbeitgeber die Lohnsteuer nicht vorschriftsmäßig vom Arbeitslohn einbehalten hat,</w:t>
      </w:r>
    </w:p>
    <w:p>
      <w:pPr>
        <w:tabs>
          <w:tab w:pos="567" w:val="left"/>
        </w:tabs>
        <w:ind w:left="567" w:hanging="567"/>
      </w:pPr>
      <w:r>
        <w:t>2.</w:t>
      </w:r>
      <w:r>
        <w:tab/>
      </w:r>
      <w:r>
        <w:t xml:space="preserve">wenn der Arbeitnehmer weiß, dass der Arbeitgeber die einbehaltene Lohnsteuer nicht vorschriftsmäßig angemeldet hat. </w:t>
      </w:r>
      <w:r>
        <w:rPr>
          <w:rStyle w:val="Satznummer"/>
        </w:rPr>
        <w:t>2</w:t>
      </w:r>
      <w:r>
        <w:t>Dies gilt nicht, wenn der Arbeitnehmer den Sachverhalt dem Finanzamt unverzüglich mitgeteilt hat.</w:t>
      </w:r>
    </w:p>
    <w:p>
      <w:r>
        <w:t xml:space="preserve">(4) </w:t>
      </w:r>
      <w:r>
        <w:rPr>
          <w:rStyle w:val="Satznummer"/>
        </w:rPr>
        <w:t>1</w:t>
      </w:r>
      <w:r>
        <w:t>Für die Inanspruchnahme des Arbeitgebers bedarf es keines Haftungsbescheids und keines Leistungsgebots, soweit der Arbeitgeber</w:t>
      </w:r>
    </w:p>
    <w:p>
      <w:pPr>
        <w:tabs>
          <w:tab w:pos="567" w:val="left"/>
        </w:tabs>
        <w:ind w:left="567" w:hanging="567"/>
      </w:pPr>
      <w:r>
        <w:t>1.</w:t>
      </w:r>
      <w:r>
        <w:tab/>
      </w:r>
      <w:r>
        <w:t>die einzubehaltende Lohnsteuer angemeldet hat oder</w:t>
      </w:r>
    </w:p>
    <w:p>
      <w:pPr>
        <w:tabs>
          <w:tab w:pos="567" w:val="left"/>
        </w:tabs>
        <w:ind w:left="567" w:hanging="567"/>
      </w:pPr>
      <w:r>
        <w:t>2.</w:t>
      </w:r>
      <w:r>
        <w:tab/>
      </w:r>
      <w:r>
        <w:t>nach Abschluss einer Lohnsteuer-Außenprüfung seine Zahlungsverpflichtung schriftlich anerkennt.</w:t>
      </w:r>
    </w:p>
    <w:p>
      <w:r>
        <w:rPr>
          <w:rStyle w:val="Satznummer"/>
        </w:rPr>
        <w:t>2</w:t>
      </w:r>
      <w:r>
        <w:t>Satz 1 gilt entsprechend für die Nachforderung zu übernehmender pauschaler Lohnsteuer.</w:t>
      </w:r>
    </w:p>
    <w:p>
      <w:r>
        <w:t>(5) Von der Geltendmachung der Steuernachforderung oder Haftungsforderung ist abzusehen, wenn diese insgesamt 10 Euro nicht übersteigt.</w:t>
      </w:r>
    </w:p>
    <w:p>
      <w:r>
        <w:t xml:space="preserve">(6) </w:t>
      </w:r>
      <w:r>
        <w:rPr>
          <w:rStyle w:val="Satznummer"/>
        </w:rPr>
        <w:t>1</w:t>
      </w:r>
      <w:r>
        <w:t xml:space="preserve">Soweit einem Dritten (Entleiher) Arbeitnehmer im Sinne des § 1 Absatz 1 Satz 1 des Arbeitnehmerüberlassungsgesetzes in der Fassung der Bekanntmachung vom 3. Februar 1995 (BGBl. I S. 158), das zuletzt durch Artikel 26 des Gesetzes vom 20. Dezember 2011 (BGBl. I S. 2854) geändert worden ist, zur Arbeitsleistung überlassen werden, haftet er mit Ausnahme der Fälle, in denen eine Arbeitnehmerüberlassung nach § 1 Absatz 3 des Arbeitnehmerüberlassungsgesetzes vorliegt, neben dem Arbeitgeber. </w:t>
      </w:r>
      <w:r>
        <w:rPr>
          <w:rStyle w:val="Satznummer"/>
        </w:rPr>
        <w:t>2</w:t>
      </w:r>
      <w:r>
        <w:t xml:space="preserve">Der Entleiher haftet nicht, wenn der Überlassung eine Erlaubnis nach § 1 des Arbeitnehmerüberlassungsgesetzes in der jeweils geltenden Fassung zugrunde liegt und soweit er nachweist, dass er den nach § 51 Absatz 1 Nummer 2 Buchstabe d vorgesehenen Mitwirkungspflichten nachgekommen ist. </w:t>
      </w:r>
      <w:r>
        <w:rPr>
          <w:rStyle w:val="Satznummer"/>
        </w:rPr>
        <w:t>3</w:t>
      </w:r>
      <w:r>
        <w:t xml:space="preserve">Der Entleiher haftet ferner nicht, wenn er über das Vorliegen einer Arbeitnehmerüberlassung ohne Verschulden irrte. </w:t>
      </w:r>
      <w:r>
        <w:rPr>
          <w:rStyle w:val="Satznummer"/>
        </w:rPr>
        <w:t>4</w:t>
      </w:r>
      <w:r>
        <w:t xml:space="preserve">Die Haftung beschränkt sich auf die Lohnsteuer für die Zeit, für die ihm der Arbeitnehmer überlassen worden ist. </w:t>
      </w:r>
      <w:r>
        <w:rPr>
          <w:rStyle w:val="Satznummer"/>
        </w:rPr>
        <w:t>5</w:t>
      </w:r>
      <w:r>
        <w:t xml:space="preserve">Soweit die Haftung des Entleihers reicht, sind der Arbeitgeber, der Entleiher und der Arbeitnehmer Gesamtschuldner. </w:t>
      </w:r>
      <w:r>
        <w:rPr>
          <w:rStyle w:val="Satznummer"/>
        </w:rPr>
        <w:t>6</w:t>
      </w:r>
      <w:r>
        <w:t xml:space="preserve">Der Entleiher darf auf Zahlung nur in Anspruch genommen werden, soweit die Vollstreckung in das inländische bewegliche Vermögen des Arbeitgebers fehlgeschlagen ist oder keinen Erfolg verspricht; § 219 Satz 2 der Abgabenordnung ist entsprechend anzuwenden. </w:t>
      </w:r>
      <w:r>
        <w:rPr>
          <w:rStyle w:val="Satznummer"/>
        </w:rPr>
        <w:t>7</w:t>
      </w:r>
      <w:r>
        <w:t xml:space="preserve">Ist durch die Umstände der Arbeitnehmerüberlassung die Lohnsteuer schwer zu ermitteln, so ist die Haftungsschuld mit 15 Prozent des zwischen Verleiher und Entleiher vereinbarten Entgelts ohne Umsatzsteuer anzunehmen, solange der Entleiher nicht glaubhaft macht, dass die Lohnsteuer, für die er haftet, niedriger ist. </w:t>
      </w:r>
      <w:r>
        <w:rPr>
          <w:rStyle w:val="Satznummer"/>
        </w:rPr>
        <w:t>8</w:t>
      </w:r>
      <w:r>
        <w:t xml:space="preserve">Die Absätze 1 bis 5 sind entsprechend anzuwenden. </w:t>
      </w:r>
      <w:r>
        <w:rPr>
          <w:rStyle w:val="Satznummer"/>
        </w:rPr>
        <w:t>9</w:t>
      </w:r>
      <w:r>
        <w:t>Die Zuständigkeit des Finanzamts richtet sich nach dem Ort der Betriebsstätte des Verleihers.</w:t>
      </w:r>
    </w:p>
    <w:p>
      <w:r>
        <w:t>(7) Soweit der Entleiher Arbeitgeber ist, haftet der Verleiher wie ein Entleiher nach Absatz 6.</w:t>
      </w:r>
    </w:p>
    <w:p>
      <w:r>
        <w:t xml:space="preserve">(8) </w:t>
      </w:r>
      <w:r>
        <w:rPr>
          <w:rStyle w:val="Satznummer"/>
        </w:rPr>
        <w:t>1</w:t>
      </w:r>
      <w:r>
        <w:t xml:space="preserve">Das Finanzamt kann hinsichtlich der Lohnsteuer der Leiharbeitnehmer anordnen, dass der Entleiher einen bestimmten Teil des mit dem Verleiher vereinbarten Entgelts einzubehalten und abzuführen hat, wenn dies zur Sicherung des Steueranspruchs notwendig ist; Absatz 6 Satz 4 ist anzuwenden. </w:t>
      </w:r>
      <w:r>
        <w:rPr>
          <w:rStyle w:val="Satznummer"/>
        </w:rPr>
        <w:t>2</w:t>
      </w:r>
      <w:r>
        <w:t xml:space="preserve">Der Verwaltungsakt kann auch mündlich erlassen werden. </w:t>
      </w:r>
      <w:r>
        <w:rPr>
          <w:rStyle w:val="Satznummer"/>
        </w:rPr>
        <w:t>3</w:t>
      </w:r>
      <w:r>
        <w:t>Die Höhe des einzubehaltenden und abzuführenden Teils des Entgelts bedarf keiner Begründung, wenn der in Absatz 6 Satz 7 genannte Prozentsatz nicht überschritten wird.</w:t>
      </w:r>
    </w:p>
    <w:p>
      <w:r>
        <w:t xml:space="preserve">(9) </w:t>
      </w:r>
      <w:r>
        <w:rPr>
          <w:rStyle w:val="Satznummer"/>
        </w:rPr>
        <w:t>1</w:t>
      </w:r>
      <w:r>
        <w:t xml:space="preserve">Der Arbeitgeber haftet auch dann, wenn ein Dritter nach </w:t>
      </w:r>
      <w:hyperlink w:anchor="b144" w:history="1">
        <w:r>
          <w:rPr>
            <w:color w:val="0A3A8C"/>
            <w:u w:val="single"/>
          </w:rPr>
          <w:t xml:space="preserve">§ 38</w:t>
        </w:r>
      </w:hyperlink>
      <w:r>
        <w:t xml:space="preserve"> Absatz 3a dessen Pflichten trägt. </w:t>
      </w:r>
      <w:r>
        <w:rPr>
          <w:rStyle w:val="Satznummer"/>
        </w:rPr>
        <w:t>2</w:t>
      </w:r>
      <w:r>
        <w:t xml:space="preserve">In diesen Fällen haftet der Dritte neben dem Arbeitgeber. </w:t>
      </w:r>
      <w:r>
        <w:rPr>
          <w:rStyle w:val="Satznummer"/>
        </w:rPr>
        <w:t>3</w:t>
      </w:r>
      <w:r>
        <w:t xml:space="preserve">Soweit die Haftung des Dritten reicht, sind der Arbeitgeber, der Dritte und der Arbeitnehmer Gesamtschuldner. </w:t>
      </w:r>
      <w:r>
        <w:rPr>
          <w:rStyle w:val="Satznummer"/>
        </w:rPr>
        <w:t>4</w:t>
      </w:r>
      <w:r>
        <w:t xml:space="preserve">Absatz 3 Satz 2 bis 4 ist anzuwenden; Absatz 4 gilt auch für die Inanspruchnahme des Dritten. </w:t>
      </w:r>
      <w:r>
        <w:rPr>
          <w:rStyle w:val="Satznummer"/>
        </w:rPr>
        <w:t>5</w:t>
      </w:r>
      <w:r>
        <w:t xml:space="preserve">Im Fall des </w:t>
      </w:r>
      <w:hyperlink w:anchor="b144" w:history="1">
        <w:r>
          <w:rPr>
            <w:color w:val="0A3A8C"/>
            <w:u w:val="single"/>
          </w:rPr>
          <w:t xml:space="preserve">§ 38</w:t>
        </w:r>
      </w:hyperlink>
      <w:r>
        <w:t xml:space="preserve"> Absatz 3a Satz 2 beschränkt sich die Haftung des Dritten auf die Lohnsteuer, die für die Zeit zu erheben ist, für die er sich gegenüber dem Arbeitgeber zur Vornahme des Lohnsteuerabzugs verpflichtet hat; der maßgebende Zeitraum endet nicht, bevor der Dritte seinem Betriebsstättenfinanzamt die Beendigung seiner Verpflichtung gegenüber dem Arbeitgeber angezeigt hat. </w:t>
      </w:r>
      <w:r>
        <w:rPr>
          <w:rStyle w:val="Satznummer"/>
        </w:rPr>
        <w:t>6</w:t>
      </w:r>
      <w:r>
        <w:t xml:space="preserve">In den Fällen des </w:t>
      </w:r>
      <w:hyperlink w:anchor="b144" w:history="1">
        <w:r>
          <w:rPr>
            <w:color w:val="0A3A8C"/>
            <w:u w:val="single"/>
          </w:rPr>
          <w:t xml:space="preserve">§ 38</w:t>
        </w:r>
      </w:hyperlink>
      <w:r>
        <w:t xml:space="preserve"> Absatz 3a Satz 7 ist als Haftungsschuld der Betrag zu ermitteln, um den die Lohnsteuer, die für den gesamten Arbeitslohn des Lohnzahlungszeitraums zu berechnen und einzubehalten ist, die insgesamt tatsächlich einbehaltene Lohnsteuer übersteigt. </w:t>
      </w:r>
      <w:r>
        <w:rPr>
          <w:rStyle w:val="Satznummer"/>
        </w:rPr>
        <w:t>7</w:t>
      </w:r>
      <w:r>
        <w:t xml:space="preserve">Betrifft die Haftungsschuld mehrere Arbeitgeber, so ist sie bei fehlerhafter Lohnsteuerberechnung nach dem Verhältnis der Arbeitslöhne und für nachträglich zu erfassende Arbeitslohnbeträge nach dem Verhältnis dieser Beträge auf die Arbeitgeber aufzuteilen. </w:t>
      </w:r>
      <w:r>
        <w:rPr>
          <w:rStyle w:val="Satznummer"/>
        </w:rPr>
        <w:t>8</w:t>
      </w:r>
      <w:r>
        <w:t xml:space="preserve">In den Fällen des </w:t>
      </w:r>
      <w:hyperlink w:anchor="b144" w:history="1">
        <w:r>
          <w:rPr>
            <w:color w:val="0A3A8C"/>
            <w:u w:val="single"/>
          </w:rPr>
          <w:t xml:space="preserve">§ 38</w:t>
        </w:r>
      </w:hyperlink>
      <w:r>
        <w:t xml:space="preserve"> Absatz 3a ist das Betriebsstättenfinanzamt des Dritten für die Geltendmachung der Steuer- oder Haftungsschuld zuständig.</w:t>
      </w:r>
    </w:p>
    <w:p>
      <w:pPr>
        <w:pStyle w:val="Heading3"/>
      </w:pPr>
      <w:bookmarkStart w:id="166" w:name="b165"/>
      <w:r>
        <w:t>§ 42e Anrufungsauskunft</w:t>
      </w:r>
      <w:r>
        <w:t xml:space="preserve"> </w:t>
      </w:r>
      <w:r>
        <w:rPr>
          <w:rStyle w:val="Suchmarke"/>
        </w:rPr>
        <w:t>#42e#</w:t>
      </w:r>
      <w:bookmarkEnd w:id="166"/>
    </w:p>
    <w:p>
      <w:r>
        <w:rPr>
          <w:rStyle w:val="Satznummer"/>
        </w:rPr>
        <w:t>1</w:t>
      </w:r>
      <w:r>
        <w:t xml:space="preserve">Das Betriebsstättenfinanzamt hat auf Anfrage eines Beteiligten darüber Auskunft zu geben, ob und inwieweit im einzelnen Fall die Vorschriften über die Lohnsteuer anzuwenden sind. </w:t>
      </w:r>
      <w:r>
        <w:rPr>
          <w:rStyle w:val="Satznummer"/>
        </w:rPr>
        <w:t>2</w:t>
      </w:r>
      <w:r>
        <w:t xml:space="preserve">Sind für einen Arbeitgeber mehrere Betriebsstättenfinanzämter zuständig, so erteilt das Finanzamt die Auskunft, in dessen Bezirk sich die Geschäftsleitung (§ 10 der Abgabenordnung) des Arbeitgebers im Inland befindet. </w:t>
      </w:r>
      <w:r>
        <w:rPr>
          <w:rStyle w:val="Satznummer"/>
        </w:rPr>
        <w:t>3</w:t>
      </w:r>
      <w:r>
        <w:t xml:space="preserve">Ist dieses Finanzamt kein Betriebsstättenfinanzamt, so ist das Finanzamt zuständig, in dessen Bezirk sich die Betriebsstätte mit den meisten Arbeitnehmern befindet. </w:t>
      </w:r>
      <w:r>
        <w:rPr>
          <w:rStyle w:val="Satznummer"/>
        </w:rPr>
        <w:t>4</w:t>
      </w:r>
      <w:r>
        <w:t>In den Fällen der Sätze 2 und 3 hat der Arbeitgeber sämtliche Betriebsstättenfinanzämter, das Finanzamt der Geschäftsleitung und erforderlichenfalls die Betriebsstätte mit den meisten Arbeitnehmern anzugeben sowie zu erklären, für welche Betriebsstätten die Auskunft von Bedeutung ist.</w:t>
      </w:r>
    </w:p>
    <w:p>
      <w:pPr>
        <w:pStyle w:val="Heading3"/>
      </w:pPr>
      <w:bookmarkStart w:id="167" w:name="b166"/>
      <w:r>
        <w:t>§ 42f Lohnsteuer-Außenprüfung</w:t>
      </w:r>
      <w:r>
        <w:t xml:space="preserve"> </w:t>
      </w:r>
      <w:r>
        <w:rPr>
          <w:rStyle w:val="Suchmarke"/>
        </w:rPr>
        <w:t>#42f#</w:t>
      </w:r>
      <w:bookmarkEnd w:id="167"/>
    </w:p>
    <w:p>
      <w:r>
        <w:t>(1) Für die Außenprüfung der Einbehaltung oder Übernahme und Abführung der Lohnsteuer ist das Betriebsstättenfinanzamt zuständig.</w:t>
      </w:r>
    </w:p>
    <w:p>
      <w:r>
        <w:t xml:space="preserve">(2) </w:t>
      </w:r>
      <w:r>
        <w:rPr>
          <w:rStyle w:val="Satznummer"/>
        </w:rPr>
        <w:t>1</w:t>
      </w:r>
      <w:r>
        <w:t xml:space="preserve">Für die Mitwirkungspflicht des Arbeitgebers bei der Außenprüfung gilt § 200 der Abgabenordnung. </w:t>
      </w:r>
      <w:r>
        <w:rPr>
          <w:rStyle w:val="Satznummer"/>
        </w:rPr>
        <w:t>2</w:t>
      </w:r>
      <w:r>
        <w:t xml:space="preserve">Darüber hinaus haben die Arbeitnehmer des Arbeitgebers dem mit der Prüfung Beauftragten jede gewünschte Auskunft über Art und Höhe ihrer Einnahmen zu geben und auf Verlangen die etwa in ihrem Besitz befindlichen Bescheinigungen für den Lohnsteuerabzug sowie die Belege über bereits entrichtete Lohnsteuer vorzulegen. </w:t>
      </w:r>
      <w:r>
        <w:rPr>
          <w:rStyle w:val="Satznummer"/>
        </w:rPr>
        <w:t>3</w:t>
      </w:r>
      <w:r>
        <w:t>Dies gilt auch für Personen, bei denen es streitig ist, ob sie Arbeitnehmer des Arbeitgebers sind oder waren.</w:t>
      </w:r>
    </w:p>
    <w:p>
      <w:r>
        <w:t xml:space="preserve">(3) </w:t>
      </w:r>
      <w:r>
        <w:rPr>
          <w:rStyle w:val="Satznummer"/>
        </w:rPr>
        <w:t>1</w:t>
      </w:r>
      <w:r>
        <w:t xml:space="preserve">In den Fällen des </w:t>
      </w:r>
      <w:hyperlink w:anchor="b144" w:history="1">
        <w:r>
          <w:rPr>
            <w:color w:val="0A3A8C"/>
            <w:u w:val="single"/>
          </w:rPr>
          <w:t xml:space="preserve">§ 38</w:t>
        </w:r>
      </w:hyperlink>
      <w:r>
        <w:t xml:space="preserve"> Absatz 3a ist für die Außenprüfung das Betriebsstättenfinanzamt des Dritten zuständig; § 195 Satz 2 der Abgabenordnung bleibt unberührt. </w:t>
      </w:r>
      <w:r>
        <w:rPr>
          <w:rStyle w:val="Satznummer"/>
        </w:rPr>
        <w:t>2</w:t>
      </w:r>
      <w:r>
        <w:t>Die Außenprüfung ist auch beim Arbeitgeber zulässig; dessen Mitwirkungspflichten bleiben neben den Pflichten des Dritten bestehen.</w:t>
      </w:r>
    </w:p>
    <w:p>
      <w:r>
        <w:t>(4) Auf Verlangen des Arbeitgebers können die Außenprüfung und die Prüfungen durch die Träger der Rentenversicherung (§ 28p des Vierten Buches Sozialgesetzbuch) zur gleichen Zeit durchgeführt werden.</w:t>
      </w:r>
    </w:p>
    <w:p>
      <w:pPr>
        <w:pStyle w:val="Heading3"/>
      </w:pPr>
      <w:bookmarkStart w:id="168" w:name="b167"/>
      <w:r>
        <w:t>§ 42g Lohnsteuer-Nachschau</w:t>
      </w:r>
      <w:r>
        <w:t xml:space="preserve"> </w:t>
      </w:r>
      <w:r>
        <w:rPr>
          <w:rStyle w:val="Suchmarke"/>
        </w:rPr>
        <w:t>#42g#</w:t>
      </w:r>
      <w:bookmarkEnd w:id="168"/>
    </w:p>
    <w:p>
      <w:r>
        <w:t xml:space="preserve">(1) </w:t>
      </w:r>
      <w:r>
        <w:rPr>
          <w:rStyle w:val="Satznummer"/>
        </w:rPr>
        <w:t>1</w:t>
      </w:r>
      <w:r>
        <w:t xml:space="preserve">Die Lohnsteuer-Nachschau dient der Sicherstellung einer ordnungsgemäßen Einbehaltung und Abführung der Lohnsteuer. </w:t>
      </w:r>
      <w:r>
        <w:rPr>
          <w:rStyle w:val="Satznummer"/>
        </w:rPr>
        <w:t>2</w:t>
      </w:r>
      <w:r>
        <w:t>Sie ist ein besonderes Verfahren zur zeitnahen Aufklärung steuererheblicher Sachverhalte.</w:t>
      </w:r>
    </w:p>
    <w:p>
      <w:r>
        <w:t xml:space="preserve">(2) </w:t>
      </w:r>
      <w:r>
        <w:rPr>
          <w:rStyle w:val="Satznummer"/>
        </w:rPr>
        <w:t>1</w:t>
      </w:r>
      <w:r>
        <w:t xml:space="preserve">Eine Lohnsteuer-Nachschau findet während der üblichen Geschäfts- und Arbeitszeiten statt. </w:t>
      </w:r>
      <w:r>
        <w:rPr>
          <w:rStyle w:val="Satznummer"/>
        </w:rPr>
        <w:t>2</w:t>
      </w:r>
      <w:r>
        <w:t xml:space="preserve">Dazu können die mit der Nachschau Beauftragten ohne vorherige Ankündigung und außerhalb einer Lohnsteuer-Außenprüfung Grundstücke und Räume von Personen, die eine gewerbliche oder berufliche Tätigkeit ausüben, betreten. </w:t>
      </w:r>
      <w:r>
        <w:rPr>
          <w:rStyle w:val="Satznummer"/>
        </w:rPr>
        <w:t>3</w:t>
      </w:r>
      <w:r>
        <w:t>Wohnräume dürfen gegen den Willen des Inhabers nur zur Verhütung dringender Gefahren für die öffentliche Sicherheit und Ordnung betreten werden.</w:t>
      </w:r>
    </w:p>
    <w:p>
      <w:r>
        <w:t xml:space="preserve">(3) </w:t>
      </w:r>
      <w:r>
        <w:rPr>
          <w:rStyle w:val="Satznummer"/>
        </w:rPr>
        <w:t>1</w:t>
      </w:r>
      <w:r>
        <w:t xml:space="preserve">Die von der Lohnsteuer-Nachschau betroffenen Personen haben dem mit der Nachschau Beauftragten auf Verlangen Lohn- und Gehaltsunterlagen, Aufzeichnungen, Bücher, Geschäftspapiere und andere Urkunden über die der Lohnsteuer-Nachschau unterliegenden Sachverhalte vorzulegen und Auskünfte zu erteilen, soweit dies zur Feststellung einer steuerlichen Erheblichkeit zweckdienlich ist. </w:t>
      </w:r>
      <w:r>
        <w:rPr>
          <w:rStyle w:val="Satznummer"/>
        </w:rPr>
        <w:t>2</w:t>
      </w:r>
      <w:hyperlink w:anchor="b166" w:history="1">
        <w:r>
          <w:rPr>
            <w:color w:val="0A3A8C"/>
            <w:u w:val="single"/>
          </w:rPr>
          <w:t xml:space="preserve">§ 42f</w:t>
        </w:r>
      </w:hyperlink>
      <w:r>
        <w:t xml:space="preserve"> Absatz 2 Satz 2 und 3 gilt sinngemäß.</w:t>
      </w:r>
    </w:p>
    <w:p>
      <w:r>
        <w:t xml:space="preserve">(4) </w:t>
      </w:r>
      <w:r>
        <w:rPr>
          <w:rStyle w:val="Satznummer"/>
        </w:rPr>
        <w:t>1</w:t>
      </w:r>
      <w:r>
        <w:t xml:space="preserve">Wenn die bei der Lohnsteuer-Nachschau getroffenen Feststellungen hierzu Anlass geben, kann ohne vorherige Prüfungsanordnung (§ 196 der Abgabenordnung) zu einer Lohnsteuer-Außenprüfung nach </w:t>
      </w:r>
      <w:hyperlink w:anchor="b166" w:history="1">
        <w:r>
          <w:rPr>
            <w:color w:val="0A3A8C"/>
            <w:u w:val="single"/>
          </w:rPr>
          <w:t xml:space="preserve">§ 42f</w:t>
        </w:r>
      </w:hyperlink>
      <w:r>
        <w:t xml:space="preserve"> übergegangen werden. </w:t>
      </w:r>
      <w:r>
        <w:rPr>
          <w:rStyle w:val="Satznummer"/>
        </w:rPr>
        <w:t>2</w:t>
      </w:r>
      <w:r>
        <w:t>Auf den Übergang zur Außenprüfung wird schriftlich hingewiesen.</w:t>
      </w:r>
    </w:p>
    <w:p>
      <w:r>
        <w:t>(5) Werden anlässlich einer Lohnsteuer-Nachschau Verhältnisse festgestellt, die für die Festsetzung und Erhebung anderer Steuern erheblich sein können, so ist die Auswertung der Feststellungen insoweit zulässig, als ihre Kenntnis für die Besteuerung der in Absatz 2 genannten Personen oder anderer Personen von Bedeutung sein kann.</w:t>
      </w:r>
    </w:p>
    <w:p>
      <w:pPr>
        <w:pStyle w:val="Heading2"/>
      </w:pPr>
      <w:bookmarkStart w:id="169" w:name="b168"/>
      <w:r>
        <w:t>3. Steuerabzug vom Kapitalertrag (Kapitalertragsteuer)</w:t>
      </w:r>
      <w:bookmarkEnd w:id="169"/>
    </w:p>
    <w:p>
      <w:pPr>
        <w:pStyle w:val="Heading3"/>
      </w:pPr>
      <w:bookmarkStart w:id="170" w:name="b169"/>
      <w:r>
        <w:t>§ 43 Kapitalerträge mit Steuerabzug</w:t>
      </w:r>
      <w:r>
        <w:t xml:space="preserve"> </w:t>
      </w:r>
      <w:r>
        <w:rPr>
          <w:rStyle w:val="Suchmarke"/>
        </w:rPr>
        <w:t>#43#</w:t>
      </w:r>
      <w:bookmarkEnd w:id="170"/>
    </w:p>
    <w:p>
      <w:r>
        <w:t xml:space="preserve">(1) </w:t>
      </w:r>
      <w:r>
        <w:rPr>
          <w:rStyle w:val="Satznummer"/>
        </w:rPr>
        <w:t>1</w:t>
      </w:r>
      <w:r>
        <w:t>Bei den folgenden inländischen und in den Fällen der Nummern 5 bis 7 Buchstabe a und Nummern 8 bis 12 sowie Satz 2 auch ausländischen Kapitalerträgen wird die Einkommensteuer durch Abzug vom Kapitalertrag (Kapitalertragsteuer) erhoben:</w:t>
      </w:r>
    </w:p>
    <w:p>
      <w:pPr>
        <w:tabs>
          <w:tab w:pos="567" w:val="left"/>
        </w:tabs>
        <w:ind w:left="567" w:hanging="567"/>
      </w:pPr>
      <w:r>
        <w:t>1.</w:t>
      </w:r>
      <w:r>
        <w:tab/>
      </w:r>
      <w:r>
        <w:t xml:space="preserve">Kapitalerträgen im Sinne des </w:t>
      </w:r>
      <w:hyperlink w:anchor="b86" w:history="1">
        <w:r>
          <w:rPr>
            <w:color w:val="0A3A8C"/>
            <w:u w:val="single"/>
          </w:rPr>
          <w:t xml:space="preserve">§ 20</w:t>
        </w:r>
      </w:hyperlink>
      <w:r>
        <w:t xml:space="preserve"> Absatz 1 Nummer 1, soweit diese nicht nachfolgend in Nummer 1a gesondert genannt sind, und Kapitalerträgen im Sinne des </w:t>
      </w:r>
      <w:hyperlink w:anchor="b86" w:history="1">
        <w:r>
          <w:rPr>
            <w:color w:val="0A3A8C"/>
            <w:u w:val="single"/>
          </w:rPr>
          <w:t xml:space="preserve">§ 20</w:t>
        </w:r>
      </w:hyperlink>
      <w:r>
        <w:t xml:space="preserve"> Absatz 1 Nummer 2. </w:t>
      </w:r>
      <w:r>
        <w:rPr>
          <w:rStyle w:val="Satznummer"/>
        </w:rPr>
        <w:t>2</w:t>
      </w:r>
      <w:r>
        <w:t>Entsprechendes gilt für Kapitalerträge im Sinne des § 20 Absatz 2 Satz 1 Nummer 2 Buchstabe a und Nummer 2 Satz 2;</w:t>
      </w:r>
    </w:p>
    <w:p>
      <w:pPr>
        <w:tabs>
          <w:tab w:pos="567" w:val="left"/>
        </w:tabs>
        <w:ind w:left="567" w:hanging="567"/>
      </w:pPr>
      <w:r>
        <w:t>1a.</w:t>
      </w:r>
      <w:r>
        <w:tab/>
      </w:r>
      <w:r>
        <w:t>Kapitalerträgen im Sinne des § 20 Absatz 1 Nummer 1 aus Aktien und Genussscheinen,</w:t>
      </w:r>
    </w:p>
    <w:p>
      <w:pPr>
        <w:tabs>
          <w:tab w:pos="1134" w:val="left"/>
        </w:tabs>
        <w:ind w:left="1134" w:hanging="567"/>
      </w:pPr>
      <w:r>
        <w:t>a)</w:t>
      </w:r>
      <w:r>
        <w:tab/>
      </w:r>
      <w:r>
        <w:t>die gemäß § 5 des Depotgesetzes zur Sammelverwahrung durch eine Wertpapiersammelbank zugelassen sind und dieser zur Sammelverwahrung im Inland anvertraut wurden,</w:t>
      </w:r>
    </w:p>
    <w:p>
      <w:pPr>
        <w:tabs>
          <w:tab w:pos="1134" w:val="left"/>
        </w:tabs>
        <w:ind w:left="1134" w:hanging="567"/>
      </w:pPr>
      <w:r>
        <w:t>b)</w:t>
      </w:r>
      <w:r>
        <w:tab/>
      </w:r>
      <w:r>
        <w:t>bei denen eine Sonderverwahrung gemäß § 2 Satz 1 des Depotgesetzes erfolgt,</w:t>
      </w:r>
    </w:p>
    <w:p>
      <w:pPr>
        <w:tabs>
          <w:tab w:pos="1134" w:val="left"/>
        </w:tabs>
        <w:ind w:left="1134" w:hanging="567"/>
      </w:pPr>
      <w:r>
        <w:t>c)</w:t>
      </w:r>
      <w:r>
        <w:tab/>
      </w:r>
      <w:r>
        <w:t>bei denen die Erträge gegen Aushändigung der Dividendenscheine oder sonstiger Erträgnisscheine ausgezahlt oder gutgeschrieben werden oder</w:t>
      </w:r>
    </w:p>
    <w:p>
      <w:pPr>
        <w:tabs>
          <w:tab w:pos="1134" w:val="left"/>
        </w:tabs>
        <w:ind w:left="1134" w:hanging="567"/>
      </w:pPr>
      <w:r>
        <w:t>d)</w:t>
      </w:r>
      <w:r>
        <w:tab/>
      </w:r>
      <w:r>
        <w:t>die in ein elektronisches Wertpapierregister im Sinne des § 4 Absatz 1 des Gesetzes über elektronische Wertpapiere eingetragen sind;</w:t>
      </w:r>
    </w:p>
    <w:p>
      <w:pPr>
        <w:tabs>
          <w:tab w:pos="567" w:val="left"/>
        </w:tabs>
        <w:ind w:left="567" w:hanging="567"/>
      </w:pPr>
      <w:r>
        <w:t>2.</w:t>
      </w:r>
      <w:r>
        <w:tab/>
      </w:r>
      <w:r>
        <w:t xml:space="preserve">Zinsen aus Teilschuldverschreibungen, bei denen neben der festen Verzinsung ein Recht auf Umtausch in Gesellschaftsanteile (Wandelanleihen) oder eine Zusatzverzinsung, die sich nach der Höhe der Gewinnausschüttungen des Schuldners richtet (Gewinnobligationen), eingeräumt ist, und Zinsen aus Genussrechten, die nicht in </w:t>
      </w:r>
      <w:hyperlink w:anchor="b86" w:history="1">
        <w:r>
          <w:rPr>
            <w:color w:val="0A3A8C"/>
            <w:u w:val="single"/>
          </w:rPr>
          <w:t xml:space="preserve">§ 20</w:t>
        </w:r>
      </w:hyperlink>
      <w:r>
        <w:t xml:space="preserve"> Absatz 1 Nummer 1 genannt sind. </w:t>
      </w:r>
      <w:r>
        <w:rPr>
          <w:rStyle w:val="Satznummer"/>
        </w:rPr>
        <w:t>2</w:t>
      </w:r>
      <w:r>
        <w:t xml:space="preserve">Zu den Gewinnobligationen gehören nicht solche Teilschuldverschreibungen, bei denen der Zinsfuß nur vorübergehend herabgesetzt und gleichzeitig eine von dem jeweiligen Gewinnergebnis des Unternehmens abhängige Zusatzverzinsung bis zur Höhe des ursprünglichen Zinsfußes festgelegt worden ist. </w:t>
      </w:r>
      <w:r>
        <w:rPr>
          <w:rStyle w:val="Satznummer"/>
        </w:rPr>
        <w:t>3</w:t>
      </w:r>
      <w:r>
        <w:t xml:space="preserve">Zu den Kapitalerträgen im Sinne des Satzes 1 gehören nicht die Bundesbankgenussrechte im Sinne des § 3 Absatz 1 des Gesetzes über die Liquidation der Deutschen Reichsbank und der Deutschen Golddiskontbank in der im Bundesgesetzblatt Teil III, Gliederungsnummer 7620-6, veröffentlichten bereinigten Fassung, das zuletzt durch das Gesetz vom 17. Dezember 1975 (BGBl. I S. 3123) geändert worden ist. </w:t>
      </w:r>
      <w:r>
        <w:rPr>
          <w:rStyle w:val="Satznummer"/>
        </w:rPr>
        <w:t>4</w:t>
      </w:r>
      <w:r>
        <w:t>Beim Steuerabzug auf Kapitalerträge sind die für den Steuerabzug nach Nummer 1a geltenden Vorschriften entsprechend anzuwenden, wenn</w:t>
      </w:r>
    </w:p>
    <w:p>
      <w:pPr>
        <w:tabs>
          <w:tab w:pos="1134" w:val="left"/>
        </w:tabs>
        <w:ind w:left="1134" w:hanging="567"/>
      </w:pPr>
      <w:r>
        <w:t>a)</w:t>
      </w:r>
      <w:r>
        <w:tab/>
      </w:r>
      <w:r>
        <w:t>die Teilschuldverschreibungen und Genussrechte gemäß § 5 des Depotgesetzes zur Sammelverwahrung durch eine Wertpapiersammelbank zugelassen sind und dieser zur Sammelverwahrung im Inland anvertraut wurden,</w:t>
      </w:r>
    </w:p>
    <w:p>
      <w:pPr>
        <w:tabs>
          <w:tab w:pos="1134" w:val="left"/>
        </w:tabs>
        <w:ind w:left="1134" w:hanging="567"/>
      </w:pPr>
      <w:r>
        <w:t>b)</w:t>
      </w:r>
      <w:r>
        <w:tab/>
      </w:r>
      <w:r>
        <w:t>die Teilschuldverschreibungen und Genussrechte gemäß § 2 Satz 1 des Depotgesetzes gesondert aufbewahrt werden,</w:t>
      </w:r>
    </w:p>
    <w:p>
      <w:pPr>
        <w:tabs>
          <w:tab w:pos="1134" w:val="left"/>
        </w:tabs>
        <w:ind w:left="1134" w:hanging="567"/>
      </w:pPr>
      <w:r>
        <w:t>c)</w:t>
      </w:r>
      <w:r>
        <w:tab/>
      </w:r>
      <w:r>
        <w:t>die Erträge der Teilschuldverschreibungen und Genussrechte gegen Aushändigung der Erträgnisscheine ausgezahlt oder gutgeschrieben werden oder</w:t>
      </w:r>
    </w:p>
    <w:p>
      <w:pPr>
        <w:tabs>
          <w:tab w:pos="1134" w:val="left"/>
        </w:tabs>
        <w:ind w:left="1134" w:hanging="567"/>
      </w:pPr>
      <w:r>
        <w:t>d)</w:t>
      </w:r>
      <w:r>
        <w:tab/>
      </w:r>
      <w:r>
        <w:t>die Teilschuldverschreibungen in ein elektronisches Wertpapierregister im Sinne des § 4 Absatz 1 des Gesetzes über elektronische Wertpapiere eingetragen sind;</w:t>
      </w:r>
    </w:p>
    <w:p>
      <w:pPr>
        <w:tabs>
          <w:tab w:pos="567" w:val="left"/>
        </w:tabs>
        <w:ind w:left="567" w:hanging="567"/>
      </w:pPr>
      <w:r>
        <w:t>3.</w:t>
      </w:r>
      <w:r>
        <w:tab/>
      </w:r>
      <w:r>
        <w:t xml:space="preserve">Kapitalerträgen im Sinne des </w:t>
      </w:r>
      <w:hyperlink w:anchor="b86" w:history="1">
        <w:r>
          <w:rPr>
            <w:color w:val="0A3A8C"/>
            <w:u w:val="single"/>
          </w:rPr>
          <w:t xml:space="preserve">§ 20</w:t>
        </w:r>
      </w:hyperlink>
      <w:r>
        <w:t xml:space="preserve"> Absatz 1 Nummer 4, außer bei Kapitalerträgen im Sinne der Nummer 8a;</w:t>
      </w:r>
    </w:p>
    <w:p>
      <w:pPr>
        <w:tabs>
          <w:tab w:pos="567" w:val="left"/>
        </w:tabs>
        <w:ind w:left="567" w:hanging="567"/>
      </w:pPr>
      <w:r>
        <w:t>4.</w:t>
      </w:r>
      <w:r>
        <w:tab/>
      </w:r>
      <w:r>
        <w:t xml:space="preserve">Kapitalerträgen im Sinne des </w:t>
      </w:r>
      <w:hyperlink w:anchor="b86" w:history="1">
        <w:r>
          <w:rPr>
            <w:color w:val="0A3A8C"/>
            <w:u w:val="single"/>
          </w:rPr>
          <w:t xml:space="preserve">§ 20</w:t>
        </w:r>
      </w:hyperlink>
      <w:r>
        <w:t xml:space="preserve"> Absatz 1 Nummer 6 Satz 1 bis 6; § 20 Absatz 1 Nummer 6 Satz 2 und 3 in der am 1. Januar 2008 anzuwendenden Fassung bleiben für Zwecke der Kapitalertragsteuer unberücksichtigt. </w:t>
      </w:r>
      <w:r>
        <w:rPr>
          <w:rStyle w:val="Satznummer"/>
        </w:rPr>
        <w:t>2</w:t>
      </w:r>
      <w:r>
        <w:t>Der Steuerabzug vom Kapitalertrag ist in den Fällen des § 20 Absatz 1 Nummer 6 Satz 4 in der am 31. Dezember 2004 geltenden Fassung nur vorzunehmen, wenn das Versicherungsunternehmen auf Grund einer Mitteilung des Finanzamts weiß oder infolge der Verletzung eigener Anzeigeverpflichtungen nicht weiß, dass die Kapitalerträge nach dieser Vorschrift zu den Einkünften aus Kapitalvermögen gehören;</w:t>
      </w:r>
    </w:p>
    <w:p>
      <w:pPr>
        <w:tabs>
          <w:tab w:pos="567" w:val="left"/>
        </w:tabs>
        <w:ind w:left="567" w:hanging="567"/>
      </w:pPr>
      <w:r>
        <w:t>5.</w:t>
      </w:r>
      <w:r>
        <w:tab/>
      </w:r>
      <w:r>
        <w:t xml:space="preserve">Kapitalerträgen im Sinne des </w:t>
      </w:r>
      <w:hyperlink w:anchor="b86" w:history="1">
        <w:r>
          <w:rPr>
            <w:color w:val="0A3A8C"/>
            <w:u w:val="single"/>
          </w:rPr>
          <w:t xml:space="preserve">§ 20</w:t>
        </w:r>
      </w:hyperlink>
      <w:r>
        <w:t xml:space="preserve"> Absatz 1 Nummer 3 mit Ausnahme der Gewinne aus der Veräußerung von Anteilen an Investmentfonds im Sinne des </w:t>
      </w:r>
      <w:hyperlink w:anchor="b78" w:history="1">
        <w:r>
          <w:rPr>
            <w:color w:val="0A3A8C"/>
            <w:u w:val="single"/>
          </w:rPr>
          <w:t xml:space="preserve">§ 16</w:t>
        </w:r>
      </w:hyperlink>
      <w:r>
        <w:t xml:space="preserve"> Absatz 1 Nummer 3 in Verbindung mit § 2 Absatz 13 des Investmentsteuergesetzes;</w:t>
      </w:r>
    </w:p>
    <w:p>
      <w:pPr>
        <w:tabs>
          <w:tab w:pos="567" w:val="left"/>
        </w:tabs>
        <w:ind w:left="567" w:hanging="567"/>
      </w:pPr>
      <w:r>
        <w:t>6.</w:t>
      </w:r>
      <w:r>
        <w:tab/>
      </w:r>
      <w:r>
        <w:t>ausländischen Kapitalerträgen im Sinne der Nummern 1 und 1a;</w:t>
      </w:r>
    </w:p>
    <w:p>
      <w:pPr>
        <w:tabs>
          <w:tab w:pos="567" w:val="left"/>
        </w:tabs>
        <w:ind w:left="567" w:hanging="567"/>
      </w:pPr>
      <w:r>
        <w:t>7.</w:t>
      </w:r>
      <w:r>
        <w:tab/>
      </w:r>
      <w:r>
        <w:t xml:space="preserve">Kapitalerträgen im Sinne des </w:t>
      </w:r>
      <w:hyperlink w:anchor="b86" w:history="1">
        <w:r>
          <w:rPr>
            <w:color w:val="0A3A8C"/>
            <w:u w:val="single"/>
          </w:rPr>
          <w:t xml:space="preserve">§ 20</w:t>
        </w:r>
      </w:hyperlink>
      <w:r>
        <w:t xml:space="preserve"> Absatz 1 Nummer 7, außer bei Kapitalerträgen im Sinne der Nummern 2 und 8a, wenn</w:t>
      </w:r>
    </w:p>
    <w:p>
      <w:pPr>
        <w:tabs>
          <w:tab w:pos="1134" w:val="left"/>
        </w:tabs>
        <w:ind w:left="1134" w:hanging="567"/>
      </w:pPr>
      <w:r>
        <w:t>a)</w:t>
      </w:r>
      <w:r>
        <w:tab/>
      </w:r>
      <w:r>
        <w:t>es sich um Zinsen aus Anleihen und Forderungen handelt, die in ein öffentliches Schuldbuch, ein elektronisches Wertpapierregister im Sinne des § 4 Absatz 1 des Gesetzes über elektronische Wertpapiere oder in ein ausländisches Register eingetragen oder über die Sammelurkunden im Sinne des § 9a des Depotgesetzes oder Teilschuldverschreibungen ausgegeben sind;</w:t>
      </w:r>
    </w:p>
    <w:p>
      <w:pPr>
        <w:tabs>
          <w:tab w:pos="1134" w:val="left"/>
        </w:tabs>
        <w:ind w:left="1134" w:hanging="567"/>
      </w:pPr>
      <w:r>
        <w:t>b)</w:t>
      </w:r>
      <w:r>
        <w:tab/>
      </w:r>
      <w:r>
        <w:t xml:space="preserve">der Schuldner der nicht in Buchstabe a genannten Kapitalerträge ein inländisches Kreditinstitut oder ein inländisches Finanzdienstleistungsinstitut im Sinne des Gesetzes über das Kreditwesen oder ein Wertpapierinstitut im Sinne des Wertpapierinstitutsgesetzes ist. </w:t>
      </w:r>
      <w:r>
        <w:rPr>
          <w:rStyle w:val="Satznummer"/>
        </w:rPr>
        <w:t>2</w:t>
      </w:r>
      <w:r>
        <w:t xml:space="preserve">Kreditinstitut in diesem Sinne ist auch die Kreditanstalt für Wiederaufbau, eine Bausparkasse, ein Versicherungsunternehmen für Erträge aus Kapitalanlagen, die mit Einlagegeschäften bei Kreditinstituten vergleichbar sind, die Deutsche Bundesbank bei Geschäften mit jedermann einschließlich ihrer Betriebsangehörigen im Sinne der §§ 22 und 25 des Gesetzes über die Deutsche Bundesbank und eine inländische Zweigstelle oder Zweigniederlassung eines ausländischen Unternehmens im Sinne der §§ 53 und 53b des Gesetzes über das Kreditwesen, nicht aber eine ausländische Zweigstelle eines inländischen Kredit-, Finanzdienstleistungs- oder Wertpapierinstituts. </w:t>
      </w:r>
      <w:r>
        <w:rPr>
          <w:rStyle w:val="Satznummer"/>
        </w:rPr>
        <w:t>3</w:t>
      </w:r>
      <w:r>
        <w:t>Die inländische Zweigstelle oder Zweigniederlassung gilt anstelle des ausländischen Unternehmens als Schuldner der Kapitalerträge;</w:t>
      </w:r>
    </w:p>
    <w:p>
      <w:pPr>
        <w:tabs>
          <w:tab w:pos="1134" w:val="left"/>
        </w:tabs>
        <w:ind w:left="1134" w:hanging="567"/>
      </w:pPr>
      <w:r>
        <w:t>c)</w:t>
      </w:r>
      <w:r>
        <w:tab/>
      </w:r>
      <w:r>
        <w:t>(weggefallen)</w:t>
      </w:r>
    </w:p>
    <w:p>
      <w:pPr>
        <w:tabs>
          <w:tab w:pos="567" w:val="left"/>
        </w:tabs>
        <w:ind w:left="567" w:hanging="567"/>
      </w:pPr>
      <w:r>
        <w:t>7a.</w:t>
      </w:r>
      <w:r>
        <w:tab/>
      </w:r>
      <w:r>
        <w:t xml:space="preserve">Kapitalerträgen im Sinne des </w:t>
      </w:r>
      <w:hyperlink w:anchor="b86" w:history="1">
        <w:r>
          <w:rPr>
            <w:color w:val="0A3A8C"/>
            <w:u w:val="single"/>
          </w:rPr>
          <w:t xml:space="preserve">§ 20</w:t>
        </w:r>
      </w:hyperlink>
      <w:r>
        <w:t xml:space="preserve"> Absatz 1 Nummer 9;</w:t>
      </w:r>
    </w:p>
    <w:p>
      <w:pPr>
        <w:tabs>
          <w:tab w:pos="567" w:val="left"/>
        </w:tabs>
        <w:ind w:left="567" w:hanging="567"/>
      </w:pPr>
      <w:r>
        <w:t>7b.</w:t>
      </w:r>
      <w:r>
        <w:tab/>
      </w:r>
      <w:r>
        <w:t>Kapitalerträgen im Sinne des § 20 Absatz 1 Nummer 10 Buchstabe a;</w:t>
      </w:r>
    </w:p>
    <w:p>
      <w:pPr>
        <w:tabs>
          <w:tab w:pos="567" w:val="left"/>
        </w:tabs>
        <w:ind w:left="567" w:hanging="567"/>
      </w:pPr>
      <w:r>
        <w:t>7c.</w:t>
      </w:r>
      <w:r>
        <w:tab/>
      </w:r>
      <w:r>
        <w:t>Kapitalerträgen im Sinne des § 20 Absatz 1 Nummer 10 Buchstabe b;</w:t>
      </w:r>
    </w:p>
    <w:p>
      <w:pPr>
        <w:tabs>
          <w:tab w:pos="567" w:val="left"/>
        </w:tabs>
        <w:ind w:left="567" w:hanging="567"/>
      </w:pPr>
      <w:r>
        <w:t>8.</w:t>
      </w:r>
      <w:r>
        <w:tab/>
      </w:r>
      <w:r>
        <w:t xml:space="preserve">Kapitalerträgen im Sinne des </w:t>
      </w:r>
      <w:hyperlink w:anchor="b86" w:history="1">
        <w:r>
          <w:rPr>
            <w:color w:val="0A3A8C"/>
            <w:u w:val="single"/>
          </w:rPr>
          <w:t xml:space="preserve">§ 20</w:t>
        </w:r>
      </w:hyperlink>
      <w:r>
        <w:t xml:space="preserve"> Absatz 1 Nummer 11;</w:t>
      </w:r>
    </w:p>
    <w:p>
      <w:pPr>
        <w:tabs>
          <w:tab w:pos="567" w:val="left"/>
        </w:tabs>
        <w:ind w:left="567" w:hanging="567"/>
      </w:pPr>
      <w:r>
        <w:t>8a.</w:t>
      </w:r>
      <w:r>
        <w:tab/>
      </w:r>
      <w:r>
        <w:t xml:space="preserve">Kapitalerträgen im Sinne des </w:t>
      </w:r>
      <w:hyperlink w:anchor="b86" w:history="1">
        <w:r>
          <w:rPr>
            <w:color w:val="0A3A8C"/>
            <w:u w:val="single"/>
          </w:rPr>
          <w:t xml:space="preserve">§ 20</w:t>
        </w:r>
      </w:hyperlink>
      <w:r>
        <w:t xml:space="preserve"> Absatz 1 Nummer 4 und 7, wenn es sich um Zinsen aus Forderungen handelt, die über eine Internet-Dienstleistungsplattform erworben wurden. </w:t>
      </w:r>
      <w:r>
        <w:rPr>
          <w:rStyle w:val="Satznummer"/>
        </w:rPr>
        <w:t>2</w:t>
      </w:r>
      <w:r>
        <w:t>Eine Internet-Dienstleistungsplattform in diesem Sinne ist ein webbasiertes Medium, das Kauf- und Verkaufsaufträge in Aktien und anderen Finanzinstrumenten sowie Darlehensnehmer und Darlehensgeber zusammenführt und so einen Vertragsabschluss vermittelt;</w:t>
      </w:r>
    </w:p>
    <w:p>
      <w:pPr>
        <w:tabs>
          <w:tab w:pos="567" w:val="left"/>
        </w:tabs>
        <w:ind w:left="567" w:hanging="567"/>
      </w:pPr>
      <w:r>
        <w:t>9.</w:t>
      </w:r>
      <w:r>
        <w:tab/>
      </w:r>
      <w:r>
        <w:t xml:space="preserve">Kapitalerträgen im Sinne des </w:t>
      </w:r>
      <w:hyperlink w:anchor="b86" w:history="1">
        <w:r>
          <w:rPr>
            <w:color w:val="0A3A8C"/>
            <w:u w:val="single"/>
          </w:rPr>
          <w:t xml:space="preserve">§ 20</w:t>
        </w:r>
      </w:hyperlink>
      <w:r>
        <w:t xml:space="preserve"> Absatz 2 Satz 1 Nummer 1 und Gewinnen aus der Veräußerung von Anteilen an Investmentfonds im Sinne des </w:t>
      </w:r>
      <w:hyperlink w:anchor="b78" w:history="1">
        <w:r>
          <w:rPr>
            <w:color w:val="0A3A8C"/>
            <w:u w:val="single"/>
          </w:rPr>
          <w:t xml:space="preserve">§ 16</w:t>
        </w:r>
      </w:hyperlink>
      <w:r>
        <w:t xml:space="preserve"> Absatz 1 Nummer 3 in Verbindung mit § 2 Absatz 13 des Investmentsteuergesetzes;</w:t>
      </w:r>
    </w:p>
    <w:p>
      <w:pPr>
        <w:tabs>
          <w:tab w:pos="567" w:val="left"/>
        </w:tabs>
        <w:ind w:left="567" w:hanging="567"/>
      </w:pPr>
      <w:r>
        <w:t>10.</w:t>
      </w:r>
      <w:r>
        <w:tab/>
      </w:r>
      <w:r>
        <w:t>Kapitalerträgen im Sinne des § 20 Absatz 2 Satz 1 Nummer 2 Buchstabe b und Nummer 7;</w:t>
      </w:r>
    </w:p>
    <w:p>
      <w:pPr>
        <w:tabs>
          <w:tab w:pos="567" w:val="left"/>
        </w:tabs>
        <w:ind w:left="567" w:hanging="567"/>
      </w:pPr>
      <w:r>
        <w:t>11.</w:t>
      </w:r>
      <w:r>
        <w:tab/>
      </w:r>
      <w:r>
        <w:t xml:space="preserve">Kapitalerträgen im Sinne des </w:t>
      </w:r>
      <w:hyperlink w:anchor="b86" w:history="1">
        <w:r>
          <w:rPr>
            <w:color w:val="0A3A8C"/>
            <w:u w:val="single"/>
          </w:rPr>
          <w:t xml:space="preserve">§ 20</w:t>
        </w:r>
      </w:hyperlink>
      <w:r>
        <w:t xml:space="preserve"> Absatz 2 Satz 1 Nummer 3;</w:t>
      </w:r>
    </w:p>
    <w:p>
      <w:pPr>
        <w:tabs>
          <w:tab w:pos="567" w:val="left"/>
        </w:tabs>
        <w:ind w:left="567" w:hanging="567"/>
      </w:pPr>
      <w:r>
        <w:t>12.</w:t>
      </w:r>
      <w:r>
        <w:tab/>
      </w:r>
      <w:r>
        <w:t xml:space="preserve">Kapitalerträgen im Sinne des </w:t>
      </w:r>
      <w:hyperlink w:anchor="b86" w:history="1">
        <w:r>
          <w:rPr>
            <w:color w:val="0A3A8C"/>
            <w:u w:val="single"/>
          </w:rPr>
          <w:t xml:space="preserve">§ 20</w:t>
        </w:r>
      </w:hyperlink>
      <w:r>
        <w:t xml:space="preserve"> Absatz 2 Satz 1 Nummer 8.</w:t>
      </w:r>
    </w:p>
    <w:p>
      <w:r>
        <w:rPr>
          <w:rStyle w:val="Satznummer"/>
        </w:rPr>
        <w:t>2</w:t>
      </w:r>
      <w:r>
        <w:t xml:space="preserve">Dem Steuerabzug unterliegen auch Kapitalerträge im Sinne des </w:t>
      </w:r>
      <w:hyperlink w:anchor="b86" w:history="1">
        <w:r>
          <w:rPr>
            <w:color w:val="0A3A8C"/>
            <w:u w:val="single"/>
          </w:rPr>
          <w:t xml:space="preserve">§ 20</w:t>
        </w:r>
      </w:hyperlink>
      <w:r>
        <w:t xml:space="preserve"> Absatz 3, die neben den in den Nummern 1 bis 12 bezeichneten Kapitalerträgen oder an deren Stelle gewährt werden. </w:t>
      </w:r>
      <w:r>
        <w:rPr>
          <w:rStyle w:val="Satznummer"/>
        </w:rPr>
        <w:t>3</w:t>
      </w:r>
      <w:r>
        <w:t xml:space="preserve">Der Steuerabzug ist ungeachtet des </w:t>
      </w:r>
      <w:hyperlink w:anchor="b8" w:history="1">
        <w:r>
          <w:rPr>
            <w:color w:val="0A3A8C"/>
            <w:u w:val="single"/>
          </w:rPr>
          <w:t xml:space="preserve">§ 3</w:t>
        </w:r>
      </w:hyperlink>
      <w:r>
        <w:t xml:space="preserve"> Nummer 40 und des § 8b des Körperschaftsteuergesetzes vorzunehmen. </w:t>
      </w:r>
      <w:r>
        <w:rPr>
          <w:rStyle w:val="Satznummer"/>
        </w:rPr>
        <w:t>4</w:t>
      </w:r>
      <w:r>
        <w:t xml:space="preserve">Für Zwecke des Kapitalertragsteuerabzugs gilt die Übertragung eines von einer auszahlenden Stelle verwahrten oder verwalteten Wirtschaftsguts im Sinne des </w:t>
      </w:r>
      <w:hyperlink w:anchor="b86" w:history="1">
        <w:r>
          <w:rPr>
            <w:color w:val="0A3A8C"/>
            <w:u w:val="single"/>
          </w:rPr>
          <w:t xml:space="preserve">§ 20</w:t>
        </w:r>
      </w:hyperlink>
      <w:r>
        <w:t xml:space="preserve"> Absatz 2 auf einen anderen Gläubiger als Veräußerung des Wirtschaftsguts. </w:t>
      </w:r>
      <w:r>
        <w:rPr>
          <w:rStyle w:val="Satznummer"/>
        </w:rPr>
        <w:t>5</w:t>
      </w:r>
      <w:r>
        <w:t xml:space="preserve">Satz 4 gilt nicht, wenn der Steuerpflichtige der auszahlenden Stelle unter Benennung der in Satz 6 Nummer 4 bis 6 bezeichneten Daten mitteilt, dass es sich um eine unentgeltliche Übertragung handelt. </w:t>
      </w:r>
      <w:r>
        <w:rPr>
          <w:rStyle w:val="Satznummer"/>
        </w:rPr>
        <w:t>6</w:t>
      </w:r>
      <w:r>
        <w:t>Die auszahlende Stelle hat in den Fällen des Satzes 5 folgende Daten dem für sie zuständigen Betriebsstättenfinanzamt bis zum 31. Mai des jeweiligen Folgejahres nach Maßgabe des § 93c der Abgabenordnung mitzuteilen:</w:t>
      </w:r>
    </w:p>
    <w:p>
      <w:pPr>
        <w:tabs>
          <w:tab w:pos="567" w:val="left"/>
        </w:tabs>
        <w:ind w:left="567" w:hanging="567"/>
      </w:pPr>
      <w:r>
        <w:t>1.</w:t>
      </w:r>
      <w:r>
        <w:tab/>
      </w:r>
      <w:r>
        <w:t>Bezeichnung der auszahlenden Stelle,</w:t>
      </w:r>
    </w:p>
    <w:p>
      <w:pPr>
        <w:tabs>
          <w:tab w:pos="567" w:val="left"/>
        </w:tabs>
        <w:ind w:left="567" w:hanging="567"/>
      </w:pPr>
      <w:r>
        <w:t>2.</w:t>
      </w:r>
      <w:r>
        <w:tab/>
      </w:r>
      <w:r>
        <w:t>das zuständige Betriebsstättenfinanzamt,</w:t>
      </w:r>
    </w:p>
    <w:p>
      <w:pPr>
        <w:tabs>
          <w:tab w:pos="567" w:val="left"/>
        </w:tabs>
        <w:ind w:left="567" w:hanging="567"/>
      </w:pPr>
      <w:r>
        <w:t>3.</w:t>
      </w:r>
      <w:r>
        <w:tab/>
      </w:r>
      <w:r>
        <w:t>das übertragene Wirtschaftsgut, den Übertragungszeitpunkt, den Wert zum Übertragungszeitpunkt und die Anschaffungskosten des Wirtschaftsguts,</w:t>
      </w:r>
    </w:p>
    <w:p>
      <w:pPr>
        <w:tabs>
          <w:tab w:pos="567" w:val="left"/>
        </w:tabs>
        <w:ind w:left="567" w:hanging="567"/>
      </w:pPr>
      <w:r>
        <w:t>4.</w:t>
      </w:r>
      <w:r>
        <w:tab/>
      </w:r>
      <w:r>
        <w:t>Name, Geburtsdatum, Anschrift und Identifikationsnummer des Übertragenden,</w:t>
      </w:r>
    </w:p>
    <w:p>
      <w:pPr>
        <w:tabs>
          <w:tab w:pos="567" w:val="left"/>
        </w:tabs>
        <w:ind w:left="567" w:hanging="567"/>
      </w:pPr>
      <w:r>
        <w:t>5.</w:t>
      </w:r>
      <w:r>
        <w:tab/>
      </w:r>
      <w:r>
        <w:t xml:space="preserve">Name, Geburtsdatum, Anschrift und Identifikationsnummer des Empfängers sowie die Bezeichnung des Kreditinstituts, der Nummer des Depots, des Kontos oder des Schuldbuchkontos. </w:t>
      </w:r>
      <w:r>
        <w:rPr>
          <w:rStyle w:val="Satznummer"/>
        </w:rPr>
        <w:t>2</w:t>
      </w:r>
      <w:r>
        <w:t xml:space="preserve">Sofern die Identifikationsnummer des Empfängers nicht bereits bekannt ist, kann die auszahlende Stelle diese in einem maschinellen Verfahren nach amtlich vorgeschriebenem Datensatz beim Bundeszentralamt für Steuern erfragen. </w:t>
      </w:r>
      <w:r>
        <w:rPr>
          <w:rStyle w:val="Satznummer"/>
        </w:rPr>
        <w:t>3</w:t>
      </w:r>
      <w:r>
        <w:t xml:space="preserve">In der Anfrage dürfen nur die in § 139b Absatz 3 der Abgabenordnung genannten Daten der betroffenen Person angegeben werden. </w:t>
      </w:r>
      <w:r>
        <w:rPr>
          <w:rStyle w:val="Satznummer"/>
        </w:rPr>
        <w:t>4</w:t>
      </w:r>
      <w:r>
        <w:t xml:space="preserve">Das Bundeszentralamt für Steuern teilt der auszahlenden Stelle die Identifikationsnummer der betroffenen Person mit, sofern die übermittelten Daten mit den nach § 139b Absatz 3 der Abgabenordnung beim Bundeszentralamt für Steuern gespeicherten Daten übereinstimmen. </w:t>
      </w:r>
      <w:r>
        <w:rPr>
          <w:rStyle w:val="Satznummer"/>
        </w:rPr>
        <w:t>5</w:t>
      </w:r>
      <w:r>
        <w:t>Ist eine eindeutige Zuordnung des Empfängers nicht möglich, ist die Depotübertragung als kapitalertragsteuerpflichtiger Vorgang nach Satz 4 dieses Absatzes zu behandeln,</w:t>
      </w:r>
    </w:p>
    <w:p>
      <w:pPr>
        <w:tabs>
          <w:tab w:pos="567" w:val="left"/>
        </w:tabs>
        <w:ind w:left="567" w:hanging="567"/>
      </w:pPr>
      <w:r>
        <w:t>6.</w:t>
      </w:r>
      <w:r>
        <w:tab/>
      </w:r>
      <w:r>
        <w:t>soweit bekannt, das persönliche Verhältnis (Verwandtschaftsverhältnis, Ehe, Lebenspartnerschaft) zwischen Übertragendem und Empfänger.</w:t>
      </w:r>
    </w:p>
    <w:p>
      <w:r>
        <w:rPr>
          <w:rStyle w:val="Satznummer"/>
        </w:rPr>
        <w:t>7</w:t>
      </w:r>
      <w:r>
        <w:t>§ 72a Absatz 4, § 93c Absatz 4 und § 203a der Abgabenordnung finden keine Anwendung.</w:t>
      </w:r>
    </w:p>
    <w:p>
      <w:r>
        <w:t>(1a) (weggefallen)</w:t>
      </w:r>
    </w:p>
    <w:p>
      <w:r>
        <w:t xml:space="preserve">(2) </w:t>
      </w:r>
      <w:r>
        <w:rPr>
          <w:rStyle w:val="Satznummer"/>
        </w:rPr>
        <w:t>1</w:t>
      </w:r>
      <w:r>
        <w:t xml:space="preserve">Der Steuerabzug ist außer in den Fällen des Absatzes 1 Satz 1 Nummer 1a und 7c nicht vorzunehmen, wenn Gläubiger und Schuldner der Kapitalerträge (Schuldner) oder die auszahlende Stelle im Zeitpunkt des Zufließens dieselbe Person sind. </w:t>
      </w:r>
      <w:r>
        <w:rPr>
          <w:rStyle w:val="Satznummer"/>
        </w:rPr>
        <w:t>2</w:t>
      </w:r>
      <w:r>
        <w:t xml:space="preserve">Der Steuerabzug ist außerdem nicht vorzunehmen, wenn in den Fällen des Absatzes 1 Satz 1 Nummer 5 bis 7 und 8 bis 12 Gläubiger der Kapitalerträge ein inländisches Kredit-, Finanzdienstleistungs- oder Wertpapierinstitut nach Absatz 1 Satz 1 Nummer 7 Buchstabe b oder eine inländische Kapitalverwaltungsgesellschaft ist. </w:t>
      </w:r>
      <w:r>
        <w:rPr>
          <w:rStyle w:val="Satznummer"/>
        </w:rPr>
        <w:t>3</w:t>
      </w:r>
      <w:r>
        <w:t>Bei Kapitalerträgen im Sinne des Absatzes 1 Satz 1 Nummer 6 und 8 bis 12 ist ebenfalls kein Steuerabzug vorzunehmen, wenn</w:t>
      </w:r>
    </w:p>
    <w:p>
      <w:pPr>
        <w:tabs>
          <w:tab w:pos="567" w:val="left"/>
        </w:tabs>
        <w:ind w:left="567" w:hanging="567"/>
      </w:pPr>
      <w:r>
        <w:t>1.</w:t>
      </w:r>
      <w:r>
        <w:tab/>
      </w:r>
      <w:r>
        <w:t xml:space="preserve">eine unbeschränkt steuerpflichtige Körperschaft, Personenvereinigung oder Vermögensmasse, die nicht unter Satz 2 oder </w:t>
      </w:r>
      <w:hyperlink w:anchor="b173" w:history="1">
        <w:r>
          <w:rPr>
            <w:color w:val="0A3A8C"/>
            <w:u w:val="single"/>
          </w:rPr>
          <w:t xml:space="preserve">§ 44a</w:t>
        </w:r>
      </w:hyperlink>
      <w:r>
        <w:t xml:space="preserve"> Absatz 4 Satz 1 fällt, Gläubigerin der Kapitalerträge ist, oder</w:t>
      </w:r>
    </w:p>
    <w:p>
      <w:pPr>
        <w:tabs>
          <w:tab w:pos="567" w:val="left"/>
        </w:tabs>
        <w:ind w:left="567" w:hanging="567"/>
      </w:pPr>
      <w:r>
        <w:t>2.</w:t>
      </w:r>
      <w:r>
        <w:tab/>
      </w:r>
      <w:r>
        <w:t>die Kapitalerträge Betriebseinnahmen eines inländischen Betriebs sind und der Gläubiger der Kapitalerträge dies gegenüber der auszahlenden Stelle nach amtlich vorgeschriebenem Muster erklärt; dies gilt entsprechend für Kapitalerträge aus Options- und Termingeschäften im Sinne des Absatzes 1 Satz 1 Nummer 8 und 11, wenn sie zu den Einkünften aus Vermietung und Verpachtung gehören.</w:t>
      </w:r>
    </w:p>
    <w:p>
      <w:r>
        <w:rPr>
          <w:rStyle w:val="Satznummer"/>
        </w:rPr>
        <w:t>4</w:t>
      </w:r>
      <w:r>
        <w:t xml:space="preserve">Im Fall des § 1 Absatz 1 Nummer 4 und 5 des Körperschaftsteuergesetzes ist Satz 3 Nummer 1 nur anzuwenden, wenn die Körperschaft, Personenvereinigung oder Vermögensmasse durch eine Bescheinigung des für sie zuständigen Finanzamts ihre Zugehörigkeit zu dieser Gruppe von Steuerpflichtigen nachweist. </w:t>
      </w:r>
      <w:r>
        <w:rPr>
          <w:rStyle w:val="Satznummer"/>
        </w:rPr>
        <w:t>5</w:t>
      </w:r>
      <w:r>
        <w:t xml:space="preserve">Die Bescheinigung ist unter dem Vorbehalt des Widerrufs auszustellen. </w:t>
      </w:r>
      <w:r>
        <w:rPr>
          <w:rStyle w:val="Satznummer"/>
        </w:rPr>
        <w:t>6</w:t>
      </w:r>
      <w:r>
        <w:t>Die Fälle des Satzes 3 Nummer 2 hat die auszahlende Stelle gesondert aufzuzeichnen und die Erklärung der Zugehörigkeit der Kapitalerträge zu den Betriebseinnahmen oder zu den Einnahmen aus Vermietung und Verpachtung sechs Jahre aufzubewahren; die Frist beginnt mit dem Schluss des Kalenderjahres, in dem die Freistellung letztmalig berücksichtigt wird.</w:t>
      </w:r>
    </w:p>
    <w:p>
      <w:r>
        <w:t xml:space="preserve">(3) </w:t>
      </w:r>
      <w:r>
        <w:rPr>
          <w:rStyle w:val="Satznummer"/>
        </w:rPr>
        <w:t>1</w:t>
      </w:r>
      <w:r>
        <w:t xml:space="preserve">Kapitalerträge im Sinne des Absatzes 1 Satz 1 Nummer 1 Satz 1 sowie Nummer 1a bis 4 sind inländische, wenn der Schuldner Wohnsitz, Geschäftsleitung oder Sitz im Inland hat; Kapitalerträge im Sinne des Absatzes 1 Satz 1 Nummer 4 sind auch dann inländische, wenn der Schuldner eine Niederlassung im Sinne der §§ 61, </w:t>
      </w:r>
      <w:hyperlink w:anchor="b220" w:history="1">
        <w:r>
          <w:rPr>
            <w:color w:val="0A3A8C"/>
            <w:u w:val="single"/>
          </w:rPr>
          <w:t xml:space="preserve">65</w:t>
        </w:r>
      </w:hyperlink>
      <w:r>
        <w:t xml:space="preserve"> oder des § 68 des Versicherungsaufsichtsgesetzes im Inland hat. </w:t>
      </w:r>
      <w:r>
        <w:rPr>
          <w:rStyle w:val="Satznummer"/>
        </w:rPr>
        <w:t>2</w:t>
      </w:r>
      <w:r>
        <w:t xml:space="preserve">Kapitalerträge im Sinne des Absatzes 1 Satz 1 Nummer 1 Satz 2 sind inländische, wenn der Schuldner der veräußerten Ansprüche die Voraussetzungen des Satzes 1 erfüllt. </w:t>
      </w:r>
      <w:r>
        <w:rPr>
          <w:rStyle w:val="Satznummer"/>
        </w:rPr>
        <w:t>3</w:t>
      </w:r>
      <w:r>
        <w:t xml:space="preserve">Kapitalerträge im Sinne des </w:t>
      </w:r>
      <w:hyperlink w:anchor="b86" w:history="1">
        <w:r>
          <w:rPr>
            <w:color w:val="0A3A8C"/>
            <w:u w:val="single"/>
          </w:rPr>
          <w:t xml:space="preserve">§ 20</w:t>
        </w:r>
      </w:hyperlink>
      <w:r>
        <w:t xml:space="preserve"> Absatz 1 Nummer 1 Satz 4 sind inländische, wenn der Emittent der Aktien Geschäftsleitung oder Sitz im Inland hat. </w:t>
      </w:r>
      <w:r>
        <w:rPr>
          <w:rStyle w:val="Satznummer"/>
        </w:rPr>
        <w:t>4</w:t>
      </w:r>
      <w:r>
        <w:t>Kapitalerträge im Sinne des Absatzes 1 Satz 1 Nummer 6 sind ausländische, wenn weder die Voraussetzungen nach Satz 1 noch nach Satz 2 vorliegen.</w:t>
      </w:r>
    </w:p>
    <w:p>
      <w:r>
        <w:t>(4) Der Steuerabzug ist auch dann vorzunehmen, wenn die Kapitalerträge beim Gläubiger zu den Einkünften aus Land- und Forstwirtschaft, aus Gewerbebetrieb, aus selbständiger Arbeit oder aus Vermietung und Verpachtung gehören.</w:t>
      </w:r>
    </w:p>
    <w:p>
      <w:r>
        <w:t xml:space="preserve">(5) </w:t>
      </w:r>
      <w:r>
        <w:rPr>
          <w:rStyle w:val="Satznummer"/>
        </w:rPr>
        <w:t>1</w:t>
      </w:r>
      <w:r>
        <w:t xml:space="preserve">Für Kapitalerträge im Sinne des </w:t>
      </w:r>
      <w:hyperlink w:anchor="b86" w:history="1">
        <w:r>
          <w:rPr>
            <w:color w:val="0A3A8C"/>
            <w:u w:val="single"/>
          </w:rPr>
          <w:t xml:space="preserve">§ 20</w:t>
        </w:r>
      </w:hyperlink>
      <w:r>
        <w:t xml:space="preserve">, soweit sie der Kapitalertragsteuer unterlegen haben, ist die Einkommensteuer mit dem Steuerabzug abgegolten; die Abgeltungswirkung des Steuerabzugs tritt nicht ein, wenn der Gläubiger nach § 44 Absatz 1 Satz 10 und 11 und Absatz 5 in Anspruch genommen werden kann. </w:t>
      </w:r>
      <w:r>
        <w:rPr>
          <w:rStyle w:val="Satznummer"/>
        </w:rPr>
        <w:t>2</w:t>
      </w:r>
      <w:r>
        <w:t xml:space="preserve">Dies gilt nicht in Fällen des </w:t>
      </w:r>
      <w:hyperlink w:anchor="b111" w:history="1">
        <w:r>
          <w:rPr>
            <w:color w:val="0A3A8C"/>
            <w:u w:val="single"/>
          </w:rPr>
          <w:t xml:space="preserve">§ 32d</w:t>
        </w:r>
      </w:hyperlink>
      <w:r>
        <w:t xml:space="preserve"> Absatz 2 und für Kapitalerträge, die zu den Einkünften aus Land- und Forstwirtschaft, aus Gewerbebetrieb, aus selbständiger Arbeit oder aus Vermietung und Verpachtung gehören. </w:t>
      </w:r>
      <w:r>
        <w:rPr>
          <w:rStyle w:val="Satznummer"/>
        </w:rPr>
        <w:t>3</w:t>
      </w:r>
      <w:r>
        <w:t xml:space="preserve">Auf Antrag des Gläubigers werden Kapitalerträge im Sinne des Satzes 1 in die besondere Besteuerung von Kapitalerträgen nach </w:t>
      </w:r>
      <w:hyperlink w:anchor="b111" w:history="1">
        <w:r>
          <w:rPr>
            <w:color w:val="0A3A8C"/>
            <w:u w:val="single"/>
          </w:rPr>
          <w:t xml:space="preserve">§ 32d</w:t>
        </w:r>
      </w:hyperlink>
      <w:r>
        <w:t xml:space="preserve"> einbezogen. </w:t>
      </w:r>
      <w:r>
        <w:rPr>
          <w:rStyle w:val="Satznummer"/>
        </w:rPr>
        <w:t>4</w:t>
      </w:r>
      <w:r>
        <w:t>Eine vorläufige Festsetzung der Einkommensteuer im Sinne des § 165 Absatz 1 Satz 2 Nummer 2 bis 4 der Abgabenordnung umfasst auch Einkünfte im Sinne des Satzes 1, für die der Antrag nach Satz 3 nicht gestellt worden ist.</w:t>
      </w:r>
    </w:p>
    <w:p>
      <w:pPr>
        <w:pStyle w:val="Heading3"/>
      </w:pPr>
      <w:bookmarkStart w:id="171" w:name="b170"/>
      <w:r>
        <w:t>§ 43a Bemessung der Kapitalertragsteuer</w:t>
      </w:r>
      <w:r>
        <w:t xml:space="preserve"> </w:t>
      </w:r>
      <w:r>
        <w:rPr>
          <w:rStyle w:val="Suchmarke"/>
        </w:rPr>
        <w:t>#43a#</w:t>
      </w:r>
      <w:bookmarkEnd w:id="171"/>
    </w:p>
    <w:p>
      <w:r>
        <w:t xml:space="preserve">(1) </w:t>
      </w:r>
      <w:r>
        <w:rPr>
          <w:rStyle w:val="Satznummer"/>
        </w:rPr>
        <w:t>1</w:t>
      </w:r>
      <w:r>
        <w:t>Die Kapitalertragsteuer beträgt</w:t>
      </w:r>
    </w:p>
    <w:p>
      <w:pPr>
        <w:tabs>
          <w:tab w:pos="567" w:val="left"/>
        </w:tabs>
        <w:ind w:left="567" w:hanging="567"/>
      </w:pPr>
      <w:r>
        <w:t>1.</w:t>
      </w:r>
      <w:r>
        <w:tab/>
      </w:r>
      <w:r>
        <w:t xml:space="preserve">in den Fällen des </w:t>
      </w:r>
      <w:hyperlink w:anchor="b169" w:history="1">
        <w:r>
          <w:rPr>
            <w:color w:val="0A3A8C"/>
            <w:u w:val="single"/>
          </w:rPr>
          <w:t xml:space="preserve">§ 43</w:t>
        </w:r>
      </w:hyperlink>
      <w:r>
        <w:t xml:space="preserve"> Absatz 1 Satz 1 Nummer 1 bis 7a und 8 bis 12 sowie Satz 2:</w:t>
      </w:r>
    </w:p>
    <w:p>
      <w:pPr>
        <w:ind w:left="567"/>
      </w:pPr>
      <w:r>
        <w:t>25 Prozent des Kapitalertrags;</w:t>
      </w:r>
    </w:p>
    <w:p>
      <w:pPr>
        <w:tabs>
          <w:tab w:pos="567" w:val="left"/>
        </w:tabs>
        <w:ind w:left="567" w:hanging="567"/>
      </w:pPr>
      <w:r>
        <w:t>2.</w:t>
      </w:r>
      <w:r>
        <w:tab/>
      </w:r>
      <w:r>
        <w:t xml:space="preserve">in den Fällen des </w:t>
      </w:r>
      <w:hyperlink w:anchor="b169" w:history="1">
        <w:r>
          <w:rPr>
            <w:color w:val="0A3A8C"/>
            <w:u w:val="single"/>
          </w:rPr>
          <w:t xml:space="preserve">§ 43</w:t>
        </w:r>
      </w:hyperlink>
      <w:r>
        <w:t xml:space="preserve"> Absatz 1 Satz 1 Nummer 7b und 7c:</w:t>
      </w:r>
    </w:p>
    <w:p>
      <w:pPr>
        <w:ind w:left="567"/>
      </w:pPr>
      <w:r>
        <w:t>15 Prozent des Kapitalertrags.</w:t>
      </w:r>
    </w:p>
    <w:p>
      <w:r>
        <w:rPr>
          <w:rStyle w:val="Satznummer"/>
        </w:rPr>
        <w:t>2</w:t>
      </w:r>
      <w:r>
        <w:t xml:space="preserve">Im Fall einer Kirchensteuerpflicht ermäßigt sich die Kapitalertragsteuer um 25 Prozent der auf die Kapitalerträge entfallenden Kirchensteuer. </w:t>
      </w:r>
      <w:r>
        <w:rPr>
          <w:rStyle w:val="Satznummer"/>
        </w:rPr>
        <w:t>3</w:t>
      </w:r>
      <w:hyperlink w:anchor="b111" w:history="1">
        <w:r>
          <w:rPr>
            <w:color w:val="0A3A8C"/>
            <w:u w:val="single"/>
          </w:rPr>
          <w:t xml:space="preserve">§ 32d</w:t>
        </w:r>
      </w:hyperlink>
      <w:r>
        <w:t xml:space="preserve"> Absatz 1 Satz 4 und 5 gilt entsprechend.</w:t>
      </w:r>
    </w:p>
    <w:p>
      <w:r>
        <w:t xml:space="preserve">(2) </w:t>
      </w:r>
      <w:r>
        <w:rPr>
          <w:rStyle w:val="Satznummer"/>
        </w:rPr>
        <w:t>1</w:t>
      </w:r>
      <w:r>
        <w:t xml:space="preserve">Dem Steuerabzug unterliegen die vollen Kapitalerträge ohne Abzug; dies gilt nicht für Erträge aus Investmentfonds nach § 16 Absatz 1 des Investmentsteuergesetzes, auf die nach § 20 des Investmentsteuergesetzes eine Teilfreistellung anzuwenden ist; § 20 Absatz 1 Satz 2 bis 4 des Investmentsteuergesetzes sind beim Steuerabzug nicht anzuwenden. </w:t>
      </w:r>
      <w:r>
        <w:rPr>
          <w:rStyle w:val="Satznummer"/>
        </w:rPr>
        <w:t>2</w:t>
      </w:r>
      <w:r>
        <w:t xml:space="preserve">In den Fällen des </w:t>
      </w:r>
      <w:hyperlink w:anchor="b169" w:history="1">
        <w:r>
          <w:rPr>
            <w:color w:val="0A3A8C"/>
            <w:u w:val="single"/>
          </w:rPr>
          <w:t xml:space="preserve">§ 43</w:t>
        </w:r>
      </w:hyperlink>
      <w:r>
        <w:t xml:space="preserve"> Absatz 1 Satz 1 Nummer 9 bis 12 bemisst sich der Steuerabzug</w:t>
      </w:r>
    </w:p>
    <w:p>
      <w:pPr>
        <w:tabs>
          <w:tab w:pos="567" w:val="left"/>
        </w:tabs>
        <w:ind w:left="567" w:hanging="567"/>
      </w:pPr>
      <w:r>
        <w:t>1.</w:t>
      </w:r>
      <w:r>
        <w:tab/>
      </w:r>
      <w:r>
        <w:t xml:space="preserve">bei Gewinnen aus der Veräußerung von Anteilen an Investmentfonds im Sinne des </w:t>
      </w:r>
      <w:hyperlink w:anchor="b78" w:history="1">
        <w:r>
          <w:rPr>
            <w:color w:val="0A3A8C"/>
            <w:u w:val="single"/>
          </w:rPr>
          <w:t xml:space="preserve">§ 16</w:t>
        </w:r>
      </w:hyperlink>
      <w:r>
        <w:t xml:space="preserve"> Absatz 1 Nummer 3 in Verbindung mit § 2 Absatz 13 des Investmentsteuergesetzes nach § 19 des Investmentsteuergesetzes und</w:t>
      </w:r>
    </w:p>
    <w:p>
      <w:pPr>
        <w:tabs>
          <w:tab w:pos="567" w:val="left"/>
        </w:tabs>
        <w:ind w:left="567" w:hanging="567"/>
      </w:pPr>
      <w:r>
        <w:t>2.</w:t>
      </w:r>
      <w:r>
        <w:tab/>
      </w:r>
      <w:r>
        <w:t xml:space="preserve">in allen übrigen Fällen nach </w:t>
      </w:r>
      <w:hyperlink w:anchor="b86" w:history="1">
        <w:r>
          <w:rPr>
            <w:color w:val="0A3A8C"/>
            <w:u w:val="single"/>
          </w:rPr>
          <w:t xml:space="preserve">§ 20</w:t>
        </w:r>
      </w:hyperlink>
      <w:r>
        <w:t xml:space="preserve"> Absatz 4 und 4a,</w:t>
      </w:r>
    </w:p>
    <w:p>
      <w:r>
        <w:t xml:space="preserve">wenn die Wirtschaftsgüter von der die Kapitalerträge auszahlenden Stelle erworben oder veräußert und seitdem verwahrt oder verwaltet worden sind. </w:t>
      </w:r>
      <w:r>
        <w:rPr>
          <w:rStyle w:val="Satznummer"/>
        </w:rPr>
        <w:t>3</w:t>
      </w:r>
      <w:r>
        <w:t xml:space="preserve">Überträgt der Steuerpflichtige die Wirtschaftsgüter auf ein anderes Depot, hat die abgebende inländische auszahlende Stelle der übernehmenden inländischen auszahlenden Stelle die Anschaffungsdaten mitzuteilen. </w:t>
      </w:r>
      <w:r>
        <w:rPr>
          <w:rStyle w:val="Satznummer"/>
        </w:rPr>
        <w:t>4</w:t>
      </w:r>
      <w:r>
        <w:t xml:space="preserve">Satz 3 gilt in den Fällen des </w:t>
      </w:r>
      <w:hyperlink w:anchor="b169" w:history="1">
        <w:r>
          <w:rPr>
            <w:color w:val="0A3A8C"/>
            <w:u w:val="single"/>
          </w:rPr>
          <w:t xml:space="preserve">§ 43</w:t>
        </w:r>
      </w:hyperlink>
      <w:r>
        <w:t xml:space="preserve"> Absatz 1 Satz 5 entsprechend. </w:t>
      </w:r>
      <w:r>
        <w:rPr>
          <w:rStyle w:val="Satznummer"/>
        </w:rPr>
        <w:t>5</w:t>
      </w:r>
      <w:r>
        <w:t xml:space="preserve">Handelt es sich bei der abgebenden auszahlenden Stelle um ein Kreditinstitut, ein Finanzdienstleistungsinstitut oder ein Wertpapierinstitut mit Sitz in einem anderen Mitgliedstaat der Europäischen Union, in einem anderen Vertragsstaat des EWR-Abkommens vom 3. Januar 1994 (ABl. EG Nr. L 1 S. 3) in der jeweils geltenden Fassung oder in einem anderen Vertragsstaat nach Artikel 17 Absatz 2 Ziffer i der Richtlinie 2003/48/EG vom 3. Juni 2003 im Bereich der Besteuerung von Zinserträgen (ABl. EU Nr. L 157 S. 38), kann der Steuerpflichtige den Nachweis nur durch eine Bescheinigung des ausländischen Instituts führen; dies gilt entsprechend für eine in diesem Gebiet belegene Zweigstelle eines inländischen Kreditinstituts, Finanzdienstleistungsinstituts oder einem inländischen Wertpapierinstitut. </w:t>
      </w:r>
      <w:r>
        <w:rPr>
          <w:rStyle w:val="Satznummer"/>
        </w:rPr>
        <w:t>6</w:t>
      </w:r>
      <w:r>
        <w:t xml:space="preserve">In allen anderen Fällen ist ein Nachweis der Anschaffungsdaten nicht zulässig. </w:t>
      </w:r>
      <w:r>
        <w:rPr>
          <w:rStyle w:val="Satznummer"/>
        </w:rPr>
        <w:t>7</w:t>
      </w:r>
      <w:r>
        <w:t xml:space="preserve">Sind die Anschaffungsdaten nicht nachgewiesen, bemisst sich der Steuerabzug nach 30 Prozent der Einnahmen aus der Veräußerung oder Einlösung der Wirtschaftsgüter. </w:t>
      </w:r>
      <w:r>
        <w:rPr>
          <w:rStyle w:val="Satznummer"/>
        </w:rPr>
        <w:t>8</w:t>
      </w:r>
      <w:r>
        <w:t xml:space="preserve">In den Fällen des </w:t>
      </w:r>
      <w:hyperlink w:anchor="b169" w:history="1">
        <w:r>
          <w:rPr>
            <w:color w:val="0A3A8C"/>
            <w:u w:val="single"/>
          </w:rPr>
          <w:t xml:space="preserve">§ 43</w:t>
        </w:r>
      </w:hyperlink>
      <w:r>
        <w:t xml:space="preserve"> Absatz 1 Satz 4 gelten der Börsenpreis zum Zeitpunkt der Übertragung zuzüglich Stückzinsen als Einnahmen aus der Veräußerung und die mit dem Depotübertrag verbundenen Kosten als Veräußerungskosten im Sinne des </w:t>
      </w:r>
      <w:hyperlink w:anchor="b86" w:history="1">
        <w:r>
          <w:rPr>
            <w:color w:val="0A3A8C"/>
            <w:u w:val="single"/>
          </w:rPr>
          <w:t xml:space="preserve">§ 20</w:t>
        </w:r>
      </w:hyperlink>
      <w:r>
        <w:t xml:space="preserve"> Absatz 4 Satz 1. </w:t>
      </w:r>
      <w:r>
        <w:rPr>
          <w:rStyle w:val="Satznummer"/>
        </w:rPr>
        <w:t>9</w:t>
      </w:r>
      <w:r>
        <w:t xml:space="preserve">Zur Ermittlung des Börsenpreises ist der niedrigste am Vortag der Übertragung im regulierten Markt notierte Kurs anzusetzen; liegt am Vortag eine Notierung nicht vor, so werden die Wirtschaftsgüter mit dem letzten innerhalb von 30 Tagen vor dem Übertragungstag im regulierten Markt notierten Kurs angesetzt; Entsprechendes gilt für Wertpapiere, die im Inland in den Freiverkehr einbezogen sind oder in einem anderen Staat des Europäischen Wirtschaftsraums zum Handel an einem geregelten Markt im Sinne des Artikels 1 Nummer 13 der Richtlinie 93/22/EWG des Rates vom 10. Mai 1993 über Wertpapierdienstleistungen (ABl. EG Nr. L 141 S. 27) zugelassen sind. </w:t>
      </w:r>
      <w:r>
        <w:rPr>
          <w:rStyle w:val="Satznummer"/>
        </w:rPr>
        <w:t>10</w:t>
      </w:r>
      <w:r>
        <w:t xml:space="preserve">Liegt ein Börsenpreis nicht vor, bemisst sich die Steuer nach 30 Prozent der Anschaffungskosten. </w:t>
      </w:r>
      <w:r>
        <w:rPr>
          <w:rStyle w:val="Satznummer"/>
        </w:rPr>
        <w:t>11</w:t>
      </w:r>
      <w:r>
        <w:t xml:space="preserve">Die übernehmende auszahlende Stelle hat als Anschaffungskosten den von der abgebenden Stelle angesetzten Börsenpreis anzusetzen und die bei der Übertragung als Einnahmen aus der Veräußerung angesetzten Stückzinsen nach Absatz 3 zu berücksichtigen. </w:t>
      </w:r>
      <w:r>
        <w:rPr>
          <w:rStyle w:val="Satznummer"/>
        </w:rPr>
        <w:t>12</w:t>
      </w:r>
      <w:r>
        <w:t xml:space="preserve">Satz 9 gilt entsprechend. </w:t>
      </w:r>
      <w:r>
        <w:rPr>
          <w:rStyle w:val="Satznummer"/>
        </w:rPr>
        <w:t>13</w:t>
      </w:r>
      <w:r>
        <w:t xml:space="preserve">Liegt ein Börsenpreis nicht vor, bemisst sich der Steuerabzug nach 30 Prozent der Einnahmen aus der Veräußerung oder Einlösung der Wirtschaftsgüter. </w:t>
      </w:r>
      <w:r>
        <w:rPr>
          <w:rStyle w:val="Satznummer"/>
        </w:rPr>
        <w:t>14</w:t>
      </w:r>
      <w:r>
        <w:t xml:space="preserve">Hat die auszahlende Stelle die Wirtschaftsgüter vor dem 1. Januar 1994 erworben oder veräußert und seitdem verwahrt oder verwaltet, kann sie den Steuerabzug nach 30 Prozent der Einnahmen aus der Veräußerung oder Einlösung der Wertpapiere und Kapitalforderungen bemessen. </w:t>
      </w:r>
      <w:r>
        <w:rPr>
          <w:rStyle w:val="Satznummer"/>
        </w:rPr>
        <w:t>15</w:t>
      </w:r>
      <w:r>
        <w:t>Abweichend von den Sätzen 2 bis 14 bemisst sich der Steuerabzug bei Kapitalerträgen aus nicht für einen marktmäßigen Handel bestimmten schuldbuchfähigen Wertpapieren des Bundes und der Länder oder bei Kapitalerträgen im Sinne des § 43 Absatz 1 Satz 1 Nummer 7 Buchstabe b aus nicht in Inhaber- oder Orderschuldverschreibungen verbrieften Kapitalforderungen nach dem vollen Kapitalertrag ohne jeden Abzug.</w:t>
      </w:r>
    </w:p>
    <w:p>
      <w:r>
        <w:t xml:space="preserve">(3) </w:t>
      </w:r>
      <w:r>
        <w:rPr>
          <w:rStyle w:val="Satznummer"/>
        </w:rPr>
        <w:t>1</w:t>
      </w:r>
      <w:r>
        <w:t xml:space="preserve">Die auszahlende Stelle hat ausländische Steuern auf Kapitalerträge nach Maßgabe des </w:t>
      </w:r>
      <w:hyperlink w:anchor="b111" w:history="1">
        <w:r>
          <w:rPr>
            <w:color w:val="0A3A8C"/>
            <w:u w:val="single"/>
          </w:rPr>
          <w:t xml:space="preserve">§ 32d</w:t>
        </w:r>
      </w:hyperlink>
      <w:r>
        <w:t xml:space="preserve"> Absatz 5 zu berücksichtigen. </w:t>
      </w:r>
      <w:r>
        <w:rPr>
          <w:rStyle w:val="Satznummer"/>
        </w:rPr>
        <w:t>2</w:t>
      </w:r>
      <w:r>
        <w:t xml:space="preserve">Sie hat unter Berücksichtigung des § 20 Absatz 6 Satz 4 im Kalenderjahr negative Kapitalerträge einschließlich gezahlter Stückzinsen bis zur Höhe der positiven Kapitalerträge auszugleichen; liegt ein gemeinsamer Freistellungsauftrag im Sinne des </w:t>
      </w:r>
      <w:hyperlink w:anchor="b173" w:history="1">
        <w:r>
          <w:rPr>
            <w:color w:val="0A3A8C"/>
            <w:u w:val="single"/>
          </w:rPr>
          <w:t xml:space="preserve">§ 44a</w:t>
        </w:r>
      </w:hyperlink>
      <w:r>
        <w:t xml:space="preserve"> Absatz 2 Satz 1 Nummer 1 in Verbindung mit </w:t>
      </w:r>
      <w:hyperlink w:anchor="b86" w:history="1">
        <w:r>
          <w:rPr>
            <w:color w:val="0A3A8C"/>
            <w:u w:val="single"/>
          </w:rPr>
          <w:t xml:space="preserve">§ 20</w:t>
        </w:r>
      </w:hyperlink>
      <w:r>
        <w:t xml:space="preserve"> Absatz 9 Satz 2 vor, erfolgt ein gemeinsamer Ausgleich. </w:t>
      </w:r>
      <w:r>
        <w:rPr>
          <w:rStyle w:val="Satznummer"/>
        </w:rPr>
        <w:t>3</w:t>
      </w:r>
      <w:r>
        <w:t xml:space="preserve">Der nicht ausgeglichene Verlust ist auf das nächste Kalenderjahr zu übertragen. </w:t>
      </w:r>
      <w:r>
        <w:rPr>
          <w:rStyle w:val="Satznummer"/>
        </w:rPr>
        <w:t>4</w:t>
      </w:r>
      <w:r>
        <w:t xml:space="preserve">Auf Verlangen des Gläubigers der Kapitalerträge hat sie über die Höhe eines nicht ausgeglichenen Verlusts eine Bescheinigung nach amtlich vorgeschriebenem Muster zu erteilen; der Verlustübertrag entfällt in diesem Fall. </w:t>
      </w:r>
      <w:r>
        <w:rPr>
          <w:rStyle w:val="Satznummer"/>
        </w:rPr>
        <w:t>5</w:t>
      </w:r>
      <w:r>
        <w:t xml:space="preserve">Der unwiderrufliche Antrag auf Erteilung der Bescheinigung muss bis zum 15. Dezember des laufenden Jahres der auszahlenden Stelle zugehen. </w:t>
      </w:r>
      <w:r>
        <w:rPr>
          <w:rStyle w:val="Satznummer"/>
        </w:rPr>
        <w:t>6</w:t>
      </w:r>
      <w:r>
        <w:t xml:space="preserve">Überträgt der Gläubiger der Kapitalerträge seine im Depot befindlichen Wirtschaftsgüter vollständig auf ein anderes Depot, hat die abgebende auszahlende Stelle der übernehmenden auszahlenden Stelle auf Verlangen des Gläubigers der Kapitalerträge die Höhe des nicht ausgeglichenen Verlusts mitzuteilen; eine Bescheinigung nach Satz 4 darf in diesem Fall nicht erteilt werden. </w:t>
      </w:r>
      <w:r>
        <w:rPr>
          <w:rStyle w:val="Satznummer"/>
        </w:rPr>
        <w:t>7</w:t>
      </w:r>
      <w:r>
        <w:t xml:space="preserve">Erfährt die auszahlende Stelle nach Ablauf des Kalenderjahres von der Veränderung einer Bemessungsgrundlage oder einer zu erhebenden Kapitalertragsteuer, hat sie die entsprechende Korrektur erst zum Zeitpunkt ihrer Kenntnisnahme vorzunehmen; </w:t>
      </w:r>
      <w:hyperlink w:anchor="b172" w:history="1">
        <w:r>
          <w:rPr>
            <w:color w:val="0A3A8C"/>
            <w:u w:val="single"/>
          </w:rPr>
          <w:t xml:space="preserve">§ 44</w:t>
        </w:r>
      </w:hyperlink>
      <w:r>
        <w:t xml:space="preserve"> Absatz 5 bleibt unberührt. </w:t>
      </w:r>
      <w:r>
        <w:rPr>
          <w:rStyle w:val="Satznummer"/>
        </w:rPr>
        <w:t>8</w:t>
      </w:r>
      <w:r>
        <w:t xml:space="preserve">Die vorstehenden Sätze gelten nicht in den Fällen des </w:t>
      </w:r>
      <w:hyperlink w:anchor="b86" w:history="1">
        <w:r>
          <w:rPr>
            <w:color w:val="0A3A8C"/>
            <w:u w:val="single"/>
          </w:rPr>
          <w:t xml:space="preserve">§ 20</w:t>
        </w:r>
      </w:hyperlink>
      <w:r>
        <w:t xml:space="preserve"> Absatz 8 und des § 44 Absatz 1 Satz 4 Nummer 1 Buchstabe a Doppelbuchstabe bb sowie bei Körperschaften, Personenvereinigungen oder Vermögensmassen.</w:t>
      </w:r>
    </w:p>
    <w:p>
      <w:r>
        <w:t xml:space="preserve">(4) </w:t>
      </w:r>
      <w:r>
        <w:rPr>
          <w:rStyle w:val="Satznummer"/>
        </w:rPr>
        <w:t>1</w:t>
      </w:r>
      <w:r>
        <w:t xml:space="preserve">Die Absätze 2 und 3 gelten entsprechend für die das Bundesschuldbuch führende Stelle oder eine Landesschuldenverwaltung als auszahlende Stelle. </w:t>
      </w:r>
      <w:r>
        <w:rPr>
          <w:rStyle w:val="Satznummer"/>
        </w:rPr>
        <w:t>2</w:t>
      </w:r>
      <w:r>
        <w:t>Werden die Wertpapiere oder Forderungen von einem Kreditinstitut, Finanzdienstleistungsinstitut oder einem Wertpapierinstitut mit der Maßgabe der Verwahrung und Verwaltung durch die das Bundesschuldbuch führende Stelle oder eine Landesschuldenverwaltung erworben, hat das Kreditinstitut, das Finanzdienstleistungsinstitut oder das Wertpapierinstitut der das Bundesschuldbuch führenden Stelle oder einer Landesschuldenverwaltung zusammen mit den im Schuldbuch einzutragenden Wertpapieren und Forderungen den Erwerbszeitpunkt und die Anschaffungsdaten sowie in Fällen des Absatzes 2 den Erwerbspreis der für einen marktmäßigen Handel bestimmten schuldbuchfähigen Wertpapiere des Bundes oder der Länder und außerdem mitzuteilen, dass es diese Wertpapiere und Forderungen erworben oder veräußert und seitdem verwahrt oder verwaltet hat.</w:t>
      </w:r>
    </w:p>
    <w:p>
      <w:pPr>
        <w:pStyle w:val="Heading3"/>
      </w:pPr>
      <w:bookmarkStart w:id="172" w:name="b171"/>
      <w:r>
        <w:t>§ 43b Bemessung der Kapitalertragsteuer bei bestimmten Gesellschaften</w:t>
      </w:r>
      <w:r>
        <w:t xml:space="preserve"> </w:t>
      </w:r>
      <w:r>
        <w:rPr>
          <w:rStyle w:val="Suchmarke"/>
        </w:rPr>
        <w:t>#43b#</w:t>
      </w:r>
      <w:bookmarkEnd w:id="172"/>
    </w:p>
    <w:p>
      <w:r>
        <w:t xml:space="preserve">(1) </w:t>
      </w:r>
      <w:r>
        <w:rPr>
          <w:rStyle w:val="Satznummer"/>
        </w:rPr>
        <w:t>1</w:t>
      </w:r>
      <w:r>
        <w:t xml:space="preserve">Auf Antrag wird die Kapitalertragsteuer für Kapitalerträge im Sinne des </w:t>
      </w:r>
      <w:hyperlink w:anchor="b86" w:history="1">
        <w:r>
          <w:rPr>
            <w:color w:val="0A3A8C"/>
            <w:u w:val="single"/>
          </w:rPr>
          <w:t xml:space="preserve">§ 20</w:t>
        </w:r>
      </w:hyperlink>
      <w:r>
        <w:t xml:space="preserve"> Absatz 1 Nummer 1, die einer Muttergesellschaft, die weder ihren Sitz noch ihre Geschäftsleitung im Inland hat, oder einer in einem anderen Mitgliedstaat der Europäischen Union gelegenen Betriebsstätte dieser Muttergesellschaft, aus Ausschüttungen einer Tochtergesellschaft zufließen, nicht erhoben; </w:t>
      </w:r>
      <w:hyperlink w:anchor="b197" w:history="1">
        <w:r>
          <w:rPr>
            <w:color w:val="0A3A8C"/>
            <w:u w:val="single"/>
          </w:rPr>
          <w:t xml:space="preserve">§ 50d</w:t>
        </w:r>
      </w:hyperlink>
      <w:r>
        <w:t xml:space="preserve"> Absatz 3 gilt entsprechend. </w:t>
      </w:r>
      <w:r>
        <w:rPr>
          <w:rStyle w:val="Satznummer"/>
        </w:rPr>
        <w:t>2</w:t>
      </w:r>
      <w:r>
        <w:t xml:space="preserve">Satz 1 gilt auch für Ausschüttungen einer Tochtergesellschaft, die einer in einem anderen Mitgliedstaat der Europäischen Union gelegenen Betriebsstätte einer unbeschränkt steuerpflichtigen Muttergesellschaft zufließen. </w:t>
      </w:r>
      <w:r>
        <w:rPr>
          <w:rStyle w:val="Satznummer"/>
        </w:rPr>
        <w:t>3</w:t>
      </w:r>
      <w:r>
        <w:t xml:space="preserve">Ein Zufluss an die Betriebsstätte liegt nur vor, wenn die Beteiligung an der Tochtergesellschaft tatsächlich zu dem Betriebsvermögen der Betriebsstätte gehört. </w:t>
      </w:r>
      <w:r>
        <w:rPr>
          <w:rStyle w:val="Satznummer"/>
        </w:rPr>
        <w:t>4</w:t>
      </w:r>
      <w:r>
        <w:t xml:space="preserve">Die Sätze 1 bis 3 gelten nicht für Kapitalerträge im Sinne des </w:t>
      </w:r>
      <w:hyperlink w:anchor="b86" w:history="1">
        <w:r>
          <w:rPr>
            <w:color w:val="0A3A8C"/>
            <w:u w:val="single"/>
          </w:rPr>
          <w:t xml:space="preserve">§ 20</w:t>
        </w:r>
      </w:hyperlink>
      <w:r>
        <w:t xml:space="preserve"> Absatz 1 Nummer 1, die anlässlich der Liquidation oder Umwandlung einer Tochtergesellschaft zufließen.</w:t>
      </w:r>
    </w:p>
    <w:p>
      <w:r>
        <w:t xml:space="preserve">(2) </w:t>
      </w:r>
      <w:r>
        <w:rPr>
          <w:rStyle w:val="Satznummer"/>
        </w:rPr>
        <w:t>1</w:t>
      </w:r>
      <w:r>
        <w:t>Muttergesellschaft im Sinne des Absatzes 1 ist jede Gesellschaft, die</w:t>
      </w:r>
    </w:p>
    <w:p>
      <w:pPr>
        <w:tabs>
          <w:tab w:pos="567" w:val="left"/>
        </w:tabs>
        <w:ind w:left="567" w:hanging="567"/>
      </w:pPr>
      <w:r>
        <w:t>1.</w:t>
      </w:r>
      <w:r>
        <w:tab/>
      </w:r>
      <w:r>
        <w:t>die in der Anlage 2 zu diesem Gesetz bezeichneten Voraussetzungen erfüllt und</w:t>
      </w:r>
    </w:p>
    <w:p>
      <w:pPr>
        <w:tabs>
          <w:tab w:pos="567" w:val="left"/>
        </w:tabs>
        <w:ind w:left="567" w:hanging="567"/>
      </w:pPr>
      <w:r>
        <w:t>2.</w:t>
      </w:r>
      <w:r>
        <w:tab/>
      </w:r>
      <w:r>
        <w:t xml:space="preserve">nach Artikel 3 Absatz 1 Buchstabe a der Richtlinie 2011/96/EU des Rates vom 30. November 2011 über das gemeinsame Steuersystem der Mutter- und Tochtergesellschaften verschiedener Mitgliedstaaten (ABl. L 345 vom 29.12.2011, S. 8), die zuletzt durch die Richtlinie 2014/86/EU (ABl. L 219 vom 25.7.2014, S. 40) geändert worden ist, zum Zeitpunkt der Entstehung der Kapitalertragsteuer gemäß </w:t>
      </w:r>
      <w:hyperlink w:anchor="b172" w:history="1">
        <w:r>
          <w:rPr>
            <w:color w:val="0A3A8C"/>
            <w:u w:val="single"/>
          </w:rPr>
          <w:t xml:space="preserve">§ 44</w:t>
        </w:r>
      </w:hyperlink>
      <w:r>
        <w:t xml:space="preserve"> Absatz 1 Satz 2 nachweislich mindestens zu 10 Prozent unmittelbar am Kapital der Tochtergesellschaft beteiligt ist (Mindestbeteiligung).</w:t>
      </w:r>
    </w:p>
    <w:p>
      <w:r>
        <w:rPr>
          <w:rStyle w:val="Satznummer"/>
        </w:rPr>
        <w:t>2</w:t>
      </w:r>
      <w:r>
        <w:t xml:space="preserve">Ist die Mindestbeteiligung zu diesem Zeitpunkt nicht erfüllt, ist der Zeitpunkt des Gewinnverteilungsbeschlusses maßgeblich. </w:t>
      </w:r>
      <w:r>
        <w:rPr>
          <w:rStyle w:val="Satznummer"/>
        </w:rPr>
        <w:t>3</w:t>
      </w:r>
      <w:r>
        <w:t xml:space="preserve">Tochtergesellschaft im Sinne des Absatzes 1 sowie des Satzes 1 ist jede unbeschränkt steuerpflichtige Gesellschaft, die die in der Anlage 2 zu diesem Gesetz und in Artikel 3 Absatz 1 Buchstabe b der Richtlinie 2011/96/EU bezeichneten Voraussetzungen erfüllt. </w:t>
      </w:r>
      <w:r>
        <w:rPr>
          <w:rStyle w:val="Satznummer"/>
        </w:rPr>
        <w:t>4</w:t>
      </w:r>
      <w:r>
        <w:t xml:space="preserve">Weitere Voraussetzung ist, dass die Beteiligung nachweislich ununterbrochen zwölf Monate besteht. </w:t>
      </w:r>
      <w:r>
        <w:rPr>
          <w:rStyle w:val="Satznummer"/>
        </w:rPr>
        <w:t>5</w:t>
      </w:r>
      <w:r>
        <w:t xml:space="preserve">Wird dieser Beteiligungszeitraum nach dem Zeitpunkt der Entstehung der Kapitalertragsteuer gemäß </w:t>
      </w:r>
      <w:hyperlink w:anchor="b172" w:history="1">
        <w:r>
          <w:rPr>
            <w:color w:val="0A3A8C"/>
            <w:u w:val="single"/>
          </w:rPr>
          <w:t xml:space="preserve">§ 44</w:t>
        </w:r>
      </w:hyperlink>
      <w:r>
        <w:t xml:space="preserve"> Absatz 1 Satz 2 vollendet, ist die einbehaltene und abgeführte Kapitalertragsteuer nach </w:t>
      </w:r>
      <w:hyperlink w:anchor="b196" w:history="1">
        <w:r>
          <w:rPr>
            <w:color w:val="0A3A8C"/>
            <w:u w:val="single"/>
          </w:rPr>
          <w:t xml:space="preserve">§ 50c</w:t>
        </w:r>
      </w:hyperlink>
      <w:r>
        <w:t xml:space="preserve"> Absatz 3 zu erstatten; das Freistellungsverfahren nach </w:t>
      </w:r>
      <w:hyperlink w:anchor="b196" w:history="1">
        <w:r>
          <w:rPr>
            <w:color w:val="0A3A8C"/>
            <w:u w:val="single"/>
          </w:rPr>
          <w:t xml:space="preserve">§ 50c</w:t>
        </w:r>
      </w:hyperlink>
      <w:r>
        <w:t xml:space="preserve"> Absatz 2 ist ausgeschlossen.</w:t>
      </w:r>
    </w:p>
    <w:p>
      <w:r>
        <w:t>(2a) Betriebsstätte im Sinne der Absätze 1 und 2 ist eine feste Geschäftseinrichtung in einem anderen Mitgliedstaat der Europäischen Union, durch die die Tätigkeit der Muttergesellschaft ganz oder teilweise ausgeübt wird, wenn das Besteuerungsrecht für die Gewinne dieser Geschäftseinrichtung nach dem jeweils geltenden Abkommen zur Vermeidung der Doppelbesteuerung dem Staat, in dem sie gelegen ist, zugewiesen wird und diese Gewinne in diesem Staat der Besteuerung unterliegen.</w:t>
      </w:r>
    </w:p>
    <w:p>
      <w:r>
        <w:t>(3) (weggefallen)</w:t>
      </w:r>
    </w:p>
    <w:p>
      <w:pPr>
        <w:pStyle w:val="Heading3"/>
      </w:pPr>
      <w:bookmarkStart w:id="173" w:name="b172"/>
      <w:r>
        <w:t>§ 44 Entrichtung der Kapitalertragsteuer</w:t>
      </w:r>
      <w:r>
        <w:t xml:space="preserve"> </w:t>
      </w:r>
      <w:r>
        <w:rPr>
          <w:rStyle w:val="Suchmarke"/>
        </w:rPr>
        <w:t>#44#</w:t>
      </w:r>
      <w:bookmarkEnd w:id="173"/>
    </w:p>
    <w:p>
      <w:r>
        <w:t xml:space="preserve">(1) </w:t>
      </w:r>
      <w:r>
        <w:rPr>
          <w:rStyle w:val="Satznummer"/>
        </w:rPr>
        <w:t>1</w:t>
      </w:r>
      <w:r>
        <w:t xml:space="preserve">Schuldner der Kapitalertragsteuer ist in den Fällen des § 43 Absatz 1 Satz 1 Nummer 1 bis 7b und 8 bis 12 sowie Satz 2 der Gläubiger der Kapitalerträge. </w:t>
      </w:r>
      <w:r>
        <w:rPr>
          <w:rStyle w:val="Satznummer"/>
        </w:rPr>
        <w:t>2</w:t>
      </w:r>
      <w:r>
        <w:t xml:space="preserve">Die Kapitalertragsteuer entsteht in dem Zeitpunkt, in dem die Kapitalerträge dem Gläubiger zufließen. </w:t>
      </w:r>
      <w:r>
        <w:rPr>
          <w:rStyle w:val="Satznummer"/>
        </w:rPr>
        <w:t>3</w:t>
      </w:r>
      <w:r>
        <w:t xml:space="preserve">In diesem Zeitpunkt haben in den Fällen des § 43 Absatz 1 Satz 1 Nummer 1, 2 bis 4 sowie 7a und 7b der Schuldner der Kapitalerträge, jedoch in den Fällen des </w:t>
      </w:r>
      <w:hyperlink w:anchor="b169" w:history="1">
        <w:r>
          <w:rPr>
            <w:color w:val="0A3A8C"/>
            <w:u w:val="single"/>
          </w:rPr>
          <w:t xml:space="preserve">§ 43</w:t>
        </w:r>
      </w:hyperlink>
      <w:r>
        <w:t xml:space="preserve"> Absatz 1 Satz 1 Nummer 1 Satz 2 die für den Verkäufer der Wertpapiere den Verkaufsauftrag ausführende Stelle im Sinne des Satzes 4 Nummer 1, und in den Fällen des </w:t>
      </w:r>
      <w:hyperlink w:anchor="b169" w:history="1">
        <w:r>
          <w:rPr>
            <w:color w:val="0A3A8C"/>
            <w:u w:val="single"/>
          </w:rPr>
          <w:t xml:space="preserve">§ 43</w:t>
        </w:r>
      </w:hyperlink>
      <w:r>
        <w:t xml:space="preserve"> Absatz 1 Satz 1 Nummer 1a, 5 bis 7 und 8 bis 12 sowie Satz 2 die die Kapitalerträge auszahlende Stelle den Steuerabzug unter Beachtung der im Bundessteuerblatt veröffentlichten Auslegungsvorschriften der Finanzverwaltung für Rechnung des Gläubigers der Kapitalerträge vorzunehmen. </w:t>
      </w:r>
      <w:r>
        <w:rPr>
          <w:rStyle w:val="Satznummer"/>
        </w:rPr>
        <w:t>4</w:t>
      </w:r>
      <w:r>
        <w:t>Die die Kapitalerträge auszahlende Stelle ist</w:t>
      </w:r>
    </w:p>
    <w:p>
      <w:pPr>
        <w:tabs>
          <w:tab w:pos="567" w:val="left"/>
        </w:tabs>
        <w:ind w:left="567" w:hanging="567"/>
      </w:pPr>
      <w:r>
        <w:t>1.</w:t>
      </w:r>
      <w:r>
        <w:tab/>
      </w:r>
      <w:r>
        <w:t>in den Fällen des § 43 Absatz 1 Satz 1 Nummer 5 bis 7 Buchstabe a und Nummer 8 bis 12 sowie Satz 2</w:t>
      </w:r>
    </w:p>
    <w:p>
      <w:pPr>
        <w:tabs>
          <w:tab w:pos="1134" w:val="left"/>
        </w:tabs>
        <w:ind w:left="1134" w:hanging="567"/>
      </w:pPr>
      <w:r>
        <w:t>a)</w:t>
      </w:r>
      <w:r>
        <w:tab/>
      </w:r>
      <w:r>
        <w:t>das inländische Kredit-, Finanzdienstleistungs- oder Wertpapierinstitut im Sinne des § 43 Absatz 1 Satz 1 Nummer 7 Buchstabe b,</w:t>
      </w:r>
    </w:p>
    <w:p>
      <w:pPr>
        <w:tabs>
          <w:tab w:pos="1701" w:val="left"/>
        </w:tabs>
        <w:ind w:left="1701" w:hanging="567"/>
      </w:pPr>
      <w:r>
        <w:t>aa)</w:t>
      </w:r>
      <w:r>
        <w:tab/>
      </w:r>
      <w:r>
        <w:t xml:space="preserve">das die Teilschuldverschreibungen, die Anteile an einer Sammelschuldbuchforderung, die Wertrechte, die Zinsscheine, die Anteile an Investmentfonds im Sinne des Investmentsteuergesetzes, die elektronischen Wertpapiere im Sinne des § 2 des Gesetzes über elektronische Wertpapiere oder sonstigen Wirtschaftsgüter verwahrt oder verwaltet oder deren Veräußerung durchführt und die Kapitalerträge auszahlt oder gutschreibt oder in den Fällen des </w:t>
      </w:r>
      <w:hyperlink w:anchor="b169" w:history="1">
        <w:r>
          <w:rPr>
            <w:color w:val="0A3A8C"/>
            <w:u w:val="single"/>
          </w:rPr>
          <w:t xml:space="preserve">§ 43</w:t>
        </w:r>
      </w:hyperlink>
      <w:r>
        <w:t xml:space="preserve"> Absatz 1 Satz 1 Nummer 8 und 11 die Kapitalerträge auszahlt oder gutschreibt,</w:t>
      </w:r>
    </w:p>
    <w:p>
      <w:pPr>
        <w:tabs>
          <w:tab w:pos="1701" w:val="left"/>
        </w:tabs>
        <w:ind w:left="1701" w:hanging="567"/>
      </w:pPr>
      <w:r>
        <w:t>bb)</w:t>
      </w:r>
      <w:r>
        <w:tab/>
      </w:r>
      <w:r>
        <w:t>das die Kapitalerträge gegen Aushändigung der Zinsscheine oder der Teilschuldverschreibungen einem anderen als einem ausländischen Kredit-, Finanzdienstleistungs- oder Wertpapierinstitut auszahlt oder gutschreibt;</w:t>
      </w:r>
    </w:p>
    <w:p>
      <w:pPr>
        <w:tabs>
          <w:tab w:pos="1134" w:val="left"/>
        </w:tabs>
        <w:ind w:left="1134" w:hanging="567"/>
      </w:pPr>
      <w:r>
        <w:t>b)</w:t>
      </w:r>
      <w:r>
        <w:tab/>
      </w:r>
      <w:r>
        <w:t>der Schuldner der Kapitalerträge in den Fällen des § 43 Absatz 1 Satz 1 Nummer 7 Buchstabe a und Nummer 10 unter den Voraussetzungen des Buchstabens a, wenn kein inländisches Kredit-, Finanzdienstleistungs- oder Wertpapierinstitut die die Kapitalerträge auszahlende Stelle ist;</w:t>
      </w:r>
    </w:p>
    <w:p>
      <w:pPr>
        <w:tabs>
          <w:tab w:pos="567" w:val="left"/>
        </w:tabs>
        <w:ind w:left="567" w:hanging="567"/>
      </w:pPr>
      <w:r>
        <w:t>2.</w:t>
      </w:r>
      <w:r>
        <w:tab/>
      </w:r>
      <w:r>
        <w:t>in den Fällen des § 43 Absatz 1 Satz 1 Nummer 7 Buchstabe b das inländische Kredit-, Finanzdienstleistungs- oder Wertpapierinstitut, das die Kapitalerträge als Schuldner auszahlt oder gutschreibt;</w:t>
      </w:r>
    </w:p>
    <w:p>
      <w:pPr>
        <w:tabs>
          <w:tab w:pos="567" w:val="left"/>
        </w:tabs>
        <w:ind w:left="567" w:hanging="567"/>
      </w:pPr>
      <w:r>
        <w:t>2a.</w:t>
      </w:r>
      <w:r>
        <w:tab/>
      </w:r>
      <w:r>
        <w:t>in den Fällen des § 43 Absatz 1 Satz 1 Nummer 8a</w:t>
      </w:r>
    </w:p>
    <w:p>
      <w:pPr>
        <w:tabs>
          <w:tab w:pos="1134" w:val="left"/>
        </w:tabs>
        <w:ind w:left="1134" w:hanging="567"/>
      </w:pPr>
      <w:r>
        <w:t>a)</w:t>
      </w:r>
      <w:r>
        <w:tab/>
      </w:r>
      <w:r>
        <w:t xml:space="preserve">der inländische Betreiber oder die inländische Zweigniederlassung eines ausländischen Betreibers einer Internet-Dienstleistungsplattform im Sinne des </w:t>
      </w:r>
      <w:hyperlink w:anchor="b169" w:history="1">
        <w:r>
          <w:rPr>
            <w:color w:val="0A3A8C"/>
            <w:u w:val="single"/>
          </w:rPr>
          <w:t xml:space="preserve">§ 43</w:t>
        </w:r>
      </w:hyperlink>
      <w:r>
        <w:t xml:space="preserve"> Absatz 1 Satz 1 Nummer 8a Satz 2, der die Kapitalerträge an den Gläubiger auszahlt oder gutschreibt,</w:t>
      </w:r>
    </w:p>
    <w:p>
      <w:pPr>
        <w:tabs>
          <w:tab w:pos="1134" w:val="left"/>
        </w:tabs>
        <w:ind w:left="1134" w:hanging="567"/>
      </w:pPr>
      <w:r>
        <w:t>b)</w:t>
      </w:r>
      <w:r>
        <w:tab/>
      </w:r>
      <w:r>
        <w:t xml:space="preserve">das inländische Kredit-, Finanzdienstleistungs- oder Wertpapierinstitut im Sinne des § 43 Absatz 1 Satz 1 Nummer 7 Buchstabe b, das inländische Zahlungsinstitut im Sinne des § 1 Absatz 1 Satz 1 Nummer 1 des Zahlungsdiensteaufsichtsgesetzes oder das inländische E-Geld-Institut im Sinne des § 1 Absatz 1 Satz 1 Nummer 2 des Zahlungsdiensteaufsichtsgesetzes, das die Kapitalerträge im Auftrag des inländischen oder ausländischen Betreibers einer Internet-Dienstleistungsplattform im Sinne des </w:t>
      </w:r>
      <w:hyperlink w:anchor="b169" w:history="1">
        <w:r>
          <w:rPr>
            <w:color w:val="0A3A8C"/>
            <w:u w:val="single"/>
          </w:rPr>
          <w:t xml:space="preserve">§ 43</w:t>
        </w:r>
      </w:hyperlink>
      <w:r>
        <w:t xml:space="preserve"> Absatz 1 Satz 1 Nummer 8a Satz 2 oder nach Vermittlung der Kapitalforderung durch eine Internet-Dienstleistungsplattform für den Schuldner der Kapitalerträge an den Gläubiger auszahlt oder gutschreibt,</w:t>
      </w:r>
    </w:p>
    <w:p>
      <w:pPr>
        <w:tabs>
          <w:tab w:pos="1134" w:val="left"/>
        </w:tabs>
        <w:ind w:left="1134" w:hanging="567"/>
      </w:pPr>
      <w:r>
        <w:t>c)</w:t>
      </w:r>
      <w:r>
        <w:tab/>
      </w:r>
      <w:r>
        <w:t xml:space="preserve">der Schuldner der Kapitalerträge, wenn es keinen inländischen Abzugsverpflichteten nach Buchstabe a oder b gibt. </w:t>
      </w:r>
      <w:r>
        <w:rPr>
          <w:rStyle w:val="Satznummer"/>
        </w:rPr>
        <w:t>2</w:t>
      </w:r>
      <w:r>
        <w:t xml:space="preserve">Der inländische Betreiber oder die inländische Zweigniederlassung eines ausländischen Betreibers einer Internet-Dienstleistungsplattform im Sinne des § 43 Absatz 1 Satz 1 Nummer 8a Satz 2 (Plattformbetreiber) haftet in diesem Fall für die nicht einbehaltenen Steuern oder zu Unrecht gewährten Steuervorteile. </w:t>
      </w:r>
      <w:r>
        <w:rPr>
          <w:rStyle w:val="Satznummer"/>
        </w:rPr>
        <w:t>3</w:t>
      </w:r>
      <w:r>
        <w:t>Der Plattformbetreiber haftet nicht nach Satz 2, wenn er den Schuldner der Kapitalerträge auf seine Verpflichtung, die Kapitalertragsteuer einzubehalten und abzuführen hingewiesen und dies dokumentiert hat;</w:t>
      </w:r>
    </w:p>
    <w:p>
      <w:pPr>
        <w:tabs>
          <w:tab w:pos="567" w:val="left"/>
        </w:tabs>
        <w:ind w:left="567" w:hanging="567"/>
      </w:pPr>
      <w:r>
        <w:t>3.</w:t>
      </w:r>
      <w:r>
        <w:tab/>
      </w:r>
      <w:r>
        <w:t>in den Fällen des § 43 Absatz 1 Satz 1 Nummer 1a</w:t>
      </w:r>
    </w:p>
    <w:p>
      <w:pPr>
        <w:tabs>
          <w:tab w:pos="1134" w:val="left"/>
        </w:tabs>
        <w:ind w:left="1134" w:hanging="567"/>
      </w:pPr>
      <w:r>
        <w:t>a)</w:t>
      </w:r>
      <w:r>
        <w:tab/>
      </w:r>
      <w:r>
        <w:t>das inländische Kredit-, Finanzdienstleistungs- oder Wertpapierinstitut im Sinne des § 43 Absatz 1 Satz 1 Nummer 7 Buchstabe b, welche die Anteile verwahrt oder verwaltet und die Kapitalerträge auszahlt oder gutschreibt oder die Kapitalerträge gegen Aushändigung der Dividendenscheine auszahlt oder gutschreibt oder die Kapitalerträge an eine ausländische Stelle auszahlt,</w:t>
      </w:r>
    </w:p>
    <w:p>
      <w:pPr>
        <w:tabs>
          <w:tab w:pos="1134" w:val="left"/>
        </w:tabs>
        <w:ind w:left="1134" w:hanging="567"/>
      </w:pPr>
      <w:r>
        <w:t>b)</w:t>
      </w:r>
      <w:r>
        <w:tab/>
      </w:r>
      <w:r>
        <w:t>die Wertpapiersammelbank, der die Anteile zur Sammelverwahrung anvertraut wurden, wenn sie die Kapitalerträge an eine ausländische Stelle auszahlt,</w:t>
      </w:r>
    </w:p>
    <w:p>
      <w:pPr>
        <w:tabs>
          <w:tab w:pos="1134" w:val="left"/>
        </w:tabs>
        <w:ind w:left="1134" w:hanging="567"/>
      </w:pPr>
      <w:r>
        <w:t>c)</w:t>
      </w:r>
      <w:r>
        <w:tab/>
      </w:r>
      <w:r>
        <w:t>der Schuldner der Kapitalerträge,</w:t>
      </w:r>
    </w:p>
    <w:p>
      <w:pPr>
        <w:tabs>
          <w:tab w:pos="1701" w:val="left"/>
        </w:tabs>
        <w:ind w:left="1701" w:hanging="567"/>
      </w:pPr>
      <w:r>
        <w:t>aa)</w:t>
      </w:r>
      <w:r>
        <w:tab/>
      </w:r>
      <w:r>
        <w:t>soweit die Wertpapiersammelbank, der die Anteile zur Sammelverwahrung anvertraut wurden, keine Dividendenregulierung vornimmt; die Wertpapiersammelbank hat dem Schuldner der Kapitalerträge den Umfang der Bestände ohne Dividendenregulierung mitzuteilen,</w:t>
      </w:r>
    </w:p>
    <w:p>
      <w:pPr>
        <w:tabs>
          <w:tab w:pos="1701" w:val="left"/>
        </w:tabs>
        <w:ind w:left="1701" w:hanging="567"/>
      </w:pPr>
      <w:r>
        <w:t>bb)</w:t>
      </w:r>
      <w:r>
        <w:tab/>
      </w:r>
      <w:r>
        <w:t>soweit im Fall elektronischer Aktien die registerführende Stelle gemäß § 12 Absatz 2 oder § 16 Absatz 2 des Gesetzes über elektronische Wertpapiere, die das Register führt, in das die Aktien eingetragen sind, keine Dividendenregulierung vornimmt; die registerführende Stelle hat dem Schuldner der Kapitalerträge den Umfang der Bestände ohne Dividendenregulierung mitzuteilen;</w:t>
      </w:r>
    </w:p>
    <w:p>
      <w:pPr>
        <w:tabs>
          <w:tab w:pos="567" w:val="left"/>
        </w:tabs>
        <w:ind w:left="567" w:hanging="567"/>
      </w:pPr>
      <w:r>
        <w:t>4.</w:t>
      </w:r>
      <w:r>
        <w:tab/>
      </w:r>
      <w:r>
        <w:t xml:space="preserve">in den Fällen des </w:t>
      </w:r>
      <w:hyperlink w:anchor="b169" w:history="1">
        <w:r>
          <w:rPr>
            <w:color w:val="0A3A8C"/>
            <w:u w:val="single"/>
          </w:rPr>
          <w:t xml:space="preserve">§ 43</w:t>
        </w:r>
      </w:hyperlink>
      <w:r>
        <w:t xml:space="preserve"> Absatz 1 Satz 1 Nummer 5, soweit es sich um die Vorabpauschale nach § 16 Absatz 1 Nummer 2 des Investmentsteuergesetzes handelt, das inländische Kredit-, Finanzdienstleistungs- oder Wertpapierinstitut im Sinne des § 43 Absatz 1 Satz 1 Nummer 7 Buchstabe b, welches die Anteile an dem Investmentfonds im Sinne des Investmentsteuergesetzes verwahrt oder verwaltet;</w:t>
      </w:r>
    </w:p>
    <w:p>
      <w:pPr>
        <w:tabs>
          <w:tab w:pos="567" w:val="left"/>
        </w:tabs>
        <w:ind w:left="567" w:hanging="567"/>
      </w:pPr>
      <w:r>
        <w:t>5.</w:t>
      </w:r>
      <w:r>
        <w:tab/>
      </w:r>
      <w:r>
        <w:t>in den Fällen des § 43 Absatz 1 Satz 1 Nummer 5 der Investmentfonds, wenn es sich um Kapitalerträge aus Anteilen an inländischen Investmentfonds handelt, die nicht von einem inländischen oder ausländischen Kredit-, Finanzdienstleistungs- oder Wertpapierinstitut im Sinne des § 43 Absatz 1 Satz 1 Nummer 7 Buchstabe b verwahrt oder verwaltet werden;</w:t>
      </w:r>
    </w:p>
    <w:p>
      <w:pPr>
        <w:tabs>
          <w:tab w:pos="567" w:val="left"/>
        </w:tabs>
        <w:ind w:left="567" w:hanging="567"/>
      </w:pPr>
      <w:r>
        <w:t>6.</w:t>
      </w:r>
      <w:r>
        <w:tab/>
      </w:r>
      <w:r>
        <w:t>für Kapitalerträge aus Kryptowertpapieren im Sinne des § 4 Absatz 3 des Gesetzes über elektronische Wertpapiere, in den Fällen des § 43 Absatz 1 Satz 1 Nummer 1a, 2, 5, 7 Buchstabe a, Nummer 8 und 9 bis 12 die registerführende Stelle nach § 16 Absatz 2 des Gesetzes über elektronische Wertpapiere, sofern sich keine auszahlende Stelle aus den Nummern 1, 3, 4 und 5 ergibt.</w:t>
      </w:r>
    </w:p>
    <w:p>
      <w:r>
        <w:rPr>
          <w:rStyle w:val="Satznummer"/>
        </w:rPr>
        <w:t>5</w:t>
      </w:r>
      <w:r>
        <w:t>Die innerhalb eines Kalendermonats einbehaltene Steuer ist jeweils bis zum zehnten des folgenden Monats an das Finanzamt abzuführen, das für die Besteuerung</w:t>
      </w:r>
    </w:p>
    <w:p>
      <w:pPr>
        <w:tabs>
          <w:tab w:pos="567" w:val="left"/>
        </w:tabs>
        <w:ind w:left="567" w:hanging="567"/>
      </w:pPr>
      <w:r>
        <w:t>1.</w:t>
      </w:r>
      <w:r>
        <w:tab/>
      </w:r>
      <w:r>
        <w:t>des Schuldners der Kapitalerträge,</w:t>
      </w:r>
    </w:p>
    <w:p>
      <w:pPr>
        <w:tabs>
          <w:tab w:pos="567" w:val="left"/>
        </w:tabs>
        <w:ind w:left="567" w:hanging="567"/>
      </w:pPr>
      <w:r>
        <w:t>2.</w:t>
      </w:r>
      <w:r>
        <w:tab/>
      </w:r>
      <w:r>
        <w:t>der den Verkaufsauftrag ausführenden Stelle oder</w:t>
      </w:r>
    </w:p>
    <w:p>
      <w:pPr>
        <w:tabs>
          <w:tab w:pos="567" w:val="left"/>
        </w:tabs>
        <w:ind w:left="567" w:hanging="567"/>
      </w:pPr>
      <w:r>
        <w:t>3.</w:t>
      </w:r>
      <w:r>
        <w:tab/>
      </w:r>
      <w:r>
        <w:t>der die Kapitalerträge auszahlenden Stelle</w:t>
      </w:r>
    </w:p>
    <w:p>
      <w:r>
        <w:t xml:space="preserve">nach dem Einkommen zuständig ist; bei Kapitalerträgen im Sinne des </w:t>
      </w:r>
      <w:hyperlink w:anchor="b169" w:history="1">
        <w:r>
          <w:rPr>
            <w:color w:val="0A3A8C"/>
            <w:u w:val="single"/>
          </w:rPr>
          <w:t xml:space="preserve">§ 43</w:t>
        </w:r>
      </w:hyperlink>
      <w:r>
        <w:t xml:space="preserve"> Absatz 1 Satz 1 Nummer 1 ist die einbehaltene Steuer in dem Zeitpunkt abzuführen, in dem die Kapitalerträge dem Gläubiger zufließen. </w:t>
      </w:r>
      <w:r>
        <w:rPr>
          <w:rStyle w:val="Satznummer"/>
        </w:rPr>
        <w:t>6</w:t>
      </w:r>
      <w:r>
        <w:t xml:space="preserve">Dabei ist die Kapitalertragsteuer, die zu demselben Zeitpunkt abzuführen ist, jeweils auf den nächsten vollen Eurobetrag abzurunden. </w:t>
      </w:r>
      <w:r>
        <w:rPr>
          <w:rStyle w:val="Satznummer"/>
        </w:rPr>
        <w:t>7</w:t>
      </w:r>
      <w:r>
        <w:t>Wenn Kapitalerträge ganz oder teilweise nicht in Geld bestehen (</w:t>
      </w:r>
      <w:hyperlink w:anchor="b45" w:history="1">
        <w:r>
          <w:rPr>
            <w:color w:val="0A3A8C"/>
            <w:u w:val="single"/>
          </w:rPr>
          <w:t xml:space="preserve">§ 8</w:t>
        </w:r>
      </w:hyperlink>
      <w:r>
        <w:t xml:space="preserve"> Absatz 2) und der in Geld geleistete Kapitalertrag nicht zur Deckung der Kapitalertragsteuer ausreicht, hat der Gläubiger der Kapitalerträge dem zum Steuerabzug Verpflichteten den Fehlbetrag zur Verfügung zu stellen. </w:t>
      </w:r>
      <w:r>
        <w:rPr>
          <w:rStyle w:val="Satznummer"/>
        </w:rPr>
        <w:t>8</w:t>
      </w:r>
      <w:r>
        <w:t xml:space="preserve">Zu diesem Zweck kann der zum Steuerabzug Verpflichtete den Fehlbetrag von einem bei ihm unterhaltenen und auf den Namen des Gläubigers der Kapitalerträge lautenden Konto, ohne Einwilligung des Gläubigers, einziehen. </w:t>
      </w:r>
      <w:r>
        <w:rPr>
          <w:rStyle w:val="Satznummer"/>
        </w:rPr>
        <w:t>9</w:t>
      </w:r>
      <w:r>
        <w:t xml:space="preserve">Soweit der Gläubiger nicht vor Zufluss der Kapitalerträge widerspricht, darf der zum Steuerabzug Verpflichtete auch insoweit die Geldbeträge von einem auf den Namen des Gläubigers der Kapitalerträge lautenden Konto einziehen, wie ein mit dem Gläubiger vereinbarter Kontokorrentkredit für dieses Konto nicht in Anspruch genommen wurde. </w:t>
      </w:r>
      <w:r>
        <w:rPr>
          <w:rStyle w:val="Satznummer"/>
        </w:rPr>
        <w:t>10</w:t>
      </w:r>
      <w:r>
        <w:t>Soweit der Gläubiger seiner Verpflichtung nicht nachkommt, hat der zum Steuerabzug Verpflichtete dies dem für ihn zuständigen Betriebsstättenfinanzamt nach Maßgabe des § 93c der Abgabenordnung anzuzeigen und neben den in § 93c Absatz 1 der Abgabenordnung genannten Angaben folgende Daten zu übermitteln:</w:t>
      </w:r>
    </w:p>
    <w:p>
      <w:pPr>
        <w:tabs>
          <w:tab w:pos="567" w:val="left"/>
        </w:tabs>
        <w:ind w:left="567" w:hanging="567"/>
      </w:pPr>
      <w:r>
        <w:t>1.</w:t>
      </w:r>
      <w:r>
        <w:tab/>
      </w:r>
      <w:r>
        <w:t>das Datum der Gutschrift des Kapitalertrags,</w:t>
      </w:r>
    </w:p>
    <w:p>
      <w:pPr>
        <w:tabs>
          <w:tab w:pos="567" w:val="left"/>
        </w:tabs>
        <w:ind w:left="567" w:hanging="567"/>
      </w:pPr>
      <w:r>
        <w:t>2.</w:t>
      </w:r>
      <w:r>
        <w:tab/>
      </w:r>
      <w:r>
        <w:t>die Bezeichnung und die Internationale Wertpapierkennnummer der Wertpapiergattung sowie die dem Kapitalertrag zugrundeliegende Stückzahl der Wertpapiere soweit vorhanden, ansonsten die Bezeichnung des betroffenen Kapitalertrags,</w:t>
      </w:r>
    </w:p>
    <w:p>
      <w:pPr>
        <w:tabs>
          <w:tab w:pos="567" w:val="left"/>
        </w:tabs>
        <w:ind w:left="567" w:hanging="567"/>
      </w:pPr>
      <w:r>
        <w:t>3.</w:t>
      </w:r>
      <w:r>
        <w:tab/>
      </w:r>
      <w:r>
        <w:t>sofern ermittelbar, die Höhe des Kapitalertrags, für den der Steuereinbehalt fehlgeschlagen ist.</w:t>
      </w:r>
    </w:p>
    <w:p>
      <w:r>
        <w:rPr>
          <w:rStyle w:val="Satznummer"/>
        </w:rPr>
        <w:t>11</w:t>
      </w:r>
      <w:r>
        <w:t>Das Wohnsitz-Finanzamt hat die zu wenig erhobene Kapitalertragsteuer vom Gläubiger der Kapitalerträge nach § 32d Absatz 3 in der Veranlagung nachzufordern.</w:t>
      </w:r>
    </w:p>
    <w:p>
      <w:r>
        <w:t xml:space="preserve">(1a) </w:t>
      </w:r>
      <w:r>
        <w:rPr>
          <w:rStyle w:val="Satznummer"/>
        </w:rPr>
        <w:t>1</w:t>
      </w:r>
      <w:r>
        <w:t xml:space="preserve">Werden inländische Aktien über eine ausländische Stelle mit Dividendenberechtigung erworben, aber ohne Dividendenanspruch geliefert und leitet die ausländische Stelle auf die Erträge im Sinne des </w:t>
      </w:r>
      <w:hyperlink w:anchor="b86" w:history="1">
        <w:r>
          <w:rPr>
            <w:color w:val="0A3A8C"/>
            <w:u w:val="single"/>
          </w:rPr>
          <w:t xml:space="preserve">§ 20</w:t>
        </w:r>
      </w:hyperlink>
      <w:r>
        <w:t xml:space="preserve"> Absatz 1 Nummer 1 Satz 4 einen einbehaltenen Steuerbetrag im Sinne des </w:t>
      </w:r>
      <w:hyperlink w:anchor="b170" w:history="1">
        <w:r>
          <w:rPr>
            <w:color w:val="0A3A8C"/>
            <w:u w:val="single"/>
          </w:rPr>
          <w:t xml:space="preserve">§ 43a</w:t>
        </w:r>
      </w:hyperlink>
      <w:r>
        <w:t xml:space="preserve"> Absatz 1 Satz 1 Nummer 1 an eine inländische Wertpapiersammelbank weiter, ist diese zur Abführung der einbehaltenen Steuer verpflichtet. </w:t>
      </w:r>
      <w:r>
        <w:rPr>
          <w:rStyle w:val="Satznummer"/>
        </w:rPr>
        <w:t>2</w:t>
      </w:r>
      <w:r>
        <w:t xml:space="preserve">Bei Kapitalerträgen im Sinne des </w:t>
      </w:r>
      <w:hyperlink w:anchor="b169" w:history="1">
        <w:r>
          <w:rPr>
            <w:color w:val="0A3A8C"/>
            <w:u w:val="single"/>
          </w:rPr>
          <w:t xml:space="preserve">§ 43</w:t>
        </w:r>
      </w:hyperlink>
      <w:r>
        <w:t xml:space="preserve"> Absatz 1 Satz 1 Nummer 1 und 2 gilt Satz 1 entsprechend.</w:t>
      </w:r>
    </w:p>
    <w:p>
      <w:r>
        <w:t>(1b) Bei inländischen und ausländischen Investmentfonds ist für die Vorabpauschale nach § 16 Absatz 1 Nummer 2 des Investmentsteuergesetzes Absatz 1 Satz 7 bis 11 entsprechend anzuwenden.</w:t>
      </w:r>
    </w:p>
    <w:p>
      <w:r>
        <w:t xml:space="preserve">(2) </w:t>
      </w:r>
      <w:r>
        <w:rPr>
          <w:rStyle w:val="Satznummer"/>
        </w:rPr>
        <w:t>1</w:t>
      </w:r>
      <w:r>
        <w:t xml:space="preserve">Gewinnanteile (Dividenden) und andere Kapitalerträge im Sinne des </w:t>
      </w:r>
      <w:hyperlink w:anchor="b169" w:history="1">
        <w:r>
          <w:rPr>
            <w:color w:val="0A3A8C"/>
            <w:u w:val="single"/>
          </w:rPr>
          <w:t xml:space="preserve">§ 43</w:t>
        </w:r>
      </w:hyperlink>
      <w:r>
        <w:t xml:space="preserve"> Absatz 1 Satz 1 Nummer 1, deren Ausschüttung von einer Körperschaft beschlossen wird, fließen dem Gläubiger der Kapitalerträge an dem Tag zu (Absatz 1), der im Beschluss als Tag der Auszahlung bestimmt worden ist. </w:t>
      </w:r>
      <w:r>
        <w:rPr>
          <w:rStyle w:val="Satznummer"/>
        </w:rPr>
        <w:t>2</w:t>
      </w:r>
      <w:r>
        <w:t xml:space="preserve">Ist die Ausschüttung nur festgesetzt, ohne dass über den Zeitpunkt der Auszahlung ein Beschluss gefasst worden ist, so gilt als Zeitpunkt des Zufließens der Tag nach der Beschlussfassung; ist durch Gesetz eine abweichende Fälligkeit des Auszahlungsanspruchs bestimmt oder lässt das Gesetz eine abweichende Bestimmung der Fälligkeit durch Satzungsregelung zu, gilt als Zeitpunkt des Zufließens der Tag der Fälligkeit. </w:t>
      </w:r>
      <w:r>
        <w:rPr>
          <w:rStyle w:val="Satznummer"/>
        </w:rPr>
        <w:t>3</w:t>
      </w:r>
      <w:r>
        <w:t xml:space="preserve">Für Kapitalerträge im Sinne des </w:t>
      </w:r>
      <w:hyperlink w:anchor="b86" w:history="1">
        <w:r>
          <w:rPr>
            <w:color w:val="0A3A8C"/>
            <w:u w:val="single"/>
          </w:rPr>
          <w:t xml:space="preserve">§ 20</w:t>
        </w:r>
      </w:hyperlink>
      <w:r>
        <w:t xml:space="preserve"> Absatz 1 Nummer 1 Satz 4 gelten diese Zuflusszeitpunkte entsprechend.</w:t>
      </w:r>
    </w:p>
    <w:p>
      <w:r>
        <w:t xml:space="preserve">(3) </w:t>
      </w:r>
      <w:r>
        <w:rPr>
          <w:rStyle w:val="Satznummer"/>
        </w:rPr>
        <w:t>1</w:t>
      </w:r>
      <w:r>
        <w:t xml:space="preserve">Ist bei Einnahmen aus der Beteiligung an einem Handelsgewerbe als stiller Gesellschafter in dem Beteiligungsvertrag über den Zeitpunkt der Ausschüttung keine Vereinbarung getroffen, so gilt der Kapitalertrag am Tag nach der Aufstellung der Bilanz oder einer sonstigen Feststellung des Gewinnanteils des stillen Gesellschafters, spätestens jedoch sechs Monate nach Ablauf des Wirtschaftsjahres, für das der Kapitalertrag ausgeschüttet oder gutgeschrieben werden soll, als zugeflossen. </w:t>
      </w:r>
      <w:r>
        <w:rPr>
          <w:rStyle w:val="Satznummer"/>
        </w:rPr>
        <w:t>2</w:t>
      </w:r>
      <w:r>
        <w:t>Bei Zinsen aus partiarischen Darlehen gilt Satz 1 entsprechend.</w:t>
      </w:r>
    </w:p>
    <w:p>
      <w:r>
        <w:t>(4) Haben Gläubiger und Schuldner der Kapitalerträge vor dem Zufließen ausdrücklich Stundung des Kapitalertrags vereinbart, weil der Schuldner vorübergehend zur Zahlung nicht in der Lage ist, so ist der Steuerabzug erst mit Ablauf der Stundungsfrist vorzunehmen.</w:t>
      </w:r>
    </w:p>
    <w:p>
      <w:r>
        <w:t xml:space="preserve">(5) </w:t>
      </w:r>
      <w:r>
        <w:rPr>
          <w:rStyle w:val="Satznummer"/>
        </w:rPr>
        <w:t>1</w:t>
      </w:r>
      <w:r>
        <w:t xml:space="preserve">Die Schuldner der Kapitalerträge, die den Verkaufsauftrag ausführenden Stellen oder die die Kapitalerträge auszahlenden Stellen haften für die Kapitalertragsteuer, die sie einzubehalten und abzuführen haben, es sei denn, sie weisen nach, dass sie die ihnen auferlegten Pflichten weder vorsätzlich noch grob fahrlässig verletzt haben. </w:t>
      </w:r>
      <w:r>
        <w:rPr>
          <w:rStyle w:val="Satznummer"/>
        </w:rPr>
        <w:t>2</w:t>
      </w:r>
      <w:r>
        <w:t>Der Gläubiger der Kapitalerträge wird nur in Anspruch genommen, wenn</w:t>
      </w:r>
    </w:p>
    <w:p>
      <w:pPr>
        <w:tabs>
          <w:tab w:pos="567" w:val="left"/>
        </w:tabs>
        <w:ind w:left="567" w:hanging="567"/>
      </w:pPr>
      <w:r>
        <w:t>1.</w:t>
      </w:r>
      <w:r>
        <w:tab/>
      </w:r>
      <w:r>
        <w:t>der Schuldner, die den Verkaufsauftrag ausführende Stelle oder die die Kapitalerträge auszahlende Stelle die Kapitalerträge nicht vorschriftsmäßig gekürzt hat,</w:t>
      </w:r>
    </w:p>
    <w:p>
      <w:pPr>
        <w:tabs>
          <w:tab w:pos="567" w:val="left"/>
        </w:tabs>
        <w:ind w:left="567" w:hanging="567"/>
      </w:pPr>
      <w:r>
        <w:t>2.</w:t>
      </w:r>
      <w:r>
        <w:tab/>
      </w:r>
      <w:r>
        <w:t>der Gläubiger weiß, dass der Schuldner, die den Verkaufsauftrag ausführende Stelle oder die die Kapitalerträge auszahlende Stelle die einbehaltene Kapitalertragsteuer nicht vorschriftsmäßig abgeführt hat, und dies dem Finanzamt nicht unverzüglich mitteilt oder</w:t>
      </w:r>
    </w:p>
    <w:p>
      <w:pPr>
        <w:tabs>
          <w:tab w:pos="567" w:val="left"/>
        </w:tabs>
        <w:ind w:left="567" w:hanging="567"/>
      </w:pPr>
      <w:r>
        <w:t>3.</w:t>
      </w:r>
      <w:r>
        <w:tab/>
      </w:r>
      <w:r>
        <w:t>das die Kapitalerträge auszahlende inländische Kredit-, Finanzdienstleistungs- oder Wertpapierinstitut die Kapitalerträge zu Unrecht ohne Abzug der Kapitalertragsteuer ausgezahlt hat.</w:t>
      </w:r>
    </w:p>
    <w:p>
      <w:r>
        <w:rPr>
          <w:rStyle w:val="Satznummer"/>
        </w:rPr>
        <w:t>3</w:t>
      </w:r>
      <w:r>
        <w:t>Für die Inanspruchnahme des Schuldners der Kapitalerträge, der den Verkaufsauftrag ausführenden Stelle und der die Kapitalerträge auszahlenden Stelle bedarf es keines Haftungsbescheids, soweit der Schuldner, die den Verkaufsauftrag ausführende Stelle oder die die Kapitalerträge auszahlende Stelle die einbehaltene Kapitalertragsteuer richtig angemeldet hat oder soweit sie ihre Zahlungsverpflichtungen gegenüber dem Finanzamt oder dem Prüfungsbeamten des Finanzamts schriftlich anerkennen.</w:t>
      </w:r>
    </w:p>
    <w:p>
      <w:r>
        <w:t xml:space="preserve">(6) </w:t>
      </w:r>
      <w:r>
        <w:rPr>
          <w:rStyle w:val="Satznummer"/>
        </w:rPr>
        <w:t>1</w:t>
      </w:r>
      <w:r>
        <w:t xml:space="preserve">In den Fällen des </w:t>
      </w:r>
      <w:hyperlink w:anchor="b169" w:history="1">
        <w:r>
          <w:rPr>
            <w:color w:val="0A3A8C"/>
            <w:u w:val="single"/>
          </w:rPr>
          <w:t xml:space="preserve">§ 43</w:t>
        </w:r>
      </w:hyperlink>
      <w:r>
        <w:t xml:space="preserve"> Absatz 1 Satz 1 Nummer 7c gilt die juristische Person des öffentlichen Rechts und die von der Körperschaftsteuer befreite Körperschaft, Personenvereinigung oder Vermögensmasse als Gläubiger und der Betrieb gewerblicher Art und der wirtschaftliche Geschäftsbetrieb als Schuldner der Kapitalerträge. </w:t>
      </w:r>
      <w:r>
        <w:rPr>
          <w:rStyle w:val="Satznummer"/>
        </w:rPr>
        <w:t>2</w:t>
      </w:r>
      <w:r>
        <w:t xml:space="preserve">Die Kapitalertragsteuer entsteht, auch soweit sie auf verdeckte Gewinnausschüttungen entfällt, die im abgelaufenen Wirtschaftsjahr vorgenommen worden sind, im Zeitpunkt der Bilanzerstellung; sie entsteht spätestens acht Monate nach Ablauf des Wirtschaftsjahres; in den Fällen des § 20 Absatz 1 Nummer 10 Buchstabe b Satz 2 am Tag nach der Beschlussfassung über die Verwendung und in den Fällen des § 22 Absatz 4 des Umwandlungssteuergesetzes am Tag nach der Veräußerung. </w:t>
      </w:r>
      <w:r>
        <w:rPr>
          <w:rStyle w:val="Satznummer"/>
        </w:rPr>
        <w:t>3</w:t>
      </w:r>
      <w:r>
        <w:t xml:space="preserve">Die Kapitalertragsteuer entsteht in den Fällen des § 20 Absatz 1 Nummer 10 Buchstabe b Satz 3 zum Ende des Wirtschaftsjahres. </w:t>
      </w:r>
      <w:r>
        <w:rPr>
          <w:rStyle w:val="Satznummer"/>
        </w:rPr>
        <w:t>4</w:t>
      </w:r>
      <w:r>
        <w:t xml:space="preserve">Die Absätze 1 bis 4 und 5 Satz 2 sind entsprechend anzuwenden. </w:t>
      </w:r>
      <w:r>
        <w:rPr>
          <w:rStyle w:val="Satznummer"/>
        </w:rPr>
        <w:t>5</w:t>
      </w:r>
      <w:r>
        <w:t>Der Schuldner der Kapitalerträge haftet für die Kapitalertragsteuer, soweit sie auf verdeckte Gewinnausschüttungen und auf Veräußerungen im Sinne des § 22 Absatz 4 des Umwandlungssteuergesetzes entfällt.</w:t>
      </w:r>
    </w:p>
    <w:p>
      <w:r>
        <w:t xml:space="preserve">(7) </w:t>
      </w:r>
      <w:r>
        <w:rPr>
          <w:rStyle w:val="Satznummer"/>
        </w:rPr>
        <w:t>1</w:t>
      </w:r>
      <w:r>
        <w:t xml:space="preserve">In den Fällen des § 14 Absatz 3 des Körperschaftsteuergesetzes entsteht die Kapitalertragsteuer in dem Zeitpunkt der Feststellung der Handelsbilanz der Organgesellschaft; sie entsteht spätestens acht Monate nach Ablauf des Wirtschaftsjahres der Organgesellschaft. </w:t>
      </w:r>
      <w:r>
        <w:rPr>
          <w:rStyle w:val="Satznummer"/>
        </w:rPr>
        <w:t>2</w:t>
      </w:r>
      <w:r>
        <w:t xml:space="preserve">Die entstandene Kapitalertragsteuer ist an dem auf den Entstehungszeitpunkt nachfolgenden Werktag an das Finanzamt abzuführen, das für die Besteuerung der Organgesellschaft nach dem Einkommen zuständig ist. </w:t>
      </w:r>
      <w:r>
        <w:rPr>
          <w:rStyle w:val="Satznummer"/>
        </w:rPr>
        <w:t>3</w:t>
      </w:r>
      <w:r>
        <w:t>Im Übrigen sind die Absätze 1 bis 4 entsprechend anzuwenden.</w:t>
      </w:r>
    </w:p>
    <w:p>
      <w:pPr>
        <w:pStyle w:val="Heading3"/>
      </w:pPr>
      <w:bookmarkStart w:id="174" w:name="b173"/>
      <w:r>
        <w:t>§ 44a Abstandnahme vom Steuerabzug</w:t>
      </w:r>
      <w:r>
        <w:t xml:space="preserve"> </w:t>
      </w:r>
      <w:r>
        <w:rPr>
          <w:rStyle w:val="Suchmarke"/>
        </w:rPr>
        <w:t>#44a#</w:t>
      </w:r>
      <w:bookmarkEnd w:id="174"/>
    </w:p>
    <w:p>
      <w:r>
        <w:t xml:space="preserve">(1) </w:t>
      </w:r>
      <w:r>
        <w:rPr>
          <w:rStyle w:val="Satznummer"/>
        </w:rPr>
        <w:t>1</w:t>
      </w:r>
      <w:r>
        <w:t xml:space="preserve">Soweit die Kapitalerträge, die einem unbeschränkt einkommensteuerpflichtigen Gläubiger zufließen, zusammen mit den Kapitalerträgen, für die die Kapitalertragsteuer nach </w:t>
      </w:r>
      <w:hyperlink w:anchor="b174" w:history="1">
        <w:r>
          <w:rPr>
            <w:color w:val="0A3A8C"/>
            <w:u w:val="single"/>
          </w:rPr>
          <w:t xml:space="preserve">§ 44b</w:t>
        </w:r>
      </w:hyperlink>
      <w:r>
        <w:t xml:space="preserve"> zu erstatten ist oder nach Absatz 10 kein Steuerabzug vorzunehmen ist, den Sparer-Pauschbetrag nach </w:t>
      </w:r>
      <w:hyperlink w:anchor="b86" w:history="1">
        <w:r>
          <w:rPr>
            <w:color w:val="0A3A8C"/>
            <w:u w:val="single"/>
          </w:rPr>
          <w:t xml:space="preserve">§ 20</w:t>
        </w:r>
      </w:hyperlink>
      <w:r>
        <w:t xml:space="preserve"> Absatz 9 nicht übersteigen, ist ein Steuerabzug nicht vorzunehmen bei Kapitalerträgen im Sinne des</w:t>
      </w:r>
    </w:p>
    <w:p>
      <w:pPr>
        <w:tabs>
          <w:tab w:pos="567" w:val="left"/>
        </w:tabs>
        <w:ind w:left="567" w:hanging="567"/>
      </w:pPr>
      <w:r>
        <w:t>1.</w:t>
      </w:r>
      <w:r>
        <w:tab/>
      </w:r>
      <w:r>
        <w:t>§ 43 Absatz 1 Satz 1 Nummer 1 und 2 aus Genussrechten oder</w:t>
      </w:r>
    </w:p>
    <w:p>
      <w:pPr>
        <w:tabs>
          <w:tab w:pos="567" w:val="left"/>
        </w:tabs>
        <w:ind w:left="567" w:hanging="567"/>
      </w:pPr>
      <w:r>
        <w:t>2.</w:t>
      </w:r>
      <w:r>
        <w:tab/>
      </w:r>
      <w:r>
        <w:t>§ 43 Absatz 1 Satz 1 Nummer 1 und 2 aus Anteilen, die von einer Kapitalgesellschaft ihren Arbeitnehmern überlassen worden sind und von ihr, einem von der Kapitalgesellschaft bestellten Treuhänder, einem inländischen Kreditinstitut oder einer inländischen Zweigniederlassung einer der in § 53b Absatz 1 oder 7 des Kreditwesengesetzes genannten Unternehmen verwahrt werden, und</w:t>
      </w:r>
    </w:p>
    <w:p>
      <w:pPr>
        <w:tabs>
          <w:tab w:pos="567" w:val="left"/>
        </w:tabs>
        <w:ind w:left="567" w:hanging="567"/>
      </w:pPr>
      <w:r>
        <w:t>3.</w:t>
      </w:r>
      <w:r>
        <w:tab/>
      </w:r>
      <w:hyperlink w:anchor="b169" w:history="1">
        <w:r>
          <w:rPr>
            <w:color w:val="0A3A8C"/>
            <w:u w:val="single"/>
          </w:rPr>
          <w:t xml:space="preserve">§ 43</w:t>
        </w:r>
      </w:hyperlink>
      <w:r>
        <w:t xml:space="preserve"> Absatz 1 Satz 1 Nummer 3 bis 7 und 8 bis 12 sowie Satz 2.</w:t>
      </w:r>
    </w:p>
    <w:p>
      <w:r>
        <w:rPr>
          <w:rStyle w:val="Satznummer"/>
        </w:rPr>
        <w:t>2</w:t>
      </w:r>
      <w:r>
        <w:t xml:space="preserve">Den Arbeitnehmern im Sinne des Satzes 1 stehen Arbeitnehmer eines mit der Kapitalgesellschaft verbundenen Unternehmens nach § 15 des Aktiengesetzes sowie frühere Arbeitnehmer der Kapitalgesellschaft oder eines mit ihr verbundenen Unternehmens gleich. </w:t>
      </w:r>
      <w:r>
        <w:rPr>
          <w:rStyle w:val="Satznummer"/>
        </w:rPr>
        <w:t>3</w:t>
      </w:r>
      <w:r>
        <w:t xml:space="preserve">Den von der Kapitalgesellschaft überlassenen Anteilen stehen Aktien gleich, die den Arbeitnehmern bei einer Kapitalerhöhung auf Grund ihres Bezugsrechts aus den von der Kapitalgesellschaft überlassenen Aktien zugeteilt worden sind oder die den Arbeitnehmern auf Grund einer Kapitalerhöhung aus Gesellschaftsmitteln gehören. </w:t>
      </w:r>
      <w:r>
        <w:rPr>
          <w:rStyle w:val="Satznummer"/>
        </w:rPr>
        <w:t>4</w:t>
      </w:r>
      <w:r>
        <w:t xml:space="preserve">Bei Kapitalerträgen im Sinne des </w:t>
      </w:r>
      <w:hyperlink w:anchor="b169" w:history="1">
        <w:r>
          <w:rPr>
            <w:color w:val="0A3A8C"/>
            <w:u w:val="single"/>
          </w:rPr>
          <w:t xml:space="preserve">§ 43</w:t>
        </w:r>
      </w:hyperlink>
      <w:r>
        <w:t xml:space="preserve"> Absatz 1 Satz 1 Nummer 1, 2 bis 7 und 8 bis 12 sowie Satz 2, die einem unbeschränkt einkommensteuerpflichtigen Gläubiger zufließen, ist der Steuerabzug nicht vorzunehmen, wenn anzunehmen ist, dass auch für Fälle der Günstigerprüfung nach </w:t>
      </w:r>
      <w:hyperlink w:anchor="b111" w:history="1">
        <w:r>
          <w:rPr>
            <w:color w:val="0A3A8C"/>
            <w:u w:val="single"/>
          </w:rPr>
          <w:t xml:space="preserve">§ 32d</w:t>
        </w:r>
      </w:hyperlink>
      <w:r>
        <w:t xml:space="preserve"> Absatz 6 keine Steuer entsteht.</w:t>
      </w:r>
    </w:p>
    <w:p>
      <w:r>
        <w:t xml:space="preserve">(2) </w:t>
      </w:r>
      <w:r>
        <w:rPr>
          <w:rStyle w:val="Satznummer"/>
        </w:rPr>
        <w:t>1</w:t>
      </w:r>
      <w:r>
        <w:t>Voraussetzung für die Abstandnahme vom Steuerabzug nach Absatz 1 ist, dass dem nach § 44 Absatz 1 zum Steuerabzug Verpflichteten in den Fällen</w:t>
      </w:r>
    </w:p>
    <w:p>
      <w:pPr>
        <w:tabs>
          <w:tab w:pos="567" w:val="left"/>
        </w:tabs>
        <w:ind w:left="567" w:hanging="567"/>
      </w:pPr>
      <w:r>
        <w:t>1.</w:t>
      </w:r>
      <w:r>
        <w:tab/>
      </w:r>
      <w:r>
        <w:t>des Absatzes 1 Satz 1 ein Freistellungsauftrag des Gläubigers der Kapitalerträge nach amtlich vorgeschriebenem Muster oder</w:t>
      </w:r>
    </w:p>
    <w:p>
      <w:pPr>
        <w:tabs>
          <w:tab w:pos="567" w:val="left"/>
        </w:tabs>
        <w:ind w:left="567" w:hanging="567"/>
      </w:pPr>
      <w:r>
        <w:t>2.</w:t>
      </w:r>
      <w:r>
        <w:tab/>
      </w:r>
      <w:r>
        <w:t>des Absatzes 1 Satz 4 eine Nichtveranlagungs-Bescheinigung des für den Gläubiger zuständigen Wohnsitzfinanzamts</w:t>
      </w:r>
    </w:p>
    <w:p>
      <w:r>
        <w:t xml:space="preserve">vorliegt. </w:t>
      </w:r>
      <w:r>
        <w:rPr>
          <w:rStyle w:val="Satznummer"/>
        </w:rPr>
        <w:t>2</w:t>
      </w:r>
      <w:r>
        <w:t xml:space="preserve">In den Fällen des Satzes 1 Nummer 2 ist die Bescheinigung unter dem Vorbehalt des Widerrufs auszustellen. </w:t>
      </w:r>
      <w:r>
        <w:rPr>
          <w:rStyle w:val="Satznummer"/>
        </w:rPr>
        <w:t>3</w:t>
      </w:r>
      <w:r>
        <w:t xml:space="preserve">Ihre Geltungsdauer darf höchstens drei Jahre betragen und muss am Schluss eines Kalenderjahres enden. </w:t>
      </w:r>
      <w:r>
        <w:rPr>
          <w:rStyle w:val="Satznummer"/>
        </w:rPr>
        <w:t>4</w:t>
      </w:r>
      <w:r>
        <w:t>Fordert das Finanzamt die Bescheinigung zurück oder erkennt der Gläubiger, dass die Voraussetzungen für ihre Erteilung weggefallen sind, so hat er dem Finanzamt die Bescheinigung zurückzugeben.</w:t>
      </w:r>
    </w:p>
    <w:p>
      <w:r>
        <w:t xml:space="preserve">(2a) </w:t>
      </w:r>
      <w:r>
        <w:rPr>
          <w:rStyle w:val="Satznummer"/>
        </w:rPr>
        <w:t>1</w:t>
      </w:r>
      <w:r>
        <w:t xml:space="preserve">Ein Freistellungsauftrag kann nur erteilt werden, wenn der Gläubiger der Kapitalerträge seine Identifikationsnummer (§ 139b der Abgabenordnung) und bei gemeinsamen Freistellungsaufträgen auch die Identifikationsnummer des Ehegatten mitteilt. </w:t>
      </w:r>
      <w:r>
        <w:rPr>
          <w:rStyle w:val="Satznummer"/>
        </w:rPr>
        <w:t>2</w:t>
      </w:r>
      <w:r>
        <w:t xml:space="preserve">Ein Freistellungsauftrag ist ab dem 1. Januar 2016 unwirksam, wenn der Meldestelle im Sinne des </w:t>
      </w:r>
      <w:hyperlink w:anchor="b179" w:history="1">
        <w:r>
          <w:rPr>
            <w:color w:val="0A3A8C"/>
            <w:u w:val="single"/>
          </w:rPr>
          <w:t xml:space="preserve">§ 45d</w:t>
        </w:r>
      </w:hyperlink>
      <w:r>
        <w:t xml:space="preserve"> Absatz 1 Satz 1 keine Identifikationsnummer des Gläubigers der Kapitalerträge und bei gemeinsamen Freistellungsaufträgen auch keine des Ehegatten vorliegen. </w:t>
      </w:r>
      <w:r>
        <w:rPr>
          <w:rStyle w:val="Satznummer"/>
        </w:rPr>
        <w:t>3</w:t>
      </w:r>
      <w:r>
        <w:t xml:space="preserve">Sofern der Meldestelle im Sinne des </w:t>
      </w:r>
      <w:hyperlink w:anchor="b179" w:history="1">
        <w:r>
          <w:rPr>
            <w:color w:val="0A3A8C"/>
            <w:u w:val="single"/>
          </w:rPr>
          <w:t xml:space="preserve">§ 45d</w:t>
        </w:r>
      </w:hyperlink>
      <w:r>
        <w:t xml:space="preserve"> Absatz 1 Satz 1 die Identifikationsnummer nicht bereits bekannt ist, kann sie diese beim Bundeszentralamt für Steuern abfragen. </w:t>
      </w:r>
      <w:r>
        <w:rPr>
          <w:rStyle w:val="Satznummer"/>
        </w:rPr>
        <w:t>4</w:t>
      </w:r>
      <w:r>
        <w:t xml:space="preserve">In der Anfrage dürfen nur die in § 139b Absatz 3 der Abgabenordnung genannten Daten des Gläubigers der Kapitalerträge und bei gemeinsamen Freistellungsaufträgen die des Ehegatten angegeben werden, soweit sie der Meldestelle bekannt sind. </w:t>
      </w:r>
      <w:r>
        <w:rPr>
          <w:rStyle w:val="Satznummer"/>
        </w:rPr>
        <w:t>5</w:t>
      </w:r>
      <w:r>
        <w:t xml:space="preserve">Die Anfrage hat nach amtlich vorgeschriebenem Datensatz durch Datenfernübertragung zu erfolgen. </w:t>
      </w:r>
      <w:r>
        <w:rPr>
          <w:rStyle w:val="Satznummer"/>
        </w:rPr>
        <w:t>6</w:t>
      </w:r>
      <w:r>
        <w:t xml:space="preserve">Das Bundeszentralamt für Steuern teilt der Meldestelle die Identifikationsnummer mit, sofern die übermittelten Daten mit den nach § 139b Absatz 3 der Abgabenordnung beim Bundeszentralamt für Steuern gespeicherten Daten übereinstimmen. </w:t>
      </w:r>
      <w:r>
        <w:rPr>
          <w:rStyle w:val="Satznummer"/>
        </w:rPr>
        <w:t>7</w:t>
      </w:r>
      <w:r>
        <w:t>Die Meldestelle darf die Identifikationsnummer nur verarbeiten, soweit dies zur Erfüllung von steuerlichen Pflichten erforderlich ist.</w:t>
      </w:r>
    </w:p>
    <w:p>
      <w:r>
        <w:t>(3) Der nach § 44 Absatz 1 zum Steuerabzug Verpflichtete hat in seinen Unterlagen das Finanzamt, das die Bescheinigung erteilt hat, den Tag der Ausstellung der Bescheinigung und die in der Bescheinigung angegebene Steuer- und Listennummer zu vermerken sowie die Freistellungsaufträge aufzubewahren.</w:t>
      </w:r>
    </w:p>
    <w:p>
      <w:r>
        <w:t xml:space="preserve">(4) </w:t>
      </w:r>
      <w:r>
        <w:rPr>
          <w:rStyle w:val="Satznummer"/>
        </w:rPr>
        <w:t>1</w:t>
      </w:r>
      <w:r>
        <w:t>Ist der Gläubiger</w:t>
      </w:r>
    </w:p>
    <w:p>
      <w:pPr>
        <w:tabs>
          <w:tab w:pos="567" w:val="left"/>
        </w:tabs>
        <w:ind w:left="567" w:hanging="567"/>
      </w:pPr>
      <w:r>
        <w:t>1.</w:t>
      </w:r>
      <w:r>
        <w:tab/>
      </w:r>
      <w:r>
        <w:t>eine von der Körperschaftsteuer befreite inländische Körperschaft, Personenvereinigung oder Vermögensmasse oder</w:t>
      </w:r>
    </w:p>
    <w:p>
      <w:pPr>
        <w:tabs>
          <w:tab w:pos="567" w:val="left"/>
        </w:tabs>
        <w:ind w:left="567" w:hanging="567"/>
      </w:pPr>
      <w:r>
        <w:t>2.</w:t>
      </w:r>
      <w:r>
        <w:tab/>
      </w:r>
      <w:r>
        <w:t>eine inländische juristische Person des öffentlichen Rechts,</w:t>
      </w:r>
    </w:p>
    <w:p>
      <w:r>
        <w:t xml:space="preserve">so ist der Steuerabzug bei Kapitalerträgen im Sinne des </w:t>
      </w:r>
      <w:hyperlink w:anchor="b169" w:history="1">
        <w:r>
          <w:rPr>
            <w:color w:val="0A3A8C"/>
            <w:u w:val="single"/>
          </w:rPr>
          <w:t xml:space="preserve">§ 43</w:t>
        </w:r>
      </w:hyperlink>
      <w:r>
        <w:t xml:space="preserve"> Absatz 1 Satz 1 Nummer 4 bis 7 und 8 bis 12 sowie Satz 2 nicht vorzunehmen. </w:t>
      </w:r>
      <w:r>
        <w:rPr>
          <w:rStyle w:val="Satznummer"/>
        </w:rPr>
        <w:t>2</w:t>
      </w:r>
      <w:r>
        <w:t xml:space="preserve">Dies gilt auch, wenn es sich bei den Kapitalerträgen um Bezüge im Sinne des </w:t>
      </w:r>
      <w:hyperlink w:anchor="b86" w:history="1">
        <w:r>
          <w:rPr>
            <w:color w:val="0A3A8C"/>
            <w:u w:val="single"/>
          </w:rPr>
          <w:t xml:space="preserve">§ 20</w:t>
        </w:r>
      </w:hyperlink>
      <w:r>
        <w:t xml:space="preserve"> Absatz 1 Nummer 1 und 2 handelt, die der Gläubiger von einer von der Körperschaftsteuer befreiten Körperschaft bezieht. </w:t>
      </w:r>
      <w:r>
        <w:rPr>
          <w:rStyle w:val="Satznummer"/>
        </w:rPr>
        <w:t>3</w:t>
      </w:r>
      <w:r>
        <w:t xml:space="preserve">Voraussetzung ist, dass der Gläubiger dem Schuldner oder dem die Kapitalerträge auszahlenden inländischen Kredit-, Finanzdienstleistungs- oder Wertpapierinstitut durch eine Bescheinigung des für seine Geschäftsleitung oder seinen Sitz zuständigen Finanzamts nachweist, dass er eine Körperschaft, Personenvereinigung oder Vermögensmasse im Sinne des Satzes 1 Nummer 1 oder 2 ist. </w:t>
      </w:r>
      <w:r>
        <w:rPr>
          <w:rStyle w:val="Satznummer"/>
        </w:rPr>
        <w:t>4</w:t>
      </w:r>
      <w:r>
        <w:t xml:space="preserve">Absatz 2 Satz 2 bis 4 und Absatz 3 gelten entsprechend. </w:t>
      </w:r>
      <w:r>
        <w:rPr>
          <w:rStyle w:val="Satznummer"/>
        </w:rPr>
        <w:t>5</w:t>
      </w:r>
      <w:r>
        <w:t xml:space="preserve">Die in Satz 3 bezeichnete Bescheinigung wird nicht erteilt, wenn die Kapitalerträge in den Fällen des Satzes 1 Nummer 1 in einem wirtschaftlichen Geschäftsbetrieb anfallen, für den die Befreiung von der Körperschaftsteuer ausgeschlossen ist, oder wenn sie in den Fällen des Satzes 1 Nummer 2 in einem nicht von der Körperschaftsteuer befreiten Betrieb gewerblicher Art anfallen. </w:t>
      </w:r>
      <w:r>
        <w:rPr>
          <w:rStyle w:val="Satznummer"/>
        </w:rPr>
        <w:t>6</w:t>
      </w:r>
      <w:r>
        <w:t>Ein Steuerabzug ist auch nicht vorzunehmen bei Kapitalerträgen im Sinne des § 49 Absatz 1 Nummer 5 Buchstabe c und d, die einem Anleger zufließen, der eine nach den Rechtsvorschriften eines Mitgliedstaates der Europäischen Union oder des Europäischen Wirtschaftsraums gegründete Gesellschaft im Sinne des Artikels 54 des Vertrags über die Arbeitsweise der Europäischen Union oder des Artikels 34 des Abkommens über den Europäischen Wirtschaftsraum mit Sitz und Ort der Geschäftsleitung innerhalb des Hoheitsgebietes eines dieser Staaten ist, und der einer Körperschaft im Sinne des § 5 Absatz 1 Nummer 3 des Körperschaftsteuergesetzes vergleichbar ist; soweit es sich um eine nach den Rechtsvorschriften eines Mitgliedstaates des Europäischen Wirtschaftsraums gegründete Gesellschaft oder eine Gesellschaft mit Ort und Geschäftsleitung in diesem Staat handelt, ist zusätzlich Voraussetzung, dass mit diesem Staat ein Amtshilfeabkommen besteht.</w:t>
      </w:r>
    </w:p>
    <w:p>
      <w:r>
        <w:t xml:space="preserve">(4a) </w:t>
      </w:r>
      <w:r>
        <w:rPr>
          <w:rStyle w:val="Satznummer"/>
        </w:rPr>
        <w:t>1</w:t>
      </w:r>
      <w:r>
        <w:t xml:space="preserve">Absatz 4 ist entsprechend auf Personengesellschaften im Sinne des § 212 Absatz 1 des Fünften Buches Sozialgesetzbuch anzuwenden. </w:t>
      </w:r>
      <w:r>
        <w:rPr>
          <w:rStyle w:val="Satznummer"/>
        </w:rPr>
        <w:t>2</w:t>
      </w:r>
      <w:r>
        <w:t>Dabei tritt die Personengesellschaft an die Stelle des Gläubigers der Kapitalerträge.</w:t>
      </w:r>
    </w:p>
    <w:p>
      <w:r>
        <w:t xml:space="preserve">(4b) </w:t>
      </w:r>
      <w:r>
        <w:rPr>
          <w:rStyle w:val="Satznummer"/>
        </w:rPr>
        <w:t>1</w:t>
      </w:r>
      <w:r>
        <w:t>Werden Kapitalerträge im Sinne des § 43 Absatz 1 Satz 1 Nummer 1 von einer Genossenschaft an ihre Mitglieder gezahlt, hat sie den Steuerabzug nicht vorzunehmen, wenn ihr für das jeweilige Mitglied</w:t>
      </w:r>
    </w:p>
    <w:p>
      <w:pPr>
        <w:tabs>
          <w:tab w:pos="567" w:val="left"/>
        </w:tabs>
        <w:ind w:left="567" w:hanging="567"/>
      </w:pPr>
      <w:r>
        <w:t>1.</w:t>
      </w:r>
      <w:r>
        <w:tab/>
      </w:r>
      <w:r>
        <w:t>eine Nichtveranlagungs-Bescheinigung nach Absatz 2 Satz 1 Nummer 2,</w:t>
      </w:r>
    </w:p>
    <w:p>
      <w:pPr>
        <w:tabs>
          <w:tab w:pos="567" w:val="left"/>
        </w:tabs>
        <w:ind w:left="567" w:hanging="567"/>
      </w:pPr>
      <w:r>
        <w:t>2.</w:t>
      </w:r>
      <w:r>
        <w:tab/>
      </w:r>
      <w:r>
        <w:t>eine Bescheinigung nach Absatz 5 Satz 4,</w:t>
      </w:r>
    </w:p>
    <w:p>
      <w:pPr>
        <w:tabs>
          <w:tab w:pos="567" w:val="left"/>
        </w:tabs>
        <w:ind w:left="567" w:hanging="567"/>
      </w:pPr>
      <w:r>
        <w:t>3.</w:t>
      </w:r>
      <w:r>
        <w:tab/>
      </w:r>
      <w:r>
        <w:t>eine Bescheinigung nach Absatz 7 Satz 2 oder</w:t>
      </w:r>
    </w:p>
    <w:p>
      <w:pPr>
        <w:tabs>
          <w:tab w:pos="567" w:val="left"/>
        </w:tabs>
        <w:ind w:left="567" w:hanging="567"/>
      </w:pPr>
      <w:r>
        <w:t>4.</w:t>
      </w:r>
      <w:r>
        <w:tab/>
      </w:r>
      <w:r>
        <w:t>eine Bescheinigung nach Absatz 8 Satz 2 vorliegt; in diesen Fällen ist ein Steuereinbehalt in Höhe von drei Fünfteln vorzunehmen.</w:t>
      </w:r>
    </w:p>
    <w:p>
      <w:r>
        <w:rPr>
          <w:rStyle w:val="Satznummer"/>
        </w:rPr>
        <w:t>2</w:t>
      </w:r>
      <w:r>
        <w:t xml:space="preserve">Eine Genossenschaft hat keinen Steuerabzug vorzunehmen, wenn ihr ein Freistellungsauftrag erteilt wurde, der auch Kapitalerträge im Sinne des Satzes 1 erfasst, soweit die Kapitalerträge zusammen mit den Kapitalerträgen, für die nach Absatz 1 kein Steuerabzug vorzunehmen ist oder für die die Kapitalertragsteuer nach </w:t>
      </w:r>
      <w:hyperlink w:anchor="b174" w:history="1">
        <w:r>
          <w:rPr>
            <w:color w:val="0A3A8C"/>
            <w:u w:val="single"/>
          </w:rPr>
          <w:t xml:space="preserve">§ 44b</w:t>
        </w:r>
      </w:hyperlink>
      <w:r>
        <w:t xml:space="preserve"> zu erstatten ist, den mit dem Freistellungsauftrag beantragten Freibetrag nicht übersteigen. </w:t>
      </w:r>
      <w:r>
        <w:rPr>
          <w:rStyle w:val="Satznummer"/>
        </w:rPr>
        <w:t>3</w:t>
      </w:r>
      <w:r>
        <w:t xml:space="preserve">Dies gilt auch, wenn die Genossenschaft einen Verlustausgleich nach </w:t>
      </w:r>
      <w:hyperlink w:anchor="b170" w:history="1">
        <w:r>
          <w:rPr>
            <w:color w:val="0A3A8C"/>
            <w:u w:val="single"/>
          </w:rPr>
          <w:t xml:space="preserve">§ 43a</w:t>
        </w:r>
      </w:hyperlink>
      <w:r>
        <w:t xml:space="preserve"> Absatz 3 Satz 2 unter Einbeziehung von Kapitalerträgen im Sinne des Satzes 1 durchgeführt hat.</w:t>
      </w:r>
    </w:p>
    <w:p>
      <w:r>
        <w:t xml:space="preserve">(5) </w:t>
      </w:r>
      <w:r>
        <w:rPr>
          <w:rStyle w:val="Satznummer"/>
        </w:rPr>
        <w:t>1</w:t>
      </w:r>
      <w:r>
        <w:t xml:space="preserve">Bei Kapitalerträgen im Sinne des </w:t>
      </w:r>
      <w:hyperlink w:anchor="b169" w:history="1">
        <w:r>
          <w:rPr>
            <w:color w:val="0A3A8C"/>
            <w:u w:val="single"/>
          </w:rPr>
          <w:t xml:space="preserve">§ 43</w:t>
        </w:r>
      </w:hyperlink>
      <w:r>
        <w:t xml:space="preserve"> Absatz 1 Satz 1 Nummer 1, 2, 5 bis 7 und 8 bis 12 sowie Satz 2, die einem unbeschränkt oder beschränkt einkommensteuerpflichtigen Gläubiger zufließen, ist der Steuerabzug nicht vorzunehmen, wenn die Kapitalerträge Betriebseinnahmen des Gläubigers sind und die Kapitalertragsteuer bei ihm auf Grund der Art seiner Geschäfte auf Dauer höher wäre als die gesamte festzusetzende Einkommensteuer oder Körperschaftsteuer. </w:t>
      </w:r>
      <w:r>
        <w:rPr>
          <w:rStyle w:val="Satznummer"/>
        </w:rPr>
        <w:t>2</w:t>
      </w:r>
      <w:r>
        <w:t xml:space="preserve">Ist der Gläubiger ein Lebens- oder Krankenversicherungsunternehmen als Organgesellschaft, ist für die Anwendung des Satzes 1 eine bestehende Organschaft im Sinne des § 14 des Körperschaftsteuergesetzes nicht zu berücksichtigen, wenn die beim Organträger anzurechnende Kapitalertragsteuer, einschließlich der Kapitalertragsteuer des Lebens- oder Krankenversicherungsunternehmens, die auf Grund von § 19 Absatz 5 des Körperschaftsteuergesetzes anzurechnen wäre, höher wäre, als die gesamte festzusetzende Körperschaftsteuer. </w:t>
      </w:r>
      <w:r>
        <w:rPr>
          <w:rStyle w:val="Satznummer"/>
        </w:rPr>
        <w:t>3</w:t>
      </w:r>
      <w:r>
        <w:t xml:space="preserve">Für die Prüfung der Voraussetzung des Satzes 2 ist auf die Verhältnisse der dem Antrag auf Erteilung einer Bescheinigung im Sinne des Satzes 4 vorangehenden drei Veranlagungszeiträume abzustellen. </w:t>
      </w:r>
      <w:r>
        <w:rPr>
          <w:rStyle w:val="Satznummer"/>
        </w:rPr>
        <w:t>4</w:t>
      </w:r>
      <w:r>
        <w:t xml:space="preserve">Die Voraussetzung des Satzes 1 ist durch eine Bescheinigung des für den Gläubiger zuständigen Finanzamts nachzuweisen. </w:t>
      </w:r>
      <w:r>
        <w:rPr>
          <w:rStyle w:val="Satznummer"/>
        </w:rPr>
        <w:t>5</w:t>
      </w:r>
      <w:r>
        <w:t xml:space="preserve">Die Bescheinigung ist unter dem Vorbehalt des Widerrufs auszustellen. </w:t>
      </w:r>
      <w:r>
        <w:rPr>
          <w:rStyle w:val="Satznummer"/>
        </w:rPr>
        <w:t>6</w:t>
      </w:r>
      <w:r>
        <w:t>Die Voraussetzung des Satzes 2 ist gegenüber dem für den Gläubiger zuständigen Finanzamt durch eine Bescheinigung des für den Organträger zuständigen Finanzamts nachzuweisen.</w:t>
      </w:r>
    </w:p>
    <w:p>
      <w:r>
        <w:t xml:space="preserve">(6) </w:t>
      </w:r>
      <w:r>
        <w:rPr>
          <w:rStyle w:val="Satznummer"/>
        </w:rPr>
        <w:t>1</w:t>
      </w:r>
      <w:r>
        <w:t xml:space="preserve">Voraussetzung für die Abstandnahme vom Steuerabzug nach den Absätzen 1, 4 und 5 bei Kapitalerträgen im Sinne des </w:t>
      </w:r>
      <w:hyperlink w:anchor="b169" w:history="1">
        <w:r>
          <w:rPr>
            <w:color w:val="0A3A8C"/>
            <w:u w:val="single"/>
          </w:rPr>
          <w:t xml:space="preserve">§ 43</w:t>
        </w:r>
      </w:hyperlink>
      <w:r>
        <w:t xml:space="preserve"> Absatz 1 Satz 1 Nummer 6, 7 und 8 bis 12 sowie Satz 2 ist, dass die Teilschuldverschreibungen, die Anteile an der Sammelschuldbuchforderung, die Wertrechte, die Einlagen und Guthaben oder sonstigen Wirtschaftsgüter im Zeitpunkt des Zufließens der Einnahmen unter dem Namen des Gläubigers der Kapitalerträge bei der die Kapitalerträge auszahlenden Stelle verwahrt oder verwaltet werden. </w:t>
      </w:r>
      <w:r>
        <w:rPr>
          <w:rStyle w:val="Satznummer"/>
        </w:rPr>
        <w:t>2</w:t>
      </w:r>
      <w:r>
        <w:t xml:space="preserve">Ist dies nicht der Fall, ist die Bescheinigung nach </w:t>
      </w:r>
      <w:hyperlink w:anchor="b176" w:history="1">
        <w:r>
          <w:rPr>
            <w:color w:val="0A3A8C"/>
            <w:u w:val="single"/>
          </w:rPr>
          <w:t xml:space="preserve">§ 45a</w:t>
        </w:r>
      </w:hyperlink>
      <w:r>
        <w:t xml:space="preserve"> Absatz 2 durch einen entsprechenden Hinweis zu kennzeichnen. </w:t>
      </w:r>
      <w:r>
        <w:rPr>
          <w:rStyle w:val="Satznummer"/>
        </w:rPr>
        <w:t>3</w:t>
      </w:r>
      <w:r>
        <w:t xml:space="preserve">Wird bei einem inländischen Kredit- oder Finanzdienstleistungsinstitut oder bei einem inländischen Wertpapierinstitut im Sinne des § 43 Absatz 1 Satz 1 Nummer 7 Buchstabe b ein Konto oder Depot für eine gemäß § 5 Absatz 1 Nummer 9 des Körperschaftsteuergesetzes befreite Stiftung im Sinne des § 1 Absatz 1 Nummer 5 des Körperschaftsteuergesetzes auf den Namen eines anderen Berechtigten geführt und ist das Konto oder Depot durch einen Zusatz zur Bezeichnung eindeutig sowohl vom übrigen Vermögen des anderen Berechtigten zu unterscheiden als auch steuerlich der Stiftung zuzuordnen, so gilt es für die Anwendung des Absatzes 4, des Absatzes 7, des Absatzes 10 Satz 1 Nummer 2 und des </w:t>
      </w:r>
      <w:hyperlink w:anchor="b174" w:history="1">
        <w:r>
          <w:rPr>
            <w:color w:val="0A3A8C"/>
            <w:u w:val="single"/>
          </w:rPr>
          <w:t xml:space="preserve">§ 44b</w:t>
        </w:r>
      </w:hyperlink>
      <w:r>
        <w:t xml:space="preserve"> Absatz 6 in Verbindung mit Absatz 7 als im Namen der Stiftung geführt.</w:t>
      </w:r>
    </w:p>
    <w:p>
      <w:r>
        <w:t xml:space="preserve">(7) </w:t>
      </w:r>
      <w:r>
        <w:rPr>
          <w:rStyle w:val="Satznummer"/>
        </w:rPr>
        <w:t>1</w:t>
      </w:r>
      <w:r>
        <w:t>Ist der Gläubiger eine inländische</w:t>
      </w:r>
    </w:p>
    <w:p>
      <w:pPr>
        <w:tabs>
          <w:tab w:pos="567" w:val="left"/>
        </w:tabs>
        <w:ind w:left="567" w:hanging="567"/>
      </w:pPr>
      <w:r>
        <w:t>1.</w:t>
      </w:r>
      <w:r>
        <w:tab/>
      </w:r>
      <w:r>
        <w:t>Körperschaft, Personenvereinigung oder Vermögensmasse im Sinne des § 5 Absatz 1 Nummer 9 des Körperschaftsteuergesetzes oder</w:t>
      </w:r>
    </w:p>
    <w:p>
      <w:pPr>
        <w:tabs>
          <w:tab w:pos="567" w:val="left"/>
        </w:tabs>
        <w:ind w:left="567" w:hanging="567"/>
      </w:pPr>
      <w:r>
        <w:t>2.</w:t>
      </w:r>
      <w:r>
        <w:tab/>
      </w:r>
      <w:r>
        <w:t>Stiftung des öffentlichen Rechts, die ausschließlich und unmittelbar gemeinnützigen oder mildtätigen Zwecken dient, oder</w:t>
      </w:r>
    </w:p>
    <w:p>
      <w:pPr>
        <w:tabs>
          <w:tab w:pos="567" w:val="left"/>
        </w:tabs>
        <w:ind w:left="567" w:hanging="567"/>
      </w:pPr>
      <w:r>
        <w:t>3.</w:t>
      </w:r>
      <w:r>
        <w:tab/>
      </w:r>
      <w:r>
        <w:t>juristische Person des öffentlichen Rechts, die ausschließlich und unmittelbar kirchlichen Zwecken dient,</w:t>
      </w:r>
    </w:p>
    <w:p>
      <w:r>
        <w:t xml:space="preserve">so ist der Steuerabzug bei Kapitalerträgen im Sinne des </w:t>
      </w:r>
      <w:hyperlink w:anchor="b169" w:history="1">
        <w:r>
          <w:rPr>
            <w:color w:val="0A3A8C"/>
            <w:u w:val="single"/>
          </w:rPr>
          <w:t xml:space="preserve">§ 43</w:t>
        </w:r>
      </w:hyperlink>
      <w:r>
        <w:t xml:space="preserve"> Absatz 1 Satz 1 Nummer 1, 2, 3 und 7a bis 7c nicht vorzunehmen. </w:t>
      </w:r>
      <w:r>
        <w:rPr>
          <w:rStyle w:val="Satznummer"/>
        </w:rPr>
        <w:t>2</w:t>
      </w:r>
      <w:r>
        <w:t xml:space="preserve">Voraussetzung für die Anwendung des Satzes 1 ist, dass der Gläubiger durch eine Bescheinigung des für seine Geschäftsleitung oder seinen Sitz zuständigen Finanzamts nachweist, dass er eine Körperschaft, Personenvereinigung oder Vermögensmasse nach Satz 1 ist. </w:t>
      </w:r>
      <w:r>
        <w:rPr>
          <w:rStyle w:val="Satznummer"/>
        </w:rPr>
        <w:t>3</w:t>
      </w:r>
      <w:r>
        <w:t>Absatz 4 gilt entsprechend.</w:t>
      </w:r>
    </w:p>
    <w:p>
      <w:r>
        <w:t xml:space="preserve">(8) </w:t>
      </w:r>
      <w:r>
        <w:rPr>
          <w:rStyle w:val="Satznummer"/>
        </w:rPr>
        <w:t>1</w:t>
      </w:r>
      <w:r>
        <w:t>Ist der Gläubiger</w:t>
      </w:r>
    </w:p>
    <w:p>
      <w:pPr>
        <w:tabs>
          <w:tab w:pos="567" w:val="left"/>
        </w:tabs>
        <w:ind w:left="567" w:hanging="567"/>
      </w:pPr>
      <w:r>
        <w:t>1.</w:t>
      </w:r>
      <w:r>
        <w:tab/>
      </w:r>
      <w:r>
        <w:t xml:space="preserve">eine nach </w:t>
      </w:r>
      <w:hyperlink w:anchor="b25" w:history="1">
        <w:r>
          <w:rPr>
            <w:color w:val="0A3A8C"/>
            <w:u w:val="single"/>
          </w:rPr>
          <w:t xml:space="preserve">§ 5</w:t>
        </w:r>
      </w:hyperlink>
      <w:r>
        <w:t xml:space="preserve"> Absatz 1 mit Ausnahme der Nummer 9 des Körperschaftsteuergesetzes oder nach anderen Gesetzen von der Körperschaftsteuer befreite Körperschaft, Personenvereinigung oder Vermögensmasse oder</w:t>
      </w:r>
    </w:p>
    <w:p>
      <w:pPr>
        <w:tabs>
          <w:tab w:pos="567" w:val="left"/>
        </w:tabs>
        <w:ind w:left="567" w:hanging="567"/>
      </w:pPr>
      <w:r>
        <w:t>2.</w:t>
      </w:r>
      <w:r>
        <w:tab/>
      </w:r>
      <w:r>
        <w:t>eine inländische juristische Person des öffentlichen Rechts, die nicht in Absatz 7 bezeichnet ist,</w:t>
      </w:r>
    </w:p>
    <w:p>
      <w:r>
        <w:t xml:space="preserve">so ist der Steuerabzug bei Kapitalerträgen im Sinne des </w:t>
      </w:r>
      <w:hyperlink w:anchor="b169" w:history="1">
        <w:r>
          <w:rPr>
            <w:color w:val="0A3A8C"/>
            <w:u w:val="single"/>
          </w:rPr>
          <w:t xml:space="preserve">§ 43</w:t>
        </w:r>
      </w:hyperlink>
      <w:r>
        <w:t xml:space="preserve"> Absatz 1 Satz 1 Nummer 1, 2, 3 und 7a nur in Höhe von drei Fünfteln vorzunehmen. </w:t>
      </w:r>
      <w:r>
        <w:rPr>
          <w:rStyle w:val="Satznummer"/>
        </w:rPr>
        <w:t>2</w:t>
      </w:r>
      <w:r>
        <w:t xml:space="preserve">Voraussetzung für die Anwendung des Satzes 1 ist, dass der Gläubiger durch eine Bescheinigung des für seine Geschäftsleitung oder seinen Sitz zuständigen Finanzamts nachweist, dass er eine Körperschaft, Personenvereinigung oder Vermögensmasse im Sinne des Satzes 1 ist. </w:t>
      </w:r>
      <w:r>
        <w:rPr>
          <w:rStyle w:val="Satznummer"/>
        </w:rPr>
        <w:t>3</w:t>
      </w:r>
      <w:r>
        <w:t>Absatz 4 gilt entsprechend.</w:t>
      </w:r>
    </w:p>
    <w:p>
      <w:r>
        <w:t xml:space="preserve">(8a) </w:t>
      </w:r>
      <w:r>
        <w:rPr>
          <w:rStyle w:val="Satznummer"/>
        </w:rPr>
        <w:t>1</w:t>
      </w:r>
      <w:r>
        <w:t xml:space="preserve">Absatz 8 ist entsprechend auf Personengesellschaften im Sinne des § 212 Absatz 1 des Fünften Buches Sozialgesetzbuch anzuwenden. </w:t>
      </w:r>
      <w:r>
        <w:rPr>
          <w:rStyle w:val="Satznummer"/>
        </w:rPr>
        <w:t>2</w:t>
      </w:r>
      <w:r>
        <w:t>Dabei tritt die Personengesellschaft an die Stelle des Gläubigers der Kapitalerträge.</w:t>
      </w:r>
    </w:p>
    <w:p>
      <w:r>
        <w:t xml:space="preserve">(9) </w:t>
      </w:r>
      <w:r>
        <w:rPr>
          <w:rStyle w:val="Satznummer"/>
        </w:rPr>
        <w:t>1</w:t>
      </w:r>
      <w:r>
        <w:t xml:space="preserve">Ist der Gläubiger der Kapitalerträge im Sinne des </w:t>
      </w:r>
      <w:hyperlink w:anchor="b169" w:history="1">
        <w:r>
          <w:rPr>
            <w:color w:val="0A3A8C"/>
            <w:u w:val="single"/>
          </w:rPr>
          <w:t xml:space="preserve">§ 43</w:t>
        </w:r>
      </w:hyperlink>
      <w:r>
        <w:t xml:space="preserve"> Absatz 1 eine beschränkt steuerpflichtige Körperschaft im Sinne des § 2 Nummer 1 des Körperschaftsteuergesetzes, so werden zwei Fünftel der einbehaltenen und abgeführten Kapitalertragsteuer erstattet. </w:t>
      </w:r>
      <w:r>
        <w:rPr>
          <w:rStyle w:val="Satznummer"/>
        </w:rPr>
        <w:t>2</w:t>
      </w:r>
      <w:hyperlink w:anchor="b196" w:history="1">
        <w:r>
          <w:rPr>
            <w:color w:val="0A3A8C"/>
            <w:u w:val="single"/>
          </w:rPr>
          <w:t xml:space="preserve">§ 50c</w:t>
        </w:r>
      </w:hyperlink>
      <w:r>
        <w:t xml:space="preserve"> Absatz 3 und 5 sowie </w:t>
      </w:r>
      <w:hyperlink w:anchor="b197" w:history="1">
        <w:r>
          <w:rPr>
            <w:color w:val="0A3A8C"/>
            <w:u w:val="single"/>
          </w:rPr>
          <w:t xml:space="preserve">§ 50d</w:t>
        </w:r>
      </w:hyperlink>
      <w:r>
        <w:t xml:space="preserve"> Absatz 3 sind entsprechend anzuwenden. </w:t>
      </w:r>
      <w:r>
        <w:rPr>
          <w:rStyle w:val="Satznummer"/>
        </w:rPr>
        <w:t>3</w:t>
      </w:r>
      <w:r>
        <w:t xml:space="preserve">Weitergehende Ansprüche aus </w:t>
      </w:r>
      <w:hyperlink w:anchor="b171" w:history="1">
        <w:r>
          <w:rPr>
            <w:color w:val="0A3A8C"/>
            <w:u w:val="single"/>
          </w:rPr>
          <w:t xml:space="preserve">§ 43b</w:t>
        </w:r>
      </w:hyperlink>
      <w:r>
        <w:t xml:space="preserve"> oder </w:t>
      </w:r>
      <w:hyperlink w:anchor="b200" w:history="1">
        <w:r>
          <w:rPr>
            <w:color w:val="0A3A8C"/>
            <w:u w:val="single"/>
          </w:rPr>
          <w:t xml:space="preserve">§ 50g</w:t>
        </w:r>
      </w:hyperlink>
      <w:r>
        <w:t xml:space="preserve"> oder einem Abkommen zur Vermeidung der Doppelbesteuerung bleiben unberührt. </w:t>
      </w:r>
      <w:r>
        <w:rPr>
          <w:rStyle w:val="Satznummer"/>
        </w:rPr>
        <w:t>4</w:t>
      </w:r>
      <w:r>
        <w:t xml:space="preserve">Verfahren nach den vorstehenden Sätzen und nach </w:t>
      </w:r>
      <w:hyperlink w:anchor="b196" w:history="1">
        <w:r>
          <w:rPr>
            <w:color w:val="0A3A8C"/>
            <w:u w:val="single"/>
          </w:rPr>
          <w:t xml:space="preserve">§ 50c</w:t>
        </w:r>
      </w:hyperlink>
      <w:r>
        <w:t xml:space="preserve"> Absatz 3 soll das Bundeszentralamt für Steuern verbinden.</w:t>
      </w:r>
    </w:p>
    <w:p>
      <w:r>
        <w:t xml:space="preserve">(10) </w:t>
      </w:r>
      <w:r>
        <w:rPr>
          <w:rStyle w:val="Satznummer"/>
        </w:rPr>
        <w:t>1</w:t>
      </w:r>
      <w:r>
        <w:t xml:space="preserve">Werden Kapitalerträge im Sinne des </w:t>
      </w:r>
      <w:hyperlink w:anchor="b169" w:history="1">
        <w:r>
          <w:rPr>
            <w:color w:val="0A3A8C"/>
            <w:u w:val="single"/>
          </w:rPr>
          <w:t xml:space="preserve">§ 43</w:t>
        </w:r>
      </w:hyperlink>
      <w:r>
        <w:t xml:space="preserve"> Absatz 1 Satz 1 Nummer 1a gezahlt, hat die auszahlende Stelle keinen Steuerabzug vorzunehmen, wenn</w:t>
      </w:r>
    </w:p>
    <w:p>
      <w:pPr>
        <w:tabs>
          <w:tab w:pos="567" w:val="left"/>
        </w:tabs>
        <w:ind w:left="567" w:hanging="567"/>
      </w:pPr>
      <w:r>
        <w:t>1.</w:t>
      </w:r>
      <w:r>
        <w:tab/>
      </w:r>
      <w:r>
        <w:t>der auszahlenden Stelle eine Nichtveranlagungs-Bescheinigung nach Absatz 2 Satz 1 Nummer 2 für den Gläubiger vorgelegt wird,</w:t>
      </w:r>
    </w:p>
    <w:p>
      <w:pPr>
        <w:tabs>
          <w:tab w:pos="567" w:val="left"/>
        </w:tabs>
        <w:ind w:left="567" w:hanging="567"/>
      </w:pPr>
      <w:r>
        <w:t>2.</w:t>
      </w:r>
      <w:r>
        <w:tab/>
      </w:r>
      <w:r>
        <w:t>der auszahlenden Stelle eine Bescheinigung nach Absatz 7 Satz 2 für den Gläubiger vorgelegt wird; soweit die Kapitalerträge einen Betrag von 20 000 Euro übersteigen, ist bei Gläubigern nach Absatz 7 Satz 1 Nummer 1 abweichend vom ersten Halbsatz ein Steuerabzug in Höhe von drei Fünfteln vorzunehmen, wenn der Gläubiger bei Zufluss der Kapitalerträge nicht seit mindestens einem Jahr ununterbrochen wirtschaftlicher Eigentümer der Aktien oder Genussscheine ist oder</w:t>
      </w:r>
    </w:p>
    <w:p>
      <w:pPr>
        <w:tabs>
          <w:tab w:pos="567" w:val="left"/>
        </w:tabs>
        <w:ind w:left="567" w:hanging="567"/>
      </w:pPr>
      <w:r>
        <w:t>3.</w:t>
      </w:r>
      <w:r>
        <w:tab/>
      </w:r>
      <w:r>
        <w:t>der auszahlenden Stelle eine Bescheinigung nach Absatz 8 Satz 2 für den Gläubiger vorgelegt wird; in diesen Fällen ist ein Steuereinbehalt in Höhe von drei Fünfteln vorzunehmen.</w:t>
      </w:r>
    </w:p>
    <w:p>
      <w:r>
        <w:rPr>
          <w:rStyle w:val="Satznummer"/>
        </w:rPr>
        <w:t>2</w:t>
      </w:r>
      <w:r>
        <w:t xml:space="preserve">Wird der auszahlenden Stelle ein Freistellungsauftrag erteilt, der auch Kapitalerträge im Sinne des Satzes 1 erfasst, oder führt diese einen Verlustausgleich nach </w:t>
      </w:r>
      <w:hyperlink w:anchor="b170" w:history="1">
        <w:r>
          <w:rPr>
            <w:color w:val="0A3A8C"/>
            <w:u w:val="single"/>
          </w:rPr>
          <w:t xml:space="preserve">§ 43a</w:t>
        </w:r>
      </w:hyperlink>
      <w:r>
        <w:t xml:space="preserve"> Absatz 3 Satz 2 unter Einbeziehung von Kapitalerträgen im Sinne des Satzes 1 durch, so hat sie den Steuerabzug nicht vorzunehmen, soweit die Kapitalerträge zusammen mit den Kapitalerträgen, für die nach Absatz 1 kein Steuerabzug vorzunehmen ist oder die Kapitalertragsteuer nach </w:t>
      </w:r>
      <w:hyperlink w:anchor="b174" w:history="1">
        <w:r>
          <w:rPr>
            <w:color w:val="0A3A8C"/>
            <w:u w:val="single"/>
          </w:rPr>
          <w:t xml:space="preserve">§ 44b</w:t>
        </w:r>
      </w:hyperlink>
      <w:r>
        <w:t xml:space="preserve"> zu erstatten ist, den mit dem Freistellungsauftrag beantragten Freistellungsbetrag nicht übersteigen. </w:t>
      </w:r>
      <w:r>
        <w:rPr>
          <w:rStyle w:val="Satznummer"/>
        </w:rPr>
        <w:t>3</w:t>
      </w:r>
      <w:r>
        <w:t xml:space="preserve">Absatz 6 ist entsprechend anzuwenden. </w:t>
      </w:r>
      <w:r>
        <w:rPr>
          <w:rStyle w:val="Satznummer"/>
        </w:rPr>
        <w:t>4</w:t>
      </w:r>
      <w:r>
        <w:t xml:space="preserve">Werden Kapitalerträge im Sinne des § 43 Absatz 1 Satz 1 Nummer 1a von einer auszahlenden Stelle im Sinne des </w:t>
      </w:r>
      <w:hyperlink w:anchor="b172" w:history="1">
        <w:r>
          <w:rPr>
            <w:color w:val="0A3A8C"/>
            <w:u w:val="single"/>
          </w:rPr>
          <w:t xml:space="preserve">§ 44</w:t>
        </w:r>
      </w:hyperlink>
      <w:r>
        <w:t xml:space="preserve"> Absatz 1 Satz 4 Nummer 3 an eine ausländische Stelle ausgezahlt, hat diese auszahlende Stelle über den von ihr vor der Zahlung in das Ausland von diesen Kapitalerträgen vorgenommenen Steuerabzug der letzten inländischen auszahlenden Stelle in der Wertpapierverwahrkette, welche die Kapitalerträge auszahlt oder gutschreibt, auf deren Antrag eine Sammel-Steuerbescheinigung für die Summe der eigenen und der für Kunden verwahrten Aktien nach amtlich vorgeschriebenem Muster auszustellen. </w:t>
      </w:r>
      <w:r>
        <w:rPr>
          <w:rStyle w:val="Satznummer"/>
        </w:rPr>
        <w:t>5</w:t>
      </w:r>
      <w:r>
        <w:t xml:space="preserve">Der Antrag darf nur für Aktien gestellt werden, die mit Dividendenberechtigung erworben und mit Dividendenanspruch geliefert wurden. </w:t>
      </w:r>
      <w:r>
        <w:rPr>
          <w:rStyle w:val="Satznummer"/>
        </w:rPr>
        <w:t>6</w:t>
      </w:r>
      <w:r>
        <w:t xml:space="preserve">Wird eine solche Sammel-Steuerbescheinigung beantragt, ist die Ausstellung von Einzel-Steuerbescheinigungen oder die Weiterleitung eines Antrags auf Ausstellung einer Einzel-Steuerbescheinigung über den Steuerabzug von denselben Kapitalerträgen ausgeschlossen; die Sammel-Steuerbescheinigung ist als solche zu kennzeichnen. </w:t>
      </w:r>
      <w:r>
        <w:rPr>
          <w:rStyle w:val="Satznummer"/>
        </w:rPr>
        <w:t>7</w:t>
      </w:r>
      <w:r>
        <w:t xml:space="preserve">Auf die ihr ausgestellte Sammel-Steuerbescheinigung wendet die letzte inländische auszahlende Stelle </w:t>
      </w:r>
      <w:hyperlink w:anchor="b174" w:history="1">
        <w:r>
          <w:rPr>
            <w:color w:val="0A3A8C"/>
            <w:u w:val="single"/>
          </w:rPr>
          <w:t xml:space="preserve">§ 44b</w:t>
        </w:r>
      </w:hyperlink>
      <w:r>
        <w:t xml:space="preserve"> Absatz 6 mit der Maßgabe an, dass sie von den ihr nach dieser Vorschrift eingeräumten Möglichkeiten Gebrauch zu machen hat.</w:t>
      </w:r>
    </w:p>
    <w:p>
      <w:pPr>
        <w:pStyle w:val="Heading3"/>
      </w:pPr>
      <w:bookmarkStart w:id="175" w:name="b174"/>
      <w:r>
        <w:t>§ 44b Erstattung der Kapitalertragsteuer</w:t>
      </w:r>
      <w:r>
        <w:t xml:space="preserve"> </w:t>
      </w:r>
      <w:r>
        <w:rPr>
          <w:rStyle w:val="Suchmarke"/>
        </w:rPr>
        <w:t>#44b#</w:t>
      </w:r>
      <w:bookmarkEnd w:id="175"/>
    </w:p>
    <w:p>
      <w:r>
        <w:t>(1) Nach Ablauf eines Kalenderjahres hat der zum Steuerabzug Verpflichtete die im vorangegangenen Kalenderjahr abgeführte Steuer auf Ausschüttungen eines Investmentfonds zu erstatten, soweit die Ausschüttungen nach § 17 des Investmentsteuergesetzes nicht als Ertrag gelten.</w:t>
      </w:r>
    </w:p>
    <w:p>
      <w:r>
        <w:t xml:space="preserve">(2) Ist bei Gläubigern nach </w:t>
      </w:r>
      <w:hyperlink w:anchor="b173" w:history="1">
        <w:r>
          <w:rPr>
            <w:color w:val="0A3A8C"/>
            <w:u w:val="single"/>
          </w:rPr>
          <w:t xml:space="preserve">§ 44a</w:t>
        </w:r>
      </w:hyperlink>
      <w:r>
        <w:t xml:space="preserve"> Absatz 7 Satz 1 Nummer 1 gemäß § 44a Absatz 10 Satz 1 Nummer 2 Kapitalertragsteuer einbehalten und abgeführt worden, wird auf Antrag durch das Finanzamt, in dessen Bezirk sich die Geschäftsleitung oder der Sitz des Gläubigers befindet, die Kapitalertragsteuer erstattet, wenn der Gläubiger die Voraussetzungen nach </w:t>
      </w:r>
      <w:hyperlink w:anchor="b139" w:history="1">
        <w:r>
          <w:rPr>
            <w:color w:val="0A3A8C"/>
            <w:u w:val="single"/>
          </w:rPr>
          <w:t xml:space="preserve">§ 36a</w:t>
        </w:r>
      </w:hyperlink>
      <w:r>
        <w:t xml:space="preserve"> Absatz 1 bis 3 erfüllt.</w:t>
      </w:r>
    </w:p>
    <w:p>
      <w:r>
        <w:t>(3) und (4) (weggefallen)</w:t>
      </w:r>
    </w:p>
    <w:p>
      <w:r>
        <w:t xml:space="preserve">(5) </w:t>
      </w:r>
      <w:r>
        <w:rPr>
          <w:rStyle w:val="Satznummer"/>
        </w:rPr>
        <w:t>1</w:t>
      </w:r>
      <w:r>
        <w:t xml:space="preserve">Ist Kapitalertragsteuer einbehalten oder abgeführt worden, obwohl eine Verpflichtung hierzu nicht bestand, oder hat der Gläubiger dem nach § 44 Absatz 1 zum Steuerabzug Verpflichteten die Bescheinigung nach </w:t>
      </w:r>
      <w:hyperlink w:anchor="b169" w:history="1">
        <w:r>
          <w:rPr>
            <w:color w:val="0A3A8C"/>
            <w:u w:val="single"/>
          </w:rPr>
          <w:t xml:space="preserve">§ 43</w:t>
        </w:r>
      </w:hyperlink>
      <w:r>
        <w:t xml:space="preserve"> Absatz 2 Satz 4, den Freistellungsauftrag, die Nichtveranlagungs-Bescheinigung oder die Bescheinigungen nach </w:t>
      </w:r>
      <w:hyperlink w:anchor="b173" w:history="1">
        <w:r>
          <w:rPr>
            <w:color w:val="0A3A8C"/>
            <w:u w:val="single"/>
          </w:rPr>
          <w:t xml:space="preserve">§ 44a</w:t>
        </w:r>
      </w:hyperlink>
      <w:r>
        <w:t xml:space="preserve"> Absatz 4 oder Absatz 5 erst zu einem Zeitpunkt vorgelegt, zu dem die Kapitalertragsteuer bereits abgeführt war, oder nach diesem Zeitpunkt erst die Erklärung nach </w:t>
      </w:r>
      <w:hyperlink w:anchor="b169" w:history="1">
        <w:r>
          <w:rPr>
            <w:color w:val="0A3A8C"/>
            <w:u w:val="single"/>
          </w:rPr>
          <w:t xml:space="preserve">§ 43</w:t>
        </w:r>
      </w:hyperlink>
      <w:r>
        <w:t xml:space="preserve"> Absatz 2 Satz 3 Nummer 2 abgegeben, ist auf Antrag des nach § 44 Absatz 1 zum Steuerabzug Verpflichteten die Steueranmeldung (</w:t>
      </w:r>
      <w:hyperlink w:anchor="b176" w:history="1">
        <w:r>
          <w:rPr>
            <w:color w:val="0A3A8C"/>
            <w:u w:val="single"/>
          </w:rPr>
          <w:t xml:space="preserve">§ 45a</w:t>
        </w:r>
      </w:hyperlink>
      <w:r>
        <w:t xml:space="preserve"> Absatz 1) insoweit zu ändern; stattdessen kann der zum Steuerabzug Verpflichtete bei der folgenden Steueranmeldung die abzuführende Kapitalertragsteuer entsprechend kürzen. </w:t>
      </w:r>
      <w:r>
        <w:rPr>
          <w:rStyle w:val="Satznummer"/>
        </w:rPr>
        <w:t>2</w:t>
      </w:r>
      <w:r>
        <w:t xml:space="preserve">Erstattungsberechtigt ist der Antragsteller. </w:t>
      </w:r>
      <w:r>
        <w:rPr>
          <w:rStyle w:val="Satznummer"/>
        </w:rPr>
        <w:t>3</w:t>
      </w:r>
      <w:r>
        <w:t xml:space="preserve">Solange noch keine Steuerbescheinigung nach </w:t>
      </w:r>
      <w:hyperlink w:anchor="b176" w:history="1">
        <w:r>
          <w:rPr>
            <w:color w:val="0A3A8C"/>
            <w:u w:val="single"/>
          </w:rPr>
          <w:t xml:space="preserve">§ 45a</w:t>
        </w:r>
      </w:hyperlink>
      <w:r>
        <w:t xml:space="preserve"> erteilt ist, hat der zum Steuerabzug Verpflichtete das Verfahren nach Satz 1 zu betreiben. </w:t>
      </w:r>
      <w:r>
        <w:rPr>
          <w:rStyle w:val="Satznummer"/>
        </w:rPr>
        <w:t>4</w:t>
      </w:r>
      <w:r>
        <w:t>Die vorstehenden Sätze sind in den Fällen des Absatzes 6 nicht anzuwenden.</w:t>
      </w:r>
    </w:p>
    <w:p>
      <w:r>
        <w:t xml:space="preserve">(6) </w:t>
      </w:r>
      <w:r>
        <w:rPr>
          <w:rStyle w:val="Satznummer"/>
        </w:rPr>
        <w:t>1</w:t>
      </w:r>
      <w:r>
        <w:t xml:space="preserve">Werden Kapitalerträge im Sinne des </w:t>
      </w:r>
      <w:hyperlink w:anchor="b169" w:history="1">
        <w:r>
          <w:rPr>
            <w:color w:val="0A3A8C"/>
            <w:u w:val="single"/>
          </w:rPr>
          <w:t xml:space="preserve">§ 43</w:t>
        </w:r>
      </w:hyperlink>
      <w:r>
        <w:t xml:space="preserve"> Absatz 1 Satz 1 Nummer 1 und 2 durch ein inländisches Kredit-, Finanzdienstleistungs- oder Wertpapierinstitut im Sinne des § 43 Absatz 1 Satz 1 Nummer 7 Buchstabe b, das die Wertpapiere, Wertrechte oder sonstigen Wirtschaftsgüter unter dem Namen des Gläubigers verwahrt oder verwaltet, als Schuldner der Kapitalerträge oder für Rechnung des Schuldners gezahlt, kann das Kredit- oder Finanzdienstleistungsinstitut oder das Wertpapierinstitut die einbehaltene und abgeführte Kapitalertragsteuer dem Gläubiger der Kapitalerträge bis zur Ausstellung einer Steuerbescheinigung, längstens bis zum 31. März des auf den Zufluss der Kapitalerträge folgenden Kalenderjahres, unter den folgenden Voraussetzungen erstatten:</w:t>
      </w:r>
    </w:p>
    <w:p>
      <w:pPr>
        <w:tabs>
          <w:tab w:pos="567" w:val="left"/>
        </w:tabs>
        <w:ind w:left="567" w:hanging="567"/>
      </w:pPr>
      <w:r>
        <w:t>1.</w:t>
      </w:r>
      <w:r>
        <w:tab/>
      </w:r>
      <w:r>
        <w:t xml:space="preserve">dem Kredit-, Finanzdienstleistungs- oder Wertpapierinstitut wird eine Nichtveranlagungs-Bescheinigung nach </w:t>
      </w:r>
      <w:hyperlink w:anchor="b173" w:history="1">
        <w:r>
          <w:rPr>
            <w:color w:val="0A3A8C"/>
            <w:u w:val="single"/>
          </w:rPr>
          <w:t xml:space="preserve">§ 44a</w:t>
        </w:r>
      </w:hyperlink>
      <w:r>
        <w:t xml:space="preserve"> Absatz 2 Satz 1 Nummer 2 für den Gläubiger vorgelegt,</w:t>
      </w:r>
    </w:p>
    <w:p>
      <w:pPr>
        <w:tabs>
          <w:tab w:pos="567" w:val="left"/>
        </w:tabs>
        <w:ind w:left="567" w:hanging="567"/>
      </w:pPr>
      <w:r>
        <w:t>2.</w:t>
      </w:r>
      <w:r>
        <w:tab/>
      </w:r>
      <w:r>
        <w:t xml:space="preserve">dem Kredit-, Finanzdienstleistungs- oder Wertpapierinstitut wird eine Bescheinigung nach </w:t>
      </w:r>
      <w:hyperlink w:anchor="b173" w:history="1">
        <w:r>
          <w:rPr>
            <w:color w:val="0A3A8C"/>
            <w:u w:val="single"/>
          </w:rPr>
          <w:t xml:space="preserve">§ 44a</w:t>
        </w:r>
      </w:hyperlink>
      <w:r>
        <w:t xml:space="preserve"> Absatz 5 für den Gläubiger vorgelegt,</w:t>
      </w:r>
    </w:p>
    <w:p>
      <w:pPr>
        <w:tabs>
          <w:tab w:pos="567" w:val="left"/>
        </w:tabs>
        <w:ind w:left="567" w:hanging="567"/>
      </w:pPr>
      <w:r>
        <w:t>3.</w:t>
      </w:r>
      <w:r>
        <w:tab/>
      </w:r>
      <w:r>
        <w:t xml:space="preserve">dem Kredit-, Finanzdienstleistungs- oder Wertpapierinstitut wird eine Bescheinigung nach </w:t>
      </w:r>
      <w:hyperlink w:anchor="b173" w:history="1">
        <w:r>
          <w:rPr>
            <w:color w:val="0A3A8C"/>
            <w:u w:val="single"/>
          </w:rPr>
          <w:t xml:space="preserve">§ 44a</w:t>
        </w:r>
      </w:hyperlink>
      <w:r>
        <w:t xml:space="preserve"> Absatz 7 Satz 2 für den Gläubiger vorgelegt und eine Abstandnahme war nicht möglich oder</w:t>
      </w:r>
    </w:p>
    <w:p>
      <w:pPr>
        <w:tabs>
          <w:tab w:pos="567" w:val="left"/>
        </w:tabs>
        <w:ind w:left="567" w:hanging="567"/>
      </w:pPr>
      <w:r>
        <w:t>4.</w:t>
      </w:r>
      <w:r>
        <w:tab/>
      </w:r>
      <w:r>
        <w:t xml:space="preserve">dem Kredit-, Finanzdienstleistungs- oder Wertpapierinstitut wird eine Bescheinigung nach </w:t>
      </w:r>
      <w:hyperlink w:anchor="b173" w:history="1">
        <w:r>
          <w:rPr>
            <w:color w:val="0A3A8C"/>
            <w:u w:val="single"/>
          </w:rPr>
          <w:t xml:space="preserve">§ 44a</w:t>
        </w:r>
      </w:hyperlink>
      <w:r>
        <w:t xml:space="preserve"> Absatz 8 Satz 2 für den Gläubiger vorgelegt und die teilweise Abstandnahme war nicht möglich; in diesen Fällen darf die Kapitalertragsteuer nur in Höhe von zwei Fünfteln erstattet werden.</w:t>
      </w:r>
    </w:p>
    <w:p>
      <w:r>
        <w:rPr>
          <w:rStyle w:val="Satznummer"/>
        </w:rPr>
        <w:t>2</w:t>
      </w:r>
      <w:r>
        <w:t xml:space="preserve">Das erstattende Kredit- oder Finanzdienstleistungsinstitut oder das erstattende Wertpapierinstitut haftet in sinngemäßer Anwendung des </w:t>
      </w:r>
      <w:hyperlink w:anchor="b172" w:history="1">
        <w:r>
          <w:rPr>
            <w:color w:val="0A3A8C"/>
            <w:u w:val="single"/>
          </w:rPr>
          <w:t xml:space="preserve">§ 44</w:t>
        </w:r>
      </w:hyperlink>
      <w:r>
        <w:t xml:space="preserve"> Absatz 5 für zu Unrecht vorgenommene Erstattungen; für die Zahlungsaufforderung gilt § 219 Satz 2 der Abgabenordnung entsprechend. </w:t>
      </w:r>
      <w:r>
        <w:rPr>
          <w:rStyle w:val="Satznummer"/>
        </w:rPr>
        <w:t>3</w:t>
      </w:r>
      <w:r>
        <w:t xml:space="preserve">Das Kredit- oder Finanzdienstleistungsinstitut oder das Wertpapierinstitut hat die Summe der Erstattungsbeträge in der Steueranmeldung gesondert anzugeben und von der von ihm abzuführenden Kapitalertragsteuer abzusetzen. </w:t>
      </w:r>
      <w:r>
        <w:rPr>
          <w:rStyle w:val="Satznummer"/>
        </w:rPr>
        <w:t>4</w:t>
      </w:r>
      <w:r>
        <w:t xml:space="preserve">Wird dem Kredit-, Finanzdienstleistungs- oder Wertpapierinstitut ein Freistellungsauftrag erteilt, der auch Kapitalerträge im Sinne des Satzes 1 erfasst, oder führt das Institut oder das Wertpapierinstitut einen Verlustausgleich nach </w:t>
      </w:r>
      <w:hyperlink w:anchor="b170" w:history="1">
        <w:r>
          <w:rPr>
            <w:color w:val="0A3A8C"/>
            <w:u w:val="single"/>
          </w:rPr>
          <w:t xml:space="preserve">§ 43a</w:t>
        </w:r>
      </w:hyperlink>
      <w:r>
        <w:t xml:space="preserve"> Absatz 3 Satz 2 unter Einbeziehung von Kapitalerträgen im Sinne des Satzes 1 aus, so hat es bis zur Ausstellung der Steuerbescheinigung, längstens bis zum 31. März des auf den Zufluss der Kapitalerträge folgenden Kalenderjahres, die einbehaltene und abgeführte Kapitalertragsteuer auf diese Kapitalerträge zu erstatten; Satz 2 ist entsprechend anzuwenden.</w:t>
      </w:r>
    </w:p>
    <w:p>
      <w:r>
        <w:t xml:space="preserve">(7) </w:t>
      </w:r>
      <w:r>
        <w:rPr>
          <w:rStyle w:val="Satznummer"/>
        </w:rPr>
        <w:t>1</w:t>
      </w:r>
      <w:r>
        <w:t xml:space="preserve">Eine Gesamthandsgemeinschaft kann für ihre Mitglieder im Sinne des </w:t>
      </w:r>
      <w:hyperlink w:anchor="b173" w:history="1">
        <w:r>
          <w:rPr>
            <w:color w:val="0A3A8C"/>
            <w:u w:val="single"/>
          </w:rPr>
          <w:t xml:space="preserve">§ 44a</w:t>
        </w:r>
      </w:hyperlink>
      <w:r>
        <w:t xml:space="preserve"> Absatz 7 oder Absatz 8 eine Erstattung der Kapitalertragsteuer bei dem für die gesonderte Feststellung ihrer Einkünfte zuständigen Finanzamt beantragen. </w:t>
      </w:r>
      <w:r>
        <w:rPr>
          <w:rStyle w:val="Satznummer"/>
        </w:rPr>
        <w:t>2</w:t>
      </w:r>
      <w:r>
        <w:t xml:space="preserve">Die Erstattung ist unter den Voraussetzungen des </w:t>
      </w:r>
      <w:hyperlink w:anchor="b173" w:history="1">
        <w:r>
          <w:rPr>
            <w:color w:val="0A3A8C"/>
            <w:u w:val="single"/>
          </w:rPr>
          <w:t xml:space="preserve">§ 44a</w:t>
        </w:r>
      </w:hyperlink>
      <w:r>
        <w:t xml:space="preserve"> Absatz 4, 7 oder Absatz 8 und in dem dort bestimmten Umfang zu gewähren. </w:t>
      </w:r>
      <w:r>
        <w:rPr>
          <w:rStyle w:val="Satznummer"/>
        </w:rPr>
        <w:t>3</w:t>
      </w:r>
      <w:r>
        <w:t xml:space="preserve">Kapitalertragsteuer, die nach </w:t>
      </w:r>
      <w:hyperlink w:anchor="b169" w:history="1">
        <w:r>
          <w:rPr>
            <w:color w:val="0A3A8C"/>
            <w:u w:val="single"/>
          </w:rPr>
          <w:t xml:space="preserve">§ 43</w:t>
        </w:r>
      </w:hyperlink>
      <w:r>
        <w:t xml:space="preserve"> Absatz 1 Satz 1 Nummer 1a einbehalten wurde, ist unter den Voraussetzungen des </w:t>
      </w:r>
      <w:hyperlink w:anchor="b173" w:history="1">
        <w:r>
          <w:rPr>
            <w:color w:val="0A3A8C"/>
            <w:u w:val="single"/>
          </w:rPr>
          <w:t xml:space="preserve">§ 44a</w:t>
        </w:r>
      </w:hyperlink>
      <w:r>
        <w:t xml:space="preserve"> Absatz 10 und in dem dort bestimmten Umfang zu erstatten, wenn der Gläubiger die Voraussetzungen nach </w:t>
      </w:r>
      <w:hyperlink w:anchor="b139" w:history="1">
        <w:r>
          <w:rPr>
            <w:color w:val="0A3A8C"/>
            <w:u w:val="single"/>
          </w:rPr>
          <w:t xml:space="preserve">§ 36a</w:t>
        </w:r>
      </w:hyperlink>
      <w:r>
        <w:t xml:space="preserve"> Absatz 1 bis 3 erfüllt.</w:t>
      </w:r>
    </w:p>
    <w:p>
      <w:pPr>
        <w:pStyle w:val="Heading3"/>
      </w:pPr>
      <w:bookmarkStart w:id="176" w:name="b175"/>
      <w:r>
        <w:t>§ 45 Ausschluss der Erstattung von Kapitalertragsteuer</w:t>
      </w:r>
      <w:r>
        <w:t xml:space="preserve"> </w:t>
      </w:r>
      <w:r>
        <w:rPr>
          <w:rStyle w:val="Suchmarke"/>
        </w:rPr>
        <w:t>#45#</w:t>
      </w:r>
      <w:bookmarkEnd w:id="176"/>
    </w:p>
    <w:p>
      <w:r>
        <w:rPr>
          <w:rStyle w:val="Satznummer"/>
        </w:rPr>
        <w:t>1</w:t>
      </w:r>
      <w:r>
        <w:t xml:space="preserve">In den Fällen, in denen die Dividende an einen anderen als an den Anteilseigner ausgezahlt wird, ist die Erstattung oder Anrechnung von Kapitalertragsteuer für den Zahlungsempfänger ausgeschlossen. </w:t>
      </w:r>
      <w:r>
        <w:rPr>
          <w:rStyle w:val="Satznummer"/>
        </w:rPr>
        <w:t>2</w:t>
      </w:r>
      <w:r>
        <w:t xml:space="preserve">Satz 1 gilt nicht für den Erwerber eines Dividendenscheines oder sonstigen Anspruches in den Fällen des § 20 Absatz 2 Satz 1 Nummer 2 Buchstabe a Satz 2; beim Erwerber sind drei Fünftel der Kapitalertragsteuer nicht anzurechnen oder zu erstatten. </w:t>
      </w:r>
      <w:r>
        <w:rPr>
          <w:rStyle w:val="Satznummer"/>
        </w:rPr>
        <w:t>3</w:t>
      </w:r>
      <w:r>
        <w:t>In den Fällen des § 20 Absatz 2 Satz 1 Nummer 2 Buchstabe b ist die Erstattung von Kapitalertragsteuer an den Erwerber von Zinsscheinen nach § 37 Absatz 2 der Abgabenordnung ausgeschlossen.</w:t>
      </w:r>
    </w:p>
    <w:p>
      <w:pPr>
        <w:pStyle w:val="Heading3"/>
      </w:pPr>
      <w:bookmarkStart w:id="177" w:name="b176"/>
      <w:r>
        <w:t>§ 45a Anmeldung und Bescheinigung der Kapitalertragsteuer</w:t>
      </w:r>
      <w:r>
        <w:t xml:space="preserve"> </w:t>
      </w:r>
      <w:r>
        <w:rPr>
          <w:rStyle w:val="Suchmarke"/>
        </w:rPr>
        <w:t>#45a#</w:t>
      </w:r>
      <w:bookmarkEnd w:id="177"/>
    </w:p>
    <w:p>
      <w:r>
        <w:t xml:space="preserve">(1) </w:t>
      </w:r>
      <w:r>
        <w:rPr>
          <w:rStyle w:val="Satznummer"/>
        </w:rPr>
        <w:t>1</w:t>
      </w:r>
      <w:r>
        <w:t xml:space="preserve">Die Anmeldung der einbehaltenen Kapitalertragsteuer ist dem Finanzamt innerhalb der in </w:t>
      </w:r>
      <w:hyperlink w:anchor="b172" w:history="1">
        <w:r>
          <w:rPr>
            <w:color w:val="0A3A8C"/>
            <w:u w:val="single"/>
          </w:rPr>
          <w:t xml:space="preserve">§ 44</w:t>
        </w:r>
      </w:hyperlink>
      <w:r>
        <w:t xml:space="preserve"> Absatz 1 oder Absatz 7 bestimmten Frist nach amtlich vorgeschriebenem Vordruck auf elektronischem Weg zu übermitteln; die auszahlende Stelle hat die Kapitalertragsteuer auf die Erträge im Sinne des </w:t>
      </w:r>
      <w:hyperlink w:anchor="b169" w:history="1">
        <w:r>
          <w:rPr>
            <w:color w:val="0A3A8C"/>
            <w:u w:val="single"/>
          </w:rPr>
          <w:t xml:space="preserve">§ 43</w:t>
        </w:r>
      </w:hyperlink>
      <w:r>
        <w:t xml:space="preserve"> Absatz 1 Satz 1 Nummer 1a jeweils gesondert für das Land, in dem sich der Ort der Geschäftsleitung des Schuldners der Kapitalerträge befindet, anzugeben. </w:t>
      </w:r>
      <w:r>
        <w:rPr>
          <w:rStyle w:val="Satznummer"/>
        </w:rPr>
        <w:t>2</w:t>
      </w:r>
      <w:r>
        <w:t xml:space="preserve">Satz 1 gilt entsprechend, wenn ein Steuerabzug nicht oder nicht in voller Höhe vorzunehmen ist. </w:t>
      </w:r>
      <w:r>
        <w:rPr>
          <w:rStyle w:val="Satznummer"/>
        </w:rPr>
        <w:t>3</w:t>
      </w:r>
      <w:r>
        <w:t xml:space="preserve">Der Grund für die Nichtabführung ist anzugeben. </w:t>
      </w:r>
      <w:r>
        <w:rPr>
          <w:rStyle w:val="Satznummer"/>
        </w:rPr>
        <w:t>4</w:t>
      </w:r>
      <w:r>
        <w:t>Auf Antrag kann das Finanzamt zur Vermeidung unbilliger Härten auf eine elektronische Übermittlung verzichten; in diesem Fall ist die Kapitalertragsteuer-Anmeldung von dem Schuldner, der den Verkaufsauftrag ausführenden Stelle, der auszahlenden Stelle oder einer vertretungsberechtigten Person zu unterschreiben.</w:t>
      </w:r>
    </w:p>
    <w:p>
      <w:r>
        <w:t xml:space="preserve">(2) </w:t>
      </w:r>
      <w:r>
        <w:rPr>
          <w:rStyle w:val="Satznummer"/>
        </w:rPr>
        <w:t>1</w:t>
      </w:r>
      <w:r>
        <w:t xml:space="preserve">Folgende Stellen sind verpflichtet, dem Gläubiger der Kapitalerträge auf Verlangen eine Bescheinigung nach amtlich vorgeschriebenem Muster auszustellen, die die nach </w:t>
      </w:r>
      <w:hyperlink w:anchor="b111" w:history="1">
        <w:r>
          <w:rPr>
            <w:color w:val="0A3A8C"/>
            <w:u w:val="single"/>
          </w:rPr>
          <w:t xml:space="preserve">§ 32d</w:t>
        </w:r>
      </w:hyperlink>
      <w:r>
        <w:t xml:space="preserve"> erforderlichen Angaben enthält; bei Vorliegen der Voraussetzungen des</w:t>
      </w:r>
    </w:p>
    <w:p>
      <w:pPr>
        <w:tabs>
          <w:tab w:pos="567" w:val="left"/>
        </w:tabs>
        <w:ind w:left="567" w:hanging="567"/>
      </w:pPr>
      <w:r>
        <w:t>1.</w:t>
      </w:r>
      <w:r>
        <w:tab/>
      </w:r>
      <w:r>
        <w:t>§ 43 Absatz 1 Satz 1 Nummer 1, 2 bis 4, 7a und 7b der Schuldner der Kapitalerträge,</w:t>
      </w:r>
    </w:p>
    <w:p>
      <w:pPr>
        <w:tabs>
          <w:tab w:pos="567" w:val="left"/>
        </w:tabs>
        <w:ind w:left="567" w:hanging="567"/>
      </w:pPr>
      <w:r>
        <w:t>2.</w:t>
      </w:r>
      <w:r>
        <w:tab/>
      </w:r>
      <w:hyperlink w:anchor="b169" w:history="1">
        <w:r>
          <w:rPr>
            <w:color w:val="0A3A8C"/>
            <w:u w:val="single"/>
          </w:rPr>
          <w:t xml:space="preserve">§ 43</w:t>
        </w:r>
      </w:hyperlink>
      <w:r>
        <w:t xml:space="preserve"> Absatz 1 Satz 1 Nummer 1a, 5 bis 7 und 8 bis 12 sowie Satz 2 die die Kapitalerträge auszahlende Stelle vorbehaltlich des Absatzes 3,</w:t>
      </w:r>
    </w:p>
    <w:p>
      <w:pPr>
        <w:tabs>
          <w:tab w:pos="567" w:val="left"/>
        </w:tabs>
        <w:ind w:left="567" w:hanging="567"/>
      </w:pPr>
      <w:r>
        <w:t>3.</w:t>
      </w:r>
      <w:r>
        <w:tab/>
      </w:r>
      <w:hyperlink w:anchor="b172" w:history="1">
        <w:r>
          <w:rPr>
            <w:color w:val="0A3A8C"/>
            <w:u w:val="single"/>
          </w:rPr>
          <w:t xml:space="preserve">§ 44</w:t>
        </w:r>
      </w:hyperlink>
      <w:r>
        <w:t xml:space="preserve"> Absatz 1a die zur Abführung der Steuer verpflichtete Stelle und</w:t>
      </w:r>
    </w:p>
    <w:p>
      <w:pPr>
        <w:tabs>
          <w:tab w:pos="567" w:val="left"/>
        </w:tabs>
        <w:ind w:left="567" w:hanging="567"/>
      </w:pPr>
      <w:r>
        <w:t>4.</w:t>
      </w:r>
      <w:r>
        <w:tab/>
      </w:r>
      <w:r>
        <w:t>§ 44 Absatz 1 Satz 4 Nummer 5 der Investmentfonds.</w:t>
      </w:r>
    </w:p>
    <w:p>
      <w:r>
        <w:rPr>
          <w:rStyle w:val="Satznummer"/>
        </w:rPr>
        <w:t>2</w:t>
      </w:r>
      <w:r>
        <w:t xml:space="preserve">Die Bescheinigung kann elektronisch übermittelt werden; auf Anforderung des Gläubigers der Kapitalerträge ist sie auf Papier zu übersenden. </w:t>
      </w:r>
      <w:r>
        <w:rPr>
          <w:rStyle w:val="Satznummer"/>
        </w:rPr>
        <w:t>3</w:t>
      </w:r>
      <w:r>
        <w:t xml:space="preserve">Die Bescheinigung braucht nicht unterschrieben zu werden, wenn sie in einem maschinellen Verfahren ausgedruckt worden ist und den Aussteller erkennen lässt. </w:t>
      </w:r>
      <w:r>
        <w:rPr>
          <w:rStyle w:val="Satznummer"/>
        </w:rPr>
        <w:t>4</w:t>
      </w:r>
      <w:hyperlink w:anchor="b173" w:history="1">
        <w:r>
          <w:rPr>
            <w:color w:val="0A3A8C"/>
            <w:u w:val="single"/>
          </w:rPr>
          <w:t xml:space="preserve">§ 44a</w:t>
        </w:r>
      </w:hyperlink>
      <w:r>
        <w:t xml:space="preserve"> Absatz 6 gilt sinngemäß; über die zu kennzeichnenden Bescheinigungen haben die genannten Institute und Unternehmen Aufzeichnungen zu führen. </w:t>
      </w:r>
      <w:r>
        <w:rPr>
          <w:rStyle w:val="Satznummer"/>
        </w:rPr>
        <w:t>5</w:t>
      </w:r>
      <w:r>
        <w:t>Diese müssen einen Hinweis auf den Buchungsbeleg über die Auszahlung an den Empfänger der Bescheinigung enthalten.</w:t>
      </w:r>
    </w:p>
    <w:p>
      <w:r>
        <w:t xml:space="preserve">(2a) Ist der Gläubiger der Kapitalerträge beschränkt steuerpflichtig, tritt in den Fällen des </w:t>
      </w:r>
      <w:hyperlink w:anchor="b169" w:history="1">
        <w:r>
          <w:rPr>
            <w:color w:val="0A3A8C"/>
            <w:u w:val="single"/>
          </w:rPr>
          <w:t xml:space="preserve">§ 43</w:t>
        </w:r>
      </w:hyperlink>
      <w:r>
        <w:t xml:space="preserve"> Absatz 1 Satz 1 Nummer 1a und 2 Satz 4 an die Stelle der Bescheinigung nach Absatz 2 Satz 1 die Übermittlung der Angaben gemäß </w:t>
      </w:r>
      <w:hyperlink w:anchor="b177" w:history="1">
        <w:r>
          <w:rPr>
            <w:color w:val="0A3A8C"/>
            <w:u w:val="single"/>
          </w:rPr>
          <w:t xml:space="preserve">§ 45b</w:t>
        </w:r>
      </w:hyperlink>
      <w:r>
        <w:t xml:space="preserve"> Absatz 5.</w:t>
      </w:r>
    </w:p>
    <w:p>
      <w:r>
        <w:t xml:space="preserve">(3) </w:t>
      </w:r>
      <w:r>
        <w:rPr>
          <w:rStyle w:val="Satznummer"/>
        </w:rPr>
        <w:t>1</w:t>
      </w:r>
      <w:r>
        <w:t xml:space="preserve">Werden Kapitalerträge für Rechnung des Schuldners durch ein inländisches Kreditinstitut, ein inländisches Finanzdienstleistungsinstitut oder ein inländisches Wertpapierinstitut gezahlt, so hat anstelle des Schuldners das Kreditinstitut, das Finanzdienstleistungsinstitut oder das Wertpapierinstitut die Bescheinigung zu erteilen, sofern nicht die Voraussetzungen des Absatzes 2 Satz 1 erfüllt sind. </w:t>
      </w:r>
      <w:r>
        <w:rPr>
          <w:rStyle w:val="Satznummer"/>
        </w:rPr>
        <w:t>2</w:t>
      </w:r>
      <w:r>
        <w:t xml:space="preserve">Satz 1 gilt in den Fällen des </w:t>
      </w:r>
      <w:hyperlink w:anchor="b86" w:history="1">
        <w:r>
          <w:rPr>
            <w:color w:val="0A3A8C"/>
            <w:u w:val="single"/>
          </w:rPr>
          <w:t xml:space="preserve">§ 20</w:t>
        </w:r>
      </w:hyperlink>
      <w:r>
        <w:t xml:space="preserve"> Absatz 1 Nummer 1 Satz 4 entsprechend; der Emittent der Aktien gilt insoweit als Schuldner der Kapitalerträge.</w:t>
      </w:r>
    </w:p>
    <w:p>
      <w:r>
        <w:t xml:space="preserve">(4) </w:t>
      </w:r>
      <w:r>
        <w:rPr>
          <w:rStyle w:val="Satznummer"/>
        </w:rPr>
        <w:t>1</w:t>
      </w:r>
      <w:r>
        <w:t xml:space="preserve">Eine Bescheinigung nach Absatz 2 oder Absatz 3 ist auch zu erteilen, wenn in Vertretung des Gläubigers ein Antrag auf Erstattung der Kapitalertragsteuer nach </w:t>
      </w:r>
      <w:hyperlink w:anchor="b174" w:history="1">
        <w:r>
          <w:rPr>
            <w:color w:val="0A3A8C"/>
            <w:u w:val="single"/>
          </w:rPr>
          <w:t xml:space="preserve">§ 44b</w:t>
        </w:r>
      </w:hyperlink>
      <w:r>
        <w:t xml:space="preserve"> gestellt worden ist oder gestellt wird. </w:t>
      </w:r>
      <w:r>
        <w:rPr>
          <w:rStyle w:val="Satznummer"/>
        </w:rPr>
        <w:t>2</w:t>
      </w:r>
      <w:r>
        <w:t>Satz 1 gilt entsprechend, wenn nach § 44a Absatz 8 Satz 1 der Steuerabzug nicht in voller Höhe vorgenommen worden ist.</w:t>
      </w:r>
    </w:p>
    <w:p>
      <w:r>
        <w:t xml:space="preserve">(5) </w:t>
      </w:r>
      <w:r>
        <w:rPr>
          <w:rStyle w:val="Satznummer"/>
        </w:rPr>
        <w:t>1</w:t>
      </w:r>
      <w:r>
        <w:t xml:space="preserve">Eine Bescheinigung, die den Absätzen 2 bis 4 nicht entspricht, hat der Aussteller unverzüglich durch eine berichtigte Bescheinigung zu ersetzen. </w:t>
      </w:r>
      <w:r>
        <w:rPr>
          <w:rStyle w:val="Satznummer"/>
        </w:rPr>
        <w:t>2</w:t>
      </w:r>
      <w:r>
        <w:t xml:space="preserve">Die berichtigte Bescheinigung ist als solche zu kennzeichnen. </w:t>
      </w:r>
      <w:r>
        <w:rPr>
          <w:rStyle w:val="Satznummer"/>
        </w:rPr>
        <w:t>3</w:t>
      </w:r>
      <w:r>
        <w:t>Der Aussteller hat dem für ihn zuständigen Betriebsstättenfinanzamt unverzüglich nach Maßgabe des § 93c der Abgabenordnung neben den in § 93c Absatz 1 der Abgabenordnung genannten Angaben folgende Daten zu übermitteln:</w:t>
      </w:r>
    </w:p>
    <w:p>
      <w:pPr>
        <w:tabs>
          <w:tab w:pos="567" w:val="left"/>
        </w:tabs>
        <w:ind w:left="567" w:hanging="567"/>
      </w:pPr>
      <w:r>
        <w:t>1.</w:t>
      </w:r>
      <w:r>
        <w:tab/>
      </w:r>
      <w:r>
        <w:t>den Anlass für die Ausstellung der berichtigten Bescheinigung und deren Ausstellungsdatum,</w:t>
      </w:r>
    </w:p>
    <w:p>
      <w:pPr>
        <w:tabs>
          <w:tab w:pos="567" w:val="left"/>
        </w:tabs>
        <w:ind w:left="567" w:hanging="567"/>
      </w:pPr>
      <w:r>
        <w:t>2.</w:t>
      </w:r>
      <w:r>
        <w:tab/>
      </w:r>
      <w:r>
        <w:t>die ursprünglichen und die berichtigten Angaben in der Bescheinigung sowie</w:t>
      </w:r>
    </w:p>
    <w:p>
      <w:pPr>
        <w:tabs>
          <w:tab w:pos="567" w:val="left"/>
        </w:tabs>
        <w:ind w:left="567" w:hanging="567"/>
      </w:pPr>
      <w:r>
        <w:t>3.</w:t>
      </w:r>
      <w:r>
        <w:tab/>
      </w:r>
      <w:r>
        <w:t>in den Fällen des Gläubigerwechsels die Identifikationsnummer, den Namen und die Anschrift des bisherigen Gläubigers der Kapitalerträge.</w:t>
      </w:r>
    </w:p>
    <w:p>
      <w:r>
        <w:rPr>
          <w:rStyle w:val="Satznummer"/>
        </w:rPr>
        <w:t>4</w:t>
      </w:r>
      <w:r>
        <w:t>Bei Steuerpflichtigen, die nicht unbeschränkt steuerpflichtig sind, findet Satz 3 mit der Maßgabe Anwendung, dass der Aussteller die Daten an das Bundeszentralamt für Steuern zu übermitteln hat.</w:t>
      </w:r>
    </w:p>
    <w:p>
      <w:r>
        <w:t xml:space="preserve">(6) </w:t>
      </w:r>
      <w:r>
        <w:rPr>
          <w:rStyle w:val="Satznummer"/>
        </w:rPr>
        <w:t>1</w:t>
      </w:r>
      <w:r>
        <w:t xml:space="preserve">Der Aussteller einer Bescheinigung, die den Absätzen 2 bis 4 nicht entspricht, haftet für die auf Grund dessen verkürzten Steuern oder zu Unrecht gewährten Steuervorteile; dies gilt entsprechend für die die Kapitalerträge auszahlende Stelle und die Zwischenverwahrstellen nach </w:t>
      </w:r>
      <w:hyperlink w:anchor="b177" w:history="1">
        <w:r>
          <w:rPr>
            <w:color w:val="0A3A8C"/>
            <w:u w:val="single"/>
          </w:rPr>
          <w:t xml:space="preserve">§ 45b</w:t>
        </w:r>
      </w:hyperlink>
      <w:r>
        <w:t xml:space="preserve"> Absatz 7 bei der Übermittlung fehlerhafter Angaben im Rahmen der Meldepflichten nach </w:t>
      </w:r>
      <w:hyperlink w:anchor="b177" w:history="1">
        <w:r>
          <w:rPr>
            <w:color w:val="0A3A8C"/>
            <w:u w:val="single"/>
          </w:rPr>
          <w:t xml:space="preserve">§ 45b</w:t>
        </w:r>
      </w:hyperlink>
      <w:r>
        <w:t xml:space="preserve"> Absatz 2 in Verbindung mit den Absätzen 4 bis 6 Satz 1 und 2 sowie Absatz 7. </w:t>
      </w:r>
      <w:r>
        <w:rPr>
          <w:rStyle w:val="Satznummer"/>
        </w:rPr>
        <w:t>2</w:t>
      </w:r>
      <w:r>
        <w:t>Ist die Bescheinigung nach Absatz 3 durch ein inländisches Kredit-, Finanzdienstleistungs- oder Wertpapierinstitut auszustellen, so haftet der Schuldner auch, wenn er zum Zweck der Bescheinigung unrichtige Angaben macht.</w:t>
      </w:r>
    </w:p>
    <w:p>
      <w:pPr>
        <w:pStyle w:val="Heading3"/>
      </w:pPr>
      <w:bookmarkStart w:id="178" w:name="b177"/>
      <w:r>
        <w:t>§ 45b Angaben zur Bescheinigung und Abführung der Kapitalertragsteuer</w:t>
      </w:r>
      <w:r>
        <w:t xml:space="preserve"> </w:t>
      </w:r>
      <w:r>
        <w:rPr>
          <w:rStyle w:val="Suchmarke"/>
        </w:rPr>
        <w:t>#45b#</w:t>
      </w:r>
      <w:bookmarkEnd w:id="178"/>
    </w:p>
    <w:p>
      <w:r>
        <w:t xml:space="preserve">(1) Die die Kapitalerträge auszahlende Stelle weist jeder nach Maßgabe des </w:t>
      </w:r>
      <w:hyperlink w:anchor="b176" w:history="1">
        <w:r>
          <w:rPr>
            <w:color w:val="0A3A8C"/>
            <w:u w:val="single"/>
          </w:rPr>
          <w:t xml:space="preserve">§ 45a</w:t>
        </w:r>
      </w:hyperlink>
      <w:r>
        <w:t xml:space="preserve"> Absatz 2 zu erteilenden Bescheinigung und jedem nach </w:t>
      </w:r>
      <w:hyperlink w:anchor="b177" w:history="1">
        <w:r>
          <w:rPr>
            <w:color w:val="0A3A8C"/>
            <w:u w:val="single"/>
          </w:rPr>
          <w:t xml:space="preserve">§ 45b</w:t>
        </w:r>
      </w:hyperlink>
      <w:r>
        <w:t xml:space="preserve"> Absatz 5 zu übermittelnden Datensatz eine nach amtlichem Muster zu erstellende Ordnungsnummer zu.</w:t>
      </w:r>
    </w:p>
    <w:p>
      <w:r>
        <w:t xml:space="preserve">(2) </w:t>
      </w:r>
      <w:r>
        <w:t xml:space="preserve">Wird dem Gläubiger der Kapitalerträge nach Maßgabe des </w:t>
      </w:r>
      <w:hyperlink w:anchor="b176" w:history="1">
        <w:r>
          <w:rPr>
            <w:color w:val="0A3A8C"/>
            <w:u w:val="single"/>
          </w:rPr>
          <w:t xml:space="preserve">§ 45a</w:t>
        </w:r>
      </w:hyperlink>
      <w:r>
        <w:t xml:space="preserve"> Absatz 2 Satz 1 eine Steuerbescheinigung erteilt, übermittelt die auszahlende Stelle bei Kapitalerträgen im Sinne des </w:t>
      </w:r>
      <w:hyperlink w:anchor="b169" w:history="1">
        <w:r>
          <w:rPr>
            <w:color w:val="0A3A8C"/>
            <w:u w:val="single"/>
          </w:rPr>
          <w:t xml:space="preserve">§ 43</w:t>
        </w:r>
      </w:hyperlink>
      <w:r>
        <w:t xml:space="preserve"> Absatz 1 Satz 1 Nummer 1a und 2 Satz 4 nach amtlich vorgeschriebenem Datensatz durch Datenfernübertragung über die amtlich bestimmte Schnittstelle folgende Angaben an das Bundeszentralamt für Steuern:</w:t>
      </w:r>
    </w:p>
    <w:p>
      <w:pPr>
        <w:tabs>
          <w:tab w:pos="567" w:val="left"/>
        </w:tabs>
        <w:ind w:left="567" w:hanging="567"/>
      </w:pPr>
      <w:r>
        <w:t>1.</w:t>
      </w:r>
      <w:r>
        <w:tab/>
      </w:r>
      <w:r>
        <w:t>Angaben zur auszahlenden Stelle:</w:t>
      </w:r>
    </w:p>
    <w:p>
      <w:pPr>
        <w:tabs>
          <w:tab w:pos="1134" w:val="left"/>
        </w:tabs>
        <w:ind w:left="1134" w:hanging="567"/>
      </w:pPr>
      <w:r>
        <w:t>a)</w:t>
      </w:r>
      <w:r>
        <w:tab/>
      </w:r>
      <w:r>
        <w:t>den Namen, die Anschrift, das Ordnungsmerkmal und die Kontaktdaten,</w:t>
      </w:r>
    </w:p>
    <w:p>
      <w:pPr>
        <w:tabs>
          <w:tab w:pos="1134" w:val="left"/>
        </w:tabs>
        <w:ind w:left="1134" w:hanging="567"/>
      </w:pPr>
      <w:r>
        <w:t>b)</w:t>
      </w:r>
      <w:r>
        <w:tab/>
      </w:r>
      <w:r>
        <w:t>das Identifikationsmerkmal nach den §§ 139a bis 139c der Abgabenordnung oder, soweit dieses nicht vergeben wurde, den Legal Entity Identifier (LEI) oder die europäische einheitliche Kennung (EUID) gemäß Artikel 16 der Richtlinie (EU) 2017/1132 des Europäischen Parlaments und des Rates oder die Steuernummer,</w:t>
      </w:r>
    </w:p>
    <w:p>
      <w:pPr>
        <w:tabs>
          <w:tab w:pos="1134" w:val="left"/>
        </w:tabs>
        <w:ind w:left="1134" w:hanging="567"/>
      </w:pPr>
      <w:r>
        <w:t>c)</w:t>
      </w:r>
      <w:r>
        <w:tab/>
      </w:r>
      <w:r>
        <w:t>hat die auszahlende Stelle einen Auftragnehmer im Sinne des § 87d der Abgabenordnung mit der Datenübermittlung beauftragt, so sind die Angaben nach den Buchstaben a und b auch für den Auftragnehmer anzugeben;</w:t>
      </w:r>
    </w:p>
    <w:p>
      <w:pPr>
        <w:tabs>
          <w:tab w:pos="567" w:val="left"/>
        </w:tabs>
        <w:ind w:left="567" w:hanging="567"/>
      </w:pPr>
      <w:r>
        <w:t>2.</w:t>
      </w:r>
      <w:r>
        <w:tab/>
      </w:r>
      <w:r>
        <w:t>Angaben zum Gläubiger der Kapitalerträge:</w:t>
      </w:r>
    </w:p>
    <w:p>
      <w:pPr>
        <w:tabs>
          <w:tab w:pos="1134" w:val="left"/>
        </w:tabs>
        <w:ind w:left="1134" w:hanging="567"/>
      </w:pPr>
      <w:r>
        <w:t>a)</w:t>
      </w:r>
      <w:r>
        <w:tab/>
      </w:r>
      <w:r>
        <w:t>den Familiennamen, den Vornamen, den Tag der Geburt, die Anschrift und die Identifikationsnummer nach § 139b der Abgabenordnung bei natürlichen Personen,</w:t>
      </w:r>
    </w:p>
    <w:p>
      <w:pPr>
        <w:tabs>
          <w:tab w:pos="1134" w:val="left"/>
        </w:tabs>
        <w:ind w:left="1134" w:hanging="567"/>
      </w:pPr>
      <w:r>
        <w:t>b)</w:t>
      </w:r>
      <w:r>
        <w:tab/>
      </w:r>
      <w:r>
        <w:t>die Firma oder den Namen, die Anschrift, sofern es sich bei dem Gläubiger der Kapitalerträge nicht um eine natürliche Person handelt, sowie die Wirtschafts-Identifikationsnummer nach § 139c der Abgabenordnung oder, wenn die Wirtschafts-Identifikationsnummer noch nicht vergeben wurde, den Legal Entity Identifier (LEI) oder die europäische einheitliche Kennung (EUID) gemäß Artikel 16 der Richtlinie (EU) 2017/1132 des Europäischen Parlaments und des Rates oder die Steuernummer,</w:t>
      </w:r>
    </w:p>
    <w:p>
      <w:pPr>
        <w:tabs>
          <w:tab w:pos="1134" w:val="left"/>
        </w:tabs>
        <w:ind w:left="1134" w:hanging="567"/>
      </w:pPr>
      <w:r>
        <w:t>c)</w:t>
      </w:r>
      <w:r>
        <w:tab/>
      </w:r>
      <w:r>
        <w:t>den Ansässigkeitsstaat des Gläubigers der Kapitalerträge, sofern der Gläubiger der Kapitalerträge seinen Wohn- oder Geschäftssitz nicht im Inland hat,</w:t>
      </w:r>
    </w:p>
    <w:p>
      <w:pPr>
        <w:tabs>
          <w:tab w:pos="1134" w:val="left"/>
        </w:tabs>
        <w:ind w:left="1134" w:hanging="567"/>
      </w:pPr>
      <w:r>
        <w:t>d)</w:t>
      </w:r>
      <w:r>
        <w:tab/>
      </w:r>
      <w:r>
        <w:t>die durch den Ansässigkeitsstaat vergebene Steueridentifikationsnummer oder die Rechtsform sowie das Datum des Gründungsaktes der Körperschaft, Personenvereinigung oder Vermögensmasse, sofern durch den Ansässigkeitsstaat kein Identifikationsmerkmal vergeben wurde,</w:t>
      </w:r>
    </w:p>
    <w:p>
      <w:pPr>
        <w:tabs>
          <w:tab w:pos="1134" w:val="left"/>
        </w:tabs>
        <w:ind w:left="1134" w:hanging="567"/>
      </w:pPr>
      <w:r>
        <w:t>e)</w:t>
      </w:r>
      <w:r>
        <w:tab/>
      </w:r>
      <w:r>
        <w:t>die Konto- oder Depotnummer des Gläubigers der Kapitalerträge, verbunden mit der Angabe zur Art des nach Artikel 38 der Verordnung (EU) Nr. 909/2014 des Europäischen Parlaments und des Rates vom 23. Juli 2014 geführten Depotkontos oder zur Art des sonstigen Depotkontos; werden die Wertpapiere durch einen Treuhänder für den Gläubiger der Kapitalerträge verwahrt, sind die Konto- oder Depotnummer des Treuhänders sowie die Angaben zu Buchstabe a oder Buchstabe b auch für den Treuhänder anzugeben; dies gilt entsprechend, wenn die Kapitalerträge einem Nießbraucher oder Pfandgläubiger zuzurechnen sind;</w:t>
      </w:r>
    </w:p>
    <w:p>
      <w:pPr>
        <w:tabs>
          <w:tab w:pos="567" w:val="left"/>
        </w:tabs>
        <w:ind w:left="567" w:hanging="567"/>
      </w:pPr>
      <w:r>
        <w:t>3.</w:t>
      </w:r>
      <w:r>
        <w:tab/>
      </w:r>
      <w:r>
        <w:t>Angaben zu den in die Verwahrkette eingebundenen Verwahrstellen:</w:t>
      </w:r>
    </w:p>
    <w:p>
      <w:pPr>
        <w:tabs>
          <w:tab w:pos="1134" w:val="left"/>
        </w:tabs>
        <w:ind w:left="1134" w:hanging="567"/>
      </w:pPr>
      <w:r>
        <w:t>a)</w:t>
      </w:r>
      <w:r>
        <w:tab/>
      </w:r>
      <w:r>
        <w:t>die Firma, die Anschrift und den Legal Entity Identifier (LEI) oder die europäische einheitliche Kennung (EUID) gemäß Artikel 16 der Richtlinie (EU) 2017/1132 des Europäischen Parlaments und des Rates der jeweils in die Verwahrkette nacheinander eingebundenen Zwischenverwahrstellen der Wertpapiere sowie der Depotbank, die die Wertpapiere für den Gläubiger der Kapitalerträge unmittelbar verwahrt,</w:t>
      </w:r>
    </w:p>
    <w:p>
      <w:pPr>
        <w:tabs>
          <w:tab w:pos="1134" w:val="left"/>
        </w:tabs>
        <w:ind w:left="1134" w:hanging="567"/>
      </w:pPr>
      <w:r>
        <w:t>b)</w:t>
      </w:r>
      <w:r>
        <w:tab/>
      </w:r>
      <w:r>
        <w:t>die durch den Ansässigkeitsstaat des Zwischenverwahrers oder der Depotbank vergebene Steueridentifikationsnummer,</w:t>
      </w:r>
    </w:p>
    <w:p>
      <w:pPr>
        <w:tabs>
          <w:tab w:pos="1134" w:val="left"/>
        </w:tabs>
        <w:ind w:left="1134" w:hanging="567"/>
      </w:pPr>
      <w:r>
        <w:t>c)</w:t>
      </w:r>
      <w:r>
        <w:tab/>
      </w:r>
      <w:r>
        <w:t>den Ansässigkeitsstaat des Zwischenverwahrers oder der Depotbank,</w:t>
      </w:r>
    </w:p>
    <w:p>
      <w:pPr>
        <w:tabs>
          <w:tab w:pos="1134" w:val="left"/>
        </w:tabs>
        <w:ind w:left="1134" w:hanging="567"/>
      </w:pPr>
      <w:r>
        <w:t>d)</w:t>
      </w:r>
      <w:r>
        <w:tab/>
      </w:r>
      <w:r>
        <w:t>die jeweiligen Konto- oder Depotnummern der durch die Zwischenverwahrstellen und von der Depotbank geführten Depotkonten, in denen die Wertpapiere verwahrt werden, verbunden mit der Angabe zur Art des nach Artikel 38 der Verordnung (EU) Nr. 909/2014 des Europäischen Parlaments und des Rates vom 23. Juli 2014 geführten Depotkontos oder sonstigen Depotkontos;</w:t>
      </w:r>
    </w:p>
    <w:p>
      <w:pPr>
        <w:tabs>
          <w:tab w:pos="567" w:val="left"/>
        </w:tabs>
        <w:ind w:left="567" w:hanging="567"/>
      </w:pPr>
      <w:r>
        <w:t>4.</w:t>
      </w:r>
      <w:r>
        <w:tab/>
      </w:r>
      <w:r>
        <w:t>Angaben zum Kapitalertrag:</w:t>
      </w:r>
    </w:p>
    <w:p>
      <w:pPr>
        <w:tabs>
          <w:tab w:pos="1134" w:val="left"/>
        </w:tabs>
        <w:ind w:left="1134" w:hanging="567"/>
      </w:pPr>
      <w:r>
        <w:t>a)</w:t>
      </w:r>
      <w:r>
        <w:tab/>
      </w:r>
      <w:r>
        <w:t>die Firma, die Anschrift, den Legal Entity Identifier (LEI) oder die europäische einheitliche Kennung (EUID) gemäß Artikel 16 der Richtlinie (EU) 2017/1132 des Europäischen Parlaments und des Rates der die Kapitalerträge ausschüttenden Gesellschaft und die internationale Wertpapierkennnummer und die Art des Wertpapiers,</w:t>
      </w:r>
    </w:p>
    <w:p>
      <w:pPr>
        <w:tabs>
          <w:tab w:pos="1134" w:val="left"/>
        </w:tabs>
        <w:ind w:left="1134" w:hanging="567"/>
      </w:pPr>
      <w:r>
        <w:t>b)</w:t>
      </w:r>
      <w:r>
        <w:tab/>
      </w:r>
      <w:r>
        <w:t>die Stückzahl der Wertpapiere je Wertpapiergattung und Zahlungstag,</w:t>
      </w:r>
    </w:p>
    <w:p>
      <w:pPr>
        <w:tabs>
          <w:tab w:pos="1134" w:val="left"/>
        </w:tabs>
        <w:ind w:left="1134" w:hanging="567"/>
      </w:pPr>
      <w:r>
        <w:t>c)</w:t>
      </w:r>
      <w:r>
        <w:tab/>
      </w:r>
      <w:r>
        <w:t>den Bruttobetrag und den Nettobetrag der auf den Gläubiger entfallenden Kapitalerträge je Wertpapiergattung und Zahlungstag,</w:t>
      </w:r>
    </w:p>
    <w:p>
      <w:pPr>
        <w:tabs>
          <w:tab w:pos="1134" w:val="left"/>
        </w:tabs>
        <w:ind w:left="1134" w:hanging="567"/>
      </w:pPr>
      <w:r>
        <w:t>d)</w:t>
      </w:r>
      <w:r>
        <w:tab/>
      </w:r>
      <w:r>
        <w:t xml:space="preserve">den Betrag, der je Wertpapiergattung und Zahlungstag einbehaltenen und abgeführten Kapitalertragsteuer und den Betrag der einbehaltenen und abgeführten Zuschlagsteuern; die Ermäßigung der Kapitalertragsteuer um die auf die Kapitalerträge entfallende Kirchensteuer ist nicht zu berücksichtigen; sind die Kapitalerträge nach Maßgabe des </w:t>
      </w:r>
      <w:hyperlink w:anchor="b170" w:history="1">
        <w:r>
          <w:rPr>
            <w:color w:val="0A3A8C"/>
            <w:u w:val="single"/>
          </w:rPr>
          <w:t xml:space="preserve">§ 43a</w:t>
        </w:r>
      </w:hyperlink>
      <w:r>
        <w:t xml:space="preserve"> Absatz 3 Satz 2 mit negativen Kapitalerträgen auszugleichen, sind statt der Beträge der abgeführten Steuern der Betrag der einbehaltenen und auf die Kapitalerträge entfallenden Kapitalertragsteuer vor Durchführung des Verlustausgleiches, vor Berücksichtigung ausländischer Steuern und vor Berücksichtigung des Sparer-Pauschbetrages sowie der Betrag der darauf entfallenden Zuschlagsteuern anzugeben,</w:t>
      </w:r>
    </w:p>
    <w:p>
      <w:pPr>
        <w:tabs>
          <w:tab w:pos="1134" w:val="left"/>
        </w:tabs>
        <w:ind w:left="1134" w:hanging="567"/>
      </w:pPr>
      <w:r>
        <w:t>e)</w:t>
      </w:r>
      <w:r>
        <w:tab/>
      </w:r>
      <w:r>
        <w:t>der jeweils angewendete Steuersatz und die Rechtsgrundlage für den Steuerabzug oder für die Abstandnahme vom Steuerabzug,</w:t>
      </w:r>
    </w:p>
    <w:p>
      <w:pPr>
        <w:tabs>
          <w:tab w:pos="1134" w:val="left"/>
        </w:tabs>
        <w:ind w:left="1134" w:hanging="567"/>
      </w:pPr>
      <w:r>
        <w:t>f)</w:t>
      </w:r>
      <w:r>
        <w:tab/>
      </w:r>
      <w:r>
        <w:t>die IBAN des Kontos, zu dessen Gunsten die Gutschrift der Erträge erfolgte,</w:t>
      </w:r>
    </w:p>
    <w:p>
      <w:pPr>
        <w:tabs>
          <w:tab w:pos="1134" w:val="left"/>
        </w:tabs>
        <w:ind w:left="1134" w:hanging="567"/>
      </w:pPr>
      <w:r>
        <w:t>g)</w:t>
      </w:r>
      <w:r>
        <w:tab/>
      </w:r>
      <w:r>
        <w:t>das zur Identifikation der Ausschüttung vergebene Merkmal,</w:t>
      </w:r>
    </w:p>
    <w:p>
      <w:pPr>
        <w:tabs>
          <w:tab w:pos="1134" w:val="left"/>
        </w:tabs>
        <w:ind w:left="1134" w:hanging="567"/>
      </w:pPr>
      <w:r>
        <w:t>h)</w:t>
      </w:r>
      <w:r>
        <w:tab/>
      </w:r>
      <w:r>
        <w:t>die Art der Gutschrift, insbesondere ob eine Bardividende oder eine Sachdividende gutgeschrieben wurde,</w:t>
      </w:r>
    </w:p>
    <w:p>
      <w:pPr>
        <w:tabs>
          <w:tab w:pos="1134" w:val="left"/>
        </w:tabs>
        <w:ind w:left="1134" w:hanging="567"/>
      </w:pPr>
      <w:r>
        <w:t>i)</w:t>
      </w:r>
      <w:r>
        <w:tab/>
      </w:r>
      <w:r>
        <w:t>für den Fall der Ausstellung einer Steuerbescheinigung das Datum der Ausstellung und die für die Steuerbescheinigung vergebene Ordnungsnummer;</w:t>
      </w:r>
    </w:p>
    <w:p>
      <w:pPr>
        <w:tabs>
          <w:tab w:pos="567" w:val="left"/>
        </w:tabs>
        <w:ind w:left="567" w:hanging="567"/>
      </w:pPr>
      <w:r>
        <w:t>5.</w:t>
      </w:r>
      <w:r>
        <w:tab/>
      </w:r>
      <w:r>
        <w:t>Angaben zu den dem Kapitalertrag zugrundeliegenden Wertpapieren:</w:t>
      </w:r>
    </w:p>
    <w:p>
      <w:pPr>
        <w:tabs>
          <w:tab w:pos="1134" w:val="left"/>
        </w:tabs>
        <w:ind w:left="1134" w:hanging="567"/>
      </w:pPr>
      <w:r>
        <w:t>a)</w:t>
      </w:r>
      <w:r>
        <w:tab/>
      </w:r>
      <w:r>
        <w:t>die Anzahl der Wertpapiere, die mehr als fünf Tage vor dem auf den Tag der Hauptversammlung folgenden Geschäftstag erworben wurden und die Anzahl der Aktien, die innerhalb dieses Zeitraumes erworben wurden,</w:t>
      </w:r>
    </w:p>
    <w:p>
      <w:pPr>
        <w:tabs>
          <w:tab w:pos="1134" w:val="left"/>
        </w:tabs>
        <w:ind w:left="1134" w:hanging="567"/>
      </w:pPr>
      <w:r>
        <w:t>b)</w:t>
      </w:r>
      <w:r>
        <w:tab/>
      </w:r>
      <w:r>
        <w:t>die Anzahl der Wertpapiere, die mit einer Finanzvereinbarung verbunden sind und die Anzahl der Wertpapiere, die nicht mit einer Finanzvereinbarung verbunden sind,</w:t>
      </w:r>
    </w:p>
    <w:p>
      <w:pPr>
        <w:tabs>
          <w:tab w:pos="1134" w:val="left"/>
        </w:tabs>
        <w:ind w:left="1134" w:hanging="567"/>
      </w:pPr>
      <w:r>
        <w:t>c)</w:t>
      </w:r>
      <w:r>
        <w:tab/>
      </w:r>
      <w:r>
        <w:t>das Datum des Handelstags, das Datum des vereinbarten Abwicklungstags und das Datum des tatsächlichen Abwicklungstags sowie die jeweilige Stückzahl, verbunden mit der Angabe, ob der Transaktion ein Kauf, eine Übertragung auf Grund einer Wertpapierleihe oder auf Grund eines Wertpapierpensionsgeschäftes zugrunde lag, sofern die Wertpapiere innerhalb eines Jahres vor dem zweiten auf den Tag der Hauptversammlung folgenden Geschäftstag angeschafft oder sonst übertragen wurden,</w:t>
      </w:r>
    </w:p>
    <w:p>
      <w:pPr>
        <w:tabs>
          <w:tab w:pos="1134" w:val="left"/>
        </w:tabs>
        <w:ind w:left="1134" w:hanging="567"/>
      </w:pPr>
      <w:r>
        <w:t>d)</w:t>
      </w:r>
      <w:r>
        <w:tab/>
      </w:r>
      <w:r>
        <w:t>das Datum des Handelstags, das Datum des vereinbarten Abwicklungstags und das Datum des tatsächlichen Abwicklungstags sowie die jeweilige Stückzahl, verbunden mit der Angabe, ob der Transaktion ein Verkauf, eine Rückübertragung aufgrund einer Wertpapierleihe oder auf Grund eines Wertpapierpensionsgeschäftes zugrunde lag, sofern die Wertpapiere innerhalb von 47 Tagen nach dem Tag der Hauptversammlung veräußert oder übertragen wurden;</w:t>
      </w:r>
    </w:p>
    <w:p>
      <w:pPr>
        <w:tabs>
          <w:tab w:pos="567" w:val="left"/>
        </w:tabs>
        <w:ind w:left="567" w:hanging="567"/>
      </w:pPr>
      <w:r>
        <w:t>6.</w:t>
      </w:r>
      <w:r>
        <w:tab/>
      </w:r>
      <w:r>
        <w:t>Ergänzende Angaben bei Hinterlegungsscheinen:</w:t>
      </w:r>
    </w:p>
    <w:p>
      <w:pPr>
        <w:tabs>
          <w:tab w:pos="1134" w:val="left"/>
        </w:tabs>
        <w:ind w:left="1134" w:hanging="567"/>
      </w:pPr>
      <w:r>
        <w:t>a)</w:t>
      </w:r>
      <w:r>
        <w:tab/>
      </w:r>
      <w:r>
        <w:t>die Bezeichnung und die Internationale Wertpapierkennnummer der hinterlegten Wertpapiere,</w:t>
      </w:r>
    </w:p>
    <w:p>
      <w:pPr>
        <w:tabs>
          <w:tab w:pos="1134" w:val="left"/>
        </w:tabs>
        <w:ind w:left="1134" w:hanging="567"/>
      </w:pPr>
      <w:r>
        <w:t>b)</w:t>
      </w:r>
      <w:r>
        <w:tab/>
      </w:r>
      <w:r>
        <w:t>das in den Emissionsbedingungen des Hinterlegungsscheines festgelegte Verhältnis der Hinterlegungsscheine zu den durch die inländische Hinterlegungsstelle verwahrten inländischen Wertpapieren,</w:t>
      </w:r>
    </w:p>
    <w:p>
      <w:pPr>
        <w:tabs>
          <w:tab w:pos="1134" w:val="left"/>
        </w:tabs>
        <w:ind w:left="1134" w:hanging="567"/>
      </w:pPr>
      <w:r>
        <w:t>c)</w:t>
      </w:r>
      <w:r>
        <w:tab/>
      </w:r>
      <w:r>
        <w:t>die Gesamtzahl ausgegebener Hinterlegungsscheine sowie die Gesamtzahl der hinterlegten Wertpapiere, jeweils zum Zeitpunkt des zweiten auf den Tag der Hauptversammlung folgenden Geschäftstages,</w:t>
      </w:r>
    </w:p>
    <w:p>
      <w:pPr>
        <w:tabs>
          <w:tab w:pos="1134" w:val="left"/>
        </w:tabs>
        <w:ind w:left="1134" w:hanging="567"/>
      </w:pPr>
      <w:r>
        <w:t>d)</w:t>
      </w:r>
      <w:r>
        <w:tab/>
      </w:r>
      <w:r>
        <w:t>die Anzahl der Hinterlegungsscheine des Gläubigers der Kapitalerträge,</w:t>
      </w:r>
    </w:p>
    <w:p>
      <w:pPr>
        <w:tabs>
          <w:tab w:pos="1134" w:val="left"/>
        </w:tabs>
        <w:ind w:left="1134" w:hanging="567"/>
      </w:pPr>
      <w:r>
        <w:t>e)</w:t>
      </w:r>
      <w:r>
        <w:tab/>
      </w:r>
      <w:r>
        <w:t>der Name und die Wirtschafts-Identifikationsnummer nach § 139c der Abgabenordnung, der Legal Entity Identifier (LEI) oder die europäische einheitliche Kennung (EUID) gemäß Artikel 16 der Richtlinie (EU) 2017/1132 des Europäischen Parlaments und des Rates der Hinterlegungsstelle der inländischen Wertpapiere.</w:t>
      </w:r>
    </w:p>
    <w:p>
      <w:pPr>
        <w:ind w:left="567"/>
      </w:pPr>
      <w:r>
        <w:rPr>
          <w:rStyle w:val="Satznummer"/>
        </w:rPr>
        <w:t>2</w:t>
      </w:r>
      <w:r>
        <w:t>Die auszahlende Stelle hat den Gläubiger der Kapitalerträge darüber zu unterrichten, dass Angaben zur Art der bezogenen Kapitalerträge, zu den Verwahrstellen der jeweiligen Wertpapiere, zum Erwerb und der Veräußerung der Wertpapiere sowie zu in Zusammenhang mit den jeweiligen Wertpapieren stehenden Finanzvereinbarungen an das Bundeszentralamt für Steuern übermittelt werden.</w:t>
      </w:r>
    </w:p>
    <w:p>
      <w:r>
        <w:t xml:space="preserve">(3) </w:t>
      </w:r>
      <w:r>
        <w:rPr>
          <w:rStyle w:val="Satznummer"/>
        </w:rPr>
        <w:t>1</w:t>
      </w:r>
      <w:r>
        <w:t xml:space="preserve">Eine Finanzvereinbarung nach Absatz 2 Satz 1 Nummer 5 Buchstabe b ist jede Vereinbarung oder vertragliche Verpflichtung zwischen dem Empfänger der Dividendenzahlung und einer verbundenen oder unabhängigen Partei, die den vollständigen oder teilweisen Ausgleich der Dividende zwischen den Parteien zur Folge hat oder dauerhaft oder vorübergehend zu einer vollständigen oder teilweisen Übertragung der mit dem Eigentum an der Aktie verbundenen Rechte führt oder führen kann. </w:t>
      </w:r>
      <w:r>
        <w:rPr>
          <w:rStyle w:val="Satznummer"/>
        </w:rPr>
        <w:t>2</w:t>
      </w:r>
      <w:r>
        <w:t xml:space="preserve">Finanzvereinbarungen sind insbesondere Wertpapierleihgeschäfte, Wertpapierkauf- und Rückkaufgeschäfte oder Termingeschäfte. </w:t>
      </w:r>
      <w:r>
        <w:rPr>
          <w:rStyle w:val="Satznummer"/>
        </w:rPr>
        <w:t>3</w:t>
      </w:r>
      <w:r>
        <w:t>Bei Hinterlegungsscheinen beziehen sich die Angaben nach Absatz 2 Satz 1 Nummer 1 bis 5 auf den Hinterlegungsschein.</w:t>
      </w:r>
    </w:p>
    <w:p>
      <w:r>
        <w:t xml:space="preserve">(4) </w:t>
      </w:r>
      <w:r>
        <w:rPr>
          <w:rStyle w:val="Satznummer"/>
        </w:rPr>
        <w:t>1</w:t>
      </w:r>
      <w:r>
        <w:t xml:space="preserve">Die Datenübermittlung der auszahlenden Stelle nach Absatz 2 Satz 1 hat abweichend von § 93c Absatz 1 Nummer 1 der Abgabenordnung bis spätestens zum 31. März des auf den Zufluss des Kapitalertrages folgenden Kalenderjahres zu erfolgen. </w:t>
      </w:r>
      <w:r>
        <w:rPr>
          <w:rStyle w:val="Satznummer"/>
        </w:rPr>
        <w:t>2</w:t>
      </w:r>
      <w:r>
        <w:t xml:space="preserve">Sind die Kapitalerträge nach Maßgabe des </w:t>
      </w:r>
      <w:hyperlink w:anchor="b170" w:history="1">
        <w:r>
          <w:rPr>
            <w:color w:val="0A3A8C"/>
            <w:u w:val="single"/>
          </w:rPr>
          <w:t xml:space="preserve">§ 43a</w:t>
        </w:r>
      </w:hyperlink>
      <w:r>
        <w:t xml:space="preserve"> Absatz 3 Satz 2 mit negativen Kapitalerträgen auszugleichen, so sind neben den Angaben nach Absatz 2 Satz 1 der Betrag der auf der nach amtlichem Muster erteilten Bescheinigung für den Gläubiger der Kapitalerträge ausgewiesenen Kapitalertragsteuer und der Betrag der ausgewiesenen Zuschlagsteuern zu übermitteln.</w:t>
      </w:r>
    </w:p>
    <w:p>
      <w:r>
        <w:t xml:space="preserve">(5) In den Fällen des </w:t>
      </w:r>
      <w:hyperlink w:anchor="b176" w:history="1">
        <w:r>
          <w:rPr>
            <w:color w:val="0A3A8C"/>
            <w:u w:val="single"/>
          </w:rPr>
          <w:t xml:space="preserve">§ 45a</w:t>
        </w:r>
      </w:hyperlink>
      <w:r>
        <w:t xml:space="preserve"> Absatz 2a hat die die Kapitalerträge auszahlende Stelle auf Verlangen des Gläubigers der Kapitalerträge dem Bundeszentralamt für Steuern für jeden Zufluss unverzüglich elektronisch die in Absatz 2 Satz 1 genannten Angaben unter Ergänzung der nach Absatz 1 vergebenen Ordnungsnummer zu übermitteln.</w:t>
      </w:r>
    </w:p>
    <w:p>
      <w:r>
        <w:t xml:space="preserve">(6) </w:t>
      </w:r>
      <w:r>
        <w:rPr>
          <w:rStyle w:val="Satznummer"/>
        </w:rPr>
        <w:t>1</w:t>
      </w:r>
      <w:r>
        <w:t xml:space="preserve">Wurde für Kapitalerträge im Sinne des </w:t>
      </w:r>
      <w:hyperlink w:anchor="b169" w:history="1">
        <w:r>
          <w:rPr>
            <w:color w:val="0A3A8C"/>
            <w:u w:val="single"/>
          </w:rPr>
          <w:t xml:space="preserve">§ 43</w:t>
        </w:r>
      </w:hyperlink>
      <w:r>
        <w:t xml:space="preserve"> Absatz 1 Satz 1 Nummer 1a oder Nummer 2 Satz 4 durch die auszahlende Stelle keine Steuerbescheinigung erteilt oder kein Datensatz nach Maßgabe des Absatzes 5 an das Bundeszentralamt für Steuern übermittelt, sind die Angaben nach Absatz 2 Satz 1 Nummer 1, 2 und 4 für den bei der auszahlenden Stelle geführten Depotinhaber zu übermitteln. </w:t>
      </w:r>
      <w:r>
        <w:rPr>
          <w:rStyle w:val="Satznummer"/>
        </w:rPr>
        <w:t>2</w:t>
      </w:r>
      <w:r>
        <w:t xml:space="preserve">Im Falle einer Abstandnahme vom Steuerabzug sind die Angaben nach Absatz 2 Satz 1 Nummer 1 bis 6 unter Angabe des Namens oder der Firma desjenigen zu übermitteln, für dessen Rechnung vom Steuerabzug Abstand genommen wurde. </w:t>
      </w:r>
      <w:r>
        <w:rPr>
          <w:rStyle w:val="Satznummer"/>
        </w:rPr>
        <w:t>3</w:t>
      </w:r>
      <w:r>
        <w:t xml:space="preserve">Dies gilt auch für Wertpapierbestände, die in einem allgemeinen Konto, das für Rechnung Dritter geführt wird, enthalten sind. </w:t>
      </w:r>
      <w:r>
        <w:rPr>
          <w:rStyle w:val="Satznummer"/>
        </w:rPr>
        <w:t>4</w:t>
      </w:r>
      <w:r>
        <w:t>Die Datenübermittlung der auszahlenden Stelle hat abweichend von § 93c Absatz 1 Nummer 1 der Abgabenordnung spätestens bis zum 30. April des auf den Zufluss des Kapitalertrages folgenden Kalenderjahres zu erfolgen.</w:t>
      </w:r>
    </w:p>
    <w:p>
      <w:r>
        <w:t xml:space="preserve">(7) </w:t>
      </w:r>
      <w:r>
        <w:rPr>
          <w:rStyle w:val="Satznummer"/>
        </w:rPr>
        <w:t>1</w:t>
      </w:r>
      <w:r>
        <w:t xml:space="preserve">Die inländischen und ausländischen Zwischenverwahrstellen sowie die Depotbank und der Treuhänder, die die Wertpapiere für den Gläubiger der Kapitalerträge unmittelbar verwahren, sind für die Zwecke der Absätze 2 bis 5 verpflichtet, ihrer jeweiligen Verwahrstelle die Angaben nach Absatz 2 Satz 1 Nummer 2 bis 6 vollständig und richtig mitzuteilen. </w:t>
      </w:r>
      <w:r>
        <w:rPr>
          <w:rStyle w:val="Satznummer"/>
        </w:rPr>
        <w:t>2</w:t>
      </w:r>
      <w:r>
        <w:t xml:space="preserve">Die Angaben nach Absatz 2 Satz 1 Nummer 4 Buchstabe d und e sind durch die auszahlende Stelle zu ergänzen. </w:t>
      </w:r>
      <w:r>
        <w:rPr>
          <w:rStyle w:val="Satznummer"/>
        </w:rPr>
        <w:t>3</w:t>
      </w:r>
      <w:r>
        <w:t xml:space="preserve">Die Bescheinigung nach </w:t>
      </w:r>
      <w:hyperlink w:anchor="b176" w:history="1">
        <w:r>
          <w:rPr>
            <w:color w:val="0A3A8C"/>
            <w:u w:val="single"/>
          </w:rPr>
          <w:t xml:space="preserve">§ 45a</w:t>
        </w:r>
      </w:hyperlink>
      <w:r>
        <w:t xml:space="preserve"> Absatz 2 darf erst erteilt und die Angaben gemäß </w:t>
      </w:r>
      <w:hyperlink w:anchor="b176" w:history="1">
        <w:r>
          <w:rPr>
            <w:color w:val="0A3A8C"/>
            <w:u w:val="single"/>
          </w:rPr>
          <w:t xml:space="preserve">§ 45a</w:t>
        </w:r>
      </w:hyperlink>
      <w:r>
        <w:t xml:space="preserve"> Absatz 2a dürfen erst übermittelt werden, wenn der die Kapitalerträge auszahlenden Stelle die Angaben nach Absatz 2 Satz 1 vollständig vorliegen.</w:t>
      </w:r>
    </w:p>
    <w:p>
      <w:r>
        <w:t>(8) In den Fällen der Absätze 4 bis 6 gilt Folgendes:</w:t>
      </w:r>
    </w:p>
    <w:p>
      <w:pPr>
        <w:tabs>
          <w:tab w:pos="567" w:val="left"/>
        </w:tabs>
        <w:ind w:left="567" w:hanging="567"/>
      </w:pPr>
      <w:r>
        <w:t>1.</w:t>
      </w:r>
      <w:r>
        <w:tab/>
      </w:r>
      <w:r>
        <w:t>§ 93c Absatz 3 der Abgabenordnung ist mit der Maßgabe anzuwenden, dass der übermittelte Datensatz unabhängig davon zu korrigieren oder zu stornieren ist, wann die die Kapitalerträge auszahlende Stelle die Feststellung im Sinne des § 93c Absatz 3 Satz 1 Nummer 1 oder Nummer 2 der Abgabenordnung trifft; die die Kapitalerträge auszahlende Stelle ist unabhängig von der in § 93c Absatz 3 der Abgabenordnung genannten Frist verpflichtet, einen Datensatz zu übermitteln, wenn sie nachträglich erkennt, dass sie zur Übermittlung eines Datensatzes verpflichtet war und der Datensatz nicht übermittelt wurde;</w:t>
      </w:r>
    </w:p>
    <w:p>
      <w:pPr>
        <w:tabs>
          <w:tab w:pos="567" w:val="left"/>
        </w:tabs>
        <w:ind w:left="567" w:hanging="567"/>
      </w:pPr>
      <w:r>
        <w:t>2.</w:t>
      </w:r>
      <w:r>
        <w:tab/>
      </w:r>
      <w:r>
        <w:t>§ 171 Absatz 10a der Abgabenordnung ist mit der Maßgabe anzuwenden, dass die Festsetzungsfrist unabhängig vom Zeitpunkt des Zugangs der Daten bei dem Bundeszentralamt für Steuern nicht vor Ablauf von zwei Jahren nach Zugang der Daten endet.</w:t>
      </w:r>
    </w:p>
    <w:p>
      <w:r>
        <w:t>(9) Inländische börsennotierte Gesellschaften haben gemäß § 67d des Aktiengesetzes Informationen über die Identität ihrer Aktionäre zum Zeitpunkt ihres Gewinnverteilungsbeschlusses zu verlangen und die ihnen übermittelten Informationen elektronisch nach Maßgabe des § 93c der Abgabenordnung unverzüglich elektronisch an das Bundeszentralamt für Steuern zu übermitteln.</w:t>
      </w:r>
    </w:p>
    <w:p>
      <w:r>
        <w:t xml:space="preserve">(10) </w:t>
      </w:r>
      <w:r>
        <w:rPr>
          <w:rStyle w:val="Satznummer"/>
        </w:rPr>
        <w:t>1</w:t>
      </w:r>
      <w:r>
        <w:t xml:space="preserve">Das Bundeszentralamt für Steuern speichert die nach den Absätzen 4 bis 6 und 9 übermittelten Daten zur Ermittlung der auf die Kapitalerträge einbehaltenen und abgeführten Kapitalertragsteuer und analysiert diese im Hinblick auf missbräuchliche Steuergestaltungsmodelle, die die Erlangung eines Steuervorteils aus der Erhebung oder Entlastung von Kapitalertragsteuer mit erheblicher Bedeutung zum Gegenstand haben. </w:t>
      </w:r>
      <w:r>
        <w:rPr>
          <w:rStyle w:val="Satznummer"/>
        </w:rPr>
        <w:t>2</w:t>
      </w:r>
      <w:r>
        <w:t>Es darf dazu auch ihm nach Maßgabe dieser Absätze übermittelte personenbezogene Daten verarbeiten, soweit dies zur Erfüllung der Aufgabe nach Satz 1 erforderlich ist.</w:t>
      </w:r>
    </w:p>
    <w:p>
      <w:pPr>
        <w:pStyle w:val="Heading3"/>
      </w:pPr>
      <w:bookmarkStart w:id="179" w:name="b178"/>
      <w:r>
        <w:t>§ 45c Zusammengefasste Mitteilung zur Bescheinigung und Abführung der Kapitalertragsteuer</w:t>
      </w:r>
      <w:r>
        <w:t xml:space="preserve"> </w:t>
      </w:r>
      <w:r>
        <w:rPr>
          <w:rStyle w:val="Suchmarke"/>
        </w:rPr>
        <w:t>#45c#</w:t>
      </w:r>
      <w:bookmarkEnd w:id="179"/>
    </w:p>
    <w:p>
      <w:r>
        <w:t xml:space="preserve">(1) </w:t>
      </w:r>
      <w:r>
        <w:rPr>
          <w:rStyle w:val="Satznummer"/>
        </w:rPr>
        <w:t>1</w:t>
      </w:r>
      <w:r>
        <w:t>Die die Kapitalerträge auszahlende Stelle hat dem Bundeszentralamt für Steuern bis zum 31. Juli des auf den Zufluss der Kapitalerträge folgenden Kalenderjahres folgende Daten zu übermitteln:</w:t>
      </w:r>
    </w:p>
    <w:p>
      <w:pPr>
        <w:tabs>
          <w:tab w:pos="567" w:val="left"/>
        </w:tabs>
        <w:ind w:left="567" w:hanging="567"/>
      </w:pPr>
      <w:r>
        <w:t>1.</w:t>
      </w:r>
      <w:r>
        <w:tab/>
      </w:r>
      <w:r>
        <w:t xml:space="preserve">die Summe der in einem Kalenderjahr je Wertpapiergattung und Zahlungstag durch die die Kapitalerträge auszahlende Stelle berücksichtigten Bruttoerträge im Sinne des </w:t>
      </w:r>
      <w:hyperlink w:anchor="b169" w:history="1">
        <w:r>
          <w:rPr>
            <w:color w:val="0A3A8C"/>
            <w:u w:val="single"/>
          </w:rPr>
          <w:t xml:space="preserve">§ 43</w:t>
        </w:r>
      </w:hyperlink>
      <w:r>
        <w:t xml:space="preserve"> Absatz 1 Satz 1 Nummer 1a und 2 Satz 4;</w:t>
      </w:r>
    </w:p>
    <w:p>
      <w:pPr>
        <w:tabs>
          <w:tab w:pos="567" w:val="left"/>
        </w:tabs>
        <w:ind w:left="567" w:hanging="567"/>
      </w:pPr>
      <w:r>
        <w:t>2.</w:t>
      </w:r>
      <w:r>
        <w:tab/>
      </w:r>
      <w:r>
        <w:t>den Betrag der auf diese Kapitalerträge einbehaltenen und abgeführten Kapitalertragsteuer und den Betrag der einbehaltenen und abgeführten Zuschlagsteuern;</w:t>
      </w:r>
    </w:p>
    <w:p>
      <w:pPr>
        <w:tabs>
          <w:tab w:pos="567" w:val="left"/>
        </w:tabs>
        <w:ind w:left="567" w:hanging="567"/>
      </w:pPr>
      <w:r>
        <w:t>3.</w:t>
      </w:r>
      <w:r>
        <w:tab/>
      </w:r>
      <w:r>
        <w:t xml:space="preserve">die für diese Kapitalerträge nach </w:t>
      </w:r>
      <w:hyperlink w:anchor="b176" w:history="1">
        <w:r>
          <w:rPr>
            <w:color w:val="0A3A8C"/>
            <w:u w:val="single"/>
          </w:rPr>
          <w:t xml:space="preserve">§ 45a</w:t>
        </w:r>
      </w:hyperlink>
      <w:r>
        <w:t xml:space="preserve"> Absatz 2 bescheinigte oder gemäß </w:t>
      </w:r>
      <w:hyperlink w:anchor="b176" w:history="1">
        <w:r>
          <w:rPr>
            <w:color w:val="0A3A8C"/>
            <w:u w:val="single"/>
          </w:rPr>
          <w:t xml:space="preserve">§ 45a</w:t>
        </w:r>
      </w:hyperlink>
      <w:r>
        <w:t xml:space="preserve"> Absatz 2a angegebene Kapitalertragsteuer und Zuschlagsteuern; sind die Kapitalerträge nach Maßgabe des </w:t>
      </w:r>
      <w:hyperlink w:anchor="b170" w:history="1">
        <w:r>
          <w:rPr>
            <w:color w:val="0A3A8C"/>
            <w:u w:val="single"/>
          </w:rPr>
          <w:t xml:space="preserve">§ 43a</w:t>
        </w:r>
      </w:hyperlink>
      <w:r>
        <w:t xml:space="preserve"> Absatz 3 Satz 2 mit negativen Kapitalerträgen auszugleichen, sind der Betrag der einbehaltenen und auf die Kapitalerträge entfallenden Kapitalertragsteuer vor Durchführung des Verlustausgleiches und vor Berücksichtigung des Sparer-Pauschbetrages sowie der Betrag der darauf entfallenden Zuschlagsteuern zu übermitteln;</w:t>
      </w:r>
    </w:p>
    <w:p>
      <w:pPr>
        <w:tabs>
          <w:tab w:pos="567" w:val="left"/>
        </w:tabs>
        <w:ind w:left="567" w:hanging="567"/>
      </w:pPr>
      <w:r>
        <w:t>4.</w:t>
      </w:r>
      <w:r>
        <w:tab/>
      </w:r>
      <w:r>
        <w:t>die diesen Kapitalerträgen zugrunde liegende Stückzahl der Wertpapiere und</w:t>
      </w:r>
    </w:p>
    <w:p>
      <w:pPr>
        <w:tabs>
          <w:tab w:pos="567" w:val="left"/>
        </w:tabs>
        <w:ind w:left="567" w:hanging="567"/>
      </w:pPr>
      <w:r>
        <w:t>5.</w:t>
      </w:r>
      <w:r>
        <w:tab/>
      </w:r>
      <w:r>
        <w:t>die Bezeichnung und die Internationale Wertpapierkennnummer der Wertpapiergattung.</w:t>
      </w:r>
    </w:p>
    <w:p>
      <w:r>
        <w:rPr>
          <w:rStyle w:val="Satznummer"/>
        </w:rPr>
        <w:t>2</w:t>
      </w:r>
      <w:r>
        <w:t xml:space="preserve">Satz 1 gilt entsprechend für die Summe der gutgeschriebenen Kapitalerträge, bei denen ein Steuerabzug nicht oder nicht in voller Höhe vorgenommen wurde. </w:t>
      </w:r>
      <w:r>
        <w:rPr>
          <w:rStyle w:val="Satznummer"/>
        </w:rPr>
        <w:t>3</w:t>
      </w:r>
      <w:r>
        <w:t>Die Rechtsgrundlage für die Abstandnahme vom Steuerabzug und die darauf entfallenden Beträge sind anzugeben.</w:t>
      </w:r>
    </w:p>
    <w:p>
      <w:r>
        <w:t xml:space="preserve">(2) </w:t>
      </w:r>
      <w:r>
        <w:rPr>
          <w:rStyle w:val="Satznummer"/>
        </w:rPr>
        <w:t>1</w:t>
      </w:r>
      <w:r>
        <w:t>Die inländische Wertpapiersammelbank hat dem Bundeszentralamt für Steuern bis zum 31. Juli des auf den Zufluss der Kapitalerträge folgenden Kalenderjahres folgende Daten je Wertpapiergattung und Kundendepot unter Angabe der Internationalen Wertpapierkennnummer und der Stückzahl der Wertpapiere zu übermitteln:</w:t>
      </w:r>
    </w:p>
    <w:p>
      <w:pPr>
        <w:tabs>
          <w:tab w:pos="567" w:val="left"/>
        </w:tabs>
        <w:ind w:left="567" w:hanging="567"/>
      </w:pPr>
      <w:r>
        <w:t>1.</w:t>
      </w:r>
      <w:r>
        <w:tab/>
      </w:r>
      <w:r>
        <w:t xml:space="preserve">die in </w:t>
      </w:r>
      <w:hyperlink w:anchor="b177" w:history="1">
        <w:r>
          <w:rPr>
            <w:color w:val="0A3A8C"/>
            <w:u w:val="single"/>
          </w:rPr>
          <w:t xml:space="preserve">§ 45b</w:t>
        </w:r>
      </w:hyperlink>
      <w:r>
        <w:t xml:space="preserve"> Absatz 2 Nummer 1 genannten Angaben zum Depotinhaber; verfügt der Depotinhaber nicht über eine inländische Steuernummer, so ist die durch seinen Ansässigkeitsstaat vergebene Steueridentifikationsnummer anzugeben;</w:t>
      </w:r>
    </w:p>
    <w:p>
      <w:pPr>
        <w:tabs>
          <w:tab w:pos="567" w:val="left"/>
        </w:tabs>
        <w:ind w:left="567" w:hanging="567"/>
      </w:pPr>
      <w:r>
        <w:t>2.</w:t>
      </w:r>
      <w:r>
        <w:tab/>
      </w:r>
      <w:r>
        <w:t>die Konto- oder Depotnummer;</w:t>
      </w:r>
    </w:p>
    <w:p>
      <w:pPr>
        <w:tabs>
          <w:tab w:pos="567" w:val="left"/>
        </w:tabs>
        <w:ind w:left="567" w:hanging="567"/>
      </w:pPr>
      <w:r>
        <w:t>3.</w:t>
      </w:r>
      <w:r>
        <w:tab/>
      </w:r>
      <w:r>
        <w:t xml:space="preserve">die Summe der in einem Kalenderjahr am Zahlungstag gutgeschriebenen Kapitalerträge im Sinne des </w:t>
      </w:r>
      <w:hyperlink w:anchor="b169" w:history="1">
        <w:r>
          <w:rPr>
            <w:color w:val="0A3A8C"/>
            <w:u w:val="single"/>
          </w:rPr>
          <w:t xml:space="preserve">§ 43</w:t>
        </w:r>
      </w:hyperlink>
      <w:r>
        <w:t xml:space="preserve"> Absatz 1 Satz 1 Nummer 1a und 2 Satz 4, die auf Grund eines gebuchten Bestandes am Dividendenstichtag gutgeschrieben wurden;</w:t>
      </w:r>
    </w:p>
    <w:p>
      <w:pPr>
        <w:tabs>
          <w:tab w:pos="567" w:val="left"/>
        </w:tabs>
        <w:ind w:left="567" w:hanging="567"/>
      </w:pPr>
      <w:r>
        <w:t>4.</w:t>
      </w:r>
      <w:r>
        <w:tab/>
      </w:r>
      <w:r>
        <w:t>die Summe der in einem Kalenderjahr gutgeschriebenen Kompensationszahlungen;</w:t>
      </w:r>
    </w:p>
    <w:p>
      <w:pPr>
        <w:tabs>
          <w:tab w:pos="567" w:val="left"/>
        </w:tabs>
        <w:ind w:left="567" w:hanging="567"/>
      </w:pPr>
      <w:r>
        <w:t>5.</w:t>
      </w:r>
      <w:r>
        <w:tab/>
      </w:r>
      <w:r>
        <w:t>die Summe der in einem Kalenderjahr belasteten Kompensationszahlungen;</w:t>
      </w:r>
    </w:p>
    <w:p>
      <w:pPr>
        <w:tabs>
          <w:tab w:pos="567" w:val="left"/>
        </w:tabs>
        <w:ind w:left="567" w:hanging="567"/>
      </w:pPr>
      <w:r>
        <w:t>6.</w:t>
      </w:r>
      <w:r>
        <w:tab/>
      </w:r>
      <w:r>
        <w:t>den Saldo aus der Summe der gutgeschriebenen Kapitalerträge zuzüglich der Summe der gutgeschriebenen Kompensationszahlungen und der Summe der belasteten Kompensationszahlungen;</w:t>
      </w:r>
    </w:p>
    <w:p>
      <w:pPr>
        <w:tabs>
          <w:tab w:pos="567" w:val="left"/>
        </w:tabs>
        <w:ind w:left="567" w:hanging="567"/>
      </w:pPr>
      <w:r>
        <w:t>7.</w:t>
      </w:r>
      <w:r>
        <w:tab/>
      </w:r>
      <w:r>
        <w:t>den Betrag der einbehaltenen und abgeführten Kapitalertragsteuer und den Betrag der einbehaltenen und abgeführten Zuschlagsteuern auf die Beträge nach den Nummern 3 und 4;</w:t>
      </w:r>
    </w:p>
    <w:p>
      <w:pPr>
        <w:tabs>
          <w:tab w:pos="567" w:val="left"/>
        </w:tabs>
        <w:ind w:left="567" w:hanging="567"/>
      </w:pPr>
      <w:r>
        <w:t>8.</w:t>
      </w:r>
      <w:r>
        <w:tab/>
      </w:r>
      <w:r>
        <w:t>die Stückzahl der Wertpapiere, für die die Wertpapiersammelbank keine Dividendenregulierung vorgenommen hat.</w:t>
      </w:r>
    </w:p>
    <w:p>
      <w:r>
        <w:rPr>
          <w:rStyle w:val="Satznummer"/>
        </w:rPr>
        <w:t>2</w:t>
      </w:r>
      <w:r>
        <w:t xml:space="preserve">Die Pflicht zur Datenübermittlung nach Satz 1 mit Ausnahme der Angabe nach Satz 1 Nummer 8 gilt entsprechend für die die Kapitalerträge auszahlenden Stellen nach </w:t>
      </w:r>
      <w:hyperlink w:anchor="b172" w:history="1">
        <w:r>
          <w:rPr>
            <w:color w:val="0A3A8C"/>
            <w:u w:val="single"/>
          </w:rPr>
          <w:t xml:space="preserve">§ 44</w:t>
        </w:r>
      </w:hyperlink>
      <w:r>
        <w:t xml:space="preserve"> Absatz 1 Satz 4 Nummer 3. </w:t>
      </w:r>
      <w:r>
        <w:rPr>
          <w:rStyle w:val="Satznummer"/>
        </w:rPr>
        <w:t>3</w:t>
      </w:r>
      <w:r>
        <w:t xml:space="preserve">Dem Bundeszentralamt für Steuern sind bis zum 31. Juli des auf die Abführung des Steuerbetrages folgenden Kalenderjahres der Betrag der nach </w:t>
      </w:r>
      <w:hyperlink w:anchor="b172" w:history="1">
        <w:r>
          <w:rPr>
            <w:color w:val="0A3A8C"/>
            <w:u w:val="single"/>
          </w:rPr>
          <w:t xml:space="preserve">§ 44</w:t>
        </w:r>
      </w:hyperlink>
      <w:r>
        <w:t xml:space="preserve"> Absatz 1a abgeführten Kapitalertragsteuer sowie die nach </w:t>
      </w:r>
      <w:hyperlink w:anchor="b176" w:history="1">
        <w:r>
          <w:rPr>
            <w:color w:val="0A3A8C"/>
            <w:u w:val="single"/>
          </w:rPr>
          <w:t xml:space="preserve">§ 45a</w:t>
        </w:r>
      </w:hyperlink>
      <w:r>
        <w:t xml:space="preserve"> Absatz 2 Satz 1 Nummer 3 bescheinigten Angaben zu übermitteln.</w:t>
      </w:r>
    </w:p>
    <w:p>
      <w:r>
        <w:t xml:space="preserve">(3) </w:t>
      </w:r>
      <w:r>
        <w:rPr>
          <w:rStyle w:val="Satznummer"/>
        </w:rPr>
        <w:t>1</w:t>
      </w:r>
      <w:r>
        <w:t xml:space="preserve">§ 93c der Abgabenordnung ist mit Ausnahme von dessen Absatz 1 Nummer 2 Buchstabe c und d und Nummer 3 entsprechend anzuwenden. </w:t>
      </w:r>
      <w:r>
        <w:rPr>
          <w:rStyle w:val="Satznummer"/>
        </w:rPr>
        <w:t>2</w:t>
      </w:r>
      <w:hyperlink w:anchor="b177" w:history="1">
        <w:r>
          <w:rPr>
            <w:color w:val="0A3A8C"/>
            <w:u w:val="single"/>
          </w:rPr>
          <w:t xml:space="preserve">§ 45b</w:t>
        </w:r>
      </w:hyperlink>
      <w:r>
        <w:t xml:space="preserve"> Absatz 8 gilt entsprechend.</w:t>
      </w:r>
    </w:p>
    <w:p>
      <w:r>
        <w:t xml:space="preserve">(4) </w:t>
      </w:r>
      <w:r>
        <w:rPr>
          <w:rStyle w:val="Satznummer"/>
        </w:rPr>
        <w:t>1</w:t>
      </w:r>
      <w:r>
        <w:t xml:space="preserve">Das Bundeszentralamt für Steuern speichert die ihm nach den Absätzen 1 und 2 übermittelten Daten zur Ermittlung der auf diese Kapitalerträge einbehaltenen und bescheinigten Kapitalertragsteuer und analysiert diese im Hinblick auf missbräuchliche Steuergestaltungsmodelle, die die Erlangung eines Steuervorteils aus der Erhebung oder Entlastung von Kapitalertragsteuer mit erheblicher Bedeutung zum Gegenstand haben. </w:t>
      </w:r>
      <w:r>
        <w:rPr>
          <w:rStyle w:val="Satznummer"/>
        </w:rPr>
        <w:t>2</w:t>
      </w:r>
      <w:r>
        <w:t>Es darf dazu ihm nach Maßgabe der Absätze 1 und 2 übermittelte personenbezogene Daten verarbeiten, soweit dies zur Erfüllung der Aufgabe nach Satz 1 erforderlich ist.</w:t>
      </w:r>
    </w:p>
    <w:p>
      <w:pPr>
        <w:pStyle w:val="Heading3"/>
      </w:pPr>
      <w:bookmarkStart w:id="180" w:name="b179"/>
      <w:r>
        <w:t>§ 45d Mitteilungen an das Bundeszentralamt für Steuern</w:t>
      </w:r>
      <w:r>
        <w:t xml:space="preserve"> </w:t>
      </w:r>
      <w:r>
        <w:rPr>
          <w:rStyle w:val="Suchmarke"/>
        </w:rPr>
        <w:t>#45d#</w:t>
      </w:r>
      <w:bookmarkEnd w:id="180"/>
    </w:p>
    <w:p>
      <w:r>
        <w:t xml:space="preserve">(1) </w:t>
      </w:r>
      <w:r>
        <w:rPr>
          <w:rStyle w:val="Satznummer"/>
        </w:rPr>
        <w:t>1</w:t>
      </w:r>
      <w:r>
        <w:t xml:space="preserve">Wer nach </w:t>
      </w:r>
      <w:hyperlink w:anchor="b172" w:history="1">
        <w:r>
          <w:rPr>
            <w:color w:val="0A3A8C"/>
            <w:u w:val="single"/>
          </w:rPr>
          <w:t xml:space="preserve">§ 44</w:t>
        </w:r>
      </w:hyperlink>
      <w:r>
        <w:t xml:space="preserve"> Absatz 1 dieses Gesetzes und nach § 7 des Investmentsteuergesetzes zum Steuerabzug verpflichtet ist, hat dem Bundeszentralamt für Steuern nach Maßgabe des § 93c der Abgabenordnung neben den in § 93c Absatz 1 der Abgabenordnung genannten Angaben folgende Daten zu übermitteln:</w:t>
      </w:r>
    </w:p>
    <w:p>
      <w:pPr>
        <w:tabs>
          <w:tab w:pos="567" w:val="left"/>
        </w:tabs>
        <w:ind w:left="567" w:hanging="567"/>
      </w:pPr>
      <w:r>
        <w:t>1.</w:t>
      </w:r>
      <w:r>
        <w:tab/>
      </w:r>
      <w:r>
        <w:t>bei den Kapitalerträgen, für die ein Freistellungsauftrag erteilt worden ist,</w:t>
      </w:r>
    </w:p>
    <w:p>
      <w:pPr>
        <w:tabs>
          <w:tab w:pos="1134" w:val="left"/>
        </w:tabs>
        <w:ind w:left="1134" w:hanging="567"/>
      </w:pPr>
      <w:r>
        <w:t>a)</w:t>
      </w:r>
      <w:r>
        <w:tab/>
      </w:r>
      <w:r>
        <w:t xml:space="preserve">die Kapitalerträge, bei denen vom Steuerabzug Abstand genommen worden ist oder bei denen Kapitalertragsteuer auf Grund des Freistellungsauftrags gemäß </w:t>
      </w:r>
      <w:hyperlink w:anchor="b174" w:history="1">
        <w:r>
          <w:rPr>
            <w:color w:val="0A3A8C"/>
            <w:u w:val="single"/>
          </w:rPr>
          <w:t xml:space="preserve">§ 44b</w:t>
        </w:r>
      </w:hyperlink>
      <w:r>
        <w:t xml:space="preserve"> Absatz 6 Satz 4 dieses Gesetzes oder gemäß § 7 Absatz 5 Satz 1 des Investmentsteuergesetzes erstattet wurde,</w:t>
      </w:r>
    </w:p>
    <w:p>
      <w:pPr>
        <w:tabs>
          <w:tab w:pos="1134" w:val="left"/>
        </w:tabs>
        <w:ind w:left="1134" w:hanging="567"/>
      </w:pPr>
      <w:r>
        <w:t>b)</w:t>
      </w:r>
      <w:r>
        <w:tab/>
      </w:r>
      <w:r>
        <w:t>die Kapitalerträge, bei denen die Erstattung von Kapitalertragsteuer beim Bundeszentralamt für Steuern beantragt worden ist,</w:t>
      </w:r>
    </w:p>
    <w:p>
      <w:pPr>
        <w:tabs>
          <w:tab w:pos="567" w:val="left"/>
        </w:tabs>
        <w:ind w:left="567" w:hanging="567"/>
      </w:pPr>
      <w:r>
        <w:t>2.</w:t>
      </w:r>
      <w:r>
        <w:tab/>
      </w:r>
      <w:r>
        <w:t>die Kapitalerträge, bei denen auf Grund einer Nichtveranlagungs-Bescheinigung einer natürlichen Person nach § 44a Absatz 2 Satz 1 Nummer 2 vom Steuerabzug Abstand genommen oder eine Erstattung vorgenommen wurde.</w:t>
      </w:r>
    </w:p>
    <w:p>
      <w:r>
        <w:rPr>
          <w:rStyle w:val="Satznummer"/>
        </w:rPr>
        <w:t>2</w:t>
      </w:r>
      <w:r>
        <w:t xml:space="preserve">Bei einem gemeinsamen Freistellungsauftrag sind die Daten beider Ehegatten zu übermitteln. </w:t>
      </w:r>
      <w:r>
        <w:rPr>
          <w:rStyle w:val="Satznummer"/>
        </w:rPr>
        <w:t>3</w:t>
      </w:r>
      <w:r>
        <w:t>§ 72a Absatz 4, § 93c Absatz 1 Nummer 3 und § 203a der Abgabenordnung finden keine Anwendung.</w:t>
      </w:r>
    </w:p>
    <w:p>
      <w:r>
        <w:t xml:space="preserve">(2) </w:t>
      </w:r>
      <w:r>
        <w:rPr>
          <w:rStyle w:val="Satznummer"/>
        </w:rPr>
        <w:t>1</w:t>
      </w:r>
      <w:r>
        <w:t xml:space="preserve">Das Bundeszentralamt für Steuern darf den Sozialleistungsträgern die Daten nach Absatz 1 mitteilen, soweit dies zur Überprüfung des bei der Sozialleistung zu berücksichtigenden Einkommens oder Vermögens erforderlich ist oder die betroffene Person zustimmt. </w:t>
      </w:r>
      <w:r>
        <w:rPr>
          <w:rStyle w:val="Satznummer"/>
        </w:rPr>
        <w:t>2</w:t>
      </w:r>
      <w:r>
        <w:t>Für Zwecke des Satzes 1 ist das Bundeszentralamt für Steuern berechtigt, die ihm von den Sozialleistungsträgern übermittelten Daten mit den vorhandenen Daten nach Absatz 1 im Wege des automatisierten Datenabgleichs zu überprüfen und das Ergebnis den Sozialleistungsträgern mitzuteilen.</w:t>
      </w:r>
    </w:p>
    <w:p>
      <w:r>
        <w:t>(3) (weggefallen)</w:t>
      </w:r>
    </w:p>
    <w:p>
      <w:pPr>
        <w:pStyle w:val="Heading3"/>
      </w:pPr>
      <w:bookmarkStart w:id="181" w:name="b180"/>
      <w:r>
        <w:t>§ 45e Ermächtigung für Zinsinformationsverordnung</w:t>
      </w:r>
      <w:r>
        <w:t xml:space="preserve"> </w:t>
      </w:r>
      <w:r>
        <w:rPr>
          <w:rStyle w:val="Suchmarke"/>
        </w:rPr>
        <w:t>#45e#</w:t>
      </w:r>
      <w:bookmarkEnd w:id="181"/>
    </w:p>
    <w:p>
      <w:r>
        <w:rPr>
          <w:rStyle w:val="Satznummer"/>
        </w:rPr>
        <w:t>1</w:t>
      </w:r>
      <w:r>
        <w:t xml:space="preserve">Die Bundesregierung wird ermächtigt, durch Rechtsverordnung mit Zustimmung des Bundesrates die Richtlinie 2003/48/EG des Rates vom 3. Juni 2003 (ABl. EU Nr. L 157 S. 38) in der jeweils geltenden Fassung im Bereich der Besteuerung von Zinserträgen umzusetzen. </w:t>
      </w:r>
      <w:r>
        <w:rPr>
          <w:rStyle w:val="Satznummer"/>
        </w:rPr>
        <w:t>2</w:t>
      </w:r>
      <w:hyperlink w:anchor="b179" w:history="1">
        <w:r>
          <w:rPr>
            <w:color w:val="0A3A8C"/>
            <w:u w:val="single"/>
          </w:rPr>
          <w:t xml:space="preserve">§ 45d</w:t>
        </w:r>
      </w:hyperlink>
      <w:r>
        <w:t xml:space="preserve"> Absatz 1 Satz 2 und Absatz 2 ist entsprechend anzuwenden.</w:t>
      </w:r>
    </w:p>
    <w:p>
      <w:pPr>
        <w:pStyle w:val="Heading2"/>
      </w:pPr>
      <w:bookmarkStart w:id="182" w:name="b181"/>
      <w:r>
        <w:t>4. Veranlagung von Steuerpflichtigen mit steuerabzugspflichtigen Einkünften</w:t>
      </w:r>
      <w:bookmarkEnd w:id="182"/>
    </w:p>
    <w:p>
      <w:pPr>
        <w:pStyle w:val="Heading3"/>
      </w:pPr>
      <w:bookmarkStart w:id="183" w:name="b182"/>
      <w:r>
        <w:t>§ 46 Veranlagung bei Bezug von Einkünften aus nichtselbständiger Arbeit</w:t>
      </w:r>
      <w:r>
        <w:t xml:space="preserve"> </w:t>
      </w:r>
      <w:r>
        <w:rPr>
          <w:rStyle w:val="Suchmarke"/>
        </w:rPr>
        <w:t>#46#</w:t>
      </w:r>
      <w:bookmarkEnd w:id="183"/>
    </w:p>
    <w:p>
      <w:r>
        <w:t>(1) (weggefallen)</w:t>
      </w:r>
    </w:p>
    <w:p>
      <w:r>
        <w:t>(2) Besteht das Einkommen ganz oder teilweise aus Einkünften aus nichtselbständiger Arbeit, von denen ein Steuerabzug vorgenommen worden ist, so wird eine Veranlagung nur durchgeführt,</w:t>
      </w:r>
    </w:p>
    <w:p>
      <w:pPr>
        <w:tabs>
          <w:tab w:pos="567" w:val="left"/>
        </w:tabs>
        <w:ind w:left="567" w:hanging="567"/>
      </w:pPr>
      <w:r>
        <w:t>1.</w:t>
      </w:r>
      <w:r>
        <w:tab/>
      </w:r>
      <w:r>
        <w:t xml:space="preserve">wenn die positive Summe der einkommensteuerpflichtigen Einkünfte, die nicht dem Steuerabzug vom Arbeitslohn zu unterwerfen waren, vermindert um die darauf entfallenden Beträge nach </w:t>
      </w:r>
      <w:hyperlink w:anchor="b69" w:history="1">
        <w:r>
          <w:rPr>
            <w:color w:val="0A3A8C"/>
            <w:u w:val="single"/>
          </w:rPr>
          <w:t xml:space="preserve">§ 13</w:t>
        </w:r>
      </w:hyperlink>
      <w:r>
        <w:t xml:space="preserve"> Absatz 3 und </w:t>
      </w:r>
      <w:hyperlink w:anchor="b95" w:history="1">
        <w:r>
          <w:rPr>
            <w:color w:val="0A3A8C"/>
            <w:u w:val="single"/>
          </w:rPr>
          <w:t xml:space="preserve">§ 24a</w:t>
        </w:r>
      </w:hyperlink>
      <w:r>
        <w:t>, oder die positive Summe der Einkünfte und Leistungen, die dem Progressionsvorbehalt unterliegen, jeweils mehr als 410 Euro beträgt;</w:t>
      </w:r>
    </w:p>
    <w:p>
      <w:pPr>
        <w:tabs>
          <w:tab w:pos="567" w:val="left"/>
        </w:tabs>
        <w:ind w:left="567" w:hanging="567"/>
      </w:pPr>
      <w:r>
        <w:t>2.</w:t>
      </w:r>
      <w:r>
        <w:tab/>
      </w:r>
      <w:r>
        <w:t>wenn der Steuerpflichtige nebeneinander von mehreren Arbeitgebern Arbeitslohn bezogen hat; das gilt nicht, soweit nach § 38 Absatz 3a Satz 7 Arbeitslohn von mehreren Arbeitgebern für den Lohnsteuerabzug zusammengerechnet worden ist;</w:t>
      </w:r>
    </w:p>
    <w:p>
      <w:pPr>
        <w:tabs>
          <w:tab w:pos="567" w:val="left"/>
        </w:tabs>
        <w:ind w:left="567" w:hanging="567"/>
      </w:pPr>
      <w:r>
        <w:t>3.</w:t>
      </w:r>
      <w:r>
        <w:tab/>
      </w:r>
      <w:r>
        <w:t xml:space="preserve">wenn Beiträge zu Krankenversicherungen und gesetzlichen Pflegeversicherungen im Sinne des </w:t>
      </w:r>
      <w:hyperlink w:anchor="b51" w:history="1">
        <w:r>
          <w:rPr>
            <w:color w:val="0A3A8C"/>
            <w:u w:val="single"/>
          </w:rPr>
          <w:t xml:space="preserve">§ 10</w:t>
        </w:r>
      </w:hyperlink>
      <w:r>
        <w:t xml:space="preserve"> Absatz 1 Nummer 3 erstattet wurden, die Erstattung mehr als 410 Euro betrug und der im Kalenderjahr erzielte Arbeitslohn höher ist als die Summe aus dem Grundfreibetrag (</w:t>
      </w:r>
      <w:hyperlink w:anchor="b108" w:history="1">
        <w:r>
          <w:rPr>
            <w:color w:val="0A3A8C"/>
            <w:u w:val="single"/>
          </w:rPr>
          <w:t xml:space="preserve">§ 32a</w:t>
        </w:r>
      </w:hyperlink>
      <w:r>
        <w:t xml:space="preserve"> Absatz 1 Satz 2 Nummer 1), dem Arbeitnehmer-Pauschbetrag (§ 9a Satz 1 Nummer 1 Buchstabe a) und dem Sonderausgaben-Pauschbetrag (</w:t>
      </w:r>
      <w:hyperlink w:anchor="b54" w:history="1">
        <w:r>
          <w:rPr>
            <w:color w:val="0A3A8C"/>
            <w:u w:val="single"/>
          </w:rPr>
          <w:t xml:space="preserve">§ 10c</w:t>
        </w:r>
      </w:hyperlink>
      <w:r>
        <w:t xml:space="preserve"> Satz 1) oder bei Ehegatten, die die Voraussetzungen des </w:t>
      </w:r>
      <w:hyperlink w:anchor="b99" w:history="1">
        <w:r>
          <w:rPr>
            <w:color w:val="0A3A8C"/>
            <w:u w:val="single"/>
          </w:rPr>
          <w:t xml:space="preserve">§ 26</w:t>
        </w:r>
      </w:hyperlink>
      <w:r>
        <w:t xml:space="preserve"> Absatz 1 erfüllen, höher ist als die Summe aus dem doppelten Grundfreibetrag, dem Arbeitnehmer-Pauschbetrag und dem doppelten Sonderausgaben-Pauschbetrag;</w:t>
      </w:r>
    </w:p>
    <w:p>
      <w:pPr>
        <w:tabs>
          <w:tab w:pos="567" w:val="left"/>
        </w:tabs>
        <w:ind w:left="567" w:hanging="567"/>
      </w:pPr>
      <w:r>
        <w:t>3a.</w:t>
      </w:r>
      <w:r>
        <w:tab/>
      </w:r>
      <w:r>
        <w:t xml:space="preserve">wenn von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zu veranlagen sind, beide Arbeitslohn bezogen haben und einer für den Veranlagungszeitraum oder einen Teil davon nach der Steuerklasse V oder VI besteuert oder bei Steuerklasse IV der Faktor (</w:t>
      </w:r>
      <w:hyperlink w:anchor="b153" w:history="1">
        <w:r>
          <w:rPr>
            <w:color w:val="0A3A8C"/>
            <w:u w:val="single"/>
          </w:rPr>
          <w:t xml:space="preserve">§ 39f</w:t>
        </w:r>
      </w:hyperlink>
      <w:r>
        <w:t>) eingetragen worden ist;</w:t>
      </w:r>
    </w:p>
    <w:p>
      <w:pPr>
        <w:tabs>
          <w:tab w:pos="567" w:val="left"/>
        </w:tabs>
        <w:ind w:left="567" w:hanging="567"/>
      </w:pPr>
      <w:r>
        <w:t>4.</w:t>
      </w:r>
      <w:r>
        <w:tab/>
      </w:r>
      <w:r>
        <w:t xml:space="preserve">wenn für einen Steuerpflichtigen ein Freibetrag im Sinne des </w:t>
      </w:r>
      <w:hyperlink w:anchor="b148" w:history="1">
        <w:r>
          <w:rPr>
            <w:color w:val="0A3A8C"/>
            <w:u w:val="single"/>
          </w:rPr>
          <w:t xml:space="preserve">§ 39a</w:t>
        </w:r>
      </w:hyperlink>
      <w:r>
        <w:t xml:space="preserve"> Absatz 1 Satz 1 Nummer 1 bis 3, 5 oder Nummer 6 ermittelt worden ist und der im Kalenderjahr insgesamt erzielte Arbeitslohn höher ist als die Summe aus dem Grundfreibetrag (</w:t>
      </w:r>
      <w:hyperlink w:anchor="b108" w:history="1">
        <w:r>
          <w:rPr>
            <w:color w:val="0A3A8C"/>
            <w:u w:val="single"/>
          </w:rPr>
          <w:t xml:space="preserve">§ 32a</w:t>
        </w:r>
      </w:hyperlink>
      <w:r>
        <w:t xml:space="preserve"> Absatz 1 Satz 2 Nummer 1), dem Arbeitnehmer-Pauschbetrag (§ 9a Satz 1 Nummer 1 Buchstabe a) und dem Sonderausgaben- Pauschbetrag (</w:t>
      </w:r>
      <w:hyperlink w:anchor="b54" w:history="1">
        <w:r>
          <w:rPr>
            <w:color w:val="0A3A8C"/>
            <w:u w:val="single"/>
          </w:rPr>
          <w:t xml:space="preserve">§ 10c</w:t>
        </w:r>
      </w:hyperlink>
      <w:r>
        <w:t xml:space="preserve"> Satz 1) oder bei Ehegatten, die die Voraussetzungen des </w:t>
      </w:r>
      <w:hyperlink w:anchor="b99" w:history="1">
        <w:r>
          <w:rPr>
            <w:color w:val="0A3A8C"/>
            <w:u w:val="single"/>
          </w:rPr>
          <w:t xml:space="preserve">§ 26</w:t>
        </w:r>
      </w:hyperlink>
      <w:r>
        <w:t xml:space="preserve"> Absatz 1 erfüllen, höher ist als die Summe aus dem doppelten Grundfreibetrag, dem Arbeitnehmer- Pauschbetrag und dem doppelten Sonderausgaben- Pauschbetrag; dasselbe gilt für einen Steuerpflichtigen, der zum Personenkreis des </w:t>
      </w:r>
      <w:hyperlink w:anchor="b1" w:history="1">
        <w:r>
          <w:rPr>
            <w:color w:val="0A3A8C"/>
            <w:u w:val="single"/>
          </w:rPr>
          <w:t xml:space="preserve">§ 1</w:t>
        </w:r>
      </w:hyperlink>
      <w:r>
        <w:t xml:space="preserve"> Absatz 2 gehört;</w:t>
      </w:r>
    </w:p>
    <w:p>
      <w:pPr>
        <w:tabs>
          <w:tab w:pos="567" w:val="left"/>
        </w:tabs>
        <w:ind w:left="567" w:hanging="567"/>
      </w:pPr>
      <w:r>
        <w:t>4a.</w:t>
      </w:r>
      <w:r>
        <w:tab/>
      </w:r>
      <w:r>
        <w:t xml:space="preserve">wenn bei einem Elternpaar, bei dem die Voraussetzungen des </w:t>
      </w:r>
      <w:hyperlink w:anchor="b99" w:history="1">
        <w:r>
          <w:rPr>
            <w:color w:val="0A3A8C"/>
            <w:u w:val="single"/>
          </w:rPr>
          <w:t xml:space="preserve">§ 26</w:t>
        </w:r>
      </w:hyperlink>
      <w:r>
        <w:t xml:space="preserve"> Absatz 1 Satz 1 nicht vorliegen,</w:t>
      </w:r>
    </w:p>
    <w:p>
      <w:pPr>
        <w:tabs>
          <w:tab w:pos="1134" w:val="left"/>
        </w:tabs>
        <w:ind w:left="1134" w:hanging="567"/>
      </w:pPr>
      <w:r>
        <w:t>a)</w:t>
      </w:r>
      <w:r>
        <w:tab/>
      </w:r>
      <w:r>
        <w:t>bis c) (weggefallen)</w:t>
      </w:r>
    </w:p>
    <w:p>
      <w:pPr>
        <w:tabs>
          <w:tab w:pos="1134" w:val="left"/>
        </w:tabs>
        <w:ind w:left="1134" w:hanging="567"/>
      </w:pPr>
      <w:r>
        <w:t>d)</w:t>
      </w:r>
      <w:r>
        <w:tab/>
      </w:r>
      <w:r>
        <w:t xml:space="preserve">im Fall des </w:t>
      </w:r>
      <w:hyperlink w:anchor="b113" w:history="1">
        <w:r>
          <w:rPr>
            <w:color w:val="0A3A8C"/>
            <w:u w:val="single"/>
          </w:rPr>
          <w:t xml:space="preserve">§ 33a</w:t>
        </w:r>
      </w:hyperlink>
      <w:r>
        <w:t xml:space="preserve"> Absatz 2 Satz 5 das Elternpaar gemeinsam eine Aufteilung des Abzugsbetrags in einem anderen Verhältnis als je zur Hälfte beantragt oder</w:t>
      </w:r>
    </w:p>
    <w:p>
      <w:pPr>
        <w:tabs>
          <w:tab w:pos="1134" w:val="left"/>
        </w:tabs>
        <w:ind w:left="1134" w:hanging="567"/>
      </w:pPr>
      <w:r>
        <w:t>e)</w:t>
      </w:r>
      <w:r>
        <w:tab/>
      </w:r>
      <w:r>
        <w:t xml:space="preserve">im Fall des </w:t>
      </w:r>
      <w:hyperlink w:anchor="b114" w:history="1">
        <w:r>
          <w:rPr>
            <w:color w:val="0A3A8C"/>
            <w:u w:val="single"/>
          </w:rPr>
          <w:t xml:space="preserve">§ 33b</w:t>
        </w:r>
      </w:hyperlink>
      <w:r>
        <w:t xml:space="preserve"> Absatz 5 Satz 3 das Elternpaar gemeinsam eine Aufteilung des Pauschbetrags für Menschen mit Behinderungen oder des Pauschbetrags für Hinterbliebene in einem anderen Verhältnis als je zur Hälfte beantragt.</w:t>
      </w:r>
    </w:p>
    <w:p>
      <w:pPr>
        <w:ind w:left="567"/>
      </w:pPr>
      <w:r>
        <w:rPr>
          <w:rStyle w:val="Satznummer"/>
        </w:rPr>
        <w:t>2</w:t>
      </w:r>
      <w:r>
        <w:t>Die Veranlagungspflicht besteht für jeden Elternteil, der Einkünfte aus nichtselbständiger Arbeit bezogen hat;</w:t>
      </w:r>
    </w:p>
    <w:p>
      <w:pPr>
        <w:tabs>
          <w:tab w:pos="567" w:val="left"/>
        </w:tabs>
        <w:ind w:left="567" w:hanging="567"/>
      </w:pPr>
      <w:r>
        <w:t>5.</w:t>
      </w:r>
      <w:r>
        <w:tab/>
      </w:r>
      <w:r>
        <w:t xml:space="preserve">wenn bei einem Steuerpflichtigen die Lohnsteuer für einen sonstigen Bezug nach </w:t>
      </w:r>
      <w:hyperlink w:anchor="b150" w:history="1">
        <w:r>
          <w:rPr>
            <w:color w:val="0A3A8C"/>
            <w:u w:val="single"/>
          </w:rPr>
          <w:t xml:space="preserve">§ 39c</w:t>
        </w:r>
      </w:hyperlink>
      <w:r>
        <w:t xml:space="preserve"> Absatz 3 ermittelt wurde;</w:t>
      </w:r>
    </w:p>
    <w:p>
      <w:pPr>
        <w:tabs>
          <w:tab w:pos="567" w:val="left"/>
        </w:tabs>
        <w:ind w:left="567" w:hanging="567"/>
      </w:pPr>
      <w:r>
        <w:t>5a.</w:t>
      </w:r>
      <w:r>
        <w:tab/>
      </w:r>
      <w:r>
        <w:t>wenn der Arbeitgeber die Lohnsteuer von einem sonstigen Bezug berechnet hat und dabei der Arbeitslohn aus früheren Dienstverhältnissen des Kalenderjahres außer Betracht geblieben ist (</w:t>
      </w:r>
      <w:hyperlink w:anchor="b149" w:history="1">
        <w:r>
          <w:rPr>
            <w:color w:val="0A3A8C"/>
            <w:u w:val="single"/>
          </w:rPr>
          <w:t xml:space="preserve">§ 39b</w:t>
        </w:r>
      </w:hyperlink>
      <w:r>
        <w:t xml:space="preserve"> Absatz 3 Satz 2, </w:t>
      </w:r>
      <w:hyperlink w:anchor="b157" w:history="1">
        <w:r>
          <w:rPr>
            <w:color w:val="0A3A8C"/>
            <w:u w:val="single"/>
          </w:rPr>
          <w:t xml:space="preserve">§ 41</w:t>
        </w:r>
      </w:hyperlink>
      <w:r>
        <w:t xml:space="preserve"> Absatz 1 Satz 6, Großbuchstabe S);</w:t>
      </w:r>
    </w:p>
    <w:p>
      <w:pPr>
        <w:tabs>
          <w:tab w:pos="567" w:val="left"/>
        </w:tabs>
        <w:ind w:left="567" w:hanging="567"/>
      </w:pPr>
      <w:r>
        <w:t>6.</w:t>
      </w:r>
      <w:r>
        <w:tab/>
      </w:r>
      <w:r>
        <w:t>wenn die Ehe des Arbeitnehmers im Veranlagungszeitraum durch Tod, Scheidung oder Aufhebung aufgelöst worden ist und er oder sein Ehegatte der aufgelösten Ehe im Veranlagungszeitraum wieder geheiratet hat;</w:t>
      </w:r>
    </w:p>
    <w:p>
      <w:pPr>
        <w:tabs>
          <w:tab w:pos="567" w:val="left"/>
        </w:tabs>
        <w:ind w:left="567" w:hanging="567"/>
      </w:pPr>
      <w:r>
        <w:t>7.</w:t>
      </w:r>
      <w:r>
        <w:tab/>
      </w:r>
      <w:r>
        <w:t>wenn</w:t>
      </w:r>
    </w:p>
    <w:p>
      <w:pPr>
        <w:tabs>
          <w:tab w:pos="1134" w:val="left"/>
        </w:tabs>
        <w:ind w:left="1134" w:hanging="567"/>
      </w:pPr>
      <w:r>
        <w:t>a)</w:t>
      </w:r>
      <w:r>
        <w:tab/>
      </w:r>
      <w:r>
        <w:t xml:space="preserve">für einen unbeschränkt Steuerpflichtigen im Sinne des </w:t>
      </w:r>
      <w:hyperlink w:anchor="b1" w:history="1">
        <w:r>
          <w:rPr>
            <w:color w:val="0A3A8C"/>
            <w:u w:val="single"/>
          </w:rPr>
          <w:t xml:space="preserve">§ 1</w:t>
        </w:r>
      </w:hyperlink>
      <w:r>
        <w:t xml:space="preserve"> Absatz 1 bei der Bildung der Lohnsteuerabzugsmerkmale (</w:t>
      </w:r>
      <w:hyperlink w:anchor="b147" w:history="1">
        <w:r>
          <w:rPr>
            <w:color w:val="0A3A8C"/>
            <w:u w:val="single"/>
          </w:rPr>
          <w:t xml:space="preserve">§ 39</w:t>
        </w:r>
      </w:hyperlink>
      <w:r>
        <w:t xml:space="preserve">) ein Ehegatte im Sinne des </w:t>
      </w:r>
      <w:hyperlink w:anchor="b2" w:history="1">
        <w:r>
          <w:rPr>
            <w:color w:val="0A3A8C"/>
            <w:u w:val="single"/>
          </w:rPr>
          <w:t xml:space="preserve">§ 1a</w:t>
        </w:r>
      </w:hyperlink>
      <w:r>
        <w:t xml:space="preserve"> Absatz 1 Nummer 2 berücksichtigt worden ist oder</w:t>
      </w:r>
    </w:p>
    <w:p>
      <w:pPr>
        <w:tabs>
          <w:tab w:pos="1134" w:val="left"/>
        </w:tabs>
        <w:ind w:left="1134" w:hanging="567"/>
      </w:pPr>
      <w:r>
        <w:t>b)</w:t>
      </w:r>
      <w:r>
        <w:tab/>
      </w:r>
      <w:r>
        <w:t xml:space="preserve">für einen Steuerpflichtigen, der zum Personenkreis des </w:t>
      </w:r>
      <w:hyperlink w:anchor="b1" w:history="1">
        <w:r>
          <w:rPr>
            <w:color w:val="0A3A8C"/>
            <w:u w:val="single"/>
          </w:rPr>
          <w:t xml:space="preserve">§ 1</w:t>
        </w:r>
      </w:hyperlink>
      <w:r>
        <w:t xml:space="preserve"> Absatz 3 oder des </w:t>
      </w:r>
      <w:hyperlink w:anchor="b2" w:history="1">
        <w:r>
          <w:rPr>
            <w:color w:val="0A3A8C"/>
            <w:u w:val="single"/>
          </w:rPr>
          <w:t xml:space="preserve">§ 1a</w:t>
        </w:r>
      </w:hyperlink>
      <w:r>
        <w:t xml:space="preserve"> gehört, Lohnsteuerabzugsmerkmale nach </w:t>
      </w:r>
      <w:hyperlink w:anchor="b147" w:history="1">
        <w:r>
          <w:rPr>
            <w:color w:val="0A3A8C"/>
            <w:u w:val="single"/>
          </w:rPr>
          <w:t xml:space="preserve">§ 39</w:t>
        </w:r>
      </w:hyperlink>
      <w:r>
        <w:t xml:space="preserve"> Absatz 2 gebildet worden sind; das nach </w:t>
      </w:r>
      <w:hyperlink w:anchor="b147" w:history="1">
        <w:r>
          <w:rPr>
            <w:color w:val="0A3A8C"/>
            <w:u w:val="single"/>
          </w:rPr>
          <w:t xml:space="preserve">§ 39</w:t>
        </w:r>
      </w:hyperlink>
      <w:r>
        <w:t xml:space="preserve"> Absatz 2 Satz 2 bis 4 zuständige Betriebsstättenfinanzamt ist dann auch für die Veranlagung zuständig;</w:t>
      </w:r>
    </w:p>
    <w:p>
      <w:pPr>
        <w:tabs>
          <w:tab w:pos="567" w:val="left"/>
        </w:tabs>
        <w:ind w:left="567" w:hanging="567"/>
      </w:pPr>
      <w:r>
        <w:t>8.</w:t>
      </w:r>
      <w:r>
        <w:tab/>
      </w:r>
      <w:r>
        <w:t xml:space="preserve">wenn die Veranlagung beantragt wird, insbesondere zur Anrechnung von Lohnsteuer auf die Einkommensteuer. </w:t>
      </w:r>
      <w:r>
        <w:rPr>
          <w:rStyle w:val="Satznummer"/>
        </w:rPr>
        <w:t>2</w:t>
      </w:r>
      <w:r>
        <w:t>Der Antrag ist durch Abgabe einer Einkommensteuererklärung zu stellen;</w:t>
      </w:r>
    </w:p>
    <w:p>
      <w:pPr>
        <w:tabs>
          <w:tab w:pos="567" w:val="left"/>
        </w:tabs>
        <w:ind w:left="567" w:hanging="567"/>
      </w:pPr>
      <w:r>
        <w:t>9.</w:t>
      </w:r>
      <w:r>
        <w:tab/>
      </w:r>
      <w:r>
        <w:t xml:space="preserve">wenn ein Antrag im Sinne der Nummer 8 gestellt wird und daneben beantragt wird, als unbeschränkt Steuerpflichtiger im Sinne des </w:t>
      </w:r>
      <w:hyperlink w:anchor="b1" w:history="1">
        <w:r>
          <w:rPr>
            <w:color w:val="0A3A8C"/>
            <w:u w:val="single"/>
          </w:rPr>
          <w:t xml:space="preserve">§ 1</w:t>
        </w:r>
      </w:hyperlink>
      <w:r>
        <w:t xml:space="preserve"> Absatz 3 behandelt zu werden; die Zuständigkeit liegt beim lohnsteuerlichen Betriebsstättenfinanzamt des Arbeitgebers.</w:t>
      </w:r>
    </w:p>
    <w:p>
      <w:r>
        <w:t xml:space="preserve">(3) </w:t>
      </w:r>
      <w:r>
        <w:rPr>
          <w:rStyle w:val="Satznummer"/>
        </w:rPr>
        <w:t>1</w:t>
      </w:r>
      <w:r>
        <w:t xml:space="preserve">In den Fällen des Absatzes 2 ist ein Betrag in Höhe der einkommensteuerpflichtigen Einkünfte, von denen der Steuerabzug vom Arbeitslohn nicht vorgenommen worden ist und die nicht nach § 32d Absatz 6 der tariflichen Einkommensteuer unterworfen wurden, vom Einkommen abzuziehen, wenn diese Einkünfte insgesamt nicht mehr als 410 Euro betragen. </w:t>
      </w:r>
      <w:r>
        <w:rPr>
          <w:rStyle w:val="Satznummer"/>
        </w:rPr>
        <w:t>2</w:t>
      </w:r>
      <w:r>
        <w:t xml:space="preserve">Der Betrag nach Satz 1 vermindert sich um den Altersentlastungsbetrag, soweit dieser den unter Verwendung des nach </w:t>
      </w:r>
      <w:hyperlink w:anchor="b95" w:history="1">
        <w:r>
          <w:rPr>
            <w:color w:val="0A3A8C"/>
            <w:u w:val="single"/>
          </w:rPr>
          <w:t xml:space="preserve">§ 24a</w:t>
        </w:r>
      </w:hyperlink>
      <w:r>
        <w:t xml:space="preserve"> Satz 5 maßgebenden Prozentsatzes zu ermittelnden Anteil des Arbeitslohns mit Ausnahme der Versorgungsbezüge im Sinne des </w:t>
      </w:r>
      <w:hyperlink w:anchor="b83" w:history="1">
        <w:r>
          <w:rPr>
            <w:color w:val="0A3A8C"/>
            <w:u w:val="single"/>
          </w:rPr>
          <w:t xml:space="preserve">§ 19</w:t>
        </w:r>
      </w:hyperlink>
      <w:r>
        <w:t xml:space="preserve"> Absatz 2 übersteigt, und um den nach </w:t>
      </w:r>
      <w:hyperlink w:anchor="b69" w:history="1">
        <w:r>
          <w:rPr>
            <w:color w:val="0A3A8C"/>
            <w:u w:val="single"/>
          </w:rPr>
          <w:t xml:space="preserve">§ 13</w:t>
        </w:r>
      </w:hyperlink>
      <w:r>
        <w:t xml:space="preserve"> Absatz 3 zu berücksichtigenden Betrag.</w:t>
      </w:r>
    </w:p>
    <w:p>
      <w:r>
        <w:t xml:space="preserve">(4) </w:t>
      </w:r>
      <w:r>
        <w:rPr>
          <w:rStyle w:val="Satznummer"/>
        </w:rPr>
        <w:t>1</w:t>
      </w:r>
      <w:r>
        <w:t xml:space="preserve">Kommt nach Absatz 2 eine Veranlagung zur Einkommensteuer nicht in Betracht, so gilt die Einkommensteuer, die auf die Einkünfte aus nichtselbständiger Arbeit entfällt, für den Steuerpflichtigen durch den Lohnsteuerabzug als abgegolten, soweit er nicht für zuwenig erhobene Lohnsteuer in Anspruch genommen werden kann. </w:t>
      </w:r>
      <w:r>
        <w:rPr>
          <w:rStyle w:val="Satznummer"/>
        </w:rPr>
        <w:t>2</w:t>
      </w:r>
      <w:hyperlink w:anchor="b162" w:history="1">
        <w:r>
          <w:rPr>
            <w:color w:val="0A3A8C"/>
            <w:u w:val="single"/>
          </w:rPr>
          <w:t xml:space="preserve">§ 42b</w:t>
        </w:r>
      </w:hyperlink>
      <w:r>
        <w:t xml:space="preserve"> bleibt unberührt.</w:t>
      </w:r>
    </w:p>
    <w:p>
      <w:r>
        <w:t>(5) Durch Rechtsverordnung kann in den Fällen des Absatzes 2 Nummer 1, in denen die einkommensteuerpflichtigen Einkünfte, von denen der Steuerabzug vom Arbeitslohn nicht vorgenommen worden ist und die nicht nach § 32d Absatz 6 der tariflichen Einkommensteuer unterworfen wurden, den Betrag von 410 Euro übersteigen, die Besteuerung so gemildert werden, dass auf die volle Besteuerung dieser Einkünfte stufenweise übergeleitet wird.</w:t>
      </w:r>
    </w:p>
    <w:p>
      <w:pPr>
        <w:pStyle w:val="Heading3"/>
      </w:pPr>
      <w:bookmarkStart w:id="184" w:name="b183"/>
      <w:r>
        <w:t>§ 47 (weggefallen)</w:t>
      </w:r>
      <w:r>
        <w:t xml:space="preserve"> </w:t>
      </w:r>
      <w:r>
        <w:rPr>
          <w:rStyle w:val="Suchmarke"/>
        </w:rPr>
        <w:t>#47#</w:t>
      </w:r>
      <w:bookmarkEnd w:id="184"/>
    </w:p>
    <w:p>
      <w:r>
        <w:t>-</w:t>
      </w:r>
    </w:p>
    <w:p>
      <w:pPr>
        <w:pStyle w:val="Heading1"/>
      </w:pPr>
      <w:bookmarkStart w:id="185" w:name="b184"/>
      <w:r>
        <w:t>VII. Steuerabzug bei Bauleistungen</w:t>
      </w:r>
      <w:bookmarkEnd w:id="185"/>
    </w:p>
    <w:p>
      <w:pPr>
        <w:pStyle w:val="Heading2"/>
      </w:pPr>
      <w:bookmarkStart w:id="186" w:name="b185"/>
      <w:r>
        <w:t>§ 48 Steuerabzug</w:t>
      </w:r>
      <w:r>
        <w:t xml:space="preserve"> </w:t>
      </w:r>
      <w:r>
        <w:rPr>
          <w:rStyle w:val="Suchmarke"/>
        </w:rPr>
        <w:t>#48#</w:t>
      </w:r>
      <w:bookmarkEnd w:id="186"/>
    </w:p>
    <w:p>
      <w:r>
        <w:t xml:space="preserve">(1) </w:t>
      </w:r>
      <w:r>
        <w:rPr>
          <w:rStyle w:val="Satznummer"/>
        </w:rPr>
        <w:t>1</w:t>
      </w:r>
      <w:r>
        <w:t xml:space="preserve">Erbringt jemand im Inland eine Bauleistung (Leistender) an einen Unternehmer im Sinne des § 2 des Umsatzsteuergesetzes oder an eine juristische Person des öffentlichen Rechts (Leistungsempfänger), ist der Leistungsempfänger verpflichtet, von der Gegenleistung einen Steuerabzug in Höhe von 15 Prozent für Rechnung des Leistenden vorzunehmen. </w:t>
      </w:r>
      <w:r>
        <w:rPr>
          <w:rStyle w:val="Satznummer"/>
        </w:rPr>
        <w:t>2</w:t>
      </w:r>
      <w:r>
        <w:t xml:space="preserve">Vermietet der Leistungsempfänger Wohnungen, so ist Satz 1 nicht auf Bauleistungen für diese Wohnungen anzuwenden, wenn er nicht mehr als zwei Wohnungen vermietet. </w:t>
      </w:r>
      <w:r>
        <w:rPr>
          <w:rStyle w:val="Satznummer"/>
        </w:rPr>
        <w:t>3</w:t>
      </w:r>
      <w:r>
        <w:t xml:space="preserve">Bauleistungen sind alle Leistungen, die der Herstellung, Instandsetzung, Instandhaltung, Änderung oder Beseitigung von Bauwerken dienen. </w:t>
      </w:r>
      <w:r>
        <w:rPr>
          <w:rStyle w:val="Satznummer"/>
        </w:rPr>
        <w:t>4</w:t>
      </w:r>
      <w:r>
        <w:t>Als Leistender gilt auch derjenige, der über eine Leistung abrechnet, ohne sie erbracht zu haben.</w:t>
      </w:r>
    </w:p>
    <w:p>
      <w:r>
        <w:t xml:space="preserve">(2) </w:t>
      </w:r>
      <w:r>
        <w:rPr>
          <w:rStyle w:val="Satznummer"/>
        </w:rPr>
        <w:t>1</w:t>
      </w:r>
      <w:r>
        <w:t xml:space="preserve">Der Steuerabzug muss nicht vorgenommen werden, wenn der Leistende dem Leistungsempfänger eine im Zeitpunkt der Gegenleistung gültige Freistellungsbescheinigung nach </w:t>
      </w:r>
      <w:hyperlink w:anchor="b187" w:history="1">
        <w:r>
          <w:rPr>
            <w:color w:val="0A3A8C"/>
            <w:u w:val="single"/>
          </w:rPr>
          <w:t xml:space="preserve">§ 48b</w:t>
        </w:r>
      </w:hyperlink>
      <w:r>
        <w:t xml:space="preserve"> Absatz 1 Satz 1 vorlegt oder die Gegenleistung im laufenden Kalenderjahr den folgenden Betrag voraussichtlich nicht übersteigen wird:</w:t>
      </w:r>
    </w:p>
    <w:p>
      <w:pPr>
        <w:tabs>
          <w:tab w:pos="567" w:val="left"/>
        </w:tabs>
        <w:ind w:left="567" w:hanging="567"/>
      </w:pPr>
      <w:r>
        <w:t>1.</w:t>
      </w:r>
      <w:r>
        <w:tab/>
      </w:r>
      <w:r>
        <w:t>15 000 Euro, wenn der Leistungsempfänger ausschließlich steuerfreie Umsätze nach § 4 Nummer 12 Satz 1 des Umsatzsteuergesetzes ausführt,</w:t>
      </w:r>
    </w:p>
    <w:p>
      <w:pPr>
        <w:tabs>
          <w:tab w:pos="567" w:val="left"/>
        </w:tabs>
        <w:ind w:left="567" w:hanging="567"/>
      </w:pPr>
      <w:r>
        <w:t>2.</w:t>
      </w:r>
      <w:r>
        <w:tab/>
      </w:r>
      <w:r>
        <w:t>5 000 Euro in den übrigen Fällen.</w:t>
      </w:r>
    </w:p>
    <w:p>
      <w:r>
        <w:rPr>
          <w:rStyle w:val="Satznummer"/>
        </w:rPr>
        <w:t>2</w:t>
      </w:r>
      <w:r>
        <w:t>Für die Ermittlung des Betrags sind die für denselben Leistungsempfänger erbrachten und voraussichtlich zu erbringenden Bauleistungen zusammenzurechnen.</w:t>
      </w:r>
    </w:p>
    <w:p>
      <w:r>
        <w:t>(3) Gegenleistung im Sinne des Absatzes 1 ist das Entgelt zuzüglich Umsatzsteuer.</w:t>
      </w:r>
    </w:p>
    <w:p>
      <w:r>
        <w:t>(4) Wenn der Leistungsempfänger den Steuerabzugsbetrag angemeldet und abgeführt hat,</w:t>
      </w:r>
    </w:p>
    <w:p>
      <w:pPr>
        <w:tabs>
          <w:tab w:pos="567" w:val="left"/>
        </w:tabs>
        <w:ind w:left="567" w:hanging="567"/>
      </w:pPr>
      <w:r>
        <w:t>1.</w:t>
      </w:r>
      <w:r>
        <w:tab/>
      </w:r>
      <w:r>
        <w:t>ist § 160 Absatz 1 Satz 1 der Abgabenordnung nicht anzuwenden,</w:t>
      </w:r>
    </w:p>
    <w:p>
      <w:pPr>
        <w:tabs>
          <w:tab w:pos="567" w:val="left"/>
        </w:tabs>
        <w:ind w:left="567" w:hanging="567"/>
      </w:pPr>
      <w:r>
        <w:t>2.</w:t>
      </w:r>
      <w:r>
        <w:tab/>
      </w:r>
      <w:r>
        <w:t xml:space="preserve">sind </w:t>
      </w:r>
      <w:hyperlink w:anchor="b164" w:history="1">
        <w:r>
          <w:rPr>
            <w:color w:val="0A3A8C"/>
            <w:u w:val="single"/>
          </w:rPr>
          <w:t xml:space="preserve">§ 42d</w:t>
        </w:r>
      </w:hyperlink>
      <w:r>
        <w:t xml:space="preserve"> Absatz 6 und 8 und </w:t>
      </w:r>
      <w:hyperlink w:anchor="b193" w:history="1">
        <w:r>
          <w:rPr>
            <w:color w:val="0A3A8C"/>
            <w:u w:val="single"/>
          </w:rPr>
          <w:t xml:space="preserve">§ 50a</w:t>
        </w:r>
      </w:hyperlink>
      <w:r>
        <w:t xml:space="preserve"> Absatz 7 nicht anzuwenden.</w:t>
      </w:r>
    </w:p>
    <w:p>
      <w:pPr>
        <w:pStyle w:val="Heading2"/>
      </w:pPr>
      <w:bookmarkStart w:id="187" w:name="b186"/>
      <w:r>
        <w:t>§ 48a Verfahren</w:t>
      </w:r>
      <w:r>
        <w:t xml:space="preserve"> </w:t>
      </w:r>
      <w:r>
        <w:rPr>
          <w:rStyle w:val="Suchmarke"/>
        </w:rPr>
        <w:t>#48a#</w:t>
      </w:r>
      <w:bookmarkEnd w:id="187"/>
    </w:p>
    <w:p>
      <w:r>
        <w:t xml:space="preserve">(1) </w:t>
      </w:r>
      <w:r>
        <w:rPr>
          <w:rStyle w:val="Satznummer"/>
        </w:rPr>
        <w:t>1</w:t>
      </w:r>
      <w:r>
        <w:t xml:space="preserve">Der Leistungsempfänger hat bis zum zehnten Tag nach Ablauf des Monats, in dem die Gegenleistung im Sinne des </w:t>
      </w:r>
      <w:hyperlink w:anchor="b185" w:history="1">
        <w:r>
          <w:rPr>
            <w:color w:val="0A3A8C"/>
            <w:u w:val="single"/>
          </w:rPr>
          <w:t xml:space="preserve">§ 48</w:t>
        </w:r>
      </w:hyperlink>
      <w:r>
        <w:t xml:space="preserve"> erbracht wird, eine elektronische Anmeldung, in der er den Steuerabzug für den Anmeldungszeitraum selbst zu berechnen hat, nach amtlich vorgeschriebenem Datensatz über die amtlich vorgeschriebene Schnittstelle zu übermitteln. </w:t>
      </w:r>
      <w:r>
        <w:rPr>
          <w:rStyle w:val="Satznummer"/>
        </w:rPr>
        <w:t>2</w:t>
      </w:r>
      <w:r>
        <w:t xml:space="preserve">Auf Antrag kann das Finanzamt zur Vermeidung unbilliger Härten auf die Übermittlung nach amtlich vorgeschriebenem Datensatz über die amtlich vorgeschriebene Schnittstelle verzichten; in diesem Fall ist die Anmeldung vom Leistungsempfänger nach amtlich vorgeschriebenem Vordruck abzugeben. </w:t>
      </w:r>
      <w:r>
        <w:rPr>
          <w:rStyle w:val="Satznummer"/>
        </w:rPr>
        <w:t>3</w:t>
      </w:r>
      <w:r>
        <w:t xml:space="preserve">Der Abzugsbetrag ist am zehnten Tag nach Ablauf des Anmeldungszeitraums fällig und an das für den Leistenden zuständige Finanzamt für Rechnung des Leistenden abzuführen. </w:t>
      </w:r>
      <w:r>
        <w:rPr>
          <w:rStyle w:val="Satznummer"/>
        </w:rPr>
        <w:t>4</w:t>
      </w:r>
      <w:r>
        <w:t>Die Anmeldung des Abzugsbetrags steht einer Steueranmeldung gleich.</w:t>
      </w:r>
    </w:p>
    <w:p>
      <w:r>
        <w:t>(2) Der Leistungsempfänger hat mit dem Leistenden unter Angabe</w:t>
      </w:r>
    </w:p>
    <w:p>
      <w:pPr>
        <w:tabs>
          <w:tab w:pos="567" w:val="left"/>
        </w:tabs>
        <w:ind w:left="567" w:hanging="567"/>
      </w:pPr>
      <w:r>
        <w:t>1.</w:t>
      </w:r>
      <w:r>
        <w:tab/>
      </w:r>
      <w:r>
        <w:t>des Namens und der Anschrift des Leistenden,</w:t>
      </w:r>
    </w:p>
    <w:p>
      <w:pPr>
        <w:tabs>
          <w:tab w:pos="567" w:val="left"/>
        </w:tabs>
        <w:ind w:left="567" w:hanging="567"/>
      </w:pPr>
      <w:r>
        <w:t>2.</w:t>
      </w:r>
      <w:r>
        <w:tab/>
      </w:r>
      <w:r>
        <w:t>des Rechnungsbetrags, des Rechnungsdatums und des Zahlungstags,</w:t>
      </w:r>
    </w:p>
    <w:p>
      <w:pPr>
        <w:tabs>
          <w:tab w:pos="567" w:val="left"/>
        </w:tabs>
        <w:ind w:left="567" w:hanging="567"/>
      </w:pPr>
      <w:r>
        <w:t>3.</w:t>
      </w:r>
      <w:r>
        <w:tab/>
      </w:r>
      <w:r>
        <w:t>der Höhe des Steuerabzugs und</w:t>
      </w:r>
    </w:p>
    <w:p>
      <w:pPr>
        <w:tabs>
          <w:tab w:pos="567" w:val="left"/>
        </w:tabs>
        <w:ind w:left="567" w:hanging="567"/>
      </w:pPr>
      <w:r>
        <w:t>4.</w:t>
      </w:r>
      <w:r>
        <w:tab/>
      </w:r>
      <w:r>
        <w:t>des Finanzamts, bei dem der Abzugsbetrag angemeldet worden ist,</w:t>
      </w:r>
    </w:p>
    <w:p>
      <w:r>
        <w:t>über den Steuerabzug abzurechnen.</w:t>
      </w:r>
    </w:p>
    <w:p>
      <w:r>
        <w:t xml:space="preserve">(3) </w:t>
      </w:r>
      <w:r>
        <w:rPr>
          <w:rStyle w:val="Satznummer"/>
        </w:rPr>
        <w:t>1</w:t>
      </w:r>
      <w:r>
        <w:t xml:space="preserve">Der Leistungsempfänger haftet für einen nicht oder zu niedrig abgeführten Abzugsbetrag. </w:t>
      </w:r>
      <w:r>
        <w:rPr>
          <w:rStyle w:val="Satznummer"/>
        </w:rPr>
        <w:t>2</w:t>
      </w:r>
      <w:r>
        <w:t>Der Leistungsempfänger haftet nicht, wenn ihm im Zeitpunkt der Gegenleistung eine Freistellungsbescheinigung (</w:t>
      </w:r>
      <w:hyperlink w:anchor="b187" w:history="1">
        <w:r>
          <w:rPr>
            <w:color w:val="0A3A8C"/>
            <w:u w:val="single"/>
          </w:rPr>
          <w:t xml:space="preserve">§ 48b</w:t>
        </w:r>
      </w:hyperlink>
      <w:r>
        <w:t xml:space="preserve">) vorgelegen hat, auf deren Rechtmäßigkeit er vertrauen konnte. </w:t>
      </w:r>
      <w:r>
        <w:rPr>
          <w:rStyle w:val="Satznummer"/>
        </w:rPr>
        <w:t>3</w:t>
      </w:r>
      <w:r>
        <w:t xml:space="preserve">Er darf insbesondere dann nicht auf eine Freistellungsbescheinigung vertrauen, wenn diese durch unlautere Mittel oder durch falsche Angaben erwirkt wurde und ihm dies bekannt oder infolge grober Fahrlässigkeit nicht bekannt war. </w:t>
      </w:r>
      <w:r>
        <w:rPr>
          <w:rStyle w:val="Satznummer"/>
        </w:rPr>
        <w:t>4</w:t>
      </w:r>
      <w:r>
        <w:t>Den Haftungsbescheid erlässt das für den Leistenden zuständige Finanzamt.</w:t>
      </w:r>
    </w:p>
    <w:p>
      <w:r>
        <w:t xml:space="preserve">(4) </w:t>
      </w:r>
      <w:hyperlink w:anchor="b195" w:history="1">
        <w:r>
          <w:rPr>
            <w:color w:val="0A3A8C"/>
            <w:u w:val="single"/>
          </w:rPr>
          <w:t xml:space="preserve">§ 50b</w:t>
        </w:r>
      </w:hyperlink>
      <w:r>
        <w:t xml:space="preserve"> gilt entsprechend.</w:t>
      </w:r>
    </w:p>
    <w:p>
      <w:pPr>
        <w:pStyle w:val="Heading2"/>
      </w:pPr>
      <w:bookmarkStart w:id="188" w:name="b187"/>
      <w:r>
        <w:t>§ 48b Freistellungsbescheinigung</w:t>
      </w:r>
      <w:r>
        <w:t xml:space="preserve"> </w:t>
      </w:r>
      <w:r>
        <w:rPr>
          <w:rStyle w:val="Suchmarke"/>
        </w:rPr>
        <w:t>#48b#</w:t>
      </w:r>
      <w:bookmarkEnd w:id="188"/>
    </w:p>
    <w:p>
      <w:r>
        <w:t xml:space="preserve">(1) </w:t>
      </w:r>
      <w:r>
        <w:rPr>
          <w:rStyle w:val="Satznummer"/>
        </w:rPr>
        <w:t>1</w:t>
      </w:r>
      <w:r>
        <w:t xml:space="preserve">Auf Antrag des Leistenden hat das für ihn zuständige Finanzamt, wenn der zu sichernde Steueranspruch nicht gefährdet erscheint und ein inländischer Empfangsbevollmächtigter bestellt ist, eine Bescheinigung nach amtlich vorgeschriebenem Vordruck zu erteilen, die den Leistungsempfänger von der Pflicht zum Steuerabzug befreit. </w:t>
      </w:r>
      <w:r>
        <w:rPr>
          <w:rStyle w:val="Satznummer"/>
        </w:rPr>
        <w:t>2</w:t>
      </w:r>
      <w:r>
        <w:t>Eine Gefährdung kommt insbesondere dann in Betracht, wenn der Leistende</w:t>
      </w:r>
    </w:p>
    <w:p>
      <w:pPr>
        <w:tabs>
          <w:tab w:pos="567" w:val="left"/>
        </w:tabs>
        <w:ind w:left="567" w:hanging="567"/>
      </w:pPr>
      <w:r>
        <w:t>1.</w:t>
      </w:r>
      <w:r>
        <w:tab/>
      </w:r>
      <w:r>
        <w:t>Anzeigepflichten nach § 138 der Abgabenordnung nicht erfüllt,</w:t>
      </w:r>
    </w:p>
    <w:p>
      <w:pPr>
        <w:tabs>
          <w:tab w:pos="567" w:val="left"/>
        </w:tabs>
        <w:ind w:left="567" w:hanging="567"/>
      </w:pPr>
      <w:r>
        <w:t>2.</w:t>
      </w:r>
      <w:r>
        <w:tab/>
      </w:r>
      <w:r>
        <w:t>seiner Auskunfts- und Mitwirkungspflicht nach § 90 der Abgabenordnung nicht nachkommt,</w:t>
      </w:r>
    </w:p>
    <w:p>
      <w:pPr>
        <w:tabs>
          <w:tab w:pos="567" w:val="left"/>
        </w:tabs>
        <w:ind w:left="567" w:hanging="567"/>
      </w:pPr>
      <w:r>
        <w:t>3.</w:t>
      </w:r>
      <w:r>
        <w:tab/>
      </w:r>
      <w:r>
        <w:t>den Nachweis der steuerlichen Ansässigkeit durch Bescheinigung der zuständigen ausländischen Steuerbehörde nicht erbringt.</w:t>
      </w:r>
    </w:p>
    <w:p>
      <w:r>
        <w:t>(2) Eine Bescheinigung soll erteilt werden, wenn der Leistende glaubhaft macht, dass keine zu sichernden Steueransprüche bestehen.</w:t>
      </w:r>
    </w:p>
    <w:p>
      <w:r>
        <w:t xml:space="preserve">(3) </w:t>
      </w:r>
      <w:r>
        <w:rPr>
          <w:rStyle w:val="Satznummer"/>
        </w:rPr>
        <w:t>1</w:t>
      </w:r>
      <w:r>
        <w:t>In der Bescheinigung sind anzugeben:</w:t>
      </w:r>
    </w:p>
    <w:p>
      <w:pPr>
        <w:tabs>
          <w:tab w:pos="567" w:val="left"/>
        </w:tabs>
        <w:ind w:left="567" w:hanging="567"/>
      </w:pPr>
      <w:r>
        <w:t>1.</w:t>
      </w:r>
      <w:r>
        <w:tab/>
      </w:r>
      <w:r>
        <w:t>Name, Anschrift und Steuernummer des Leistenden,</w:t>
      </w:r>
    </w:p>
    <w:p>
      <w:pPr>
        <w:tabs>
          <w:tab w:pos="567" w:val="left"/>
        </w:tabs>
        <w:ind w:left="567" w:hanging="567"/>
      </w:pPr>
      <w:r>
        <w:t>2.</w:t>
      </w:r>
      <w:r>
        <w:tab/>
      </w:r>
      <w:r>
        <w:t>Geltungsdauer der Bescheinigung,</w:t>
      </w:r>
    </w:p>
    <w:p>
      <w:pPr>
        <w:tabs>
          <w:tab w:pos="567" w:val="left"/>
        </w:tabs>
        <w:ind w:left="567" w:hanging="567"/>
      </w:pPr>
      <w:r>
        <w:t>3.</w:t>
      </w:r>
      <w:r>
        <w:tab/>
      </w:r>
      <w:r>
        <w:t>Umfang der Freistellung sowie der Leistungsempfänger, wenn sie nur für bestimmte Bauleistungen gilt,</w:t>
      </w:r>
    </w:p>
    <w:p>
      <w:pPr>
        <w:tabs>
          <w:tab w:pos="567" w:val="left"/>
        </w:tabs>
        <w:ind w:left="567" w:hanging="567"/>
      </w:pPr>
      <w:r>
        <w:t>4.</w:t>
      </w:r>
      <w:r>
        <w:tab/>
      </w:r>
      <w:r>
        <w:t>das ausstellende Finanzamt.</w:t>
      </w:r>
    </w:p>
    <w:p>
      <w:r>
        <w:rPr>
          <w:rStyle w:val="Satznummer"/>
        </w:rPr>
        <w:t>2</w:t>
      </w:r>
      <w:r>
        <w:t>Der Antragsteller ist über die Verarbeitung der in Satz 1 genannten Daten durch das Bundeszentralamt für Steuern gemäß Absatz 6 zu informieren.</w:t>
      </w:r>
    </w:p>
    <w:p>
      <w:r>
        <w:t>(4) Wird eine Freistellungsbescheinigung aufgehoben, die nur für bestimmte Bauleistungen gilt, ist dies den betroffenen Leistungsempfängern mitzuteilen.</w:t>
      </w:r>
    </w:p>
    <w:p>
      <w:r>
        <w:t xml:space="preserve">(5) Wenn eine Freistellungsbescheinigung vorliegt, gilt </w:t>
      </w:r>
      <w:hyperlink w:anchor="b185" w:history="1">
        <w:r>
          <w:rPr>
            <w:color w:val="0A3A8C"/>
            <w:u w:val="single"/>
          </w:rPr>
          <w:t xml:space="preserve">§ 48</w:t>
        </w:r>
      </w:hyperlink>
      <w:r>
        <w:t xml:space="preserve"> Absatz 4 entsprechend.</w:t>
      </w:r>
    </w:p>
    <w:p>
      <w:r>
        <w:t xml:space="preserve">(6) </w:t>
      </w:r>
      <w:r>
        <w:rPr>
          <w:rStyle w:val="Satznummer"/>
        </w:rPr>
        <w:t>1</w:t>
      </w:r>
      <w:r>
        <w:t xml:space="preserve">Das Bundeszentralamt für Steuern speichert die Daten nach Absatz 3 Satz 1. </w:t>
      </w:r>
      <w:r>
        <w:rPr>
          <w:rStyle w:val="Satznummer"/>
        </w:rPr>
        <w:t>2</w:t>
      </w:r>
      <w:r>
        <w:t>Es erteilt dem Leistungsempfänger im Sinne des § 48 Absatz 1 Satz 1 im Wege einer elektronischen Abfrage Auskunft über die beim Bundeszentralamt für Steuern gespeicherten Freistellungsbescheinigungen.</w:t>
      </w:r>
    </w:p>
    <w:p>
      <w:pPr>
        <w:pStyle w:val="Heading2"/>
      </w:pPr>
      <w:bookmarkStart w:id="189" w:name="b188"/>
      <w:r>
        <w:t>§ 48c Anrechnung</w:t>
      </w:r>
      <w:r>
        <w:t xml:space="preserve"> </w:t>
      </w:r>
      <w:r>
        <w:rPr>
          <w:rStyle w:val="Suchmarke"/>
        </w:rPr>
        <w:t>#48c#</w:t>
      </w:r>
      <w:bookmarkEnd w:id="189"/>
    </w:p>
    <w:p>
      <w:r>
        <w:t xml:space="preserve">(1) </w:t>
      </w:r>
      <w:r>
        <w:rPr>
          <w:rStyle w:val="Satznummer"/>
        </w:rPr>
        <w:t>1</w:t>
      </w:r>
      <w:r>
        <w:t>Soweit der Abzugsbetrag einbehalten und angemeldet worden ist, wird er auf vom Leistenden zu entrichtende Steuern nacheinander wie folgt angerechnet:</w:t>
      </w:r>
    </w:p>
    <w:p>
      <w:pPr>
        <w:tabs>
          <w:tab w:pos="567" w:val="left"/>
        </w:tabs>
        <w:ind w:left="567" w:hanging="567"/>
      </w:pPr>
      <w:r>
        <w:t>1.</w:t>
      </w:r>
      <w:r>
        <w:tab/>
      </w:r>
      <w:r>
        <w:t xml:space="preserve">die nach </w:t>
      </w:r>
      <w:hyperlink w:anchor="b158" w:history="1">
        <w:r>
          <w:rPr>
            <w:color w:val="0A3A8C"/>
            <w:u w:val="single"/>
          </w:rPr>
          <w:t xml:space="preserve">§ 41a</w:t>
        </w:r>
      </w:hyperlink>
      <w:r>
        <w:t xml:space="preserve"> Absatz 1 einbehaltene und angemeldete Lohnsteuer,</w:t>
      </w:r>
    </w:p>
    <w:p>
      <w:pPr>
        <w:tabs>
          <w:tab w:pos="567" w:val="left"/>
        </w:tabs>
        <w:ind w:left="567" w:hanging="567"/>
      </w:pPr>
      <w:r>
        <w:t>2.</w:t>
      </w:r>
      <w:r>
        <w:tab/>
      </w:r>
      <w:r>
        <w:t>die Vorauszahlungen auf die Einkommen- oder Körperschaftsteuer,</w:t>
      </w:r>
    </w:p>
    <w:p>
      <w:pPr>
        <w:tabs>
          <w:tab w:pos="567" w:val="left"/>
        </w:tabs>
        <w:ind w:left="567" w:hanging="567"/>
      </w:pPr>
      <w:r>
        <w:t>3.</w:t>
      </w:r>
      <w:r>
        <w:tab/>
      </w:r>
      <w:r>
        <w:t>die Einkommen- oder Körperschaftsteuer des Besteuerungs- oder Veranlagungszeitraums, in dem die Leistung erbracht worden ist, und</w:t>
      </w:r>
    </w:p>
    <w:p>
      <w:pPr>
        <w:tabs>
          <w:tab w:pos="567" w:val="left"/>
        </w:tabs>
        <w:ind w:left="567" w:hanging="567"/>
      </w:pPr>
      <w:r>
        <w:t>4.</w:t>
      </w:r>
      <w:r>
        <w:tab/>
      </w:r>
      <w:r>
        <w:t xml:space="preserve">die vom Leistenden im Sinne der </w:t>
      </w:r>
      <w:hyperlink w:anchor="b185" w:history="1">
        <w:r>
          <w:rPr>
            <w:color w:val="0A3A8C"/>
            <w:u w:val="single"/>
          </w:rPr>
          <w:t xml:space="preserve">§§ 48</w:t>
        </w:r>
      </w:hyperlink>
      <w:r>
        <w:t xml:space="preserve">, </w:t>
      </w:r>
      <w:hyperlink w:anchor="b186" w:history="1">
        <w:r>
          <w:rPr>
            <w:color w:val="0A3A8C"/>
            <w:u w:val="single"/>
          </w:rPr>
          <w:t xml:space="preserve">48a</w:t>
        </w:r>
      </w:hyperlink>
      <w:r>
        <w:t xml:space="preserve"> anzumeldenden und abzuführenden Abzugsbeträge.</w:t>
      </w:r>
    </w:p>
    <w:p>
      <w:r>
        <w:rPr>
          <w:rStyle w:val="Satznummer"/>
        </w:rPr>
        <w:t>2</w:t>
      </w:r>
      <w:r>
        <w:t xml:space="preserve">Die Anrechnung nach Satz 1 Nummer 2 kann nur für Vorauszahlungszeiträume innerhalb des Besteuerungs- oder Veranlagungszeitraums erfolgen, in dem die Leistung erbracht worden ist. </w:t>
      </w:r>
      <w:r>
        <w:rPr>
          <w:rStyle w:val="Satznummer"/>
        </w:rPr>
        <w:t>3</w:t>
      </w:r>
      <w:r>
        <w:t>Die Anrechnung nach Satz 1 Nummer 2 darf nicht zu einer Erstattung führen.</w:t>
      </w:r>
    </w:p>
    <w:p>
      <w:r>
        <w:t xml:space="preserve">(2) </w:t>
      </w:r>
      <w:r>
        <w:rPr>
          <w:rStyle w:val="Satznummer"/>
        </w:rPr>
        <w:t>1</w:t>
      </w:r>
      <w:r>
        <w:t xml:space="preserve">Auf Antrag des Leistenden erstattet das nach § 20a Absatz 1 der Abgabenordnung zuständige Finanzamt den Abzugsbetrag. </w:t>
      </w:r>
      <w:r>
        <w:rPr>
          <w:rStyle w:val="Satznummer"/>
        </w:rPr>
        <w:t>2</w:t>
      </w:r>
      <w:r>
        <w:t xml:space="preserve">Die Erstattung setzt voraus, dass der Leistende nicht zur Abgabe von Lohnsteueranmeldungen verpflichtet ist und eine Veranlagung zur Einkommen- oder Körperschaftsteuer nicht in Betracht kommt oder der Leistende glaubhaft macht, dass im Veranlagungszeitraum keine zu sichernden Steueransprüche entstehen werden. </w:t>
      </w:r>
      <w:r>
        <w:rPr>
          <w:rStyle w:val="Satznummer"/>
        </w:rPr>
        <w:t>3</w:t>
      </w:r>
      <w:r>
        <w:t xml:space="preserve">Der elektronische Antrag ist nach amtlich vorgeschriebenem Datensatz über die amtlich vorgeschriebene Schnittstelle bis zum Ablauf des zweiten Kalenderjahres zu übermitteln, das auf das Jahr folgt, in dem der Abzugsbetrag angemeldet worden ist; weitergehende Fristen nach einem Abkommen zur Vermeidung der Doppelbesteuerung bleiben unberührt. </w:t>
      </w:r>
      <w:r>
        <w:rPr>
          <w:rStyle w:val="Satznummer"/>
        </w:rPr>
        <w:t>4</w:t>
      </w:r>
      <w:r>
        <w:t xml:space="preserve">Auf Antrag kann das Finanzamt zur Vermeidung unbilliger Härten auf eine elektronische Übermittlung des Antrags verzichten. </w:t>
      </w:r>
      <w:r>
        <w:rPr>
          <w:rStyle w:val="Satznummer"/>
        </w:rPr>
        <w:t>5</w:t>
      </w:r>
      <w:r>
        <w:t>In diesem Fall ist der Antrag auf Erstattung des Abzugsbetrags vom Leistenden nach amtlich vorgeschriebenem Muster zu stellen.</w:t>
      </w:r>
    </w:p>
    <w:p>
      <w:r>
        <w:t>(3) Das Finanzamt kann die Anrechnung ablehnen, soweit der angemeldete Abzugsbetrag nicht abgeführt worden ist und Anlass zu der Annahme besteht, dass ein Missbrauch vorliegt.</w:t>
      </w:r>
    </w:p>
    <w:p>
      <w:pPr>
        <w:pStyle w:val="Heading2"/>
      </w:pPr>
      <w:bookmarkStart w:id="190" w:name="b189"/>
      <w:r>
        <w:t>§ 48d Besonderheiten im Fall von Doppelbesteuerungsabkommen</w:t>
      </w:r>
      <w:r>
        <w:t xml:space="preserve"> </w:t>
      </w:r>
      <w:r>
        <w:rPr>
          <w:rStyle w:val="Suchmarke"/>
        </w:rPr>
        <w:t>#48d#</w:t>
      </w:r>
      <w:bookmarkEnd w:id="190"/>
    </w:p>
    <w:p>
      <w:r>
        <w:t xml:space="preserve">(1) </w:t>
      </w:r>
      <w:r>
        <w:rPr>
          <w:rStyle w:val="Satznummer"/>
        </w:rPr>
        <w:t>1</w:t>
      </w:r>
      <w:r>
        <w:t xml:space="preserve">Können Einkünfte, die dem Steuerabzug nach </w:t>
      </w:r>
      <w:hyperlink w:anchor="b185" w:history="1">
        <w:r>
          <w:rPr>
            <w:color w:val="0A3A8C"/>
            <w:u w:val="single"/>
          </w:rPr>
          <w:t xml:space="preserve">§ 48</w:t>
        </w:r>
      </w:hyperlink>
      <w:r>
        <w:t xml:space="preserve"> unterliegen, nach einem Abkommen zur Vermeidung der Doppelbesteuerung nicht besteuert werden, so sind die Vorschriften über die Einbehaltung, Abführung und Anmeldung der Steuer durch den Schuldner der Gegenleistung ungeachtet des Abkommens anzuwenden. </w:t>
      </w:r>
      <w:r>
        <w:rPr>
          <w:rStyle w:val="Satznummer"/>
        </w:rPr>
        <w:t>2</w:t>
      </w:r>
      <w:r>
        <w:t xml:space="preserve">Unberührt bleibt der Anspruch des Gläubigers der Gegenleistung auf Erstattung der einbehaltenen und abgeführten Steuer. </w:t>
      </w:r>
      <w:r>
        <w:rPr>
          <w:rStyle w:val="Satznummer"/>
        </w:rPr>
        <w:t>3</w:t>
      </w:r>
      <w:r>
        <w:t xml:space="preserve">Der Anspruch ist durch Antrag nach </w:t>
      </w:r>
      <w:hyperlink w:anchor="b188" w:history="1">
        <w:r>
          <w:rPr>
            <w:color w:val="0A3A8C"/>
            <w:u w:val="single"/>
          </w:rPr>
          <w:t xml:space="preserve">§ 48c</w:t>
        </w:r>
      </w:hyperlink>
      <w:r>
        <w:t xml:space="preserve"> Absatz 2 geltend zu machen. </w:t>
      </w:r>
      <w:r>
        <w:rPr>
          <w:rStyle w:val="Satznummer"/>
        </w:rPr>
        <w:t>4</w:t>
      </w:r>
      <w:r>
        <w:t xml:space="preserve">Der Gläubiger der Gegenleistung hat durch eine Bestätigung der für ihn zuständigen Steuerbehörde des anderen Staates nachzuweisen, dass er dort ansässig ist. </w:t>
      </w:r>
      <w:r>
        <w:rPr>
          <w:rStyle w:val="Satznummer"/>
        </w:rPr>
        <w:t>5</w:t>
      </w:r>
      <w:hyperlink w:anchor="b187" w:history="1">
        <w:r>
          <w:rPr>
            <w:color w:val="0A3A8C"/>
            <w:u w:val="single"/>
          </w:rPr>
          <w:t xml:space="preserve">§ 48b</w:t>
        </w:r>
      </w:hyperlink>
      <w:r>
        <w:t xml:space="preserve"> gilt entsprechend. </w:t>
      </w:r>
      <w:r>
        <w:rPr>
          <w:rStyle w:val="Satznummer"/>
        </w:rPr>
        <w:t>6</w:t>
      </w:r>
      <w:r>
        <w:t>Der Leistungsempfänger kann sich im Haftungsverfahren nicht auf die Rechte des Gläubigers aus dem Abkommen berufen.</w:t>
      </w:r>
    </w:p>
    <w:p>
      <w:r>
        <w:t>(2) Unbeschadet des § 5 Absatz 1 Nummer 2 des Finanzverwaltungsgesetzes liegt die Zuständigkeit für Entlastungsmaßnahmen nach Absatz 1 bei dem nach § 20a der Abgabenordnung zuständigen Finanzamt.</w:t>
      </w:r>
    </w:p>
    <w:p>
      <w:pPr>
        <w:pStyle w:val="Heading1"/>
      </w:pPr>
      <w:bookmarkStart w:id="191" w:name="b190"/>
      <w:r>
        <w:t>VIII. Besteuerung beschränkt Steuerpflichtiger</w:t>
      </w:r>
      <w:bookmarkEnd w:id="191"/>
    </w:p>
    <w:p>
      <w:pPr>
        <w:pStyle w:val="Heading2"/>
      </w:pPr>
      <w:bookmarkStart w:id="192" w:name="b191"/>
      <w:r>
        <w:t>§ 49 Beschränkt steuerpflichtige Einkünfte</w:t>
      </w:r>
      <w:r>
        <w:t xml:space="preserve"> </w:t>
      </w:r>
      <w:r>
        <w:rPr>
          <w:rStyle w:val="Suchmarke"/>
        </w:rPr>
        <w:t>#49#</w:t>
      </w:r>
      <w:bookmarkEnd w:id="192"/>
    </w:p>
    <w:p>
      <w:r>
        <w:t>(1) Inländische Einkünfte im Sinne der beschränkten Einkommensteuerpflicht (</w:t>
      </w:r>
      <w:hyperlink w:anchor="b1" w:history="1">
        <w:r>
          <w:rPr>
            <w:color w:val="0A3A8C"/>
            <w:u w:val="single"/>
          </w:rPr>
          <w:t xml:space="preserve">§ 1</w:t>
        </w:r>
      </w:hyperlink>
      <w:r>
        <w:t xml:space="preserve"> Absatz 4) sind</w:t>
      </w:r>
    </w:p>
    <w:p>
      <w:pPr>
        <w:tabs>
          <w:tab w:pos="567" w:val="left"/>
        </w:tabs>
        <w:ind w:left="567" w:hanging="567"/>
      </w:pPr>
      <w:r>
        <w:t xml:space="preserve"> 1.</w:t>
      </w:r>
      <w:r>
        <w:tab/>
      </w:r>
      <w:r>
        <w:t>Einkünfte aus einer im Inland betriebenen Land- und Forstwirtschaft (</w:t>
      </w:r>
      <w:hyperlink w:anchor="b69" w:history="1">
        <w:r>
          <w:rPr>
            <w:color w:val="0A3A8C"/>
            <w:u w:val="single"/>
          </w:rPr>
          <w:t xml:space="preserve">§§ 13</w:t>
        </w:r>
      </w:hyperlink>
      <w:r>
        <w:t xml:space="preserve">, </w:t>
      </w:r>
      <w:hyperlink w:anchor="b72" w:history="1">
        <w:r>
          <w:rPr>
            <w:color w:val="0A3A8C"/>
            <w:u w:val="single"/>
          </w:rPr>
          <w:t xml:space="preserve">14</w:t>
        </w:r>
      </w:hyperlink>
      <w:r>
        <w:t>);</w:t>
      </w:r>
    </w:p>
    <w:p>
      <w:pPr>
        <w:tabs>
          <w:tab w:pos="567" w:val="left"/>
        </w:tabs>
        <w:ind w:left="567" w:hanging="567"/>
      </w:pPr>
      <w:r>
        <w:t xml:space="preserve"> 2.</w:t>
      </w:r>
      <w:r>
        <w:tab/>
      </w:r>
      <w:r>
        <w:t>Einkünfte aus Gewerbebetrieb (</w:t>
      </w:r>
      <w:hyperlink w:anchor="b75" w:history="1">
        <w:r>
          <w:rPr>
            <w:color w:val="0A3A8C"/>
            <w:u w:val="single"/>
          </w:rPr>
          <w:t xml:space="preserve">§§ 15</w:t>
        </w:r>
      </w:hyperlink>
      <w:r>
        <w:t xml:space="preserve"> bis </w:t>
      </w:r>
      <w:hyperlink w:anchor="b79" w:history="1">
        <w:r>
          <w:rPr>
            <w:color w:val="0A3A8C"/>
            <w:u w:val="single"/>
          </w:rPr>
          <w:t xml:space="preserve">17</w:t>
        </w:r>
      </w:hyperlink>
      <w:r>
        <w:t>),</w:t>
      </w:r>
    </w:p>
    <w:p>
      <w:pPr>
        <w:tabs>
          <w:tab w:pos="1134" w:val="left"/>
        </w:tabs>
        <w:ind w:left="1134" w:hanging="567"/>
      </w:pPr>
      <w:r>
        <w:t>a)</w:t>
      </w:r>
      <w:r>
        <w:tab/>
      </w:r>
      <w:r>
        <w:t>für den im Inland eine Betriebsstätte unterhalten wird oder ein ständiger Vertreter bestellt ist,</w:t>
      </w:r>
    </w:p>
    <w:p>
      <w:pPr>
        <w:tabs>
          <w:tab w:pos="1134" w:val="left"/>
        </w:tabs>
        <w:ind w:left="1134" w:hanging="567"/>
      </w:pPr>
      <w:r>
        <w:t>b)</w:t>
      </w:r>
      <w:r>
        <w:tab/>
      </w:r>
      <w:r>
        <w:t>die durch den Betrieb eigener oder gecharterter Seeschiffe oder Luftfahrzeuge aus Beförderungen zwischen inländischen und von inländischen zu ausländischen Häfen erzielt werden, einschließlich der Einkünfte aus anderen mit solchen Beförderungen zusammenhängenden, sich auf das Inland erstreckenden Beförderungsleistungen,</w:t>
      </w:r>
    </w:p>
    <w:p>
      <w:pPr>
        <w:tabs>
          <w:tab w:pos="1134" w:val="left"/>
        </w:tabs>
        <w:ind w:left="1134" w:hanging="567"/>
      </w:pPr>
      <w:r>
        <w:t>c)</w:t>
      </w:r>
      <w:r>
        <w:tab/>
      </w:r>
      <w:r>
        <w:t>die von einem Unternehmen im Rahmen einer internationalen Betriebsgemeinschaft oder eines Pool-Abkommens, bei denen ein Unternehmen mit Sitz oder Geschäftsleitung im Inland die Beförderung durchführt, aus Beförderungen und Beförderungsleistungen nach Buchstabe b erzielt werden,</w:t>
      </w:r>
    </w:p>
    <w:p>
      <w:pPr>
        <w:tabs>
          <w:tab w:pos="1134" w:val="left"/>
        </w:tabs>
        <w:ind w:left="1134" w:hanging="567"/>
      </w:pPr>
      <w:r>
        <w:t>d)</w:t>
      </w:r>
      <w:r>
        <w:tab/>
      </w:r>
      <w:r>
        <w:t>die, soweit sie nicht zu den Einkünften im Sinne der Nummern 3 und 4 gehören, durch im Inland ausgeübte oder verwertete künstlerische, sportliche, artistische, unterhaltende oder ähnliche Darbietungen erzielt werden, einschließlich der Einkünfte aus anderen mit diesen Leistungen zusammenhängenden Leistungen, unabhängig davon, wem die Einnahmen zufließen,</w:t>
      </w:r>
    </w:p>
    <w:p>
      <w:pPr>
        <w:tabs>
          <w:tab w:pos="1134" w:val="left"/>
        </w:tabs>
        <w:ind w:left="1134" w:hanging="567"/>
      </w:pPr>
      <w:r>
        <w:t>e)</w:t>
      </w:r>
      <w:r>
        <w:tab/>
      </w:r>
      <w:r>
        <w:t xml:space="preserve">die unter den Voraussetzungen des </w:t>
      </w:r>
      <w:hyperlink w:anchor="b79" w:history="1">
        <w:r>
          <w:rPr>
            <w:color w:val="0A3A8C"/>
            <w:u w:val="single"/>
          </w:rPr>
          <w:t xml:space="preserve">§ 17</w:t>
        </w:r>
      </w:hyperlink>
      <w:r>
        <w:t xml:space="preserve"> erzielt werden, wenn es sich um Anteile an einer Kapitalgesellschaft handelt,</w:t>
      </w:r>
    </w:p>
    <w:p>
      <w:pPr>
        <w:tabs>
          <w:tab w:pos="1701" w:val="left"/>
        </w:tabs>
        <w:ind w:left="1701" w:hanging="567"/>
      </w:pPr>
      <w:r>
        <w:t>aa)</w:t>
      </w:r>
      <w:r>
        <w:tab/>
      </w:r>
      <w:r>
        <w:t>die ihren Sitz oder ihre Geschäftsleitung im Inland hat,</w:t>
      </w:r>
    </w:p>
    <w:p>
      <w:pPr>
        <w:tabs>
          <w:tab w:pos="1701" w:val="left"/>
        </w:tabs>
        <w:ind w:left="1701" w:hanging="567"/>
      </w:pPr>
      <w:r>
        <w:t>bb)</w:t>
      </w:r>
      <w:r>
        <w:tab/>
      </w:r>
      <w:r>
        <w:t xml:space="preserve">bei deren Erwerb auf Grund eines Antrags nach § 13 Absatz 2 oder § 21 Absatz 2 Satz 3 Nummer 2 des Umwandlungssteuergesetzes nicht der gemeine Wert der eingebrachten Anteile angesetzt worden ist oder auf die </w:t>
      </w:r>
      <w:hyperlink w:anchor="b79" w:history="1">
        <w:r>
          <w:rPr>
            <w:color w:val="0A3A8C"/>
            <w:u w:val="single"/>
          </w:rPr>
          <w:t xml:space="preserve">§ 17</w:t>
        </w:r>
      </w:hyperlink>
      <w:r>
        <w:t xml:space="preserve"> Absatz 5 Satz 2 anzuwenden war oder</w:t>
      </w:r>
    </w:p>
    <w:p>
      <w:pPr>
        <w:tabs>
          <w:tab w:pos="1701" w:val="left"/>
        </w:tabs>
        <w:ind w:left="1701" w:hanging="567"/>
      </w:pPr>
      <w:r>
        <w:t>cc)</w:t>
      </w:r>
      <w:r>
        <w:tab/>
      </w:r>
      <w:r>
        <w:t>deren Anteilswert zu irgendeinem Zeitpunkt während der 365 Tage vor der Veräußerung unmittelbar oder mittelbar zu mehr als 50 Prozent auf inländischem unbeweglichem Vermögen beruhte und die Anteile dem Veräußerer zu diesem Zeitpunkt zuzurechnen waren; für die Ermittlung dieser Quote sind die aktiven Wirtschaftsgüter des Betriebsvermögens mit den Buchwerten, die zu diesem Zeitpunkt anzusetzen gewesen wären, zugrunde zu legen,</w:t>
      </w:r>
    </w:p>
    <w:p>
      <w:pPr>
        <w:tabs>
          <w:tab w:pos="1134" w:val="left"/>
        </w:tabs>
        <w:ind w:left="1134" w:hanging="567"/>
      </w:pPr>
      <w:r>
        <w:t>f)</w:t>
      </w:r>
      <w:r>
        <w:tab/>
      </w:r>
      <w:r>
        <w:t>die, soweit sie nicht zu den Einkünften im Sinne des Buchstaben a gehören, durch</w:t>
      </w:r>
    </w:p>
    <w:p>
      <w:pPr>
        <w:tabs>
          <w:tab w:pos="1701" w:val="left"/>
        </w:tabs>
        <w:ind w:left="1701" w:hanging="567"/>
      </w:pPr>
      <w:r>
        <w:t>aa)</w:t>
      </w:r>
      <w:r>
        <w:tab/>
      </w:r>
      <w:r>
        <w:t>Vermietung und Verpachtung oder</w:t>
      </w:r>
    </w:p>
    <w:p>
      <w:pPr>
        <w:tabs>
          <w:tab w:pos="1701" w:val="left"/>
        </w:tabs>
        <w:ind w:left="1701" w:hanging="567"/>
      </w:pPr>
      <w:r>
        <w:t>bb)</w:t>
      </w:r>
      <w:r>
        <w:tab/>
      </w:r>
      <w:r>
        <w:t>Veräußerung</w:t>
      </w:r>
    </w:p>
    <w:p>
      <w:pPr>
        <w:ind w:left="1134"/>
      </w:pPr>
      <w:r>
        <w:t xml:space="preserve">von inländischem unbeweglichem Vermögen, von Sachinbegriffen oder Rechten im Sinne des </w:t>
      </w:r>
      <w:hyperlink w:anchor="b88" w:history="1">
        <w:r>
          <w:rPr>
            <w:color w:val="0A3A8C"/>
            <w:u w:val="single"/>
          </w:rPr>
          <w:t xml:space="preserve">§ 21</w:t>
        </w:r>
      </w:hyperlink>
      <w:r>
        <w:t xml:space="preserve"> Absatz 1 Satz 1 Nummer 1 oder sonstigen Rechten, insbesondere Patentrechten, Markenrechten oder Sortenrechten, die im Inland belegen oder in ein inländisches öffentliches Buch oder Register eingetragen sind oder deren Verwertung in einer inländischen Betriebsstätte oder anderen Einrichtung erfolgt, erzielt werden. </w:t>
      </w:r>
      <w:r>
        <w:rPr>
          <w:rStyle w:val="Satznummer"/>
        </w:rPr>
        <w:t>2</w:t>
      </w:r>
      <w:r>
        <w:t xml:space="preserve">Bei sonstigen Rechten, bei denen Einkünfte nur auf Grund der Eintragung in ein inländisches öffentliches Buch oder Register vorliegen, liegen Einkünfte abweichend von Satz 1 nicht vor, wenn die Vermietung und Verpachtung oder die Veräußerung nicht zwischen nahestehenden Personen im Sinne des § 1 Absatz 2 des Außensteuergesetzes erfolgt oder der Besteuerung der Einkünfte die Bestimmungen eines Abkommens zur Vermeidung der Doppelbesteuerung unter Berücksichtigung der ihre Anwendung regelnden Vorschriften dieses Gesetzes entgegenstehen. </w:t>
      </w:r>
      <w:r>
        <w:rPr>
          <w:rStyle w:val="Satznummer"/>
        </w:rPr>
        <w:t>3</w:t>
      </w:r>
      <w:hyperlink w:anchor="b92" w:history="1">
        <w:r>
          <w:rPr>
            <w:color w:val="0A3A8C"/>
            <w:u w:val="single"/>
          </w:rPr>
          <w:t xml:space="preserve">§ 23</w:t>
        </w:r>
      </w:hyperlink>
      <w:r>
        <w:t xml:space="preserve"> Absatz 1 Satz 4 gilt entsprechend. </w:t>
      </w:r>
      <w:r>
        <w:rPr>
          <w:rStyle w:val="Satznummer"/>
        </w:rPr>
        <w:t>4</w:t>
      </w:r>
      <w:r>
        <w:t xml:space="preserve">Als Einkünfte aus Gewerbebetrieb gelten auch die Einkünfte aus Tätigkeiten im Sinne dieses Buchstabens, die von einer Körperschaft im Sinne des § 2 Nummer 1 des Körperschaftsteuergesetzes erzielt werden, die mit einer Kapitalgesellschaft oder sonstigen juristischen Person im Sinne des § 1 Absatz 1 Nummer 1 bis 3 des Körperschaftsteuergesetzes vergleichbar ist. </w:t>
      </w:r>
      <w:r>
        <w:rPr>
          <w:rStyle w:val="Satznummer"/>
        </w:rPr>
        <w:t>5</w:t>
      </w:r>
      <w:r>
        <w:t>Zu den Einkünften aus der Veräußerung von inländischem unbeweglichem Vermögen im Sinne dieses Buchstabens gehören auch Wertveränderungen von Wirtschaftsgütern, die mit diesem Vermögen in wirtschaftlichem Zusammenhang stehen, oder</w:t>
      </w:r>
    </w:p>
    <w:p>
      <w:pPr>
        <w:tabs>
          <w:tab w:pos="1134" w:val="left"/>
        </w:tabs>
        <w:ind w:left="1134" w:hanging="567"/>
      </w:pPr>
      <w:r>
        <w:t>g)</w:t>
      </w:r>
      <w:r>
        <w:tab/>
      </w:r>
      <w:r>
        <w:t>die aus der Verschaffung der Gelegenheit erzielt werden, einen Berufssportler als solchen im Inland vertraglich zu verpflichten; dies gilt nur, wenn die Gesamteinnahmen 10 000 Euro übersteigen;</w:t>
      </w:r>
    </w:p>
    <w:p>
      <w:pPr>
        <w:tabs>
          <w:tab w:pos="567" w:val="left"/>
        </w:tabs>
        <w:ind w:left="567" w:hanging="567"/>
      </w:pPr>
      <w:r>
        <w:t xml:space="preserve"> 3.</w:t>
      </w:r>
      <w:r>
        <w:tab/>
      </w:r>
      <w:r>
        <w:t>Einkünfte aus selbständiger Arbeit (</w:t>
      </w:r>
      <w:hyperlink w:anchor="b81" w:history="1">
        <w:r>
          <w:rPr>
            <w:color w:val="0A3A8C"/>
            <w:u w:val="single"/>
          </w:rPr>
          <w:t xml:space="preserve">§ 18</w:t>
        </w:r>
      </w:hyperlink>
      <w:r>
        <w:t>), die im Inland ausgeübt oder verwertet wird oder worden ist, oder für die im Inland eine feste Einrichtung oder eine Betriebsstätte unterhalten wird;</w:t>
      </w:r>
    </w:p>
    <w:p>
      <w:pPr>
        <w:tabs>
          <w:tab w:pos="567" w:val="left"/>
        </w:tabs>
        <w:ind w:left="567" w:hanging="567"/>
      </w:pPr>
      <w:r>
        <w:t xml:space="preserve"> 4.</w:t>
      </w:r>
      <w:r>
        <w:tab/>
      </w:r>
      <w:r>
        <w:t>Einkünfte aus nichtselbständiger Arbeit (</w:t>
      </w:r>
      <w:hyperlink w:anchor="b83" w:history="1">
        <w:r>
          <w:rPr>
            <w:color w:val="0A3A8C"/>
            <w:u w:val="single"/>
          </w:rPr>
          <w:t xml:space="preserve">§ 19</w:t>
        </w:r>
      </w:hyperlink>
      <w:r>
        <w:t>), die</w:t>
      </w:r>
    </w:p>
    <w:p>
      <w:pPr>
        <w:tabs>
          <w:tab w:pos="1134" w:val="left"/>
        </w:tabs>
        <w:ind w:left="1134" w:hanging="567"/>
      </w:pPr>
      <w:r>
        <w:t>a)</w:t>
      </w:r>
      <w:r>
        <w:tab/>
      </w:r>
      <w:r>
        <w:t xml:space="preserve">im Inland ausgeübt oder verwertet wird oder worden ist. </w:t>
      </w:r>
      <w:r>
        <w:rPr>
          <w:rStyle w:val="Satznummer"/>
        </w:rPr>
        <w:t>2</w:t>
      </w:r>
      <w:r>
        <w:t xml:space="preserve">Die nichtselbständige Arbeit gilt dabei auch als im Inland ausgeübt oder verwertet, soweit die Tätigkeit im Ansässigkeitsstaat des Steuerpflichtigen oder in einem oder mehreren anderen Staaten ausgeübt wird und ein mit dem Ansässigkeitsstaat abgeschlossenes Abkommen zur Vermeidung der Doppelbesteuerung oder eine zwischenstaatliche Vereinbarung für diese im Ansässigkeitsstaat oder in einem oder mehreren anderen Staaten ausgeübte Tätigkeit Deutschland ein Besteuerungsrecht zuweist. </w:t>
      </w:r>
      <w:r>
        <w:rPr>
          <w:rStyle w:val="Satznummer"/>
        </w:rPr>
        <w:t>3</w:t>
      </w:r>
      <w:r>
        <w:t>Satz 2 gilt nicht für Deutschland entsprechend Satz 2 zugewiesener Besteuerungsrechte hinsichtlich der Einkünfte aus einer an Bord eines Schiffes im internationalen Verkehr ausgeübten nichtselbständigen Arbeit,</w:t>
      </w:r>
    </w:p>
    <w:p>
      <w:pPr>
        <w:tabs>
          <w:tab w:pos="1134" w:val="left"/>
        </w:tabs>
        <w:ind w:left="1134" w:hanging="567"/>
      </w:pPr>
      <w:r>
        <w:t>b)</w:t>
      </w:r>
      <w:r>
        <w:tab/>
      </w:r>
      <w:r>
        <w:t>aus inländischen öffentlichen Kassen einschließlich der Kassen des Bundeseisenbahnvermögens und der Deutschen Bundesbank mit Rücksicht auf ein gegenwärtiges oder früheres Dienstverhältnis gewährt werden, ohne dass ein Zahlungsanspruch gegenüber der inländischen öffentlichen Kasse bestehen muss; dies gilt nicht, wenn das Dienstverhältnis im Tätigkeitsstaat oder einem anderen ausländischen Staat begründet wurde, der Arbeitnehmer keinen inländischen Wohnsitz oder gewöhnlichen Aufenthalt auf Grund des Dienstverhältnisses oder eines vorangegangenen vergleichbaren Dienstverhältnisses aufgegeben hat und mit dem Tätigkeitsstaat kein Abkommen zur Vermeidung der Doppelbesteuerung besteht,</w:t>
      </w:r>
    </w:p>
    <w:p>
      <w:pPr>
        <w:tabs>
          <w:tab w:pos="1134" w:val="left"/>
        </w:tabs>
        <w:ind w:left="1134" w:hanging="567"/>
      </w:pPr>
      <w:r>
        <w:t>c)</w:t>
      </w:r>
      <w:r>
        <w:tab/>
      </w:r>
      <w:r>
        <w:t>als Vergütung für eine Tätigkeit als Geschäftsführer, Prokurist oder Vorstandsmitglied einer Gesellschaft mit Geschäftsleitung im Inland bezogen werden,</w:t>
      </w:r>
    </w:p>
    <w:p>
      <w:pPr>
        <w:tabs>
          <w:tab w:pos="1134" w:val="left"/>
        </w:tabs>
        <w:ind w:left="1134" w:hanging="567"/>
      </w:pPr>
      <w:r>
        <w:t>d)</w:t>
      </w:r>
      <w:r>
        <w:tab/>
      </w:r>
      <w:r>
        <w:t xml:space="preserve">als Entschädigung im Sinne des </w:t>
      </w:r>
      <w:hyperlink w:anchor="b94" w:history="1">
        <w:r>
          <w:rPr>
            <w:color w:val="0A3A8C"/>
            <w:u w:val="single"/>
          </w:rPr>
          <w:t xml:space="preserve">§ 24</w:t>
        </w:r>
      </w:hyperlink>
      <w:r>
        <w:t xml:space="preserve"> Nummer 1 für die Auflösung eines Dienstverhältnisses gezahlt werden, soweit die für die zuvor ausgeübte Tätigkeit bezogenen Einkünfte der inländischen Besteuerung unterlegen haben,</w:t>
      </w:r>
    </w:p>
    <w:p>
      <w:pPr>
        <w:tabs>
          <w:tab w:pos="1134" w:val="left"/>
        </w:tabs>
        <w:ind w:left="1134" w:hanging="567"/>
      </w:pPr>
      <w:r>
        <w:t>e)</w:t>
      </w:r>
      <w:r>
        <w:tab/>
      </w:r>
      <w:r>
        <w:t>an Bord eines im internationalen Luftverkehr eingesetzten Luftfahrzeugs ausgeübt wird, das von einem Unternehmen mit Geschäftsleitung im Inland betrieben wird,</w:t>
      </w:r>
    </w:p>
    <w:p>
      <w:pPr>
        <w:tabs>
          <w:tab w:pos="1134" w:val="left"/>
        </w:tabs>
        <w:ind w:left="1134" w:hanging="567"/>
      </w:pPr>
      <w:r>
        <w:t>f)</w:t>
      </w:r>
      <w:r>
        <w:tab/>
      </w:r>
      <w:r>
        <w:t>für Zeiten der widerruflichen oder unwiderruflichen Arbeitsfreistellung im Zusammenhang mit der Beendigung des Arbeitsverhältnisses gewährt werden, soweit ohne die Freistellung die Arbeit während dieser Zeiten im Inland ausgeübt worden wäre;</w:t>
      </w:r>
    </w:p>
    <w:p>
      <w:pPr>
        <w:tabs>
          <w:tab w:pos="567" w:val="left"/>
        </w:tabs>
        <w:ind w:left="567" w:hanging="567"/>
      </w:pPr>
      <w:r>
        <w:t xml:space="preserve"> 5.</w:t>
      </w:r>
      <w:r>
        <w:tab/>
      </w:r>
      <w:r>
        <w:t>Einkünfte aus Kapitalvermögen im Sinne des</w:t>
      </w:r>
    </w:p>
    <w:p>
      <w:pPr>
        <w:tabs>
          <w:tab w:pos="1134" w:val="left"/>
        </w:tabs>
        <w:ind w:left="1134" w:hanging="567"/>
      </w:pPr>
      <w:r>
        <w:t>a)</w:t>
      </w:r>
      <w:r>
        <w:tab/>
      </w:r>
      <w:hyperlink w:anchor="b86" w:history="1">
        <w:r>
          <w:rPr>
            <w:color w:val="0A3A8C"/>
            <w:u w:val="single"/>
          </w:rPr>
          <w:t xml:space="preserve">§ 20</w:t>
        </w:r>
      </w:hyperlink>
      <w:r>
        <w:t xml:space="preserve"> Absatz 1 Nummer 1, 2, 4, 6 und 9, wenn</w:t>
      </w:r>
    </w:p>
    <w:p>
      <w:pPr>
        <w:tabs>
          <w:tab w:pos="1701" w:val="left"/>
        </w:tabs>
        <w:ind w:left="1701" w:hanging="567"/>
      </w:pPr>
      <w:r>
        <w:t>aa)</w:t>
      </w:r>
      <w:r>
        <w:tab/>
      </w:r>
      <w:r>
        <w:t>der Schuldner Wohnsitz, Geschäftsleitung oder Sitz im Inland hat,</w:t>
      </w:r>
    </w:p>
    <w:p>
      <w:pPr>
        <w:tabs>
          <w:tab w:pos="1701" w:val="left"/>
        </w:tabs>
        <w:ind w:left="1701" w:hanging="567"/>
      </w:pPr>
      <w:r>
        <w:t>bb)</w:t>
      </w:r>
      <w:r>
        <w:tab/>
      </w:r>
      <w:r>
        <w:t>in den Fällen des § 20 Absatz 1 Nummer 1 Satz 4 der Emittent der Aktien Geschäftsleitung oder Sitz im Inland hat oder</w:t>
      </w:r>
    </w:p>
    <w:p>
      <w:pPr>
        <w:tabs>
          <w:tab w:pos="1701" w:val="left"/>
        </w:tabs>
        <w:ind w:left="1701" w:hanging="567"/>
      </w:pPr>
      <w:r>
        <w:t>cc)</w:t>
      </w:r>
      <w:r>
        <w:tab/>
      </w:r>
      <w:r>
        <w:t>es sich um Fälle des § 44 Absatz 1 Satz 4 Nummer 1 Buchstabe a Doppelbuchstabe bb handelt;</w:t>
      </w:r>
    </w:p>
    <w:p>
      <w:pPr>
        <w:ind w:left="1134"/>
      </w:pPr>
      <w:r>
        <w:t>dies gilt auch für Erträge aus Wandelanleihen und Gewinnobligationen,</w:t>
      </w:r>
    </w:p>
    <w:p>
      <w:pPr>
        <w:tabs>
          <w:tab w:pos="1134" w:val="left"/>
        </w:tabs>
        <w:ind w:left="1134" w:hanging="567"/>
      </w:pPr>
      <w:r>
        <w:t>b)</w:t>
      </w:r>
      <w:r>
        <w:tab/>
      </w:r>
      <w:r>
        <w:t>(weggefallen)</w:t>
      </w:r>
    </w:p>
    <w:p>
      <w:pPr>
        <w:tabs>
          <w:tab w:pos="1134" w:val="left"/>
        </w:tabs>
        <w:ind w:left="1134" w:hanging="567"/>
      </w:pPr>
      <w:r>
        <w:t>c)</w:t>
      </w:r>
      <w:r>
        <w:tab/>
      </w:r>
      <w:hyperlink w:anchor="b86" w:history="1">
        <w:r>
          <w:rPr>
            <w:color w:val="0A3A8C"/>
            <w:u w:val="single"/>
          </w:rPr>
          <w:t xml:space="preserve">§ 20</w:t>
        </w:r>
      </w:hyperlink>
      <w:r>
        <w:t xml:space="preserve"> Absatz 1 Nummer 5 und 7, wenn</w:t>
      </w:r>
    </w:p>
    <w:p>
      <w:pPr>
        <w:tabs>
          <w:tab w:pos="1701" w:val="left"/>
        </w:tabs>
        <w:ind w:left="1701" w:hanging="567"/>
      </w:pPr>
      <w:r>
        <w:t>aa)</w:t>
      </w:r>
      <w:r>
        <w:tab/>
      </w:r>
      <w:r>
        <w:t xml:space="preserve">das Kapitalvermögen durch inländischen Grundbesitz, durch inländische Rechte, die den Vorschriften des bürgerlichen Rechts über Grundstücke unterliegen, oder durch Schiffe, die in ein inländisches Schiffsregister eingetragen sind, unmittelbar oder mittelbar gesichert ist. </w:t>
      </w:r>
      <w:r>
        <w:rPr>
          <w:rStyle w:val="Satznummer"/>
        </w:rPr>
        <w:t>2</w:t>
      </w:r>
      <w:r>
        <w:t>Ausgenommen sind Zinsen aus Anleihen und Forderungen, die in ein öffentliches Schuldbuch eingetragen oder über die Sammelurkunden im Sinne des § 9a des Depotgesetzes oder Teilschuldverschreibungen, soweit es sich nicht um Wandelanleihen oder Gewinnobligationen handelt, ausgegeben sind, oder</w:t>
      </w:r>
    </w:p>
    <w:p>
      <w:pPr>
        <w:tabs>
          <w:tab w:pos="1701" w:val="left"/>
        </w:tabs>
        <w:ind w:left="1701" w:hanging="567"/>
      </w:pPr>
      <w:r>
        <w:t>bb)</w:t>
      </w:r>
      <w:r>
        <w:tab/>
      </w:r>
      <w:r>
        <w:t xml:space="preserve">das Kapitalvermögen aus Genussrechten besteht, die nicht in </w:t>
      </w:r>
      <w:hyperlink w:anchor="b86" w:history="1">
        <w:r>
          <w:rPr>
            <w:color w:val="0A3A8C"/>
            <w:u w:val="single"/>
          </w:rPr>
          <w:t xml:space="preserve">§ 20</w:t>
        </w:r>
      </w:hyperlink>
      <w:r>
        <w:t xml:space="preserve"> Absatz 1 Nummer 1 genannt sind,</w:t>
      </w:r>
    </w:p>
    <w:p>
      <w:pPr>
        <w:tabs>
          <w:tab w:pos="1134" w:val="left"/>
        </w:tabs>
        <w:ind w:left="1134" w:hanging="567"/>
      </w:pPr>
      <w:r>
        <w:t>d)</w:t>
      </w:r>
      <w:r>
        <w:tab/>
      </w:r>
      <w:r>
        <w:t>§ 43 Absatz 1 Satz 1 Nummer 7 Buchstabe a, Nummer 9 und 10 sowie Satz 2, wenn sie von einem Schuldner oder von einem inländischen Kreditinstitut oder einem inländischen Finanzdienstleistungsinstitut oder einem inländischen Wertpapierinstitut im Sinne des § 43 Absatz 1 Satz 1 Nummer 7 Buchstabe b einem anderen als einem ausländischen Kreditinstitut oder einem ausländischen Finanzdienstleistungsinstitut oder einem ausländischen Wertpapierinstitut</w:t>
      </w:r>
    </w:p>
    <w:p>
      <w:pPr>
        <w:tabs>
          <w:tab w:pos="1701" w:val="left"/>
        </w:tabs>
        <w:ind w:left="1701" w:hanging="567"/>
      </w:pPr>
      <w:r>
        <w:t>aa)</w:t>
      </w:r>
      <w:r>
        <w:tab/>
      </w:r>
      <w:r>
        <w:t>gegen Aushändigung der Zinsscheine ausgezahlt oder gutgeschrieben werden und die Teilschuldverschreibungen nicht von dem Schuldner, dem inländischen Kreditinstitut, dem inländischen Finanzdienstleistungsinstitut oder dem inländischen Wertpapierinstitut verwahrt werden oder</w:t>
      </w:r>
    </w:p>
    <w:p>
      <w:pPr>
        <w:tabs>
          <w:tab w:pos="1701" w:val="left"/>
        </w:tabs>
        <w:ind w:left="1701" w:hanging="567"/>
      </w:pPr>
      <w:r>
        <w:t>bb)</w:t>
      </w:r>
      <w:r>
        <w:tab/>
      </w:r>
      <w:r>
        <w:t>gegen Übergabe der Wertpapiere ausgezahlt oder gutgeschrieben werden und diese vom Kreditinstitut weder verwahrt noch verwaltet werden.</w:t>
      </w:r>
    </w:p>
    <w:p>
      <w:pPr>
        <w:ind w:left="567"/>
      </w:pPr>
      <w:r>
        <w:rPr>
          <w:rStyle w:val="Satznummer"/>
        </w:rPr>
        <w:t>2</w:t>
      </w:r>
      <w:hyperlink w:anchor="b86" w:history="1">
        <w:r>
          <w:rPr>
            <w:color w:val="0A3A8C"/>
            <w:u w:val="single"/>
          </w:rPr>
          <w:t xml:space="preserve">§ 20</w:t>
        </w:r>
      </w:hyperlink>
      <w:r>
        <w:t xml:space="preserve"> Absatz 3 gilt entsprechend;</w:t>
      </w:r>
    </w:p>
    <w:p>
      <w:pPr>
        <w:tabs>
          <w:tab w:pos="567" w:val="left"/>
        </w:tabs>
        <w:ind w:left="567" w:hanging="567"/>
      </w:pPr>
      <w:r>
        <w:t xml:space="preserve"> 6.</w:t>
      </w:r>
      <w:r>
        <w:tab/>
      </w:r>
      <w:r>
        <w:t>Einkünfte aus Vermietung und Verpachtung (</w:t>
      </w:r>
      <w:hyperlink w:anchor="b88" w:history="1">
        <w:r>
          <w:rPr>
            <w:color w:val="0A3A8C"/>
            <w:u w:val="single"/>
          </w:rPr>
          <w:t xml:space="preserve">§ 21</w:t>
        </w:r>
      </w:hyperlink>
      <w:r>
        <w:t xml:space="preserve">), soweit sie nicht zu den Einkünften im Sinne der Nummern 1 bis 5 gehören, wenn das unbewegliche Vermögen, die Sachinbegriffe oder Rechte im Sinne des </w:t>
      </w:r>
      <w:hyperlink w:anchor="b88" w:history="1">
        <w:r>
          <w:rPr>
            <w:color w:val="0A3A8C"/>
            <w:u w:val="single"/>
          </w:rPr>
          <w:t xml:space="preserve">§ 21</w:t>
        </w:r>
      </w:hyperlink>
      <w:r>
        <w:t xml:space="preserve"> Absatz 1 Satz 1 Nummer 1 oder sonstige Rechte, insbesondere Patentrechte, Markenrechte oder Sortenrechte, im Inland belegen oder in ein inländisches öffentliches Buch oder Register eingetragen sind oder in einer inländischen Betriebsstätte oder in einer anderen Einrichtung verwertet werden. </w:t>
      </w:r>
      <w:r>
        <w:rPr>
          <w:rStyle w:val="Satznummer"/>
        </w:rPr>
        <w:t>2</w:t>
      </w:r>
      <w:r>
        <w:t>Bei sonstigen Rechten, bei denen Einkünfte nur auf Grund der Eintragung in ein inländisches öffentliches Buch oder Register vorliegen, liegen Einkünfte abweichend von Satz 1 nicht vor, wenn die Vermietung und Verpachtung nicht zwischen nahestehenden Personen im Sinne des § 1 Absatz 2 des Außensteuergesetzes erfolgt oder der Besteuerung der Einkünfte die Bestimmungen eines Abkommens zur Vermeidung der Doppelbesteuerung unter Berücksichtigung der ihre Anwendung regelnden Vorschriften dieses Gesetzes entgegenstehen;</w:t>
      </w:r>
    </w:p>
    <w:p>
      <w:pPr>
        <w:tabs>
          <w:tab w:pos="567" w:val="left"/>
        </w:tabs>
        <w:ind w:left="567" w:hanging="567"/>
      </w:pPr>
      <w:r>
        <w:t xml:space="preserve"> 7.</w:t>
      </w:r>
      <w:r>
        <w:tab/>
      </w:r>
      <w:r>
        <w:t xml:space="preserve">sonstige Einkünfte im Sinne des § 22 Nummer 1 Satz 3 Buchstabe a, die von den inländischen gesetzlichen Rentenversicherungsträgern, der inländischen landwirtschaftlichen Alterskasse, den inländischen berufsständischen Versorgungseinrichtungen, den inländischen Versicherungsunternehmen oder sonstigen inländischen Zahlstellen gewährt werden; dies gilt entsprechend für Leibrenten und andere Leistungen ausländischer Zahlstellen, wenn die Beiträge, die den Leistungen zugrunde liegen, nach </w:t>
      </w:r>
      <w:hyperlink w:anchor="b51" w:history="1">
        <w:r>
          <w:rPr>
            <w:color w:val="0A3A8C"/>
            <w:u w:val="single"/>
          </w:rPr>
          <w:t xml:space="preserve">§ 10</w:t>
        </w:r>
      </w:hyperlink>
      <w:r>
        <w:t xml:space="preserve"> Absatz 1 Nummer 2 ganz oder teilweise bei der Ermittlung der Sonderausgaben berücksichtigt wurden;</w:t>
      </w:r>
    </w:p>
    <w:p>
      <w:pPr>
        <w:tabs>
          <w:tab w:pos="567" w:val="left"/>
        </w:tabs>
        <w:ind w:left="567" w:hanging="567"/>
      </w:pPr>
      <w:r>
        <w:t xml:space="preserve"> 8.</w:t>
      </w:r>
      <w:r>
        <w:tab/>
      </w:r>
      <w:r>
        <w:t xml:space="preserve">sonstige Einkünfte im Sinne des </w:t>
      </w:r>
      <w:hyperlink w:anchor="b90" w:history="1">
        <w:r>
          <w:rPr>
            <w:color w:val="0A3A8C"/>
            <w:u w:val="single"/>
          </w:rPr>
          <w:t xml:space="preserve">§ 22</w:t>
        </w:r>
      </w:hyperlink>
      <w:r>
        <w:t xml:space="preserve"> Nummer 2, soweit es sich um private Veräußerungsgeschäfte handelt, mit</w:t>
      </w:r>
    </w:p>
    <w:p>
      <w:pPr>
        <w:tabs>
          <w:tab w:pos="1134" w:val="left"/>
        </w:tabs>
        <w:ind w:left="1134" w:hanging="567"/>
      </w:pPr>
      <w:r>
        <w:t>a)</w:t>
      </w:r>
      <w:r>
        <w:tab/>
      </w:r>
      <w:r>
        <w:t>inländischen Grundstücken oder</w:t>
      </w:r>
    </w:p>
    <w:p>
      <w:pPr>
        <w:tabs>
          <w:tab w:pos="1134" w:val="left"/>
        </w:tabs>
        <w:ind w:left="1134" w:hanging="567"/>
      </w:pPr>
      <w:r>
        <w:t>b)</w:t>
      </w:r>
      <w:r>
        <w:tab/>
      </w:r>
      <w:r>
        <w:t>inländischen Rechten, die den Vorschriften des bürgerlichen Rechts über Grundstücke unterliegen;</w:t>
      </w:r>
    </w:p>
    <w:p>
      <w:pPr>
        <w:tabs>
          <w:tab w:pos="567" w:val="left"/>
        </w:tabs>
        <w:ind w:left="567" w:hanging="567"/>
      </w:pPr>
      <w:r>
        <w:t xml:space="preserve"> 8a.</w:t>
      </w:r>
      <w:r>
        <w:tab/>
      </w:r>
      <w:r>
        <w:t xml:space="preserve">sonstige Einkünfte im Sinne des </w:t>
      </w:r>
      <w:hyperlink w:anchor="b90" w:history="1">
        <w:r>
          <w:rPr>
            <w:color w:val="0A3A8C"/>
            <w:u w:val="single"/>
          </w:rPr>
          <w:t xml:space="preserve">§ 22</w:t>
        </w:r>
      </w:hyperlink>
      <w:r>
        <w:t xml:space="preserve"> Nummer 4;</w:t>
      </w:r>
    </w:p>
    <w:p>
      <w:pPr>
        <w:tabs>
          <w:tab w:pos="567" w:val="left"/>
        </w:tabs>
        <w:ind w:left="567" w:hanging="567"/>
      </w:pPr>
      <w:r>
        <w:t xml:space="preserve"> 9.</w:t>
      </w:r>
      <w:r>
        <w:tab/>
      </w:r>
      <w:r>
        <w:t xml:space="preserve">sonstige Einkünfte im Sinne des </w:t>
      </w:r>
      <w:hyperlink w:anchor="b90" w:history="1">
        <w:r>
          <w:rPr>
            <w:color w:val="0A3A8C"/>
            <w:u w:val="single"/>
          </w:rPr>
          <w:t xml:space="preserve">§ 22</w:t>
        </w:r>
      </w:hyperlink>
      <w:r>
        <w:t xml:space="preserve"> Nummer 3, auch wenn sie bei Anwendung dieser Vorschrift einer anderen Einkunftsart zuzurechnen wären, soweit es sich um Einkünfte aus inländischen unterhaltenden Darbietungen, aus der Nutzung beweglicher Sachen im Inland oder aus der Überlassung der Nutzung oder des Rechts auf Nutzung von gewerblichen, technischen, wissenschaftlichen und ähnlichen Erfahrungen, Kenntnissen und Fertigkeiten, zum Beispiel Plänen, Mustern und Verfahren, handelt, die im Inland genutzt werden oder worden sind; dies gilt nicht, soweit es sich um steuerpflichtige Einkünfte im Sinne der Nummern 1 bis 8 handelt;</w:t>
      </w:r>
    </w:p>
    <w:p>
      <w:pPr>
        <w:tabs>
          <w:tab w:pos="567" w:val="left"/>
        </w:tabs>
        <w:ind w:left="567" w:hanging="567"/>
      </w:pPr>
      <w:r>
        <w:t>10.</w:t>
      </w:r>
      <w:r>
        <w:tab/>
      </w:r>
      <w:r>
        <w:t xml:space="preserve">sonstige Einkünfte im Sinne des </w:t>
      </w:r>
      <w:hyperlink w:anchor="b90" w:history="1">
        <w:r>
          <w:rPr>
            <w:color w:val="0A3A8C"/>
            <w:u w:val="single"/>
          </w:rPr>
          <w:t xml:space="preserve">§ 22</w:t>
        </w:r>
      </w:hyperlink>
      <w:r>
        <w:t xml:space="preserve"> Nummer 5; dies gilt auch für Leistungen ausländischer Zahlstellen, soweit die Leistungen bei einem unbeschränkt Steuerpflichtigen zu Einkünften nach </w:t>
      </w:r>
      <w:hyperlink w:anchor="b90" w:history="1">
        <w:r>
          <w:rPr>
            <w:color w:val="0A3A8C"/>
            <w:u w:val="single"/>
          </w:rPr>
          <w:t xml:space="preserve">§ 22</w:t>
        </w:r>
      </w:hyperlink>
      <w:r>
        <w:t xml:space="preserve"> Nummer 5 Satz 1 führen würden oder wenn die Beiträge, die den Leistungen zugrunde liegen, nach </w:t>
      </w:r>
      <w:hyperlink w:anchor="b51" w:history="1">
        <w:r>
          <w:rPr>
            <w:color w:val="0A3A8C"/>
            <w:u w:val="single"/>
          </w:rPr>
          <w:t xml:space="preserve">§ 10</w:t>
        </w:r>
      </w:hyperlink>
      <w:r>
        <w:t xml:space="preserve"> Absatz 1 Nummer 2 ganz oder teilweise bei der Ermittlung der Sonderausgaben berücksichtigt wurden.</w:t>
      </w:r>
    </w:p>
    <w:p>
      <w:pPr>
        <w:tabs>
          <w:tab w:pos="567" w:val="left"/>
        </w:tabs>
        <w:ind w:left="567" w:hanging="567"/>
      </w:pPr>
      <w:r>
        <w:t>11.</w:t>
      </w:r>
      <w:r>
        <w:tab/>
      </w:r>
      <w:r>
        <w:t>Einkünfte aus der Beteiligung an einer Personengesellschaft oder Gemeinschaft, die ihren Sitz oder ihre Geschäftsleitung im Inland hat oder in ein inländisches Register eingetragen ist, soweit diese Einkünfte</w:t>
      </w:r>
    </w:p>
    <w:p>
      <w:pPr>
        <w:tabs>
          <w:tab w:pos="1134" w:val="left"/>
        </w:tabs>
        <w:ind w:left="1134" w:hanging="567"/>
      </w:pPr>
      <w:r>
        <w:t>a)</w:t>
      </w:r>
      <w:r>
        <w:tab/>
      </w:r>
      <w:r>
        <w:t>in dem Staat, in dem der Beteiligte seinen Wohnsitz oder gewöhnlichen Aufenthalt hat, aufgrund einer vom deutschen Recht abweichenden steuerlichen Behandlung der Personengesellschaft oder Gemeinschaft keiner Besteuerung unterliegen,</w:t>
      </w:r>
    </w:p>
    <w:p>
      <w:pPr>
        <w:tabs>
          <w:tab w:pos="1134" w:val="left"/>
        </w:tabs>
        <w:ind w:left="1134" w:hanging="567"/>
      </w:pPr>
      <w:r>
        <w:t>b)</w:t>
      </w:r>
      <w:r>
        <w:tab/>
      </w:r>
      <w:r>
        <w:t>nicht bereits als Einkünfte im Sinne der Nummern 1 bis 10 einer Besteuerung unterliegen und</w:t>
      </w:r>
    </w:p>
    <w:p>
      <w:pPr>
        <w:tabs>
          <w:tab w:pos="1134" w:val="left"/>
        </w:tabs>
        <w:ind w:left="1134" w:hanging="567"/>
      </w:pPr>
      <w:r>
        <w:t>c)</w:t>
      </w:r>
      <w:r>
        <w:tab/>
      </w:r>
      <w:r>
        <w:t>in keinem anderen Staat einer Besteuerung unterliegen.</w:t>
      </w:r>
    </w:p>
    <w:p>
      <w:pPr>
        <w:ind w:left="567"/>
      </w:pPr>
      <w:r>
        <w:rPr>
          <w:rStyle w:val="Satznummer"/>
        </w:rPr>
        <w:t>2</w:t>
      </w:r>
      <w:r>
        <w:t xml:space="preserve">Satz 1 gilt nur, wenn dem Beteiligten allein oder zusammen mit ihm nahestehenden Personen im Sinne des § 1 Absatz 2 des Außensteuergesetzes, die keiner unbeschränkten Steuerpflicht im Inland nach </w:t>
      </w:r>
      <w:hyperlink w:anchor="b1" w:history="1">
        <w:r>
          <w:rPr>
            <w:color w:val="0A3A8C"/>
            <w:u w:val="single"/>
          </w:rPr>
          <w:t xml:space="preserve">§ 1</w:t>
        </w:r>
      </w:hyperlink>
      <w:r>
        <w:t xml:space="preserve"> Absatz 1 oder nach § 1 des Körperschaftsteuergesetzes unterliegen, mehr als die Hälfte der Stimmrechte oder mehr als die Hälfte der Anteile am Kapital unmittelbar oder mittelbar zuzurechnen sind oder unmittelbar oder mittelbar ein Anspruch auf mehr als die Hälfte des Gewinns oder des Liquidationserlöses der Personengesellschaft oder Gemeinschaft zusteht; eine Beteiligung in diesem Sinne setzt nicht die Stellung als Gesellschafter oder Gemeinschafter voraus. </w:t>
      </w:r>
      <w:r>
        <w:rPr>
          <w:rStyle w:val="Satznummer"/>
        </w:rPr>
        <w:t>3</w:t>
      </w:r>
      <w:r>
        <w:t xml:space="preserve">Die Sätze 1 und 2 gelten nicht, wenn es sich bei der Personengesellschaft oder Gemeinschaft um einen Altersvorsorgevermögensfonds im Sinne des § 53 des Investmentsteuergesetzes handelt oder die Einkünfte auch bei einer nicht vom deutschen Recht abweichenden Behandlung der Personengesellschaft oder Gemeinschaft im ausländischen Staat keiner Besteuerung unterliegen würden. </w:t>
      </w:r>
      <w:r>
        <w:rPr>
          <w:rStyle w:val="Satznummer"/>
        </w:rPr>
        <w:t>4</w:t>
      </w:r>
      <w:r>
        <w:t>Die Besteuerung nach den vorstehenden Sätzen erfolgt ungeachtet der Bestimmungen eines Abkommens zur Vermeidung der Doppelbesteuerung.</w:t>
      </w:r>
    </w:p>
    <w:p>
      <w:r>
        <w:t>(2) Im Ausland gegebene Besteuerungsmerkmale bleiben außer Betracht, soweit bei ihrer Berücksichtigung inländische Einkünfte im Sinne des Absatzes 1 nicht angenommen werden könnten.</w:t>
      </w:r>
    </w:p>
    <w:p>
      <w:r>
        <w:t xml:space="preserve">(3) </w:t>
      </w:r>
      <w:r>
        <w:rPr>
          <w:rStyle w:val="Satznummer"/>
        </w:rPr>
        <w:t>1</w:t>
      </w:r>
      <w:r>
        <w:t xml:space="preserve">Bei Schifffahrt- und Luftfahrtunternehmen sind die Einkünfte im Sinne des Absatzes 1 Nummer 2 Buchstabe b mit 5 Prozent der für diese Beförderungsleistungen vereinbarten Entgelte anzusetzen. </w:t>
      </w:r>
      <w:r>
        <w:rPr>
          <w:rStyle w:val="Satznummer"/>
        </w:rPr>
        <w:t>2</w:t>
      </w:r>
      <w:r>
        <w:t xml:space="preserve">Das gilt auch, wenn solche Einkünfte durch eine inländische Betriebsstätte oder einen inländischen ständigen Vertreter erzielt werden (Absatz 1 Nummer 2 Buchstabe a). </w:t>
      </w:r>
      <w:r>
        <w:rPr>
          <w:rStyle w:val="Satznummer"/>
        </w:rPr>
        <w:t>3</w:t>
      </w:r>
      <w:r>
        <w:t>Das gilt nicht in den Fällen des Absatzes 1 Nummer 2 Buchstabe c oder soweit das deutsche Besteuerungsrecht nach einem Abkommen zur Vermeidung der Doppelbesteuerung ohne Begrenzung des Steuersatzes aufrechterhalten bleibt.</w:t>
      </w:r>
    </w:p>
    <w:p>
      <w:r>
        <w:t xml:space="preserve">(4) </w:t>
      </w:r>
      <w:r>
        <w:rPr>
          <w:rStyle w:val="Satznummer"/>
        </w:rPr>
        <w:t>1</w:t>
      </w:r>
      <w:r>
        <w:t xml:space="preserve">Abweichend von Absatz 1 Nummer 2 sind Einkünfte steuerfrei, die ein beschränkt Steuerpflichtiger mit Wohnsitz oder gewöhnlichem Aufenthalt in einem ausländischen Staat durch den Betrieb eigener oder gecharterter Schiffe oder Luftfahrzeuge aus einem Unternehmen bezieht, dessen Geschäftsleitung sich in dem ausländischen Staat befindet. </w:t>
      </w:r>
      <w:r>
        <w:rPr>
          <w:rStyle w:val="Satznummer"/>
        </w:rPr>
        <w:t>2</w:t>
      </w:r>
      <w:r>
        <w:t>Voraussetzung für die Steuerbefreiung ist, dass dieser ausländische Staat Steuerpflichtigen mit Wohnsitz oder gewöhnlichem Aufenthalt im Geltungsbereich dieses Gesetzes eine entsprechende Steuerbefreiung für derartige Einkünfte gewährt und dass das Bundesministerium für Verkehr und digitale Infrastruktur die Steuerbefreiung nach Satz 1 für verkehrspolitisch unbedenklich erklärt hat.</w:t>
      </w:r>
    </w:p>
    <w:p>
      <w:pPr>
        <w:pStyle w:val="Heading2"/>
      </w:pPr>
      <w:bookmarkStart w:id="193" w:name="b192"/>
      <w:r>
        <w:t>§ 50 Sondervorschriften für beschränkt Steuerpflichtige</w:t>
      </w:r>
      <w:r>
        <w:t xml:space="preserve"> </w:t>
      </w:r>
      <w:r>
        <w:rPr>
          <w:rStyle w:val="Suchmarke"/>
        </w:rPr>
        <w:t>#50#</w:t>
      </w:r>
      <w:bookmarkEnd w:id="193"/>
    </w:p>
    <w:p>
      <w:r>
        <w:t xml:space="preserve">(1) </w:t>
      </w:r>
      <w:r>
        <w:rPr>
          <w:rStyle w:val="Satznummer"/>
        </w:rPr>
        <w:t>1</w:t>
      </w:r>
      <w:r>
        <w:t>Beschränkt Steuerpflichtige dürfen Betriebsausgaben (</w:t>
      </w:r>
      <w:hyperlink w:anchor="b13" w:history="1">
        <w:r>
          <w:rPr>
            <w:color w:val="0A3A8C"/>
            <w:u w:val="single"/>
          </w:rPr>
          <w:t xml:space="preserve">§ 4</w:t>
        </w:r>
      </w:hyperlink>
      <w:r>
        <w:t xml:space="preserve"> Absatz 4 bis 8) oder Werbungskosten (</w:t>
      </w:r>
      <w:hyperlink w:anchor="b46" w:history="1">
        <w:r>
          <w:rPr>
            <w:color w:val="0A3A8C"/>
            <w:u w:val="single"/>
          </w:rPr>
          <w:t xml:space="preserve">§ 9</w:t>
        </w:r>
      </w:hyperlink>
      <w:r>
        <w:t xml:space="preserve">) nur insoweit abziehen, als sie mit inländischen Einkünften in wirtschaftlichem Zusammenhang stehen. </w:t>
      </w:r>
      <w:r>
        <w:rPr>
          <w:rStyle w:val="Satznummer"/>
        </w:rPr>
        <w:t>2</w:t>
      </w:r>
      <w:hyperlink w:anchor="b108" w:history="1">
        <w:r>
          <w:rPr>
            <w:color w:val="0A3A8C"/>
            <w:u w:val="single"/>
          </w:rPr>
          <w:t xml:space="preserve">§ 32a</w:t>
        </w:r>
      </w:hyperlink>
      <w:r>
        <w:t xml:space="preserve"> Absatz 1 ist mit der Maßgabe anzuwenden, dass das zu versteuernde Einkommen um den Grundfreibetrag des </w:t>
      </w:r>
      <w:hyperlink w:anchor="b108" w:history="1">
        <w:r>
          <w:rPr>
            <w:color w:val="0A3A8C"/>
            <w:u w:val="single"/>
          </w:rPr>
          <w:t xml:space="preserve">§ 32a</w:t>
        </w:r>
      </w:hyperlink>
      <w:r>
        <w:t xml:space="preserve"> Absatz 1 Satz 2 Nummer 1 erhöht wird; dies gilt bei Einkünften nach </w:t>
      </w:r>
      <w:hyperlink w:anchor="b191" w:history="1">
        <w:r>
          <w:rPr>
            <w:color w:val="0A3A8C"/>
            <w:u w:val="single"/>
          </w:rPr>
          <w:t xml:space="preserve">§ 49</w:t>
        </w:r>
      </w:hyperlink>
      <w:r>
        <w:t xml:space="preserve"> Absatz 1 Nummer 4 nur in Höhe des diese Einkünfte abzüglich der nach Satz 5 abzuziehenden Aufwendungen übersteigenden Teils des Grundfreibetrags. </w:t>
      </w:r>
      <w:r>
        <w:rPr>
          <w:rStyle w:val="Satznummer"/>
        </w:rPr>
        <w:t>3</w:t>
      </w:r>
      <w:r>
        <w:t xml:space="preserve">Wenn für das um den Grundfreibetrag erhöhte zu versteuernde Einkommen ein besonderer Steuersatz nach </w:t>
      </w:r>
      <w:hyperlink w:anchor="b109" w:history="1">
        <w:r>
          <w:rPr>
            <w:color w:val="0A3A8C"/>
            <w:u w:val="single"/>
          </w:rPr>
          <w:t xml:space="preserve">§ 32b</w:t>
        </w:r>
      </w:hyperlink>
      <w:r>
        <w:t xml:space="preserve"> Absatz 2 oder nach § 2 Absatz 5 des Außensteuergesetzes gilt, ist dieser auf das zu versteuernde Einkommen anzuwenden. </w:t>
      </w:r>
      <w:r>
        <w:rPr>
          <w:rStyle w:val="Satznummer"/>
        </w:rPr>
        <w:t>4</w:t>
      </w:r>
      <w:hyperlink w:anchor="b51" w:history="1">
        <w:r>
          <w:rPr>
            <w:color w:val="0A3A8C"/>
            <w:u w:val="single"/>
          </w:rPr>
          <w:t xml:space="preserve">§ 10</w:t>
        </w:r>
      </w:hyperlink>
      <w:r>
        <w:t xml:space="preserve"> Absatz 1, 1a Nummer 1, 3 und 4, Absatz 2 bis 6, die </w:t>
      </w:r>
      <w:hyperlink w:anchor="b52" w:history="1">
        <w:r>
          <w:rPr>
            <w:color w:val="0A3A8C"/>
            <w:u w:val="single"/>
          </w:rPr>
          <w:t xml:space="preserve">§§ 10a</w:t>
        </w:r>
      </w:hyperlink>
      <w:r>
        <w:t xml:space="preserve">, </w:t>
      </w:r>
      <w:hyperlink w:anchor="b54" w:history="1">
        <w:r>
          <w:rPr>
            <w:color w:val="0A3A8C"/>
            <w:u w:val="single"/>
          </w:rPr>
          <w:t xml:space="preserve">10c</w:t>
        </w:r>
      </w:hyperlink>
      <w:r>
        <w:t xml:space="preserve">, </w:t>
      </w:r>
      <w:hyperlink w:anchor="b78" w:history="1">
        <w:r>
          <w:rPr>
            <w:color w:val="0A3A8C"/>
            <w:u w:val="single"/>
          </w:rPr>
          <w:t xml:space="preserve">16</w:t>
        </w:r>
      </w:hyperlink>
      <w:r>
        <w:t xml:space="preserve"> Absatz 4, die </w:t>
      </w:r>
      <w:hyperlink w:anchor="b96" w:history="1">
        <w:r>
          <w:rPr>
            <w:color w:val="0A3A8C"/>
            <w:u w:val="single"/>
          </w:rPr>
          <w:t xml:space="preserve">§§ 24b</w:t>
        </w:r>
      </w:hyperlink>
      <w:r>
        <w:t xml:space="preserve">, </w:t>
      </w:r>
      <w:hyperlink w:anchor="b107" w:history="1">
        <w:r>
          <w:rPr>
            <w:color w:val="0A3A8C"/>
            <w:u w:val="single"/>
          </w:rPr>
          <w:t xml:space="preserve">32</w:t>
        </w:r>
      </w:hyperlink>
      <w:r>
        <w:t xml:space="preserve">, </w:t>
      </w:r>
      <w:hyperlink w:anchor="b108" w:history="1">
        <w:r>
          <w:rPr>
            <w:color w:val="0A3A8C"/>
            <w:u w:val="single"/>
          </w:rPr>
          <w:t xml:space="preserve">32a</w:t>
        </w:r>
      </w:hyperlink>
      <w:r>
        <w:t xml:space="preserve"> Absatz 6, die </w:t>
      </w:r>
      <w:hyperlink w:anchor="b112" w:history="1">
        <w:r>
          <w:rPr>
            <w:color w:val="0A3A8C"/>
            <w:u w:val="single"/>
          </w:rPr>
          <w:t xml:space="preserve">§§ 33</w:t>
        </w:r>
      </w:hyperlink>
      <w:r>
        <w:t xml:space="preserve">, </w:t>
      </w:r>
      <w:hyperlink w:anchor="b113" w:history="1">
        <w:r>
          <w:rPr>
            <w:color w:val="0A3A8C"/>
            <w:u w:val="single"/>
          </w:rPr>
          <w:t xml:space="preserve">33a</w:t>
        </w:r>
      </w:hyperlink>
      <w:r>
        <w:t xml:space="preserve">, </w:t>
      </w:r>
      <w:hyperlink w:anchor="b114" w:history="1">
        <w:r>
          <w:rPr>
            <w:color w:val="0A3A8C"/>
            <w:u w:val="single"/>
          </w:rPr>
          <w:t xml:space="preserve">33b</w:t>
        </w:r>
      </w:hyperlink>
      <w:r>
        <w:t xml:space="preserve">, </w:t>
      </w:r>
      <w:hyperlink w:anchor="b131" w:history="1">
        <w:r>
          <w:rPr>
            <w:color w:val="0A3A8C"/>
            <w:u w:val="single"/>
          </w:rPr>
          <w:t xml:space="preserve">35a</w:t>
        </w:r>
      </w:hyperlink>
      <w:r>
        <w:t xml:space="preserve"> und </w:t>
      </w:r>
      <w:hyperlink w:anchor="b135" w:history="1">
        <w:r>
          <w:rPr>
            <w:color w:val="0A3A8C"/>
            <w:u w:val="single"/>
          </w:rPr>
          <w:t xml:space="preserve">35c</w:t>
        </w:r>
      </w:hyperlink>
      <w:r>
        <w:t xml:space="preserve"> sind nicht anzuwenden. </w:t>
      </w:r>
      <w:r>
        <w:rPr>
          <w:rStyle w:val="Satznummer"/>
        </w:rPr>
        <w:t>5</w:t>
      </w:r>
      <w:r>
        <w:t xml:space="preserve">Hiervon abweichend sind bei Arbeitnehmern, die Einkünfte aus nichtselbständiger Arbeit im Sinne des </w:t>
      </w:r>
      <w:hyperlink w:anchor="b191" w:history="1">
        <w:r>
          <w:rPr>
            <w:color w:val="0A3A8C"/>
            <w:u w:val="single"/>
          </w:rPr>
          <w:t xml:space="preserve">§ 49</w:t>
        </w:r>
      </w:hyperlink>
      <w:r>
        <w:t xml:space="preserve"> Absatz 1 Nummer 4 beziehen, § 10 Absatz 1 Nummer 2 Buchstabe a, Nummer 3 und Absatz 3 sowie </w:t>
      </w:r>
      <w:hyperlink w:anchor="b54" w:history="1">
        <w:r>
          <w:rPr>
            <w:color w:val="0A3A8C"/>
            <w:u w:val="single"/>
          </w:rPr>
          <w:t xml:space="preserve">§ 10c</w:t>
        </w:r>
      </w:hyperlink>
      <w:r>
        <w:t xml:space="preserve"> anzuwenden, soweit die Aufwendungen auf die Zeit entfallen, in der Einkünfte im Sinne des </w:t>
      </w:r>
      <w:hyperlink w:anchor="b191" w:history="1">
        <w:r>
          <w:rPr>
            <w:color w:val="0A3A8C"/>
            <w:u w:val="single"/>
          </w:rPr>
          <w:t xml:space="preserve">§ 49</w:t>
        </w:r>
      </w:hyperlink>
      <w:r>
        <w:t xml:space="preserve"> Absatz 1 Nummer 4 erzielt wurden und die Einkünfte nach </w:t>
      </w:r>
      <w:hyperlink w:anchor="b191" w:history="1">
        <w:r>
          <w:rPr>
            <w:color w:val="0A3A8C"/>
            <w:u w:val="single"/>
          </w:rPr>
          <w:t xml:space="preserve">§ 49</w:t>
        </w:r>
      </w:hyperlink>
      <w:r>
        <w:t xml:space="preserve"> Absatz 1 Nummer 4 nicht übersteigen. </w:t>
      </w:r>
      <w:r>
        <w:rPr>
          <w:rStyle w:val="Satznummer"/>
        </w:rPr>
        <w:t>6</w:t>
      </w:r>
      <w:r>
        <w:t xml:space="preserve">Die Jahres- und Monatsbeträge der Pauschalen nach </w:t>
      </w:r>
      <w:hyperlink w:anchor="b47" w:history="1">
        <w:r>
          <w:rPr>
            <w:color w:val="0A3A8C"/>
            <w:u w:val="single"/>
          </w:rPr>
          <w:t xml:space="preserve">§ 9a</w:t>
        </w:r>
      </w:hyperlink>
      <w:r>
        <w:t xml:space="preserve"> Satz 1 Nummer 1 und </w:t>
      </w:r>
      <w:hyperlink w:anchor="b54" w:history="1">
        <w:r>
          <w:rPr>
            <w:color w:val="0A3A8C"/>
            <w:u w:val="single"/>
          </w:rPr>
          <w:t xml:space="preserve">§ 10c</w:t>
        </w:r>
      </w:hyperlink>
      <w:r>
        <w:t xml:space="preserve"> ermäßigen sich zeitanteilig, wenn Einkünfte im Sinne des </w:t>
      </w:r>
      <w:hyperlink w:anchor="b191" w:history="1">
        <w:r>
          <w:rPr>
            <w:color w:val="0A3A8C"/>
            <w:u w:val="single"/>
          </w:rPr>
          <w:t xml:space="preserve">§ 49</w:t>
        </w:r>
      </w:hyperlink>
      <w:r>
        <w:t xml:space="preserve"> Absatz 1 Nummer 4 nicht während eines vollen Kalenderjahres oder Kalendermonats zugeflossen sind.</w:t>
      </w:r>
    </w:p>
    <w:p>
      <w:r>
        <w:t xml:space="preserve">(1a) </w:t>
      </w:r>
      <w:r>
        <w:rPr>
          <w:rStyle w:val="Satznummer"/>
        </w:rPr>
        <w:t>1</w:t>
      </w:r>
      <w:r>
        <w:t xml:space="preserve">Abweichend von Absatz 1 Satz 4 ist § 10 Absatz 1 Nummer 2 Buchstabe a sowie Absatz 2 und 3 auf Beiträge an berufsständische Versorgungseinrichtungen anzuwenden, wenn eine gesetzliche Pflichtmitgliedschaft in der Versorgungseinrichtung besteht, die auf einer für die inländische Berufsausübung erforderlichen Zulassung beruht. </w:t>
      </w:r>
      <w:r>
        <w:rPr>
          <w:rStyle w:val="Satznummer"/>
        </w:rPr>
        <w:t>2</w:t>
      </w:r>
      <w:r>
        <w:t>Dies gilt nur für Staatsangehörige</w:t>
      </w:r>
    </w:p>
    <w:p>
      <w:pPr>
        <w:tabs>
          <w:tab w:pos="567" w:val="left"/>
        </w:tabs>
        <w:ind w:left="567" w:hanging="567"/>
      </w:pPr>
      <w:r>
        <w:t>1.</w:t>
      </w:r>
      <w:r>
        <w:tab/>
      </w:r>
      <w:r>
        <w:t>eines Mitgliedstaates der Europäischen Union oder eines Staates, auf den das Abkommen über den Europäischen Wirtschaftsraum Anwendung findet, und die im Hoheitsgebiet eines dieser Staaten oder der Schweiz ihren Wohnsitz oder gewöhnlichen Aufenthalt haben, sowie</w:t>
      </w:r>
    </w:p>
    <w:p>
      <w:pPr>
        <w:tabs>
          <w:tab w:pos="567" w:val="left"/>
        </w:tabs>
        <w:ind w:left="567" w:hanging="567"/>
      </w:pPr>
      <w:r>
        <w:t>2.</w:t>
      </w:r>
      <w:r>
        <w:tab/>
      </w:r>
      <w:r>
        <w:t>der Schweizerischen Eidgenossenschaft, die ihren Wohnsitz oder gewöhnlichen Aufenthalt im Hoheitsgebiet eines Mitgliedstaates der Europäischen Union oder der Schweiz haben.</w:t>
      </w:r>
    </w:p>
    <w:p>
      <w:r>
        <w:rPr>
          <w:rStyle w:val="Satznummer"/>
        </w:rPr>
        <w:t>3</w:t>
      </w:r>
      <w:r>
        <w:t xml:space="preserve">Die Beiträge können nur als Sonderausgaben abgezogen werden, soweit sie in unmittelbarem wirtschaftlichem Zusammenhang mit inländischen Einkünften nach </w:t>
      </w:r>
      <w:hyperlink w:anchor="b191" w:history="1">
        <w:r>
          <w:rPr>
            <w:color w:val="0A3A8C"/>
            <w:u w:val="single"/>
          </w:rPr>
          <w:t xml:space="preserve">§ 49</w:t>
        </w:r>
      </w:hyperlink>
      <w:r>
        <w:t xml:space="preserve"> Absatz 1 Nummer 2 oder 3 stehen, die aus der durch die Zulassung ermöglichten Berufsausübung erzielt werden. </w:t>
      </w:r>
      <w:r>
        <w:rPr>
          <w:rStyle w:val="Satznummer"/>
        </w:rPr>
        <w:t>4</w:t>
      </w:r>
      <w:r>
        <w:t xml:space="preserve">Der Abzug der Beiträge erfolgt entsprechend dem Anteil der inländischen Einkünfte im Sinne des Satzes 3 an dem Gesamtbetrag der positiven in- und ausländischen Einkünfte aus der durch die Zulassung ermöglichten Berufsausübung. </w:t>
      </w:r>
      <w:r>
        <w:rPr>
          <w:rStyle w:val="Satznummer"/>
        </w:rPr>
        <w:t>5</w:t>
      </w:r>
      <w:r>
        <w:t>Der Abzug der Beiträge ist ausgeschlossen, soweit sie im Rahmen der Einkommensbesteuerung des Steuerpflichtigen in einem Staat, in dem er seinen Wohnsitz oder gewöhnlichen Aufenthalt hat, abgezogen worden sind oder sie die Einkünfte nach Satz 3 übersteigen.</w:t>
      </w:r>
    </w:p>
    <w:p>
      <w:r>
        <w:t xml:space="preserve">(2) </w:t>
      </w:r>
      <w:r>
        <w:rPr>
          <w:rStyle w:val="Satznummer"/>
        </w:rPr>
        <w:t>1</w:t>
      </w:r>
      <w:r>
        <w:t xml:space="preserve">Die Einkommensteuer für Einkünfte, die dem Steuerabzug vom Arbeitslohn oder vom Kapitalertrag oder dem Steuerabzug auf Grund des </w:t>
      </w:r>
      <w:hyperlink w:anchor="b193" w:history="1">
        <w:r>
          <w:rPr>
            <w:color w:val="0A3A8C"/>
            <w:u w:val="single"/>
          </w:rPr>
          <w:t xml:space="preserve">§ 50a</w:t>
        </w:r>
      </w:hyperlink>
      <w:r>
        <w:t xml:space="preserve"> unterliegen, gilt bei beschränkt Steuerpflichtigen durch den Steuerabzug als abgegolten. </w:t>
      </w:r>
      <w:r>
        <w:rPr>
          <w:rStyle w:val="Satznummer"/>
        </w:rPr>
        <w:t>2</w:t>
      </w:r>
      <w:r>
        <w:t>Satz 1 gilt nicht</w:t>
      </w:r>
    </w:p>
    <w:p>
      <w:pPr>
        <w:tabs>
          <w:tab w:pos="567" w:val="left"/>
        </w:tabs>
        <w:ind w:left="567" w:hanging="567"/>
      </w:pPr>
      <w:r>
        <w:t>1.</w:t>
      </w:r>
      <w:r>
        <w:tab/>
      </w:r>
      <w:r>
        <w:t>für Einkünfte eines inländischen Betriebs;</w:t>
      </w:r>
    </w:p>
    <w:p>
      <w:pPr>
        <w:tabs>
          <w:tab w:pos="567" w:val="left"/>
        </w:tabs>
        <w:ind w:left="567" w:hanging="567"/>
      </w:pPr>
      <w:r>
        <w:t>2.</w:t>
      </w:r>
      <w:r>
        <w:tab/>
      </w:r>
      <w:r>
        <w:t xml:space="preserve">wenn nachträglich festgestellt wird, dass die Voraussetzungen der unbeschränkten Einkommensteuerpflicht im Sinne des </w:t>
      </w:r>
      <w:hyperlink w:anchor="b1" w:history="1">
        <w:r>
          <w:rPr>
            <w:color w:val="0A3A8C"/>
            <w:u w:val="single"/>
          </w:rPr>
          <w:t xml:space="preserve">§ 1</w:t>
        </w:r>
      </w:hyperlink>
      <w:r>
        <w:t xml:space="preserve"> Absatz 2 oder Absatz 3 oder des </w:t>
      </w:r>
      <w:hyperlink w:anchor="b2" w:history="1">
        <w:r>
          <w:rPr>
            <w:color w:val="0A3A8C"/>
            <w:u w:val="single"/>
          </w:rPr>
          <w:t xml:space="preserve">§ 1a</w:t>
        </w:r>
      </w:hyperlink>
      <w:r>
        <w:t xml:space="preserve"> nicht vorgelegen haben; </w:t>
      </w:r>
      <w:hyperlink w:anchor="b147" w:history="1">
        <w:r>
          <w:rPr>
            <w:color w:val="0A3A8C"/>
            <w:u w:val="single"/>
          </w:rPr>
          <w:t xml:space="preserve">§ 39</w:t>
        </w:r>
      </w:hyperlink>
      <w:r>
        <w:t xml:space="preserve"> Absatz 7 ist sinngemäß anzuwenden;</w:t>
      </w:r>
    </w:p>
    <w:p>
      <w:pPr>
        <w:tabs>
          <w:tab w:pos="567" w:val="left"/>
        </w:tabs>
        <w:ind w:left="567" w:hanging="567"/>
      </w:pPr>
      <w:r>
        <w:t>3.</w:t>
      </w:r>
      <w:r>
        <w:tab/>
      </w:r>
      <w:r>
        <w:t xml:space="preserve">in Fällen des </w:t>
      </w:r>
      <w:hyperlink w:anchor="b5" w:history="1">
        <w:r>
          <w:rPr>
            <w:color w:val="0A3A8C"/>
            <w:u w:val="single"/>
          </w:rPr>
          <w:t xml:space="preserve">§ 2</w:t>
        </w:r>
      </w:hyperlink>
      <w:r>
        <w:t xml:space="preserve"> Absatz 7 Satz 3;</w:t>
      </w:r>
    </w:p>
    <w:p>
      <w:pPr>
        <w:tabs>
          <w:tab w:pos="567" w:val="left"/>
        </w:tabs>
        <w:ind w:left="567" w:hanging="567"/>
      </w:pPr>
      <w:r>
        <w:t>4.</w:t>
      </w:r>
      <w:r>
        <w:tab/>
      </w:r>
      <w:r>
        <w:t xml:space="preserve">für Einkünfte aus nichtselbständiger Arbeit im Sinne des </w:t>
      </w:r>
      <w:hyperlink w:anchor="b191" w:history="1">
        <w:r>
          <w:rPr>
            <w:color w:val="0A3A8C"/>
            <w:u w:val="single"/>
          </w:rPr>
          <w:t xml:space="preserve">§ 49</w:t>
        </w:r>
      </w:hyperlink>
      <w:r>
        <w:t xml:space="preserve"> Absatz 1 Nummer 4,</w:t>
      </w:r>
    </w:p>
    <w:p>
      <w:pPr>
        <w:tabs>
          <w:tab w:pos="1134" w:val="left"/>
        </w:tabs>
        <w:ind w:left="1134" w:hanging="567"/>
      </w:pPr>
      <w:r>
        <w:t>a)</w:t>
      </w:r>
      <w:r>
        <w:tab/>
      </w:r>
      <w:r>
        <w:t xml:space="preserve">wenn als Lohnsteuerabzugsmerkmal ein Freibetrag nach </w:t>
      </w:r>
      <w:hyperlink w:anchor="b148" w:history="1">
        <w:r>
          <w:rPr>
            <w:color w:val="0A3A8C"/>
            <w:u w:val="single"/>
          </w:rPr>
          <w:t xml:space="preserve">§ 39a</w:t>
        </w:r>
      </w:hyperlink>
      <w:r>
        <w:t xml:space="preserve"> Absatz 4 gebildet worden ist und der im Kalenderjahr insgesamt erzielte Arbeitslohn höher ist als die Summe aus dem Grundfreibetrag (</w:t>
      </w:r>
      <w:hyperlink w:anchor="b108" w:history="1">
        <w:r>
          <w:rPr>
            <w:color w:val="0A3A8C"/>
            <w:u w:val="single"/>
          </w:rPr>
          <w:t xml:space="preserve">§ 32a</w:t>
        </w:r>
      </w:hyperlink>
      <w:r>
        <w:t xml:space="preserve"> Absatz 1 Satz 2 Nummer 1), dem Arbeitnehmer-Pauschbetrag (§ 9a Satz 1 Nummer 1 Buchstabe a) und dem Sonderausgaben-Pauschbetrag (</w:t>
      </w:r>
      <w:hyperlink w:anchor="b54" w:history="1">
        <w:r>
          <w:rPr>
            <w:color w:val="0A3A8C"/>
            <w:u w:val="single"/>
          </w:rPr>
          <w:t xml:space="preserve">§ 10c</w:t>
        </w:r>
      </w:hyperlink>
      <w:r>
        <w:t xml:space="preserve"> Satz 1),</w:t>
      </w:r>
    </w:p>
    <w:p>
      <w:pPr>
        <w:tabs>
          <w:tab w:pos="1134" w:val="left"/>
        </w:tabs>
        <w:ind w:left="1134" w:hanging="567"/>
      </w:pPr>
      <w:r>
        <w:t>b)</w:t>
      </w:r>
      <w:r>
        <w:tab/>
      </w:r>
      <w:r>
        <w:t>wenn die Veranlagung zur Einkommensteuer beantragt wird (</w:t>
      </w:r>
      <w:hyperlink w:anchor="b182" w:history="1">
        <w:r>
          <w:rPr>
            <w:color w:val="0A3A8C"/>
            <w:u w:val="single"/>
          </w:rPr>
          <w:t xml:space="preserve">§ 46</w:t>
        </w:r>
      </w:hyperlink>
      <w:r>
        <w:t xml:space="preserve"> Absatz 2 Nummer 8),</w:t>
      </w:r>
    </w:p>
    <w:p>
      <w:pPr>
        <w:tabs>
          <w:tab w:pos="1134" w:val="left"/>
        </w:tabs>
        <w:ind w:left="1134" w:hanging="567"/>
      </w:pPr>
      <w:r>
        <w:t>c)</w:t>
      </w:r>
      <w:r>
        <w:tab/>
      </w:r>
      <w:r>
        <w:t xml:space="preserve">in den Fällen des </w:t>
      </w:r>
      <w:hyperlink w:anchor="b182" w:history="1">
        <w:r>
          <w:rPr>
            <w:color w:val="0A3A8C"/>
            <w:u w:val="single"/>
          </w:rPr>
          <w:t xml:space="preserve">§ 46</w:t>
        </w:r>
      </w:hyperlink>
      <w:r>
        <w:t xml:space="preserve"> Absatz 2 Nummer 2, 5 und 5a,</w:t>
      </w:r>
    </w:p>
    <w:p>
      <w:pPr>
        <w:tabs>
          <w:tab w:pos="1134" w:val="left"/>
        </w:tabs>
        <w:ind w:left="1134" w:hanging="567"/>
      </w:pPr>
      <w:r>
        <w:t>d)</w:t>
      </w:r>
      <w:r>
        <w:tab/>
      </w:r>
      <w:r>
        <w:t xml:space="preserve">wenn außerordentliche Einkünfte im Sinne des </w:t>
      </w:r>
      <w:hyperlink w:anchor="b115" w:history="1">
        <w:r>
          <w:rPr>
            <w:color w:val="0A3A8C"/>
            <w:u w:val="single"/>
          </w:rPr>
          <w:t xml:space="preserve">§ 34</w:t>
        </w:r>
      </w:hyperlink>
      <w:r>
        <w:t xml:space="preserve"> Absatz 1 und 2 Nummer 2 und 4 bezogen worden sind und in diesem Zusammenhang die Veranlagung zur Einkommensteuer beantragt wird (</w:t>
      </w:r>
      <w:hyperlink w:anchor="b182" w:history="1">
        <w:r>
          <w:rPr>
            <w:color w:val="0A3A8C"/>
            <w:u w:val="single"/>
          </w:rPr>
          <w:t xml:space="preserve">§ 46</w:t>
        </w:r>
      </w:hyperlink>
      <w:r>
        <w:t xml:space="preserve"> Absatz 2 Nummer 8) oder</w:t>
      </w:r>
    </w:p>
    <w:p>
      <w:pPr>
        <w:tabs>
          <w:tab w:pos="1134" w:val="left"/>
        </w:tabs>
        <w:ind w:left="1134" w:hanging="567"/>
      </w:pPr>
      <w:r>
        <w:t>e)</w:t>
      </w:r>
      <w:r>
        <w:tab/>
      </w:r>
      <w:r>
        <w:t xml:space="preserve">wenn die Anrechnung einer ausländischen Steuer nach </w:t>
      </w:r>
      <w:hyperlink w:anchor="b197" w:history="1">
        <w:r>
          <w:rPr>
            <w:color w:val="0A3A8C"/>
            <w:u w:val="single"/>
          </w:rPr>
          <w:t xml:space="preserve">§ 50d</w:t>
        </w:r>
      </w:hyperlink>
      <w:r>
        <w:t xml:space="preserve"> Absatz 7 Satz 2 beantragt wird;</w:t>
      </w:r>
    </w:p>
    <w:p>
      <w:pPr>
        <w:tabs>
          <w:tab w:pos="567" w:val="left"/>
        </w:tabs>
        <w:ind w:left="567" w:hanging="567"/>
      </w:pPr>
      <w:r>
        <w:t>5.</w:t>
      </w:r>
      <w:r>
        <w:tab/>
      </w:r>
      <w:r>
        <w:t xml:space="preserve">für Einkünfte im Sinne des </w:t>
      </w:r>
      <w:hyperlink w:anchor="b193" w:history="1">
        <w:r>
          <w:rPr>
            <w:color w:val="0A3A8C"/>
            <w:u w:val="single"/>
          </w:rPr>
          <w:t xml:space="preserve">§ 50a</w:t>
        </w:r>
      </w:hyperlink>
      <w:r>
        <w:t xml:space="preserve"> Absatz 1 Nummer 1, 2 und 4, wenn die Veranlagung zur Einkommensteuer beantragt wird;</w:t>
      </w:r>
    </w:p>
    <w:p>
      <w:pPr>
        <w:tabs>
          <w:tab w:pos="567" w:val="left"/>
        </w:tabs>
        <w:ind w:left="567" w:hanging="567"/>
      </w:pPr>
      <w:r>
        <w:t>6.</w:t>
      </w:r>
      <w:r>
        <w:tab/>
      </w:r>
      <w:r>
        <w:t xml:space="preserve">für Einkünfte aus Kapitalvermögen im Sinne des § 49 Absatz 1 Nummer 5 Satz 1 Buchstabe a, auf die </w:t>
      </w:r>
      <w:hyperlink w:anchor="b86" w:history="1">
        <w:r>
          <w:rPr>
            <w:color w:val="0A3A8C"/>
            <w:u w:val="single"/>
          </w:rPr>
          <w:t xml:space="preserve">§ 20</w:t>
        </w:r>
      </w:hyperlink>
      <w:r>
        <w:t xml:space="preserve"> Absatz 1 Nummer 6 Satz 2 anzuwenden ist, wenn die Veranlagung zur Einkommensteuer beantragt wird.</w:t>
      </w:r>
    </w:p>
    <w:p>
      <w:r>
        <w:rPr>
          <w:rStyle w:val="Satznummer"/>
        </w:rPr>
        <w:t>3</w:t>
      </w:r>
      <w:r>
        <w:t xml:space="preserve">In den Fällen des Satzes 2 Nummer 4 erfolgt die Veranlagung durch das Betriebsstättenfinanzamt, das nach </w:t>
      </w:r>
      <w:hyperlink w:anchor="b147" w:history="1">
        <w:r>
          <w:rPr>
            <w:color w:val="0A3A8C"/>
            <w:u w:val="single"/>
          </w:rPr>
          <w:t xml:space="preserve">§ 39</w:t>
        </w:r>
      </w:hyperlink>
      <w:r>
        <w:t xml:space="preserve"> Absatz 2 Satz 2 oder Satz 4 für die Bildung und die Änderung der Lohnsteuerabzugsmerkmale zuständig ist. </w:t>
      </w:r>
      <w:r>
        <w:rPr>
          <w:rStyle w:val="Satznummer"/>
        </w:rPr>
        <w:t>4</w:t>
      </w:r>
      <w:r>
        <w:t xml:space="preserve">Bei mehreren Betriebsstättenfinanzämtern ist das Betriebsstättenfinanzamt zuständig, in dessen Bezirk der Arbeitnehmer zuletzt beschäftigt war. </w:t>
      </w:r>
      <w:r>
        <w:rPr>
          <w:rStyle w:val="Satznummer"/>
        </w:rPr>
        <w:t>5</w:t>
      </w:r>
      <w:r>
        <w:t xml:space="preserve">Bei Arbeitnehmern mit Steuerklasse VI ist das Betriebsstättenfinanzamt zuständig, in dessen Bezirk der Arbeitnehmer zuletzt unter Anwendung der Steuerklasse I beschäftigt war. </w:t>
      </w:r>
      <w:r>
        <w:rPr>
          <w:rStyle w:val="Satznummer"/>
        </w:rPr>
        <w:t>6</w:t>
      </w:r>
      <w:r>
        <w:t>Hat der Arbeitgeber für den Arbeitnehmer keine elektronischen Lohnsteuerabzugsmerkmale (</w:t>
      </w:r>
      <w:hyperlink w:anchor="b152" w:history="1">
        <w:r>
          <w:rPr>
            <w:color w:val="0A3A8C"/>
            <w:u w:val="single"/>
          </w:rPr>
          <w:t xml:space="preserve">§ 39e</w:t>
        </w:r>
      </w:hyperlink>
      <w:r>
        <w:t xml:space="preserve"> Absatz 4 Satz 2) abgerufen und wurde keine Bescheinigung für den Lohnsteuerabzug nach </w:t>
      </w:r>
      <w:hyperlink w:anchor="b147" w:history="1">
        <w:r>
          <w:rPr>
            <w:color w:val="0A3A8C"/>
            <w:u w:val="single"/>
          </w:rPr>
          <w:t xml:space="preserve">§ 39</w:t>
        </w:r>
      </w:hyperlink>
      <w:r>
        <w:t xml:space="preserve"> Absatz 3 oder </w:t>
      </w:r>
      <w:hyperlink w:anchor="b152" w:history="1">
        <w:r>
          <w:rPr>
            <w:color w:val="0A3A8C"/>
            <w:u w:val="single"/>
          </w:rPr>
          <w:t xml:space="preserve">§ 39e</w:t>
        </w:r>
      </w:hyperlink>
      <w:r>
        <w:t xml:space="preserve"> Absatz 7 Satz 5 ausgestellt, ist das Betriebsstättenfinanzamt zuständig, in dessen Bezirk der Arbeitnehmer zuletzt beschäftigt war. </w:t>
      </w:r>
      <w:r>
        <w:rPr>
          <w:rStyle w:val="Satznummer"/>
        </w:rPr>
        <w:t>7</w:t>
      </w:r>
      <w:r>
        <w:t xml:space="preserve">Satz 2 Nummer 4 Buchstabe b und Nummer 5 gilt nur für Staatsangehörige eines Mitgliedstaats der Europäischen Union oder eines anderen Staates, auf den das Abkommen über den Europäischen Wirtschaftsraum Anwendung findet, die im Hoheitsgebiet eines dieser Staaten ihren Wohnsitz oder gewöhnlichen Aufenthalt haben. </w:t>
      </w:r>
      <w:r>
        <w:rPr>
          <w:rStyle w:val="Satznummer"/>
        </w:rPr>
        <w:t>8</w:t>
      </w:r>
      <w:r>
        <w:t xml:space="preserve">Satz 2 Nummer 4 Buchstabe b gilt darüber hinaus auch für Staatsangehörige eines Mitgliedstaates der Europäischen Union oder eines Staates, auf den das Abkommen über den Europäischen Wirtschaftsraum Anwendung findet, die in der Schweiz ihren Wohnsitz oder gewöhnlichen Aufenthalt haben, sowie für Staatsangehörige der Schweizerischen Eidgenossenschaft, die ihren Wohnsitz oder gewöhnlichen Aufenthalt im Hoheitsgebiet eines Mitgliedstaates der Europäischen Union oder der Schweiz haben. </w:t>
      </w:r>
      <w:r>
        <w:rPr>
          <w:rStyle w:val="Satznummer"/>
        </w:rPr>
        <w:t>9</w:t>
      </w:r>
      <w:r>
        <w:t xml:space="preserve">In den Fällen des Satzes 2 Nummer 5 erfolgt die Veranlagung durch das Bundeszentralamt für Steuern. </w:t>
      </w:r>
      <w:r>
        <w:rPr>
          <w:rStyle w:val="Satznummer"/>
        </w:rPr>
        <w:t>10</w:t>
      </w:r>
      <w:r>
        <w:t xml:space="preserve">In den Fällen des Satzes 2 Nummer 6 ist für die Besteuerung des Gläubigers nach dem Einkommen das Finanzamt zuständig, das auch für die Besteuerung des Schuldners nach dem Einkommen zuständig ist; bei mehreren Schuldnern ist das Finanzamt zuständig, das für den Schuldner, dessen Leistung dem Gläubiger im Veranlagungszeitraum zuerst zufloss, zuständig ist. </w:t>
      </w:r>
      <w:r>
        <w:rPr>
          <w:rStyle w:val="Satznummer"/>
        </w:rPr>
        <w:t>11</w:t>
      </w:r>
      <w:r>
        <w:t xml:space="preserve">Werden im Rahmen einer Veranlagung Einkünfte aus nichtselbständiger Arbeit im Sinne des </w:t>
      </w:r>
      <w:hyperlink w:anchor="b191" w:history="1">
        <w:r>
          <w:rPr>
            <w:color w:val="0A3A8C"/>
            <w:u w:val="single"/>
          </w:rPr>
          <w:t xml:space="preserve">§ 49</w:t>
        </w:r>
      </w:hyperlink>
      <w:r>
        <w:t xml:space="preserve"> Absatz 1 Nummer 4 bei der Ermittlung des zu versteuernden Einkommens berücksichtigt, gilt </w:t>
      </w:r>
      <w:hyperlink w:anchor="b182" w:history="1">
        <w:r>
          <w:rPr>
            <w:color w:val="0A3A8C"/>
            <w:u w:val="single"/>
          </w:rPr>
          <w:t xml:space="preserve">§ 46</w:t>
        </w:r>
      </w:hyperlink>
      <w:r>
        <w:t xml:space="preserve"> Absatz 3 und 5 entsprechend.</w:t>
      </w:r>
    </w:p>
    <w:p>
      <w:r>
        <w:t xml:space="preserve">(3) </w:t>
      </w:r>
      <w:hyperlink w:anchor="b120" w:history="1">
        <w:r>
          <w:rPr>
            <w:color w:val="0A3A8C"/>
            <w:u w:val="single"/>
          </w:rPr>
          <w:t xml:space="preserve">§ 34c</w:t>
        </w:r>
      </w:hyperlink>
      <w:r>
        <w:t xml:space="preserve"> Absatz 1 bis 3 ist bei Einkünften aus Land- und Forstwirtschaft, Gewerbebetrieb oder selbständiger Arbeit, für die im Inland ein Betrieb unterhalten wird, entsprechend anzuwenden, soweit darin nicht Einkünfte aus einem ausländischen Staat enthalten sind, mit denen der beschränkt Steuerpflichtige dort in einem der unbeschränkten Steuerpflicht ähnlichen Umfang zu einer Steuer vom Einkommen herangezogen wird.</w:t>
      </w:r>
    </w:p>
    <w:p>
      <w:r>
        <w:t>(4) Die obersten Finanzbehörden der Länder oder die von ihnen beauftragten Finanzbehörden können mit Zustimmung des Bundesministeriums der Finanzen die Einkommensteuer bei beschränkt Steuerpflichtigen ganz oder zum Teil erlassen oder in einem Pauschbetrag festsetzen, wenn dies im besonderen öffentlichen Interesse liegt; ein besonderes öffentliches Interesse besteht</w:t>
      </w:r>
    </w:p>
    <w:p>
      <w:pPr>
        <w:tabs>
          <w:tab w:pos="567" w:val="left"/>
        </w:tabs>
        <w:ind w:left="567" w:hanging="567"/>
      </w:pPr>
      <w:r>
        <w:t>1.</w:t>
      </w:r>
      <w:r>
        <w:tab/>
      </w:r>
      <w:r>
        <w:t>an der inländischen Veranstaltung international bedeutsamer kultureller und sportlicher Ereignisse, um deren Ausrichtung ein internationaler Wettbewerb stattfindet, oder</w:t>
      </w:r>
    </w:p>
    <w:p>
      <w:pPr>
        <w:tabs>
          <w:tab w:pos="567" w:val="left"/>
        </w:tabs>
        <w:ind w:left="567" w:hanging="567"/>
      </w:pPr>
      <w:r>
        <w:t>2.</w:t>
      </w:r>
      <w:r>
        <w:tab/>
      </w:r>
      <w:r>
        <w:t>am inländischen Auftritt einer ausländischen Kulturvereinigung, wenn ihr Auftritt wesentlich aus öffentlichen Mitteln gefördert wird.</w:t>
      </w:r>
    </w:p>
    <w:p>
      <w:pPr>
        <w:pStyle w:val="Heading2"/>
      </w:pPr>
      <w:bookmarkStart w:id="194" w:name="b193"/>
      <w:r>
        <w:t>§ 50a Steuerabzug bei beschränkt Steuerpflichtigen</w:t>
      </w:r>
      <w:r>
        <w:t xml:space="preserve"> </w:t>
      </w:r>
      <w:r>
        <w:rPr>
          <w:rStyle w:val="Suchmarke"/>
        </w:rPr>
        <w:t>#50a#</w:t>
      </w:r>
      <w:bookmarkEnd w:id="194"/>
    </w:p>
    <w:p>
      <w:r>
        <w:t>(1) Die Einkommensteuer wird bei beschränkt Steuerpflichtigen im Wege des Steuerabzugs erhoben</w:t>
      </w:r>
    </w:p>
    <w:p>
      <w:pPr>
        <w:tabs>
          <w:tab w:pos="567" w:val="left"/>
        </w:tabs>
        <w:ind w:left="567" w:hanging="567"/>
      </w:pPr>
      <w:r>
        <w:t>1.</w:t>
      </w:r>
      <w:r>
        <w:tab/>
      </w:r>
      <w:r>
        <w:t>bei Einkünften, die durch im Inland ausgeübte künstlerische, sportliche, artistische, unterhaltende oder ähnliche Darbietungen erzielt werden, einschließlich der Einkünfte aus anderen mit diesen Leistungen zusammenhängenden Leistungen, unabhängig davon, wem die Einkünfte zufließen (</w:t>
      </w:r>
      <w:hyperlink w:anchor="b191" w:history="1">
        <w:r>
          <w:rPr>
            <w:color w:val="0A3A8C"/>
            <w:u w:val="single"/>
          </w:rPr>
          <w:t xml:space="preserve">§ 49</w:t>
        </w:r>
      </w:hyperlink>
      <w:r>
        <w:t xml:space="preserve"> Absatz 1 Nummer 2 bis 4 und 9), es sei denn, es handelt sich um Einkünfte aus nichtselbständiger Arbeit, die bereits dem Steuerabzug vom Arbeitslohn nach </w:t>
      </w:r>
      <w:hyperlink w:anchor="b144" w:history="1">
        <w:r>
          <w:rPr>
            <w:color w:val="0A3A8C"/>
            <w:u w:val="single"/>
          </w:rPr>
          <w:t xml:space="preserve">§ 38</w:t>
        </w:r>
      </w:hyperlink>
      <w:r>
        <w:t xml:space="preserve"> Absatz 1 Satz 1 Nummer 1 unterliegen,</w:t>
      </w:r>
    </w:p>
    <w:p>
      <w:pPr>
        <w:tabs>
          <w:tab w:pos="567" w:val="left"/>
        </w:tabs>
        <w:ind w:left="567" w:hanging="567"/>
      </w:pPr>
      <w:r>
        <w:t>2.</w:t>
      </w:r>
      <w:r>
        <w:tab/>
      </w:r>
      <w:r>
        <w:t>bei Einkünften aus der inländischen Verwertung von Darbietungen im Sinne der Nummer 1 (</w:t>
      </w:r>
      <w:hyperlink w:anchor="b191" w:history="1">
        <w:r>
          <w:rPr>
            <w:color w:val="0A3A8C"/>
            <w:u w:val="single"/>
          </w:rPr>
          <w:t xml:space="preserve">§ 49</w:t>
        </w:r>
      </w:hyperlink>
      <w:r>
        <w:t xml:space="preserve"> Absatz 1 Nummer 2 bis 4 und 6),</w:t>
      </w:r>
    </w:p>
    <w:p>
      <w:pPr>
        <w:tabs>
          <w:tab w:pos="567" w:val="left"/>
        </w:tabs>
        <w:ind w:left="567" w:hanging="567"/>
      </w:pPr>
      <w:r>
        <w:t>3.</w:t>
      </w:r>
      <w:r>
        <w:tab/>
      </w:r>
      <w:r>
        <w:t>bei Einkünften, die aus Vergütungen für die Überlassung der Nutzung oder des Rechts auf Nutzung von Rechten, insbesondere von Urheberrechten und gewerblichen Schutzrechten, von gewerblichen, technischen, wissenschaftlichen und ähnlichen Erfahrungen, Kenntnissen und Fertigkeiten, zum Beispiel Plänen, Mustern und Verfahren, herrühren, sowie bei Einkünften, die aus der Verschaffung der Gelegenheit erzielt werden, einen Berufssportler über einen begrenzten Zeitraum vertraglich zu verpflichten (</w:t>
      </w:r>
      <w:hyperlink w:anchor="b191" w:history="1">
        <w:r>
          <w:rPr>
            <w:color w:val="0A3A8C"/>
            <w:u w:val="single"/>
          </w:rPr>
          <w:t xml:space="preserve">§ 49</w:t>
        </w:r>
      </w:hyperlink>
      <w:r>
        <w:t xml:space="preserve"> Absatz 1 Nummer 2, 3, 6 und 9),</w:t>
      </w:r>
    </w:p>
    <w:p>
      <w:pPr>
        <w:tabs>
          <w:tab w:pos="567" w:val="left"/>
        </w:tabs>
        <w:ind w:left="567" w:hanging="567"/>
      </w:pPr>
      <w:r>
        <w:t>4.</w:t>
      </w:r>
      <w:r>
        <w:tab/>
      </w:r>
      <w:r>
        <w:t>bei Einkünften, die Mitgliedern des Aufsichtsrats, Verwaltungsrats oder anderen mit der Überwachung der Geschäftsführung von Körperschaften, Personenvereinigungen und Vermögensmassen im Sinne des § 1 des Körperschaftsteuergesetzes beauftragten Personen sowie von anderen inländischen Personenvereinigungen des privaten und öffentlichen Rechts, bei denen die Gesellschafter nicht als Unternehmer (Mitunternehmer) anzusehen sind, für die Überwachung der Geschäftsführung gewährt werden (</w:t>
      </w:r>
      <w:hyperlink w:anchor="b191" w:history="1">
        <w:r>
          <w:rPr>
            <w:color w:val="0A3A8C"/>
            <w:u w:val="single"/>
          </w:rPr>
          <w:t xml:space="preserve">§ 49</w:t>
        </w:r>
      </w:hyperlink>
      <w:r>
        <w:t xml:space="preserve"> Absatz 1 Nummer 3).</w:t>
      </w:r>
    </w:p>
    <w:p>
      <w:r>
        <w:t xml:space="preserve">(2) </w:t>
      </w:r>
      <w:r>
        <w:rPr>
          <w:rStyle w:val="Satznummer"/>
        </w:rPr>
        <w:t>1</w:t>
      </w:r>
      <w:r>
        <w:t xml:space="preserve">Der Steuerabzug beträgt 15 Prozent, in den Fällen des Absatzes 1 Nummer 4 beträgt er 30 Prozent der gesamten Einnahmen. </w:t>
      </w:r>
      <w:r>
        <w:rPr>
          <w:rStyle w:val="Satznummer"/>
        </w:rPr>
        <w:t>2</w:t>
      </w:r>
      <w:r>
        <w:t xml:space="preserve">Vom Schuldner der Vergütung ersetzte oder übernommene Reisekosten gehören nur insoweit zu den Einnahmen, als die Fahrt- und Übernachtungsauslagen die tatsächlichen Kosten und die Vergütungen für Verpflegungsmehraufwand die Pauschbeträge nach </w:t>
      </w:r>
      <w:hyperlink w:anchor="b13" w:history="1">
        <w:r>
          <w:rPr>
            <w:color w:val="0A3A8C"/>
            <w:u w:val="single"/>
          </w:rPr>
          <w:t xml:space="preserve">§ 4</w:t>
        </w:r>
      </w:hyperlink>
      <w:r>
        <w:t xml:space="preserve"> Absatz 5 Satz 1 Nummer 5 übersteigen. </w:t>
      </w:r>
      <w:r>
        <w:rPr>
          <w:rStyle w:val="Satznummer"/>
        </w:rPr>
        <w:t>3</w:t>
      </w:r>
      <w:r>
        <w:t>Bei Einkünften im Sinne des Absatzes 1 Nummer 1 wird ein Steuerabzug nicht erhoben, wenn die Einnahmen je Darbietung 250 Euro nicht übersteigen.</w:t>
      </w:r>
    </w:p>
    <w:p>
      <w:r>
        <w:t xml:space="preserve">(3) </w:t>
      </w:r>
      <w:r>
        <w:rPr>
          <w:rStyle w:val="Satznummer"/>
        </w:rPr>
        <w:t>1</w:t>
      </w:r>
      <w:r>
        <w:t xml:space="preserve">Der Schuldner der Vergütung kann von den Einnahmen in den Fällen des Absatzes 1 Nummer 1, 2 und 4 mit ihnen in unmittelbarem wirtschaftlichem Zusammenhang stehende Betriebsausgaben oder Werbungskosten abziehen, die ihm ein beschränkt Steuerpflichtiger in einer für das Bundeszentralamt für Steuern nachprüfbaren Form nachgewiesen hat oder die vom Schuldner der Vergütung übernommen worden sind. </w:t>
      </w:r>
      <w:r>
        <w:rPr>
          <w:rStyle w:val="Satznummer"/>
        </w:rPr>
        <w:t>2</w:t>
      </w:r>
      <w:r>
        <w:t xml:space="preserve">Das gilt nur, wenn der beschränkt Steuerpflichtige Staatsangehöriger eines Mitgliedstaats der Europäischen Union oder eines anderen Staates ist, auf den das Abkommen über den Europäischen Wirtschaftsraum Anwendung findet, und im Hoheitsgebiet eines dieser Staaten seinen Wohnsitz oder gewöhnlichen Aufenthalt hat. </w:t>
      </w:r>
      <w:r>
        <w:rPr>
          <w:rStyle w:val="Satznummer"/>
        </w:rPr>
        <w:t>3</w:t>
      </w:r>
      <w:r>
        <w:t xml:space="preserve">Es gilt entsprechend bei einer beschränkt steuerpflichtigen Körperschaft, Personenvereinigung oder Vermögensmasse im Sinne des § 32 Absatz 4 des Körperschaftsteuergesetzes. </w:t>
      </w:r>
      <w:r>
        <w:rPr>
          <w:rStyle w:val="Satznummer"/>
        </w:rPr>
        <w:t>4</w:t>
      </w:r>
      <w:r>
        <w:t>In diesen Fällen beträgt der Steuerabzug von den nach Abzug der Betriebsausgaben oder Werbungskosten verbleibenden Einnahmen (Nettoeinnahmen), wenn</w:t>
      </w:r>
    </w:p>
    <w:p>
      <w:pPr>
        <w:tabs>
          <w:tab w:pos="567" w:val="left"/>
        </w:tabs>
        <w:ind w:left="567" w:hanging="567"/>
      </w:pPr>
      <w:r>
        <w:t>1.</w:t>
      </w:r>
      <w:r>
        <w:tab/>
      </w:r>
      <w:r>
        <w:t>Gläubiger der Vergütung eine natürliche Person ist, 30 Prozent,</w:t>
      </w:r>
    </w:p>
    <w:p>
      <w:pPr>
        <w:tabs>
          <w:tab w:pos="567" w:val="left"/>
        </w:tabs>
        <w:ind w:left="567" w:hanging="567"/>
      </w:pPr>
      <w:r>
        <w:t>2.</w:t>
      </w:r>
      <w:r>
        <w:tab/>
      </w:r>
      <w:r>
        <w:t>Gläubiger der Vergütung eine Körperschaft, Personenvereinigung oder Vermögensmasse ist, 15 Prozent.</w:t>
      </w:r>
    </w:p>
    <w:p>
      <w:r>
        <w:t xml:space="preserve">(4) </w:t>
      </w:r>
      <w:r>
        <w:rPr>
          <w:rStyle w:val="Satznummer"/>
        </w:rPr>
        <w:t>1</w:t>
      </w:r>
      <w:r>
        <w:t xml:space="preserve">Hat der Gläubiger einer Vergütung seinerseits Steuern für Rechnung eines anderen beschränkt steuerpflichtigen Gläubigers einzubehalten (zweite Stufe), kann er vom Steuerabzug absehen, wenn seine Einnahmen bereits dem Steuerabzug nach Absatz 2 unterlegen haben. </w:t>
      </w:r>
      <w:r>
        <w:rPr>
          <w:rStyle w:val="Satznummer"/>
        </w:rPr>
        <w:t>2</w:t>
      </w:r>
      <w:r>
        <w:t xml:space="preserve">Wenn der Schuldner der Vergütung auf zweiter Stufe Betriebsausgaben oder Werbungskosten nach Absatz 3 geltend macht, die Veranlagung nach </w:t>
      </w:r>
      <w:hyperlink w:anchor="b192" w:history="1">
        <w:r>
          <w:rPr>
            <w:color w:val="0A3A8C"/>
            <w:u w:val="single"/>
          </w:rPr>
          <w:t xml:space="preserve">§ 50</w:t>
        </w:r>
      </w:hyperlink>
      <w:r>
        <w:t xml:space="preserve"> Absatz 2 Satz 2 Nummer 5 beantragt oder die Erstattung der Abzugsteuer nach </w:t>
      </w:r>
      <w:hyperlink w:anchor="b196" w:history="1">
        <w:r>
          <w:rPr>
            <w:color w:val="0A3A8C"/>
            <w:u w:val="single"/>
          </w:rPr>
          <w:t xml:space="preserve">§ 50c</w:t>
        </w:r>
      </w:hyperlink>
      <w:r>
        <w:t xml:space="preserve"> Absatz 3 oder einer anderen Vorschrift beantragt, hat er die sich nach Absatz 2 oder Absatz 3 ergebende Steuer zu diesem Zeitpunkt zu entrichten; Absatz 5 gilt entsprechend.</w:t>
      </w:r>
    </w:p>
    <w:p>
      <w:r>
        <w:t xml:space="preserve">(5) </w:t>
      </w:r>
      <w:r>
        <w:rPr>
          <w:rStyle w:val="Satznummer"/>
        </w:rPr>
        <w:t>1</w:t>
      </w:r>
      <w:r>
        <w:t xml:space="preserve">Die Steuer entsteht in dem Zeitpunkt, in dem die Vergütung dem Gläubiger zufließt. </w:t>
      </w:r>
      <w:r>
        <w:rPr>
          <w:rStyle w:val="Satznummer"/>
        </w:rPr>
        <w:t>2</w:t>
      </w:r>
      <w:r>
        <w:t xml:space="preserve">In diesem Zeitpunkt hat der Schuldner der Vergütung den Steuerabzug für Rechnung des Gläubigers (Steuerschuldner) vorzunehmen. </w:t>
      </w:r>
      <w:r>
        <w:rPr>
          <w:rStyle w:val="Satznummer"/>
        </w:rPr>
        <w:t>3</w:t>
      </w:r>
      <w:r>
        <w:t xml:space="preserve">Er hat die innerhalb eines Kalendervierteljahres einzubehaltende Steuer jeweils bis zum zehnten des dem Kalendervierteljahr folgenden Monats beim Bundeszentralamt für Steuern anzumelden und die einbehaltene Steuer an das Bundeszentralamt für Steuern abzuführen. </w:t>
      </w:r>
      <w:r>
        <w:rPr>
          <w:rStyle w:val="Satznummer"/>
        </w:rPr>
        <w:t>4</w:t>
      </w:r>
      <w:r>
        <w:t xml:space="preserve">Eine Anmeldungsverpflichtung beim Bundeszentralamt für Steuern besteht auch, wenn ein Steuerabzug auf Grund des Absatzes 2 Satz 3 oder des Absatzes 4 Satz 1 nicht vorzunehmen ist oder auf Grund des </w:t>
      </w:r>
      <w:hyperlink w:anchor="b196" w:history="1">
        <w:r>
          <w:rPr>
            <w:color w:val="0A3A8C"/>
            <w:u w:val="single"/>
          </w:rPr>
          <w:t xml:space="preserve">§ 50c</w:t>
        </w:r>
      </w:hyperlink>
      <w:r>
        <w:t xml:space="preserve"> Absatz 2 nicht oder nicht in voller Höhe vorzunehmen ist; Satz 3 gilt insoweit entsprechend. </w:t>
      </w:r>
      <w:r>
        <w:rPr>
          <w:rStyle w:val="Satznummer"/>
        </w:rPr>
        <w:t>5</w:t>
      </w:r>
      <w:r>
        <w:t xml:space="preserve">Der Schuldner der Vergütung haftet für die Einbehaltung und Abführung der Steuer. </w:t>
      </w:r>
      <w:r>
        <w:rPr>
          <w:rStyle w:val="Satznummer"/>
        </w:rPr>
        <w:t>6</w:t>
      </w:r>
      <w:r>
        <w:t xml:space="preserve">Der Steuerschuldner kann in Anspruch genommen werden, wenn der Schuldner der Vergütung den Steuerabzug nicht vorschriftsmäßig vorgenommen hat. </w:t>
      </w:r>
      <w:r>
        <w:rPr>
          <w:rStyle w:val="Satznummer"/>
        </w:rPr>
        <w:t>7</w:t>
      </w:r>
      <w:r>
        <w:t>Der Schuldner der Vergütung ist verpflichtet, dem Gläubiger auf Verlangen die folgenden Angaben nach amtlich vorgeschriebenem Muster zu bescheinigen:</w:t>
      </w:r>
    </w:p>
    <w:p>
      <w:pPr>
        <w:tabs>
          <w:tab w:pos="567" w:val="left"/>
        </w:tabs>
        <w:ind w:left="567" w:hanging="567"/>
      </w:pPr>
      <w:r>
        <w:t>1.</w:t>
      </w:r>
      <w:r>
        <w:tab/>
      </w:r>
      <w:r>
        <w:t>den Namen und die Anschrift des Gläubigers,</w:t>
      </w:r>
    </w:p>
    <w:p>
      <w:pPr>
        <w:tabs>
          <w:tab w:pos="567" w:val="left"/>
        </w:tabs>
        <w:ind w:left="567" w:hanging="567"/>
      </w:pPr>
      <w:r>
        <w:t>2.</w:t>
      </w:r>
      <w:r>
        <w:tab/>
      </w:r>
      <w:r>
        <w:t>die Art der Tätigkeit und Höhe der Vergütung in Euro,</w:t>
      </w:r>
    </w:p>
    <w:p>
      <w:pPr>
        <w:tabs>
          <w:tab w:pos="567" w:val="left"/>
        </w:tabs>
        <w:ind w:left="567" w:hanging="567"/>
      </w:pPr>
      <w:r>
        <w:t>3.</w:t>
      </w:r>
      <w:r>
        <w:tab/>
      </w:r>
      <w:r>
        <w:t>den Zahlungstag,</w:t>
      </w:r>
    </w:p>
    <w:p>
      <w:pPr>
        <w:tabs>
          <w:tab w:pos="567" w:val="left"/>
        </w:tabs>
        <w:ind w:left="567" w:hanging="567"/>
      </w:pPr>
      <w:r>
        <w:t>4.</w:t>
      </w:r>
      <w:r>
        <w:tab/>
      </w:r>
      <w:r>
        <w:t>den Betrag der einbehaltenen und abgeführten Steuer nach Absatz 2 oder Absatz 3.</w:t>
      </w:r>
    </w:p>
    <w:p>
      <w:r>
        <w:t>(6) Die Bundesregierung kann durch Rechtsverordnung mit Zustimmung des Bundesrates bestimmen, dass bei Vergütungen für die Nutzung oder das Recht auf Nutzung von Urheberrechten (Absatz 1 Nummer 3), die nicht unmittelbar an den Gläubiger, sondern an einen Beauftragten geleistet werden, anstelle des Schuldners der Vergütung der Beauftragte die Steuer einzubehalten und abzuführen hat und für die Einbehaltung und Abführung haftet.</w:t>
      </w:r>
    </w:p>
    <w:p>
      <w:r>
        <w:t xml:space="preserve">(7) </w:t>
      </w:r>
      <w:r>
        <w:rPr>
          <w:rStyle w:val="Satznummer"/>
        </w:rPr>
        <w:t>1</w:t>
      </w:r>
      <w:r>
        <w:t xml:space="preserve">Das Finanzamt des Vergütungsgläubigers kann anordnen, dass der Schuldner der Vergütung für Rechnung des Gläubigers (Steuerschuldner) die Einkommensteuer von beschränkt steuerpflichtigen Einkünften, soweit diese nicht bereits dem Steuerabzug unterliegen, im Wege des Steuerabzugs einzubehalten und abzuführen hat, wenn dies zur Sicherung des Steueranspruchs zweckmäßig ist. </w:t>
      </w:r>
      <w:r>
        <w:rPr>
          <w:rStyle w:val="Satznummer"/>
        </w:rPr>
        <w:t>2</w:t>
      </w:r>
      <w:r>
        <w:t xml:space="preserve">Der Steuerabzug beträgt 25 Prozent der gesamten Einnahmen, bei Körperschaften, Personenvereinigungen oder Vermögensmassen 15 Prozent der gesamten Einnahmen; das Finanzamt kann die Höhe des Steuerabzugs hiervon abweichend an die voraussichtlich geschuldete Steuer anpassen. </w:t>
      </w:r>
      <w:r>
        <w:rPr>
          <w:rStyle w:val="Satznummer"/>
        </w:rPr>
        <w:t>3</w:t>
      </w:r>
      <w:r>
        <w:t xml:space="preserve">Absatz 5 gilt entsprechend mit der Maßgabe, dass die Steuer bei dem Finanzamt anzumelden und abzuführen ist, das den Steuerabzug angeordnet hat; das Finanzamt kann anordnen, dass die innerhalb eines Monats einbehaltene Steuer jeweils bis zum zehnten des Folgemonats anzumelden und abzuführen ist. </w:t>
      </w:r>
      <w:r>
        <w:rPr>
          <w:rStyle w:val="Satznummer"/>
        </w:rPr>
        <w:t>4</w:t>
      </w:r>
      <w:hyperlink w:anchor="b192" w:history="1">
        <w:r>
          <w:rPr>
            <w:color w:val="0A3A8C"/>
            <w:u w:val="single"/>
          </w:rPr>
          <w:t xml:space="preserve">§ 50</w:t>
        </w:r>
      </w:hyperlink>
      <w:r>
        <w:t xml:space="preserve"> Absatz 2 Satz 1 ist nicht anzuwenden. </w:t>
      </w:r>
      <w:r>
        <w:rPr>
          <w:rStyle w:val="Satznummer"/>
        </w:rPr>
        <w:t>5</w:t>
      </w:r>
      <w:r>
        <w:t xml:space="preserve">Ist für Einkünfte im Sinne des § 49 Absatz 1 Nummer 7 und 10 der Steuerabzug einbehalten und abgeführt worden, obwohl eine Verpflichtung hierzu nicht bestand, ist auf Antrag des Schuldners der Vergütung die Anmeldung über den Steuerabzug insoweit zu ändern; stattdessen kann der Schuldner der Vergütung, sobald er erkennt, dass er den Steuerabzug ohne Verpflichtung einbehalten und abgeführt hat, bei der folgenden Steueranmeldung den abzuführenden Steuerabzug entsprechend kürzen; erstattungsberechtigt ist der Schuldner der Vergütung; die nach Absatz 5 Satz 7 erteilte Bescheinigung ist durch eine berichtigte Bescheinigung zu ersetzen und im Fall der Übermittlung in Papierform zurückzufordern. </w:t>
      </w:r>
      <w:r>
        <w:rPr>
          <w:rStyle w:val="Satznummer"/>
        </w:rPr>
        <w:t>6</w:t>
      </w:r>
      <w:r>
        <w:t xml:space="preserve">Die Anrechnung der durch Steuerabzug erhobenen Einkommensteuer nach § 36 Absatz 2 Nummer 2 Buchstabe a richtet sich nach der Höhe der in der Rentenbezugsmitteilung nach </w:t>
      </w:r>
      <w:hyperlink w:anchor="b91" w:history="1">
        <w:r>
          <w:rPr>
            <w:color w:val="0A3A8C"/>
            <w:u w:val="single"/>
          </w:rPr>
          <w:t xml:space="preserve">§ 22a</w:t>
        </w:r>
      </w:hyperlink>
      <w:r>
        <w:t xml:space="preserve"> ausgewiesenen einbehaltenen Steuerabzugsbeträge. </w:t>
      </w:r>
      <w:r>
        <w:rPr>
          <w:rStyle w:val="Satznummer"/>
        </w:rPr>
        <w:t>7</w:t>
      </w:r>
      <w:r>
        <w:t>Wird eine Rentenbezugsmitteilung wegen einbehaltener Steuerabzugsbeträge korrigiert, ist die Anrechnung insoweit nachzuholen oder zu ändern.</w:t>
      </w:r>
    </w:p>
    <w:p>
      <w:pPr>
        <w:pStyle w:val="Heading1"/>
      </w:pPr>
      <w:bookmarkStart w:id="195" w:name="b194"/>
      <w:r>
        <w:t>IX. Sonstige Vorschriften, Bußgeld-, Ermächtigungs- und Schlussvorschriften</w:t>
      </w:r>
      <w:bookmarkEnd w:id="195"/>
    </w:p>
    <w:p>
      <w:pPr>
        <w:pStyle w:val="Heading2"/>
      </w:pPr>
      <w:bookmarkStart w:id="196" w:name="b195"/>
      <w:r>
        <w:t>§ 50b Prüfungsrecht</w:t>
      </w:r>
      <w:r>
        <w:t xml:space="preserve"> </w:t>
      </w:r>
      <w:r>
        <w:rPr>
          <w:rStyle w:val="Suchmarke"/>
        </w:rPr>
        <w:t>#50b#</w:t>
      </w:r>
      <w:bookmarkEnd w:id="196"/>
    </w:p>
    <w:p>
      <w:r>
        <w:rPr>
          <w:rStyle w:val="Satznummer"/>
        </w:rPr>
        <w:t>1</w:t>
      </w:r>
      <w:r>
        <w:t xml:space="preserve">Die Finanzbehörden sind berechtigt, Verhältnisse, die für die Anrechnung oder Vergütung von Körperschaftsteuer, für die Anrechnung oder Erstattung von Kapitalertragsteuer, für die Nichtvornahme des Steuerabzugs, für die Ausstellung der Jahresbescheinigung nach § 24c oder für die Mitteilungen an das Bundeszentralamt für Steuern nach § 45e von Bedeutung sind oder der Aufklärung bedürfen, bei den am Verfahren Beteiligten zu prüfen. </w:t>
      </w:r>
      <w:r>
        <w:rPr>
          <w:rStyle w:val="Satznummer"/>
        </w:rPr>
        <w:t>2</w:t>
      </w:r>
      <w:r>
        <w:t>Die §§ 193 bis 203 der Abgabenordnung gelten sinngemäß.</w:t>
      </w:r>
    </w:p>
    <w:p>
      <w:pPr>
        <w:pStyle w:val="Heading2"/>
      </w:pPr>
      <w:bookmarkStart w:id="197" w:name="b196"/>
      <w:r>
        <w:t>§ 50c Entlastung vom Steuerabzug in bestimmten Fällen</w:t>
      </w:r>
      <w:r>
        <w:t xml:space="preserve"> </w:t>
      </w:r>
      <w:r>
        <w:rPr>
          <w:rStyle w:val="Suchmarke"/>
        </w:rPr>
        <w:t>#50c#</w:t>
      </w:r>
      <w:bookmarkEnd w:id="197"/>
    </w:p>
    <w:p>
      <w:r>
        <w:t xml:space="preserve">(1) </w:t>
      </w:r>
      <w:r>
        <w:rPr>
          <w:rStyle w:val="Satznummer"/>
        </w:rPr>
        <w:t>1</w:t>
      </w:r>
      <w:r>
        <w:t xml:space="preserve">Soweit der Besteuerung von Einkünften, die der Kapitalertragsteuer oder dem Steuerabzug nach </w:t>
      </w:r>
      <w:hyperlink w:anchor="b193" w:history="1">
        <w:r>
          <w:rPr>
            <w:color w:val="0A3A8C"/>
            <w:u w:val="single"/>
          </w:rPr>
          <w:t xml:space="preserve">§ 50a</w:t>
        </w:r>
      </w:hyperlink>
      <w:r>
        <w:t xml:space="preserve"> unterliegen, der </w:t>
      </w:r>
      <w:hyperlink w:anchor="b171" w:history="1">
        <w:r>
          <w:rPr>
            <w:color w:val="0A3A8C"/>
            <w:u w:val="single"/>
          </w:rPr>
          <w:t xml:space="preserve">§ 43b</w:t>
        </w:r>
      </w:hyperlink>
      <w:r>
        <w:t xml:space="preserve">, der </w:t>
      </w:r>
      <w:hyperlink w:anchor="b200" w:history="1">
        <w:r>
          <w:rPr>
            <w:color w:val="0A3A8C"/>
            <w:u w:val="single"/>
          </w:rPr>
          <w:t xml:space="preserve">§ 50g</w:t>
        </w:r>
      </w:hyperlink>
      <w:r>
        <w:t xml:space="preserve"> oder ein Abkommen zur Vermeidung der Doppelbesteuerung entgegenstehen, sind dessen ungeachtet die Vorschriften zur Einbehaltung, Abführung und Anmeldung der Steuer anzuwenden. </w:t>
      </w:r>
      <w:r>
        <w:rPr>
          <w:rStyle w:val="Satznummer"/>
        </w:rPr>
        <w:t>2</w:t>
      </w:r>
      <w:r>
        <w:t xml:space="preserve">Der zum Steuerabzug Verpflichtete kann sich vorbehaltlich des Absatzes 2 nicht auf die Rechte des Gläubigers der Kapitalerträge oder Vergütungen aus </w:t>
      </w:r>
      <w:hyperlink w:anchor="b171" w:history="1">
        <w:r>
          <w:rPr>
            <w:color w:val="0A3A8C"/>
            <w:u w:val="single"/>
          </w:rPr>
          <w:t xml:space="preserve">§ 43b</w:t>
        </w:r>
      </w:hyperlink>
      <w:r>
        <w:t xml:space="preserve">, </w:t>
      </w:r>
      <w:hyperlink w:anchor="b200" w:history="1">
        <w:r>
          <w:rPr>
            <w:color w:val="0A3A8C"/>
            <w:u w:val="single"/>
          </w:rPr>
          <w:t xml:space="preserve">§ 50g</w:t>
        </w:r>
      </w:hyperlink>
      <w:r>
        <w:t xml:space="preserve"> oder dem Abkommen berufen.</w:t>
      </w:r>
    </w:p>
    <w:p>
      <w:r>
        <w:t xml:space="preserve">(2) </w:t>
      </w:r>
      <w:r>
        <w:rPr>
          <w:rStyle w:val="Satznummer"/>
        </w:rPr>
        <w:t>1</w:t>
      </w:r>
      <w:r>
        <w:t>Der Schuldner der Kapitalerträge oder Vergütungen ist zur Einbehaltung und Abführung der Steuer nicht verpflichtet,</w:t>
      </w:r>
    </w:p>
    <w:p>
      <w:pPr>
        <w:tabs>
          <w:tab w:pos="567" w:val="left"/>
        </w:tabs>
        <w:ind w:left="567" w:hanging="567"/>
      </w:pPr>
      <w:r>
        <w:t>1.</w:t>
      </w:r>
      <w:r>
        <w:tab/>
      </w:r>
      <w:r>
        <w:t xml:space="preserve">soweit dem Gläubiger der Kapitalerträge oder Vergütungen auf dessen Antrag (Freistellungsantrag) vom Bundeszentralamt für Steuern bescheinigt wird, dass </w:t>
      </w:r>
      <w:hyperlink w:anchor="b171" w:history="1">
        <w:r>
          <w:rPr>
            <w:color w:val="0A3A8C"/>
            <w:u w:val="single"/>
          </w:rPr>
          <w:t xml:space="preserve">§ 43b</w:t>
        </w:r>
      </w:hyperlink>
      <w:r>
        <w:t xml:space="preserve">, </w:t>
      </w:r>
      <w:hyperlink w:anchor="b200" w:history="1">
        <w:r>
          <w:rPr>
            <w:color w:val="0A3A8C"/>
            <w:u w:val="single"/>
          </w:rPr>
          <w:t xml:space="preserve">§ 50g</w:t>
        </w:r>
      </w:hyperlink>
      <w:r>
        <w:t xml:space="preserve"> oder ein Abkommen zur Vermeidung der Doppelbesteuerung der Besteuerung der Einkünfte entgegensteht (Freistellungsbescheinigung), oder</w:t>
      </w:r>
    </w:p>
    <w:p>
      <w:pPr>
        <w:tabs>
          <w:tab w:pos="567" w:val="left"/>
        </w:tabs>
        <w:ind w:left="567" w:hanging="567"/>
      </w:pPr>
      <w:r>
        <w:t>2.</w:t>
      </w:r>
      <w:r>
        <w:tab/>
      </w:r>
      <w:r>
        <w:t xml:space="preserve">soweit es sich um Einkünfte eines beschränkt Steuerpflichtigen im Sinne des </w:t>
      </w:r>
      <w:hyperlink w:anchor="b193" w:history="1">
        <w:r>
          <w:rPr>
            <w:color w:val="0A3A8C"/>
            <w:u w:val="single"/>
          </w:rPr>
          <w:t xml:space="preserve">§ 50a</w:t>
        </w:r>
      </w:hyperlink>
      <w:r>
        <w:t xml:space="preserve"> Absatz 1 Nummer 3 handelt, der Besteuerung der Einkünfte ein Abkommen zur Vermeidung der Doppelbesteuerung entgegensteht und durch die Vergütung zuzüglich der dem beschränkt Steuerpflichtigen in demselben Kalenderjahr vom Schuldner bereits zugeflossenen Vergütungen 10 000 Euro nicht überschritten werden.</w:t>
      </w:r>
    </w:p>
    <w:p>
      <w:r>
        <w:rPr>
          <w:rStyle w:val="Satznummer"/>
        </w:rPr>
        <w:t>2</w:t>
      </w:r>
      <w:r>
        <w:t xml:space="preserve">Der Schuldner ist zur Steueranmeldung auch dann verpflichtet, wenn er gemäß Satz 1 keine Steuer einzubehalten und abzuführen hat. </w:t>
      </w:r>
      <w:r>
        <w:rPr>
          <w:rStyle w:val="Satznummer"/>
        </w:rPr>
        <w:t>3</w:t>
      </w:r>
      <w:r>
        <w:t xml:space="preserve">Eine Steueranmeldung kann auf der Grundlage des Satzes 1 nicht geändert werden, es sei denn, die Freistellungsbescheinigung ist zum Zeitpunkt der Anmeldung der Steuer noch nicht erteilt worden. </w:t>
      </w:r>
      <w:r>
        <w:rPr>
          <w:rStyle w:val="Satznummer"/>
        </w:rPr>
        <w:t>4</w:t>
      </w:r>
      <w:r>
        <w:t xml:space="preserve">Eine Freistellungsbescheinigung ist auf einen Zeitraum von höchstens fünf Jahren frühestens ab dem Tag, an dem der Antrag beim Bundeszentralamt für Steuern eingeht, zu befristen und von der Einhaltung der Voraussetzungen ihrer Erteilung während ihrer Geltung abhängig zu machen; sie kann mit weiteren Nebenbestimmungen gemäß § 120 Absatz 2 der Abgabenordnung versehen werden. </w:t>
      </w:r>
      <w:r>
        <w:rPr>
          <w:rStyle w:val="Satznummer"/>
        </w:rPr>
        <w:t>5</w:t>
      </w:r>
      <w:r>
        <w:t xml:space="preserve">Eine Freistellungsbescheinigung für die Kapitalertragsteuer auf Grund eines Abkommens zur Vermeidung der Doppelbesteuerung ist nur zu erteilen, wenn der Gläubiger der Kapitalerträge eine Kapitalgesellschaft ist, die im Staat ihrer Ansässigkeit den Steuern vom Einkommen oder Gewinn unterliegt, ohne davon befreit zu sein, und soweit dem Gläubiger Kapitalerträge von einer unbeschränkt steuerpflichtigen Kapitalgesellschaft im Sinne des § 1 Absatz 1 Nummer 1 des Körperschaftsteuergesetzes zufließen, an deren Nennkapital der Gläubiger zu mindestens einem Zehntel unmittelbar beteiligt ist. </w:t>
      </w:r>
      <w:r>
        <w:rPr>
          <w:rStyle w:val="Satznummer"/>
        </w:rPr>
        <w:t>6</w:t>
      </w:r>
      <w:r>
        <w:t>Über einen Freistellungsantrag ist innerhalb von drei Monaten nach Vorlage aller erforderlichen Nachweise zu entscheiden.</w:t>
      </w:r>
    </w:p>
    <w:p>
      <w:r>
        <w:t xml:space="preserve">(3) </w:t>
      </w:r>
      <w:r>
        <w:rPr>
          <w:rStyle w:val="Satznummer"/>
        </w:rPr>
        <w:t>1</w:t>
      </w:r>
      <w:r>
        <w:t xml:space="preserve">Dem beschränkt steuerpflichtigen Gläubiger der Kapitalerträge oder Vergütungen wird auf seinen fristgemäßen Antrag beim Bundeszentralamt für Steuern (Erstattungsantrag) auf der Grundlage eines Freistellungsbescheides die gemäß Absatz 1 Satz 1 einbehaltene und abgeführte oder auf Grund eines Haftungsbescheids oder Nachforderungsbescheids entrichtete Steuer erstattet, wenn die Steuer nicht nach </w:t>
      </w:r>
      <w:hyperlink w:anchor="b138" w:history="1">
        <w:r>
          <w:rPr>
            <w:color w:val="0A3A8C"/>
            <w:u w:val="single"/>
          </w:rPr>
          <w:t xml:space="preserve">§ 36</w:t>
        </w:r>
      </w:hyperlink>
      <w:r>
        <w:t xml:space="preserve"> Absatz 2 Nummer 2 auf die Einkommensteuer oder die Körperschaftsteuer des Gläubigers angerechnet werden kann. </w:t>
      </w:r>
      <w:r>
        <w:rPr>
          <w:rStyle w:val="Satznummer"/>
        </w:rPr>
        <w:t>2</w:t>
      </w:r>
      <w:r>
        <w:t xml:space="preserve">Die Frist für einen Erstattungsantrag beträgt vier Jahre und beginnt mit Ablauf des Kalenderjahres, in dem die Kapitalerträge oder Vergütungen bezogen worden sind; sie endet nicht vor Ablauf eines Jahres seit dem Zeitpunkt der Entrichtung der Steuer und nicht vor Ablauf der im Abkommen zur Vermeidung der Doppelbesteuerung vorgesehenen Frist. </w:t>
      </w:r>
      <w:r>
        <w:rPr>
          <w:rStyle w:val="Satznummer"/>
        </w:rPr>
        <w:t>3</w:t>
      </w:r>
      <w:r>
        <w:t xml:space="preserve">Ein Freistellungsbescheid für Kapitalertragsteuer wird nur erteilt, wenn die in </w:t>
      </w:r>
      <w:hyperlink w:anchor="b176" w:history="1">
        <w:r>
          <w:rPr>
            <w:color w:val="0A3A8C"/>
            <w:u w:val="single"/>
          </w:rPr>
          <w:t xml:space="preserve">§ 45a</w:t>
        </w:r>
      </w:hyperlink>
      <w:r>
        <w:t xml:space="preserve"> Absatz 2 oder Absatz 3 bezeichnete Bescheinigung vorgelegt wurde oder die Angaben gemäß </w:t>
      </w:r>
      <w:hyperlink w:anchor="b176" w:history="1">
        <w:r>
          <w:rPr>
            <w:color w:val="0A3A8C"/>
            <w:u w:val="single"/>
          </w:rPr>
          <w:t xml:space="preserve">§ 45a</w:t>
        </w:r>
      </w:hyperlink>
      <w:r>
        <w:t xml:space="preserve"> Absatz 2a übermittelt wurden; einem Antrag auf Erstattung der nach </w:t>
      </w:r>
      <w:hyperlink w:anchor="b193" w:history="1">
        <w:r>
          <w:rPr>
            <w:color w:val="0A3A8C"/>
            <w:u w:val="single"/>
          </w:rPr>
          <w:t xml:space="preserve">§ 50a</w:t>
        </w:r>
      </w:hyperlink>
      <w:r>
        <w:t xml:space="preserve"> entrichteten Steuer ist die Bescheinigung nach </w:t>
      </w:r>
      <w:hyperlink w:anchor="b193" w:history="1">
        <w:r>
          <w:rPr>
            <w:color w:val="0A3A8C"/>
            <w:u w:val="single"/>
          </w:rPr>
          <w:t xml:space="preserve">§ 50a</w:t>
        </w:r>
      </w:hyperlink>
      <w:r>
        <w:t xml:space="preserve"> Absatz 5 Satz 7 beizufügen. </w:t>
      </w:r>
      <w:r>
        <w:rPr>
          <w:rStyle w:val="Satznummer"/>
        </w:rPr>
        <w:t>4</w:t>
      </w:r>
      <w:r>
        <w:t xml:space="preserve">Hat der Gläubiger nach § 50a Absatz 5 Steuern für Rechnung anderer beschränkt steuerpflichtiger Gläubiger einzubehalten, kann die Auszahlung des Erstattungsanspruchs davon abhängig gemacht werden, dass er die Zahlung der von ihm einzubehaltenden Steuer nachweist, hierfür Sicherheit leistet oder unwiderruflich die Zustimmung zur Verrechnung seines Erstattungsanspruchs mit dem Steueranspruch nach </w:t>
      </w:r>
      <w:hyperlink w:anchor="b193" w:history="1">
        <w:r>
          <w:rPr>
            <w:color w:val="0A3A8C"/>
            <w:u w:val="single"/>
          </w:rPr>
          <w:t xml:space="preserve">§ 50a</w:t>
        </w:r>
      </w:hyperlink>
      <w:r>
        <w:t xml:space="preserve"> Absatz 5 Satz 3 erklärt.</w:t>
      </w:r>
    </w:p>
    <w:p>
      <w:r>
        <w:t xml:space="preserve">(4) </w:t>
      </w:r>
      <w:r>
        <w:rPr>
          <w:rStyle w:val="Satznummer"/>
        </w:rPr>
        <w:t>1</w:t>
      </w:r>
      <w:r>
        <w:t xml:space="preserve">Ein nach Absatz 3 in Verbindung mit </w:t>
      </w:r>
      <w:hyperlink w:anchor="b200" w:history="1">
        <w:r>
          <w:rPr>
            <w:color w:val="0A3A8C"/>
            <w:u w:val="single"/>
          </w:rPr>
          <w:t xml:space="preserve">§ 50g</w:t>
        </w:r>
      </w:hyperlink>
      <w:r>
        <w:t xml:space="preserve"> zu erstattender Betrag ist nach Maßgabe der §§ 238 und 239 der Abgabenordnung zu verzinsen. </w:t>
      </w:r>
      <w:r>
        <w:rPr>
          <w:rStyle w:val="Satznummer"/>
        </w:rPr>
        <w:t>2</w:t>
      </w:r>
      <w:r>
        <w:t xml:space="preserve">Die Festsetzungsfrist beginnt mit Ablauf des Kalenderjahres, in dem der Freistellungsbescheid erlassen, aufgehoben oder nach § 129 der Abgabenordnung berichtigt worden ist. </w:t>
      </w:r>
      <w:r>
        <w:rPr>
          <w:rStyle w:val="Satznummer"/>
        </w:rPr>
        <w:t>3</w:t>
      </w:r>
      <w:r>
        <w:t xml:space="preserve">Der Zinslauf beginnt zwölf Monate nach Ablauf des Monats, in dem der Erstattungsantrag und alle für die Entscheidung erforderlichen Nachweise vorliegen, frühestens am Tag der Entrichtung der Steuer. </w:t>
      </w:r>
      <w:r>
        <w:rPr>
          <w:rStyle w:val="Satznummer"/>
        </w:rPr>
        <w:t>4</w:t>
      </w:r>
      <w:r>
        <w:t xml:space="preserve">Der Zinslauf endet mit Ablauf des Tages, an dem der Freistellungsbescheid wirksam wird. </w:t>
      </w:r>
      <w:r>
        <w:rPr>
          <w:rStyle w:val="Satznummer"/>
        </w:rPr>
        <w:t>5</w:t>
      </w:r>
      <w:r>
        <w:t>§ 233a Absatz 5 der Abgabenordnung gilt sinngemäß.</w:t>
      </w:r>
    </w:p>
    <w:p>
      <w:r>
        <w:t xml:space="preserve">(5) </w:t>
      </w:r>
      <w:r>
        <w:rPr>
          <w:rStyle w:val="Satznummer"/>
        </w:rPr>
        <w:t>1</w:t>
      </w:r>
      <w:r>
        <w:t xml:space="preserve">Der Freistellungsantrag und der Erstattungsantrag sind nach amtlich vorgeschriebenem Datensatz über die amtlich bestimmte Schnittstelle zu übermitteln. </w:t>
      </w:r>
      <w:r>
        <w:rPr>
          <w:rStyle w:val="Satznummer"/>
        </w:rPr>
        <w:t>2</w:t>
      </w:r>
      <w:r>
        <w:t xml:space="preserve">Der Antragsteller hat durch eine Bestätigung der für ihn zuständigen Steuerbehörde des anderen Staates nachzuweisen, dass er dort ansässig ist oder in den Fällen des </w:t>
      </w:r>
      <w:hyperlink w:anchor="b171" w:history="1">
        <w:r>
          <w:rPr>
            <w:color w:val="0A3A8C"/>
            <w:u w:val="single"/>
          </w:rPr>
          <w:t xml:space="preserve">§ 43b</w:t>
        </w:r>
      </w:hyperlink>
      <w:r>
        <w:t xml:space="preserve"> Absatz 1 Satz 1 zweite Alternative oder des </w:t>
      </w:r>
      <w:hyperlink w:anchor="b200" w:history="1">
        <w:r>
          <w:rPr>
            <w:color w:val="0A3A8C"/>
            <w:u w:val="single"/>
          </w:rPr>
          <w:t xml:space="preserve">§ 50g</w:t>
        </w:r>
      </w:hyperlink>
      <w:r>
        <w:t xml:space="preserve"> Absatz 1 Satz 1 letzte Alternative dort eine Betriebsstätte hat. </w:t>
      </w:r>
      <w:r>
        <w:rPr>
          <w:rStyle w:val="Satznummer"/>
        </w:rPr>
        <w:t>3</w:t>
      </w:r>
      <w:r>
        <w:t xml:space="preserve">Zur Vermeidung unbilliger Härten kann das Bundeszentralamt für Steuern auf Antrag auf eine Übermittlung gemäß Satz 1 verzichten; in diesem Fall ist der Freistellungsantrag oder der Erstattungsantrag nach amtlich vorgeschriebenem Vordruck zu stellen. </w:t>
      </w:r>
      <w:r>
        <w:rPr>
          <w:rStyle w:val="Satznummer"/>
        </w:rPr>
        <w:t>4</w:t>
      </w:r>
      <w:r>
        <w:t>Die Entscheidung über einen Freistellungsantrag und die Entscheidung über einen Erstattungsantrag werden zum Datenabruf über die amtlich bestimmte Schnittstelle bereitgestellt, es sei denn, der Antrag war nach amtlich vorgeschriebenem Vordruck zu stellen; § 122a Absatz 3 und 4 der Abgabenordnung ist entsprechend anzuwenden.</w:t>
      </w:r>
    </w:p>
    <w:p>
      <w:pPr>
        <w:pStyle w:val="Heading2"/>
      </w:pPr>
      <w:bookmarkStart w:id="198" w:name="b197"/>
      <w:r>
        <w:t>§ 50d Anwendung von Abkommen zur Vermeidung der Doppelbesteuerung</w:t>
      </w:r>
      <w:r>
        <w:t xml:space="preserve"> </w:t>
      </w:r>
      <w:r>
        <w:rPr>
          <w:rStyle w:val="Suchmarke"/>
        </w:rPr>
        <w:t>#50d#</w:t>
      </w:r>
      <w:bookmarkEnd w:id="198"/>
    </w:p>
    <w:p>
      <w:r>
        <w:t>(1) (weggefallen)</w:t>
      </w:r>
    </w:p>
    <w:p>
      <w:r>
        <w:t>(1a) (weggefallen)</w:t>
      </w:r>
    </w:p>
    <w:p>
      <w:r>
        <w:t>(2) (weggefallen)</w:t>
      </w:r>
    </w:p>
    <w:p>
      <w:r>
        <w:t xml:space="preserve">(3) </w:t>
      </w:r>
      <w:r>
        <w:rPr>
          <w:rStyle w:val="Satznummer"/>
        </w:rPr>
        <w:t>1</w:t>
      </w:r>
      <w:r>
        <w:t xml:space="preserve">Eine Körperschaft, Personenvereinigung oder Vermögensmasse hat auf der Grundlage eines Abkommens zur Vermeidung der Doppelbesteuerung keinen Anspruch auf Entlastung von der Kapitalertragsteuer und vom Steuerabzug nach </w:t>
      </w:r>
      <w:hyperlink w:anchor="b193" w:history="1">
        <w:r>
          <w:rPr>
            <w:color w:val="0A3A8C"/>
            <w:u w:val="single"/>
          </w:rPr>
          <w:t xml:space="preserve">§ 50a</w:t>
        </w:r>
      </w:hyperlink>
      <w:r>
        <w:t>, soweit</w:t>
      </w:r>
    </w:p>
    <w:p>
      <w:pPr>
        <w:tabs>
          <w:tab w:pos="567" w:val="left"/>
        </w:tabs>
        <w:ind w:left="567" w:hanging="567"/>
      </w:pPr>
      <w:r>
        <w:t>1.</w:t>
      </w:r>
      <w:r>
        <w:tab/>
      </w:r>
      <w:r>
        <w:t>Personen an ihr beteiligt oder durch die Satzung, das Stiftungsgeschäft oder die sonstige Verfassung begünstigt sind, denen dieser Anspruch nicht zustünde, wenn sie die Einkünfte unmittelbar erzielten, und</w:t>
      </w:r>
    </w:p>
    <w:p>
      <w:pPr>
        <w:tabs>
          <w:tab w:pos="567" w:val="left"/>
        </w:tabs>
        <w:ind w:left="567" w:hanging="567"/>
      </w:pPr>
      <w:r>
        <w:t>2.</w:t>
      </w:r>
      <w:r>
        <w:tab/>
      </w:r>
      <w:r>
        <w:t>die Einkunftsquelle keinen wesentlichen Zusammenhang mit einer Wirtschaftstätigkeit dieser Körperschaft, Personenvereinigung oder Vermögensmasse aufweist; das Erzielen der Einkünfte, deren Weiterleitung an beteiligte oder begünstigte Personen sowie eine Tätigkeit, soweit sie mit einem für den Geschäftszweck nicht angemessen eingerichteten Geschäftsbetrieb ausgeübt wird, gelten nicht als Wirtschaftstätigkeit.</w:t>
      </w:r>
    </w:p>
    <w:p>
      <w:r>
        <w:rPr>
          <w:rStyle w:val="Satznummer"/>
        </w:rPr>
        <w:t>2</w:t>
      </w:r>
      <w:r>
        <w:t xml:space="preserve">Satz 1 findet keine Anwendung, soweit die Körperschaft, Personenvereinigung oder Vermögensmasse nachweist, dass keiner der Hauptzwecke ihrer Einschaltung die Erlangung eines steuerlichen Vorteils ist, oder wenn mit der Hauptgattung der Anteile an ihr ein wesentlicher und regelmäßiger Handel an einer anerkannten Börse stattfindet. </w:t>
      </w:r>
      <w:r>
        <w:rPr>
          <w:rStyle w:val="Satznummer"/>
        </w:rPr>
        <w:t>3</w:t>
      </w:r>
      <w:r>
        <w:t>§ 42 der Abgabenordnung bleibt unberührt.</w:t>
      </w:r>
    </w:p>
    <w:p>
      <w:r>
        <w:t>(4) (weggefallen)</w:t>
      </w:r>
    </w:p>
    <w:p>
      <w:r>
        <w:t>(5) (weggefallen)</w:t>
      </w:r>
    </w:p>
    <w:p>
      <w:r>
        <w:t>(6) (weggefallen)</w:t>
      </w:r>
    </w:p>
    <w:p>
      <w:r>
        <w:t xml:space="preserve">(7) </w:t>
      </w:r>
      <w:r>
        <w:rPr>
          <w:rStyle w:val="Satznummer"/>
        </w:rPr>
        <w:t>1</w:t>
      </w:r>
      <w:r>
        <w:t xml:space="preserve">Werden einem beschränkt Steuerpflichtigen Einkünfte im Sinne des § 49 Absatz 1 Nummer 4 aus einer inländischen Kasse einer juristischen Person des öffentlichen Rechts im Sinne der Vorschrift eines Abkommens zur Vermeidung der Doppelbesteuerung über den öffentlichen Dienst unmittelbar oder mittelbar gewährt und besteht insoweit zu dieser kein Dienstverhältnis, so gelten die Vergütungen für Zwecke der Anwendung des Abkommens als von der juristischen Person des öffentlichen Rechts für ihr gegenüber geleistete Dienste gezahlt. </w:t>
      </w:r>
      <w:r>
        <w:rPr>
          <w:rStyle w:val="Satznummer"/>
        </w:rPr>
        <w:t>2</w:t>
      </w:r>
      <w:r>
        <w:t xml:space="preserve">Soweit diese Vergütungen sowohl nach Satz 1 als auch im anderen Vertragsstaat der Besteuerung unterliegen, ist die in diesem Staat auf diese Vergütungen festgesetzte und gezahlte und um einen entstandenen Ermäßigungsanspruch gekürzte, der deutschen Einkommensteuer entsprechende ausländische Steuer bis zur Höhe der anteilig auf diese Einkünfte entfallenden deutschen Einkommensteuer anzurechnen. </w:t>
      </w:r>
      <w:r>
        <w:rPr>
          <w:rStyle w:val="Satznummer"/>
        </w:rPr>
        <w:t>3</w:t>
      </w:r>
      <w:r>
        <w:t>Die Sätze 1 und 2 sind bei einem unbeschränkt Steuerpflichtigen mit vergleichbaren Einkünften aus nichtselbständiger Arbeit (</w:t>
      </w:r>
      <w:hyperlink w:anchor="b83" w:history="1">
        <w:r>
          <w:rPr>
            <w:color w:val="0A3A8C"/>
            <w:u w:val="single"/>
          </w:rPr>
          <w:t xml:space="preserve">§ 19</w:t>
        </w:r>
      </w:hyperlink>
      <w:r>
        <w:t>) entsprechend anzuwenden.</w:t>
      </w:r>
    </w:p>
    <w:p>
      <w:r>
        <w:t xml:space="preserve">(8) </w:t>
      </w:r>
      <w:r>
        <w:rPr>
          <w:rStyle w:val="Satznummer"/>
        </w:rPr>
        <w:t>1</w:t>
      </w:r>
      <w:r>
        <w:t>Sind Einkünfte eines unbeschränkt Steuerpflichtigen aus nichtselbständiger Arbeit (</w:t>
      </w:r>
      <w:hyperlink w:anchor="b83" w:history="1">
        <w:r>
          <w:rPr>
            <w:color w:val="0A3A8C"/>
            <w:u w:val="single"/>
          </w:rPr>
          <w:t xml:space="preserve">§ 19</w:t>
        </w:r>
      </w:hyperlink>
      <w:r>
        <w:t xml:space="preserve">) nach einem Abkommen zur Vermeidung der Doppelbesteuerung von der Bemessungsgrundlage der deutschen Steuer auszunehmen, wird die Freistellung bei der Veranlagung ungeachtet des Abkommens nur gewährt, soweit der Steuerpflichtige nachweist, dass der Staat, dem nach dem Abkommen das Besteuerungsrecht zusteht, auf dieses Besteuerungsrecht verzichtet hat oder dass die in diesem Staat auf die Einkünfte festgesetzten Steuern entrichtet wurden. </w:t>
      </w:r>
      <w:r>
        <w:rPr>
          <w:rStyle w:val="Satznummer"/>
        </w:rPr>
        <w:t>2</w:t>
      </w:r>
      <w:r>
        <w:t xml:space="preserve">Wird ein solcher Nachweis erst geführt, nachdem die Einkünfte in eine Veranlagung zur Einkommensteuer einbezogen wurden, ist der Steuerbescheid insoweit zu ändern. </w:t>
      </w:r>
      <w:r>
        <w:rPr>
          <w:rStyle w:val="Satznummer"/>
        </w:rPr>
        <w:t>3</w:t>
      </w:r>
      <w:r>
        <w:t>§ 175 Absatz 1 Satz 2 der Abgabenordnung ist entsprechend anzuwenden.</w:t>
      </w:r>
    </w:p>
    <w:p>
      <w:r>
        <w:t xml:space="preserve">(9) </w:t>
      </w:r>
      <w:r>
        <w:rPr>
          <w:rStyle w:val="Satznummer"/>
        </w:rPr>
        <w:t>1</w:t>
      </w:r>
      <w:r>
        <w:t>Sind Einkünfte eines unbeschränkt Steuerpflichtigen nach einem Abkommen zur Vermeidung der Doppelbesteuerung von der Bemessungsgrundlage der deutschen Steuer auszunehmen, so wird die Freistellung der Einkünfte ungeachtet des Abkommens nicht gewährt, soweit</w:t>
      </w:r>
    </w:p>
    <w:p>
      <w:pPr>
        <w:tabs>
          <w:tab w:pos="567" w:val="left"/>
        </w:tabs>
        <w:ind w:left="567" w:hanging="567"/>
      </w:pPr>
      <w:r>
        <w:t>1.</w:t>
      </w:r>
      <w:r>
        <w:tab/>
      </w:r>
      <w:r>
        <w:t>der andere Staat die Bestimmungen des Abkommens so anwendet, dass die Einkünfte in diesem Staat von der Besteuerung auszunehmen sind oder nur zu einem durch das Abkommen begrenzten Steuersatz besteuert werden können,</w:t>
      </w:r>
    </w:p>
    <w:p>
      <w:pPr>
        <w:tabs>
          <w:tab w:pos="567" w:val="left"/>
        </w:tabs>
        <w:ind w:left="567" w:hanging="567"/>
      </w:pPr>
      <w:r>
        <w:t>2.</w:t>
      </w:r>
      <w:r>
        <w:tab/>
      </w:r>
      <w:r>
        <w:t>die Einkünfte in dem anderen Staat nur deshalb nicht steuerpflichtig sind, weil sie von einer Person bezogen werden, die in diesem Staat nicht auf Grund ihres Wohnsitzes, ständigen Aufenthalts, des Ortes ihrer Geschäftsleitung, des Sitzes oder eines ähnlichen Merkmals unbeschränkt steuerpflichtig ist, oder</w:t>
      </w:r>
    </w:p>
    <w:p>
      <w:pPr>
        <w:tabs>
          <w:tab w:pos="567" w:val="left"/>
        </w:tabs>
        <w:ind w:left="567" w:hanging="567"/>
      </w:pPr>
      <w:r>
        <w:t>3.</w:t>
      </w:r>
      <w:r>
        <w:tab/>
      </w:r>
      <w:r>
        <w:t>die Einkünfte in dem anderen Staat nur deshalb nicht steuerpflichtig sind, weil sie einer Betriebsstätte in einem anderen Staat zugeordnet werden oder auf Grund einer anzunehmenden schuldrechtlichen Beziehung die steuerliche Bemessungsgrundlage in dem anderen Staat gemindert wird.</w:t>
      </w:r>
    </w:p>
    <w:p>
      <w:r>
        <w:rPr>
          <w:rStyle w:val="Satznummer"/>
        </w:rPr>
        <w:t>2</w:t>
      </w:r>
      <w:r>
        <w:t xml:space="preserve">Nummer 2 gilt nicht für Dividenden, die nach einem Abkommen zur Vermeidung der Doppelbesteuerung von der Bemessungsgrundlage der deutschen Steuer auszunehmen sind, es sei denn, die Dividenden sind bei der Ermittlung des Gewinns der ausschüttenden Gesellschaft abgezogen worden. </w:t>
      </w:r>
      <w:r>
        <w:rPr>
          <w:rStyle w:val="Satznummer"/>
        </w:rPr>
        <w:t>3</w:t>
      </w:r>
      <w:r>
        <w:t xml:space="preserve">Bestimmungen eines Abkommens zur Vermeidung der Doppelbesteuerung sowie Absatz 8 und § 20 Absatz 2 des Außensteuergesetzes bleiben unberührt, soweit sie jeweils die Freistellung von Einkünften in einem weitergehenden Umfang einschränken. </w:t>
      </w:r>
      <w:r>
        <w:rPr>
          <w:rStyle w:val="Satznummer"/>
        </w:rPr>
        <w:t>4</w:t>
      </w:r>
      <w:r>
        <w:t>Bestimmungen eines Abkommens zur Vermeidung der Doppelbesteuerung, nach denen Einkünfte aufgrund ihrer Behandlung im anderen Vertragsstaat nicht von der Bemessungsgrundlage der deutschen Steuer ausgenommen werden, sind auch auf Teile von Einkünften anzuwenden, soweit die Voraussetzungen der jeweiligen Bestimmung des Abkommens hinsichtlich dieser Einkunftsteile erfüllt sind.</w:t>
      </w:r>
    </w:p>
    <w:p>
      <w:r>
        <w:t xml:space="preserve">(10) </w:t>
      </w:r>
      <w:r>
        <w:rPr>
          <w:rStyle w:val="Satznummer"/>
        </w:rPr>
        <w:t>1</w:t>
      </w:r>
      <w:r>
        <w:t xml:space="preserve">Sind auf eine Vergütung im Sinne des </w:t>
      </w:r>
      <w:hyperlink w:anchor="b75" w:history="1">
        <w:r>
          <w:rPr>
            <w:color w:val="0A3A8C"/>
            <w:u w:val="single"/>
          </w:rPr>
          <w:t xml:space="preserve">§ 15</w:t>
        </w:r>
      </w:hyperlink>
      <w:r>
        <w:t xml:space="preserve"> Absatz 1 Satz 1 Nummer 2 Satz 1 zweiter Halbsatz und Nummer 3 zweiter Halbsatz die Vorschriften eines Abkommens zur Vermeidung der Doppelbesteuerung anzuwenden und enthält das Abkommen keine solche Vergütungen betreffende ausdrückliche Regelung, gilt die Vergütung für Zwecke der Anwendung des Abkommens zur Vermeidung der Doppelbesteuerung ausschließlich als Teil des Unternehmensgewinns des vergütungsberechtigten Gesellschafters. </w:t>
      </w:r>
      <w:r>
        <w:rPr>
          <w:rStyle w:val="Satznummer"/>
        </w:rPr>
        <w:t>2</w:t>
      </w:r>
      <w:r>
        <w:t xml:space="preserve">Satz 1 gilt auch für die durch das Sonderbetriebsvermögen veranlassten Erträge und Aufwendungen. </w:t>
      </w:r>
      <w:r>
        <w:rPr>
          <w:rStyle w:val="Satznummer"/>
        </w:rPr>
        <w:t>3</w:t>
      </w:r>
      <w:r>
        <w:t xml:space="preserve">Die Vergütung des Gesellschafters ist ungeachtet der Vorschriften eines Abkommens zur Vermeidung der Doppelbesteuerung über die Zuordnung von Vermögenswerten zu einer Betriebsstätte derjenigen Betriebsstätte der Gesellschaft zuzurechnen, der der Aufwand für die der Vergütung zugrunde liegende Leistung zuzuordnen ist; die in Satz 2 genannten Erträge und Aufwendungen sind der Betriebsstätte zuzurechnen, der die Vergütung zuzuordnen ist. </w:t>
      </w:r>
      <w:r>
        <w:rPr>
          <w:rStyle w:val="Satznummer"/>
        </w:rPr>
        <w:t>4</w:t>
      </w:r>
      <w:r>
        <w:t xml:space="preserve">Die Sätze 1 bis 3 gelten auch in den Fällen des </w:t>
      </w:r>
      <w:hyperlink w:anchor="b75" w:history="1">
        <w:r>
          <w:rPr>
            <w:color w:val="0A3A8C"/>
            <w:u w:val="single"/>
          </w:rPr>
          <w:t xml:space="preserve">§ 15</w:t>
        </w:r>
      </w:hyperlink>
      <w:r>
        <w:t xml:space="preserve"> Absatz 1 Satz 1 Nummer 2 Satz 2 sowie in den Fällen des </w:t>
      </w:r>
      <w:hyperlink w:anchor="b75" w:history="1">
        <w:r>
          <w:rPr>
            <w:color w:val="0A3A8C"/>
            <w:u w:val="single"/>
          </w:rPr>
          <w:t xml:space="preserve">§ 15</w:t>
        </w:r>
      </w:hyperlink>
      <w:r>
        <w:t xml:space="preserve"> Absatz 1 Satz 2 entsprechend. </w:t>
      </w:r>
      <w:r>
        <w:rPr>
          <w:rStyle w:val="Satznummer"/>
        </w:rPr>
        <w:t>5</w:t>
      </w:r>
      <w:r>
        <w:t xml:space="preserve">Sind Einkünfte im Sinne der Sätze 1 bis 4 einer Person zuzurechnen, die nach einem Abkommen zur Vermeidung der Doppelbesteuerung als im anderen Staat ansässig gilt, und weist der Steuerpflichtige nach, dass der andere Staat die Einkünfte besteuert, ohne die darauf entfallende deutsche Steuer anzurechnen, ist die in diesem Staat nachweislich auf diese Einkünfte festgesetzte und gezahlte und um einen entstandenen Ermäßigungsanspruch gekürzte, der deutschen Einkommensteuer entsprechende, anteilige ausländische Steuer bis zur Höhe der anteilig auf diese Einkünfte entfallenden deutschen Einkommensteuer anzurechnen. </w:t>
      </w:r>
      <w:r>
        <w:rPr>
          <w:rStyle w:val="Satznummer"/>
        </w:rPr>
        <w:t>6</w:t>
      </w:r>
      <w:r>
        <w:t xml:space="preserve">Satz 5 gilt nicht, wenn das Abkommen zur Vermeidung der Doppelbesteuerung eine ausdrückliche Regelung für solche Einkünfte enthält. </w:t>
      </w:r>
      <w:r>
        <w:rPr>
          <w:rStyle w:val="Satznummer"/>
        </w:rPr>
        <w:t>7</w:t>
      </w:r>
      <w:r>
        <w:t>Die Sätze 1 bis 6</w:t>
      </w:r>
    </w:p>
    <w:p>
      <w:pPr>
        <w:tabs>
          <w:tab w:pos="567" w:val="left"/>
        </w:tabs>
        <w:ind w:left="567" w:hanging="567"/>
      </w:pPr>
      <w:r>
        <w:t>1.</w:t>
      </w:r>
      <w:r>
        <w:tab/>
      </w:r>
      <w:r>
        <w:t xml:space="preserve">sind nicht auf Gesellschaften im Sinne des </w:t>
      </w:r>
      <w:hyperlink w:anchor="b75" w:history="1">
        <w:r>
          <w:rPr>
            <w:color w:val="0A3A8C"/>
            <w:u w:val="single"/>
          </w:rPr>
          <w:t xml:space="preserve">§ 15</w:t>
        </w:r>
      </w:hyperlink>
      <w:r>
        <w:t xml:space="preserve"> Absatz 3 Nummer 2 anzuwenden;</w:t>
      </w:r>
    </w:p>
    <w:p>
      <w:pPr>
        <w:tabs>
          <w:tab w:pos="567" w:val="left"/>
        </w:tabs>
        <w:ind w:left="567" w:hanging="567"/>
      </w:pPr>
      <w:r>
        <w:t>2.</w:t>
      </w:r>
      <w:r>
        <w:tab/>
      </w:r>
      <w:r>
        <w:t xml:space="preserve">gelten entsprechend, wenn die Einkünfte zu den Einkünften aus selbständiger Arbeit im Sinne des </w:t>
      </w:r>
      <w:hyperlink w:anchor="b81" w:history="1">
        <w:r>
          <w:rPr>
            <w:color w:val="0A3A8C"/>
            <w:u w:val="single"/>
          </w:rPr>
          <w:t xml:space="preserve">§ 18</w:t>
        </w:r>
      </w:hyperlink>
      <w:r>
        <w:t xml:space="preserve"> gehören; dabei tritt der Artikel über die selbständige Arbeit an die Stelle des Artikels über die Unternehmenseinkünfte, wenn das Abkommen zur Vermeidung der Doppelbesteuerung einen solchen Artikel enthält.</w:t>
      </w:r>
    </w:p>
    <w:p>
      <w:r>
        <w:rPr>
          <w:rStyle w:val="Satznummer"/>
        </w:rPr>
        <w:t>8</w:t>
      </w:r>
      <w:r>
        <w:t>Absatz 9 Satz 1 Nummer 1 bleibt unberührt.</w:t>
      </w:r>
    </w:p>
    <w:p>
      <w:r>
        <w:t xml:space="preserve">(11) </w:t>
      </w:r>
      <w:r>
        <w:rPr>
          <w:rStyle w:val="Satznummer"/>
        </w:rPr>
        <w:t>1</w:t>
      </w:r>
      <w:r>
        <w:t xml:space="preserve">Sind Dividenden bei einem unbeschränkt steuerpflichtigen Zahlungsempfänger nach einem Abkommen zur Vermeidung der Doppelbesteuerung von der Bemessungsgrundlage der deutschen Steuer auszunehmen, wird die Freistellung ungeachtet des Abkommens nur insoweit gewährt, als die Dividenden nach deutschem Steuerrecht nicht einer anderen Person zuzurechnen sind. </w:t>
      </w:r>
      <w:r>
        <w:rPr>
          <w:rStyle w:val="Satznummer"/>
        </w:rPr>
        <w:t>2</w:t>
      </w:r>
      <w:r>
        <w:t>Soweit die Dividenden nach deutschem Steuerrecht einer anderen Person zuzurechnen sind, werden sie bei dieser Person freigestellt, wenn sie bei ihr als Zahlungsempfänger nach Maßgabe des Abkommens freigestellt würden.</w:t>
      </w:r>
    </w:p>
    <w:p>
      <w:r>
        <w:t xml:space="preserve">(11a) Ist der Gläubiger der Kapitalerträge oder Vergütungen eine Person, der die Kapitalerträge oder Vergütungen nach diesem Gesetz oder nach dem Steuerrecht des anderen Vertragsstaats nicht zugerechnet werden, steht der Anspruch auf völlige oder teilweise Erstattung des Steuerabzugs vom Kapitalertrag oder nach </w:t>
      </w:r>
      <w:hyperlink w:anchor="b193" w:history="1">
        <w:r>
          <w:rPr>
            <w:color w:val="0A3A8C"/>
            <w:u w:val="single"/>
          </w:rPr>
          <w:t xml:space="preserve">§ 50a</w:t>
        </w:r>
      </w:hyperlink>
      <w:r>
        <w:t xml:space="preserve"> auf Grund eines Abkommens zur Vermeidung der Doppelbesteuerung nur der Person zu, der die Kapitalerträge oder Vergütungen nach den Steuergesetzen des anderen Vertragsstaats als Einkünfte oder Gewinne einer ansässigen Person zugerechnet werden.</w:t>
      </w:r>
    </w:p>
    <w:p>
      <w:r>
        <w:t xml:space="preserve">(12) </w:t>
      </w:r>
      <w:r>
        <w:rPr>
          <w:rStyle w:val="Satznummer"/>
        </w:rPr>
        <w:t>1</w:t>
      </w:r>
      <w:r>
        <w:t xml:space="preserve">Abfindungen, die anlässlich der Beendigung eines Dienstverhältnisses gezahlt werden, gelten für Zwecke der Anwendung eines Abkommens zur Vermeidung der Doppelbesteuerung als für frühere Tätigkeit geleistetes zusätzliches Entgelt. </w:t>
      </w:r>
      <w:r>
        <w:rPr>
          <w:rStyle w:val="Satznummer"/>
        </w:rPr>
        <w:t>2</w:t>
      </w:r>
      <w:r>
        <w:t xml:space="preserve">Dies gilt nicht, soweit das Abkommen in einer gesonderten, ausdrücklich solche Abfindungen betreffenden Vorschrift eine abweichende Regelung trifft. </w:t>
      </w:r>
      <w:r>
        <w:rPr>
          <w:rStyle w:val="Satznummer"/>
        </w:rPr>
        <w:t>3</w:t>
      </w:r>
      <w:r>
        <w:t>Absatz 9 Satz 1 Nummer 1 sowie Rechtsverordnungen gemäß § 2 Absatz 2 Satz 1 der Abgabenordnung bleiben unberührt.</w:t>
      </w:r>
    </w:p>
    <w:p>
      <w:r>
        <w:t>(13) Werden Aktien einer Gesellschaft mit Sitz oder Geschäftsleitung im Inland mit Dividendenberechtigung erworben, aber ohne Dividendenanspruch geliefert, sind vom Erwerber an Stelle von Dividenden erhaltene sonstige Bezüge für Zwecke der Anwendung eines Abkommens zur Vermeidung der Doppelbesteuerung den Dividenden, die von dieser Gesellschaft gezahlt werden, gleichgestellt.</w:t>
      </w:r>
    </w:p>
    <w:p>
      <w:r>
        <w:t xml:space="preserve">(14) </w:t>
      </w:r>
      <w:r>
        <w:rPr>
          <w:rStyle w:val="Satznummer"/>
        </w:rPr>
        <w:t>1</w:t>
      </w:r>
      <w:r>
        <w:t xml:space="preserve">Dem Gläubiger der Kapitalerträge im Sinne des § 20 Absatz 1 Nummer 1 und 2 aus Anteilen an einer optierenden Gesellschaft im Sinne des § 1a des Körperschaftsteuergesetzes steht ungeachtet der Bestimmungen eines Abkommens zur Vermeidung der Doppelbesteuerung kein Anspruch auf Entlastung von der Kapitalertragsteuer zu, wenn die Kapitalerträge im anderen Staat aufgrund einer vom deutschen Recht abweichenden steuerlichen Behandlung der optierenden Gesellschaft nicht der Besteuerung unterliegen. </w:t>
      </w:r>
      <w:r>
        <w:rPr>
          <w:rStyle w:val="Satznummer"/>
        </w:rPr>
        <w:t>2</w:t>
      </w:r>
      <w:r>
        <w:t>Gewinne aus der Veräußerung von Anteilen an einer optierenden Gesellschaft im Sinne des § 1a des Körperschaftsteuergesetzes sind ungeachtet der Bestimmungen eines Abkommens zur Vermeidung der Doppelbesteuerung zu versteuern, wenn sie im anderen Staat aufgrund einer vom deutschen Recht abweichenden steuerlichen Behandlung der optierenden Gesellschaft nicht der Besteuerung unterliegen.</w:t>
      </w:r>
    </w:p>
    <w:p>
      <w:r>
        <w:t xml:space="preserve">(15) </w:t>
      </w:r>
      <w:r>
        <w:rPr>
          <w:rStyle w:val="Satznummer"/>
        </w:rPr>
        <w:t>1</w:t>
      </w:r>
      <w:r>
        <w:t xml:space="preserve">Arbeitslohn, der für Zeiten einer widerruflichen oder unwiderruflichen Arbeitsfreistellung im Zusammenhang mit der Beendigung des Arbeitsverhältnisses gezahlt wird, gilt für Zwecke der Anwendung eines Abkommens zur Vermeidung der Doppelbesteuerung als Vergütung, die für die Ausübung einer Tätigkeit in dem Staat gewährt wird, in dem die Tätigkeit ohne die Freistellung ausgeübt worden wäre. </w:t>
      </w:r>
      <w:r>
        <w:rPr>
          <w:rStyle w:val="Satznummer"/>
        </w:rPr>
        <w:t>2</w:t>
      </w:r>
      <w:r>
        <w:t xml:space="preserve">Dies gilt nicht, soweit das Abkommen in einer gesonderten, ausdrücklich solchen Arbeitslohn betreffenden Vorschrift eine abweichende Regelung trifft. </w:t>
      </w:r>
      <w:r>
        <w:rPr>
          <w:rStyle w:val="Satznummer"/>
        </w:rPr>
        <w:t>3</w:t>
      </w:r>
      <w:r>
        <w:t>Absatz 9 Satz 1 Nummer 1 sowie Rechtsverordnungen gemäß § 2 Absatz 2 Satz 1 der Abgabenordnung bleiben davon unberührt.</w:t>
      </w:r>
    </w:p>
    <w:p>
      <w:pPr>
        <w:pStyle w:val="Heading2"/>
      </w:pPr>
      <w:bookmarkStart w:id="199" w:name="b198"/>
      <w:r>
        <w:t>§ 50e Bußgeldvorschriften; Nichtverfolgung von Steuerstraftaten bei geringfügiger Beschäftigung in Privathaushalten</w:t>
      </w:r>
      <w:r>
        <w:t xml:space="preserve"> </w:t>
      </w:r>
      <w:r>
        <w:rPr>
          <w:rStyle w:val="Suchmarke"/>
        </w:rPr>
        <w:t>#50e#</w:t>
      </w:r>
      <w:bookmarkEnd w:id="199"/>
    </w:p>
    <w:p>
      <w:r>
        <w:t xml:space="preserve">(1) Ordnungswidrig handelt, wer vorsätzlich oder leichtfertig entgegen </w:t>
      </w:r>
      <w:hyperlink w:anchor="b179" w:history="1">
        <w:r>
          <w:rPr>
            <w:color w:val="0A3A8C"/>
            <w:u w:val="single"/>
          </w:rPr>
          <w:t xml:space="preserve">§ 45d</w:t>
        </w:r>
      </w:hyperlink>
      <w:r>
        <w:t xml:space="preserve"> Absatz 1 Satz 1, der nach </w:t>
      </w:r>
      <w:hyperlink w:anchor="b180" w:history="1">
        <w:r>
          <w:rPr>
            <w:color w:val="0A3A8C"/>
            <w:u w:val="single"/>
          </w:rPr>
          <w:t xml:space="preserve">§ 45e</w:t>
        </w:r>
      </w:hyperlink>
      <w:r>
        <w:t xml:space="preserve"> erlassenen Rechtsverordnung oder den unmittelbar geltenden Verträgen mit den in Artikel 17 der Richtlinie 2003/48/EG genannten Staaten und Gebieten eine Mitteilung nicht, nicht richtig, nicht vollständig oder nicht rechtzeitig abgibt.</w:t>
      </w:r>
    </w:p>
    <w:p>
      <w:r>
        <w:t>(2) Ordnungswidrig handelt, wer vorsätzlich oder leichtfertig</w:t>
      </w:r>
    </w:p>
    <w:p>
      <w:pPr>
        <w:tabs>
          <w:tab w:pos="567" w:val="left"/>
        </w:tabs>
        <w:ind w:left="567" w:hanging="567"/>
      </w:pPr>
      <w:r>
        <w:t>1.</w:t>
      </w:r>
      <w:r>
        <w:tab/>
      </w:r>
      <w:r>
        <w:t xml:space="preserve">entgegen </w:t>
      </w:r>
      <w:hyperlink w:anchor="b177" w:history="1">
        <w:r>
          <w:rPr>
            <w:color w:val="0A3A8C"/>
            <w:u w:val="single"/>
          </w:rPr>
          <w:t xml:space="preserve">§ 45b</w:t>
        </w:r>
      </w:hyperlink>
      <w:r>
        <w:t xml:space="preserve"> Absatz 2 in Verbindung mit Absatz 4 eine dort genannte Angabe oder dort genannte Daten nicht richtig oder nicht vollständig übermittelt,</w:t>
      </w:r>
    </w:p>
    <w:p>
      <w:pPr>
        <w:tabs>
          <w:tab w:pos="567" w:val="left"/>
        </w:tabs>
        <w:ind w:left="567" w:hanging="567"/>
      </w:pPr>
      <w:r>
        <w:t>2.</w:t>
      </w:r>
      <w:r>
        <w:tab/>
      </w:r>
      <w:r>
        <w:t xml:space="preserve">entgegen </w:t>
      </w:r>
      <w:hyperlink w:anchor="b177" w:history="1">
        <w:r>
          <w:rPr>
            <w:color w:val="0A3A8C"/>
            <w:u w:val="single"/>
          </w:rPr>
          <w:t xml:space="preserve">§ 45b</w:t>
        </w:r>
      </w:hyperlink>
      <w:r>
        <w:t xml:space="preserve"> Absatz 5 oder Absatz 6 Satz 1 oder 2, </w:t>
      </w:r>
      <w:hyperlink w:anchor="b178" w:history="1">
        <w:r>
          <w:rPr>
            <w:color w:val="0A3A8C"/>
            <w:u w:val="single"/>
          </w:rPr>
          <w:t xml:space="preserve">§ 45c</w:t>
        </w:r>
      </w:hyperlink>
      <w:r>
        <w:t xml:space="preserve"> Absatz 1 Satz 1, auch in Verbindung mit Satz 2, oder </w:t>
      </w:r>
      <w:hyperlink w:anchor="b178" w:history="1">
        <w:r>
          <w:rPr>
            <w:color w:val="0A3A8C"/>
            <w:u w:val="single"/>
          </w:rPr>
          <w:t xml:space="preserve">§ 45c</w:t>
        </w:r>
      </w:hyperlink>
      <w:r>
        <w:t xml:space="preserve"> Absatz 2 Satz 1, auch in Verbindung mit Satz 2, eine dort genannte Angabe oder dort genannte Daten nicht richtig oder nicht vollständig übermittelt oder</w:t>
      </w:r>
    </w:p>
    <w:p>
      <w:pPr>
        <w:tabs>
          <w:tab w:pos="567" w:val="left"/>
        </w:tabs>
        <w:ind w:left="567" w:hanging="567"/>
      </w:pPr>
      <w:r>
        <w:t>3.</w:t>
      </w:r>
      <w:r>
        <w:tab/>
      </w:r>
      <w:r>
        <w:t xml:space="preserve">entgegen </w:t>
      </w:r>
      <w:hyperlink w:anchor="b177" w:history="1">
        <w:r>
          <w:rPr>
            <w:color w:val="0A3A8C"/>
            <w:u w:val="single"/>
          </w:rPr>
          <w:t xml:space="preserve">§ 45b</w:t>
        </w:r>
      </w:hyperlink>
      <w:r>
        <w:t xml:space="preserve"> Absatz 7 Satz 1 oder 2 eine Mitteilung nicht richtig oder nicht vollständig macht und dadurch ermöglicht, Steuern zu verkürzen oder nicht gerechtfertigte Steuervorteile zu erlangen.</w:t>
      </w:r>
    </w:p>
    <w:p>
      <w:r>
        <w:t>(3) In den Fällen des Absatzes 2 Nummer 3 kann die Ordnungswidrigkeit auch dann geahndet werden, wenn sie nicht im Geltungsbereich dieses Gesetzes begangen wird.</w:t>
      </w:r>
    </w:p>
    <w:p>
      <w:r>
        <w:t>(4) Die Ordnungswidrigkeit kann in den Fällen des Absatzes 2 mit einer Geldbuße bis zu zwanzigtausend Euro, in den Fällen des Absatzes 1 mit einer Geldbuße bis zu fünftausend Euro geahndet werden.</w:t>
      </w:r>
    </w:p>
    <w:p>
      <w:r>
        <w:t>(5) Verwaltungsbehörde im Sinne des § 36 Absatz 1 Nummer 1 des Gesetzes über Ordnungswidrigkeiten ist das Bundeszentralamt für Steuern.</w:t>
      </w:r>
    </w:p>
    <w:p>
      <w:r>
        <w:t xml:space="preserve">(6) </w:t>
      </w:r>
      <w:r>
        <w:rPr>
          <w:rStyle w:val="Satznummer"/>
        </w:rPr>
        <w:t>1</w:t>
      </w:r>
      <w:r>
        <w:t xml:space="preserve">Liegen die Voraussetzungen des </w:t>
      </w:r>
      <w:hyperlink w:anchor="b155" w:history="1">
        <w:r>
          <w:rPr>
            <w:color w:val="0A3A8C"/>
            <w:u w:val="single"/>
          </w:rPr>
          <w:t xml:space="preserve">§ 40a</w:t>
        </w:r>
      </w:hyperlink>
      <w:r>
        <w:t xml:space="preserve"> Absatz 2 vor, werden Steuerstraftaten (§§ 369 bis 376 der Abgabenordnung) als solche nicht verfolgt, wenn der Arbeitgeber in den Fällen des § 8a des Vierten Buches Sozialgesetzbuch entgegen </w:t>
      </w:r>
      <w:hyperlink w:anchor="b158" w:history="1">
        <w:r>
          <w:rPr>
            <w:color w:val="0A3A8C"/>
            <w:u w:val="single"/>
          </w:rPr>
          <w:t xml:space="preserve">§ 41a</w:t>
        </w:r>
      </w:hyperlink>
      <w:r>
        <w:t xml:space="preserve"> Absatz 1 Nummer 1, auch in Verbindung mit Absatz 2 und 3 und </w:t>
      </w:r>
      <w:hyperlink w:anchor="b205" w:history="1">
        <w:r>
          <w:rPr>
            <w:color w:val="0A3A8C"/>
            <w:u w:val="single"/>
          </w:rPr>
          <w:t xml:space="preserve">§ 51a</w:t>
        </w:r>
      </w:hyperlink>
      <w:r>
        <w:t xml:space="preserve">, und </w:t>
      </w:r>
      <w:hyperlink w:anchor="b155" w:history="1">
        <w:r>
          <w:rPr>
            <w:color w:val="0A3A8C"/>
            <w:u w:val="single"/>
          </w:rPr>
          <w:t xml:space="preserve">§ 40a</w:t>
        </w:r>
      </w:hyperlink>
      <w:r>
        <w:t xml:space="preserve"> Absatz 6 Satz 3 dieses Gesetzes in Verbindung mit § 28a Absatz 7 Satz 1 des Vierten Buches Sozialgesetzbuch für das Arbeitsentgelt die Lohnsteuer-Anmeldung und die Anmeldung der einheitlichen Pauschsteuer nicht oder nicht rechtzeitig durchführt und dadurch Steuern verkürzt oder für sich oder einen anderen nicht gerechtfertigte Steuervorteile erlangt. </w:t>
      </w:r>
      <w:r>
        <w:rPr>
          <w:rStyle w:val="Satznummer"/>
        </w:rPr>
        <w:t>2</w:t>
      </w:r>
      <w:r>
        <w:t xml:space="preserve">Die Freistellung von der Verfolgung nach Satz 1 gilt auch für den Arbeitnehmer einer in Satz 1 genannten Beschäftigung, der die Finanzbehörde pflichtwidrig über steuerlich erhebliche Tatsachen aus dieser Beschäftigung in Unkenntnis lässt. </w:t>
      </w:r>
      <w:r>
        <w:rPr>
          <w:rStyle w:val="Satznummer"/>
        </w:rPr>
        <w:t>3</w:t>
      </w:r>
      <w:r>
        <w:t>Die Bußgeldvorschriften der §§ 377 bis 384 der Abgabenordnung bleiben mit der Maßgabe anwendbar, dass § 378 der Abgabenordnung auch bei vorsätzlichem Handeln anwendbar ist.</w:t>
      </w:r>
    </w:p>
    <w:p>
      <w:pPr>
        <w:pStyle w:val="Heading2"/>
      </w:pPr>
      <w:bookmarkStart w:id="200" w:name="b199"/>
      <w:r>
        <w:t>§ 50f Bußgeldvorschriften</w:t>
      </w:r>
      <w:r>
        <w:t xml:space="preserve"> </w:t>
      </w:r>
      <w:r>
        <w:rPr>
          <w:rStyle w:val="Suchmarke"/>
        </w:rPr>
        <w:t>#50f#</w:t>
      </w:r>
      <w:bookmarkEnd w:id="200"/>
    </w:p>
    <w:p>
      <w:r>
        <w:t xml:space="preserve">(1) Ordnungswidrig handelt, wer vorsätzlich oder leichtfertig entgegen </w:t>
      </w:r>
      <w:hyperlink w:anchor="b91" w:history="1">
        <w:r>
          <w:rPr>
            <w:color w:val="0A3A8C"/>
            <w:u w:val="single"/>
          </w:rPr>
          <w:t xml:space="preserve">§ 22a</w:t>
        </w:r>
      </w:hyperlink>
      <w:r>
        <w:t xml:space="preserve"> Absatz 1 Satz 1 dort genannte Daten nicht, nicht vollständig oder nicht rechtzeitig übermittelt oder eine dort genannte Mitteilung nicht, nicht vollständig oder nicht rechtzeitig macht.</w:t>
      </w:r>
    </w:p>
    <w:p>
      <w:r>
        <w:t>(2) Die Ordnungswidrigkeit kann mit einer Geldbuße bis zu fünfzigtausend Euro geahndet werden.</w:t>
      </w:r>
    </w:p>
    <w:p>
      <w:r>
        <w:t xml:space="preserve">(3) Verwaltungsbehörde im Sinne des § 36 Absatz 1 Nummer 1 des Gesetzes über Ordnungswidrigkeiten ist die zentrale Stelle nach </w:t>
      </w:r>
      <w:hyperlink w:anchor="b238" w:history="1">
        <w:r>
          <w:rPr>
            <w:color w:val="0A3A8C"/>
            <w:u w:val="single"/>
          </w:rPr>
          <w:t xml:space="preserve">§ 81</w:t>
        </w:r>
      </w:hyperlink>
      <w:r>
        <w:t>.</w:t>
      </w:r>
    </w:p>
    <w:p>
      <w:pPr>
        <w:pStyle w:val="Heading2"/>
      </w:pPr>
      <w:bookmarkStart w:id="201" w:name="b200"/>
      <w:r>
        <w:t>§ 50g Entlastung vom Steuerabzug bei Zahlungen von Zinsen und Lizenzgebühren zwischen verbundenen Unternehmen verschiedener Mitgliedstaaten der Europäischen Union</w:t>
      </w:r>
      <w:r>
        <w:t xml:space="preserve"> </w:t>
      </w:r>
      <w:r>
        <w:rPr>
          <w:rStyle w:val="Suchmarke"/>
        </w:rPr>
        <w:t>#50g#</w:t>
      </w:r>
      <w:bookmarkEnd w:id="201"/>
    </w:p>
    <w:p>
      <w:r>
        <w:t xml:space="preserve">(1) </w:t>
      </w:r>
      <w:r>
        <w:rPr>
          <w:rStyle w:val="Satznummer"/>
        </w:rPr>
        <w:t>1</w:t>
      </w:r>
      <w:r>
        <w:t xml:space="preserve">Auf Antrag werden die Kapitalertragsteuer für Zinsen und die Steuer auf Grund des </w:t>
      </w:r>
      <w:hyperlink w:anchor="b193" w:history="1">
        <w:r>
          <w:rPr>
            <w:color w:val="0A3A8C"/>
            <w:u w:val="single"/>
          </w:rPr>
          <w:t xml:space="preserve">§ 50a</w:t>
        </w:r>
      </w:hyperlink>
      <w:r>
        <w:t xml:space="preserve"> für Lizenzgebühren, die von einem Unternehmen der Bundesrepublik Deutschland oder einer dort gelegenen Betriebsstätte eines Unternehmens eines anderen Mitgliedstaates der Europäischen Union als Schuldner an ein Unternehmen eines anderen Mitgliedstaates der Europäischen Union oder an eine in einem anderen Mitgliedstaat der Europäischen Union gelegene Betriebsstätte eines Unternehmens eines Mitgliedstaates der Europäischen Union als Gläubiger gezahlt werden, nicht erhoben. </w:t>
      </w:r>
      <w:r>
        <w:rPr>
          <w:rStyle w:val="Satznummer"/>
        </w:rPr>
        <w:t>2</w:t>
      </w:r>
      <w:r>
        <w:t xml:space="preserve">Erfolgt die Besteuerung durch Veranlagung, werden die Zinsen und Lizenzgebühren bei der Ermittlung der Einkünfte nicht erfasst. </w:t>
      </w:r>
      <w:r>
        <w:rPr>
          <w:rStyle w:val="Satznummer"/>
        </w:rPr>
        <w:t>3</w:t>
      </w:r>
      <w:r>
        <w:t xml:space="preserve">Voraussetzung für die Anwendung der Sätze 1 und 2 ist, dass der Gläubiger der Zinsen oder Lizenzgebühren ein mit dem Schuldner verbundenes Unternehmen oder dessen Betriebsstätte ist. </w:t>
      </w:r>
      <w:r>
        <w:rPr>
          <w:rStyle w:val="Satznummer"/>
        </w:rPr>
        <w:t>4</w:t>
      </w:r>
      <w:r>
        <w:t>Die Sätze 1 bis 3 sind nicht anzuwenden, wenn die Zinsen oder Lizenzgebühren an eine Betriebsstätte eines Unternehmens eines Mitgliedstaates der Europäischen Union als Gläubiger gezahlt werden, die in einem Staat außerhalb der Europäischen Union oder im Inland gelegen ist und in der die Tätigkeit des Unternehmens ganz oder teilweise ausgeübt wird.</w:t>
      </w:r>
    </w:p>
    <w:p>
      <w:r>
        <w:t>(2) Absatz 1 ist nicht anzuwenden auf die Zahlung von</w:t>
      </w:r>
    </w:p>
    <w:p>
      <w:pPr>
        <w:tabs>
          <w:tab w:pos="567" w:val="left"/>
        </w:tabs>
        <w:ind w:left="567" w:hanging="567"/>
      </w:pPr>
      <w:r>
        <w:t>1.</w:t>
      </w:r>
      <w:r>
        <w:tab/>
      </w:r>
      <w:r>
        <w:t>Zinsen,</w:t>
      </w:r>
    </w:p>
    <w:p>
      <w:pPr>
        <w:tabs>
          <w:tab w:pos="1134" w:val="left"/>
        </w:tabs>
        <w:ind w:left="1134" w:hanging="567"/>
      </w:pPr>
      <w:r>
        <w:t>a)</w:t>
      </w:r>
      <w:r>
        <w:tab/>
      </w:r>
      <w:r>
        <w:t>die nach deutschem Recht als Gewinnausschüttung behandelt werden (</w:t>
      </w:r>
      <w:hyperlink w:anchor="b86" w:history="1">
        <w:r>
          <w:rPr>
            <w:color w:val="0A3A8C"/>
            <w:u w:val="single"/>
          </w:rPr>
          <w:t xml:space="preserve">§ 20</w:t>
        </w:r>
      </w:hyperlink>
      <w:r>
        <w:t xml:space="preserve"> Absatz 1 Nummer 1 Satz 2) oder</w:t>
      </w:r>
    </w:p>
    <w:p>
      <w:pPr>
        <w:tabs>
          <w:tab w:pos="1134" w:val="left"/>
        </w:tabs>
        <w:ind w:left="1134" w:hanging="567"/>
      </w:pPr>
      <w:r>
        <w:t>b)</w:t>
      </w:r>
      <w:r>
        <w:tab/>
      </w:r>
      <w:r>
        <w:t>die auf Forderungen beruhen, die einen Anspruch auf Beteiligung am Gewinn des Schuldners begründen;</w:t>
      </w:r>
    </w:p>
    <w:p>
      <w:pPr>
        <w:tabs>
          <w:tab w:pos="567" w:val="left"/>
        </w:tabs>
        <w:ind w:left="567" w:hanging="567"/>
      </w:pPr>
      <w:r>
        <w:t>2.</w:t>
      </w:r>
      <w:r>
        <w:tab/>
      </w:r>
      <w:r>
        <w:t>Zinsen oder Lizenzgebühren, die den Betrag übersteigen, den der Schuldner und der Gläubiger ohne besondere Beziehungen, die zwischen den beiden oder einem von ihnen und einem Dritten auf Grund von Absatz 3 Nummer 5 Buchstabe b bestehen, vereinbart hätten.</w:t>
      </w:r>
    </w:p>
    <w:p>
      <w:r>
        <w:t>(3) Für die Anwendung der Absätze 1 und 2 gelten die folgenden Begriffsbestimmungen und Beschränkungen:</w:t>
      </w:r>
    </w:p>
    <w:p>
      <w:pPr>
        <w:tabs>
          <w:tab w:pos="567" w:val="left"/>
        </w:tabs>
        <w:ind w:left="567" w:hanging="567"/>
      </w:pPr>
      <w:r>
        <w:t>1.</w:t>
      </w:r>
      <w:r>
        <w:tab/>
      </w:r>
      <w:r>
        <w:t xml:space="preserve">Der Gläubiger muss der Nutzungsberechtigte sein. </w:t>
      </w:r>
      <w:r>
        <w:rPr>
          <w:rStyle w:val="Satznummer"/>
        </w:rPr>
        <w:t>2</w:t>
      </w:r>
      <w:r>
        <w:t>Nutzungsberechtigter ist</w:t>
      </w:r>
    </w:p>
    <w:p>
      <w:pPr>
        <w:tabs>
          <w:tab w:pos="1134" w:val="left"/>
        </w:tabs>
        <w:ind w:left="1134" w:hanging="567"/>
      </w:pPr>
      <w:r>
        <w:t>a)</w:t>
      </w:r>
      <w:r>
        <w:tab/>
      </w:r>
      <w:r>
        <w:t xml:space="preserve">ein Unternehmen, wenn es die Einkünfte im Sinne von </w:t>
      </w:r>
      <w:hyperlink w:anchor="b5" w:history="1">
        <w:r>
          <w:rPr>
            <w:color w:val="0A3A8C"/>
            <w:u w:val="single"/>
          </w:rPr>
          <w:t xml:space="preserve">§ 2</w:t>
        </w:r>
      </w:hyperlink>
      <w:r>
        <w:t xml:space="preserve"> Absatz 1 erzielt;</w:t>
      </w:r>
    </w:p>
    <w:p>
      <w:pPr>
        <w:tabs>
          <w:tab w:pos="1134" w:val="left"/>
        </w:tabs>
        <w:ind w:left="1134" w:hanging="567"/>
      </w:pPr>
      <w:r>
        <w:t>b)</w:t>
      </w:r>
      <w:r>
        <w:tab/>
      </w:r>
      <w:r>
        <w:t>eine Betriebsstätte, wenn</w:t>
      </w:r>
    </w:p>
    <w:p>
      <w:pPr>
        <w:tabs>
          <w:tab w:pos="1701" w:val="left"/>
        </w:tabs>
        <w:ind w:left="1701" w:hanging="567"/>
      </w:pPr>
      <w:r>
        <w:t>aa)</w:t>
      </w:r>
      <w:r>
        <w:tab/>
      </w:r>
      <w:r>
        <w:t>die Forderung, das Recht oder der Gebrauch von Informationen, auf Grund derer/dessen Zahlungen von Zinsen oder Lizenzgebühren geleistet werden, tatsächlich zu der Betriebsstätte gehört und</w:t>
      </w:r>
    </w:p>
    <w:p>
      <w:pPr>
        <w:tabs>
          <w:tab w:pos="1701" w:val="left"/>
        </w:tabs>
        <w:ind w:left="1701" w:hanging="567"/>
      </w:pPr>
      <w:r>
        <w:t>bb)</w:t>
      </w:r>
      <w:r>
        <w:tab/>
      </w:r>
      <w:r>
        <w:t>die Zahlungen der Zinsen oder Lizenzgebühren Einkünfte darstellen, auf Grund derer die Gewinne der Betriebsstätte in dem Mitgliedstaat der Europäischen Union, in dem sie gelegen ist, zu einer der in Nummer 5 Satz 1 Buchstabe a Doppelbuchstabe cc genannten Steuern beziehungsweise im Fall Belgiens dem „impôt des non-résidents/belasting der nietverblijfhouders“ beziehungsweise im Fall Spaniens dem „Impuesto sobre la Renta de no Residentes“ oder zu einer mit diesen Steuern identischen oder weitgehend ähnlichen Steuer herangezogen werden, die nach dem jeweiligen Zeitpunkt des Inkrafttretens der Richtlinie 2003/49/EG des Rates vom 3. Juni 2003 über eine gemeinsame Steuerregelung für Zahlungen von Zinsen und Lizenzgebühren zwischen verbundenen Unternehmen verschiedener Mitgliedstaaten (ABl. L 157 vom 26.6.2003, S. 49), die zuletzt durch die Richtlinie 2013/13/EU (ABl. L 141 vom 28.5.2013, S. 30) geändert worden ist, anstelle der bestehenden Steuern oder ergänzend zu ihnen eingeführt wird.</w:t>
      </w:r>
    </w:p>
    <w:p>
      <w:pPr>
        <w:tabs>
          <w:tab w:pos="567" w:val="left"/>
        </w:tabs>
        <w:ind w:left="567" w:hanging="567"/>
      </w:pPr>
      <w:r>
        <w:t>2.</w:t>
      </w:r>
      <w:r>
        <w:tab/>
      </w:r>
      <w:r>
        <w:t>Eine Betriebsstätte gilt nur dann als Schuldner der Zinsen oder Lizenzgebühren, wenn die Zahlung bei der Ermittlung des Gewinns der Betriebsstätte eine steuerlich abzugsfähige Betriebsausgabe ist.</w:t>
      </w:r>
    </w:p>
    <w:p>
      <w:pPr>
        <w:tabs>
          <w:tab w:pos="567" w:val="left"/>
        </w:tabs>
        <w:ind w:left="567" w:hanging="567"/>
      </w:pPr>
      <w:r>
        <w:t>3.</w:t>
      </w:r>
      <w:r>
        <w:tab/>
      </w:r>
      <w:r>
        <w:t>Gilt eine Betriebsstätte eines Unternehmens eines Mitgliedstaates der Europäischen Union als Schuldner oder Gläubiger von Zinsen oder Lizenzgebühren, so wird kein anderer Teil des Unternehmens als Schuldner oder Gläubiger der Zinsen oder Lizenzgebühren angesehen.</w:t>
      </w:r>
    </w:p>
    <w:p>
      <w:pPr>
        <w:tabs>
          <w:tab w:pos="567" w:val="left"/>
        </w:tabs>
        <w:ind w:left="567" w:hanging="567"/>
      </w:pPr>
      <w:r>
        <w:t>4.</w:t>
      </w:r>
      <w:r>
        <w:tab/>
      </w:r>
      <w:r>
        <w:t>Im Sinne des Absatzes 1 sind</w:t>
      </w:r>
    </w:p>
    <w:p>
      <w:pPr>
        <w:tabs>
          <w:tab w:pos="1134" w:val="left"/>
        </w:tabs>
        <w:ind w:left="1134" w:hanging="567"/>
      </w:pPr>
      <w:r>
        <w:t>a)</w:t>
      </w:r>
      <w:r>
        <w:tab/>
      </w:r>
      <w:r>
        <w:t>„Zinsen“ Einkünfte aus Forderungen jeder Art, auch wenn die Forderungen durch Pfandrechte an Grundstücken gesichert sind, insbesondere Einkünfte aus öffentlichen Anleihen und aus Obligationen einschließlich der damit verbundenen Aufgelder und der Gewinne aus Losanleihen; Zuschläge für verspätete Zahlung und die Rückzahlung von Kapital gelten nicht als Zinsen;</w:t>
      </w:r>
    </w:p>
    <w:p>
      <w:pPr>
        <w:tabs>
          <w:tab w:pos="1134" w:val="left"/>
        </w:tabs>
        <w:ind w:left="1134" w:hanging="567"/>
      </w:pPr>
      <w:r>
        <w:t>b)</w:t>
      </w:r>
      <w:r>
        <w:tab/>
      </w:r>
      <w:r>
        <w:t>„Lizenzgebühren“ Vergütungen jeder Art, die für die Nutzung oder für das Recht auf Nutzung von Urheberrechten an literarischen, künstlerischen oder wissenschaftlichen Werken, einschließlich kinematografischer Filme und Software, von Patenten, Marken, Mustern oder Modellen, Plänen, geheimen Formeln oder Verfahren oder für die Mitteilung gewerblicher, kaufmännischer oder wissenschaftlicher Erfahrungen gezahlt werden; Zahlungen für die Nutzung oder das Recht auf Nutzung gewerblicher, kaufmännischer oder wissenschaftlicher Ausrüstungen gelten als Lizenzgebühren.</w:t>
      </w:r>
    </w:p>
    <w:p>
      <w:pPr>
        <w:tabs>
          <w:tab w:pos="567" w:val="left"/>
        </w:tabs>
        <w:ind w:left="567" w:hanging="567"/>
      </w:pPr>
      <w:r>
        <w:t>5.</w:t>
      </w:r>
      <w:r>
        <w:tab/>
      </w:r>
      <w:r>
        <w:t>Die Ausdrücke „Unternehmen eines Mitgliedstaates der Europäischen Union“, „verbundenes Unternehmen“ und „Betriebsstätte“ bedeuten:</w:t>
      </w:r>
    </w:p>
    <w:p>
      <w:pPr>
        <w:tabs>
          <w:tab w:pos="1134" w:val="left"/>
        </w:tabs>
        <w:ind w:left="1134" w:hanging="567"/>
      </w:pPr>
      <w:r>
        <w:t>a)</w:t>
      </w:r>
      <w:r>
        <w:tab/>
      </w:r>
      <w:r>
        <w:t>„Unternehmen eines Mitgliedstaates der Europäischen Union“ jedes Unternehmen, das</w:t>
      </w:r>
    </w:p>
    <w:p>
      <w:pPr>
        <w:tabs>
          <w:tab w:pos="1701" w:val="left"/>
        </w:tabs>
        <w:ind w:left="1701" w:hanging="567"/>
      </w:pPr>
      <w:r>
        <w:t>aa)</w:t>
      </w:r>
      <w:r>
        <w:tab/>
      </w:r>
      <w:r>
        <w:t>eine der in Anlage 3 Nummer 1 zu diesem Gesetz aufgeführten Rechtsformen aufweist und</w:t>
      </w:r>
    </w:p>
    <w:p>
      <w:pPr>
        <w:tabs>
          <w:tab w:pos="1701" w:val="left"/>
        </w:tabs>
        <w:ind w:left="1701" w:hanging="567"/>
      </w:pPr>
      <w:r>
        <w:t>bb)</w:t>
      </w:r>
      <w:r>
        <w:tab/>
      </w:r>
      <w:r>
        <w:t>nach dem Steuerrecht eines Mitgliedstaates in diesem Mitgliedstaat ansässig ist und nicht nach einem zwischen dem betreffenden Staat und einem Staat außerhalb der Europäischen Union geschlossenen Abkommen zur Vermeidung der Doppelbesteuerung von Einkünften für steuerliche Zwecke als außerhalb der Gemeinschaft ansässig gilt und</w:t>
      </w:r>
    </w:p>
    <w:p>
      <w:pPr>
        <w:tabs>
          <w:tab w:pos="1701" w:val="left"/>
        </w:tabs>
        <w:ind w:left="1701" w:hanging="567"/>
      </w:pPr>
      <w:r>
        <w:t>cc)</w:t>
      </w:r>
      <w:r>
        <w:tab/>
      </w:r>
      <w:r>
        <w:t xml:space="preserve">einer der in Anlage 3 Nummer 2 zu diesem Gesetz aufgeführten Steuern unterliegt und nicht von ihr befreit ist. </w:t>
      </w:r>
      <w:r>
        <w:rPr>
          <w:rStyle w:val="Satznummer"/>
        </w:rPr>
        <w:t>2</w:t>
      </w:r>
      <w:r>
        <w:t>Entsprechendes gilt für eine mit diesen Steuern identische oder weitgehend ähnliche Steuer, die nach dem jeweiligen Zeitpunkt des Inkrafttretens der Richtlinie 2003/49/EG des Rates vom 3. Juni 2003 (ABl. L 157 vom 26.6.2003, S. 49), zuletzt geändert durch die Richtlinie 2013/13/EU (ABl. L 141 vom 28.5.2013, S. 30) anstelle der bestehenden Steuern oder ergänzend zu ihnen eingeführt wird.</w:t>
      </w:r>
    </w:p>
    <w:p>
      <w:pPr>
        <w:ind w:left="1134"/>
      </w:pPr>
      <w:r>
        <w:rPr>
          <w:rStyle w:val="Satznummer"/>
        </w:rPr>
        <w:t>2</w:t>
      </w:r>
      <w:r>
        <w:t>Ein Unternehmen ist im Sinne von Doppelbuchstabe bb in einem Mitgliedstaat der Europäischen Union ansässig, wenn es der unbeschränkten Steuerpflicht im Inland oder einer vergleichbaren Besteuerung in einem anderen Mitgliedstaat der Europäischen Union nach dessen Rechtsvorschriften unterliegt.</w:t>
      </w:r>
    </w:p>
    <w:p>
      <w:pPr>
        <w:tabs>
          <w:tab w:pos="1134" w:val="left"/>
        </w:tabs>
        <w:ind w:left="1134" w:hanging="567"/>
      </w:pPr>
      <w:r>
        <w:t>b)</w:t>
      </w:r>
      <w:r>
        <w:tab/>
      </w:r>
      <w:r>
        <w:t>„Verbundenes Unternehmen“ jedes Unternehmen, das dadurch mit einem zweiten Unternehmen verbunden ist, dass</w:t>
      </w:r>
    </w:p>
    <w:p>
      <w:pPr>
        <w:tabs>
          <w:tab w:pos="1701" w:val="left"/>
        </w:tabs>
        <w:ind w:left="1701" w:hanging="567"/>
      </w:pPr>
      <w:r>
        <w:t>aa)</w:t>
      </w:r>
      <w:r>
        <w:tab/>
      </w:r>
      <w:r>
        <w:t>das erste Unternehmen unmittelbar mindestens zu 25 Prozent an dem Kapital des zweiten Unternehmens beteiligt ist oder</w:t>
      </w:r>
    </w:p>
    <w:p>
      <w:pPr>
        <w:tabs>
          <w:tab w:pos="1701" w:val="left"/>
        </w:tabs>
        <w:ind w:left="1701" w:hanging="567"/>
      </w:pPr>
      <w:r>
        <w:t>bb)</w:t>
      </w:r>
      <w:r>
        <w:tab/>
      </w:r>
      <w:r>
        <w:t>das zweite Unternehmen unmittelbar mindestens zu 25 Prozent an dem Kapital des ersten Unternehmens beteiligt ist oder</w:t>
      </w:r>
    </w:p>
    <w:p>
      <w:pPr>
        <w:tabs>
          <w:tab w:pos="1701" w:val="left"/>
        </w:tabs>
        <w:ind w:left="1701" w:hanging="567"/>
      </w:pPr>
      <w:r>
        <w:t>cc)</w:t>
      </w:r>
      <w:r>
        <w:tab/>
      </w:r>
      <w:r>
        <w:t>ein drittes Unternehmen unmittelbar mindestens zu 25 Prozent an dem Kapital des ersten Unternehmens und dem Kapital des zweiten Unternehmens beteiligt ist.</w:t>
      </w:r>
    </w:p>
    <w:p>
      <w:pPr>
        <w:ind w:left="1134"/>
      </w:pPr>
      <w:r>
        <w:rPr>
          <w:rStyle w:val="Satznummer"/>
        </w:rPr>
        <w:t>2</w:t>
      </w:r>
      <w:r>
        <w:t>Die Beteiligungen dürfen nur zwischen Unternehmen bestehen, die in einem Mitgliedstaat der Europäischen Union ansässig sind.</w:t>
      </w:r>
    </w:p>
    <w:p>
      <w:pPr>
        <w:tabs>
          <w:tab w:pos="1134" w:val="left"/>
        </w:tabs>
        <w:ind w:left="1134" w:hanging="567"/>
      </w:pPr>
      <w:r>
        <w:t>c)</w:t>
      </w:r>
      <w:r>
        <w:tab/>
      </w:r>
      <w:r>
        <w:t>„Betriebsstätte“ eine feste Geschäftseinrichtung in einem Mitgliedstaat der Europäischen Union, in der die Tätigkeit eines Unternehmens eines anderen Mitgliedstaates der Europäischen Union ganz oder teilweise ausgeübt wird.</w:t>
      </w:r>
    </w:p>
    <w:p>
      <w:r>
        <w:t xml:space="preserve">(4) </w:t>
      </w:r>
      <w:hyperlink w:anchor="b197" w:history="1">
        <w:r>
          <w:rPr>
            <w:color w:val="0A3A8C"/>
            <w:u w:val="single"/>
          </w:rPr>
          <w:t xml:space="preserve">§ 50d</w:t>
        </w:r>
      </w:hyperlink>
      <w:r>
        <w:t xml:space="preserve"> Absatz 3 gilt entsprechend.</w:t>
      </w:r>
    </w:p>
    <w:p>
      <w:r>
        <w:t xml:space="preserve">(5) Entlastungen von der Kapitalertragsteuer für Zinsen und der Steuer auf Grund des </w:t>
      </w:r>
      <w:hyperlink w:anchor="b193" w:history="1">
        <w:r>
          <w:rPr>
            <w:color w:val="0A3A8C"/>
            <w:u w:val="single"/>
          </w:rPr>
          <w:t xml:space="preserve">§ 50a</w:t>
        </w:r>
      </w:hyperlink>
      <w:r>
        <w:t xml:space="preserve"> nach einem Abkommen zur Vermeidung der Doppelbesteuerung, die weiter gehen als die nach Absatz 1 gewährten, werden durch Absatz 1 nicht eingeschränkt.</w:t>
      </w:r>
    </w:p>
    <w:p>
      <w:r>
        <w:t xml:space="preserve">(6) </w:t>
      </w:r>
      <w:r>
        <w:rPr>
          <w:rStyle w:val="Satznummer"/>
        </w:rPr>
        <w:t>1</w:t>
      </w:r>
      <w:r>
        <w:t xml:space="preserve">Ist im Fall des Absatzes 1 Satz 1 eines der Unternehmen ein Unternehmen der Schweizerischen Eidgenossenschaft oder ist eine in der Schweizerischen Eidgenossenschaft gelegene Betriebsstätte eines Unternehmens eines anderen Mitgliedstaats der Europäischen Union Gläubiger der Zinsen oder Lizenzgebühren, gelten die Absätze 1 bis 5 entsprechend mit der Maßgabe, dass die Schweizerische Eidgenossenschaft insoweit einem Mitgliedstaat der Europäischen Union gleichgestellt ist. </w:t>
      </w:r>
      <w:r>
        <w:rPr>
          <w:rStyle w:val="Satznummer"/>
        </w:rPr>
        <w:t>2</w:t>
      </w:r>
      <w:r>
        <w:t>Absatz 3 Nummer 5 Buchstabe a gilt entsprechend mit der Maßgabe, dass ein Unternehmen der Schweizerischen Eidgenossenschaft jedes Unternehmen ist, das</w:t>
      </w:r>
    </w:p>
    <w:p>
      <w:pPr>
        <w:tabs>
          <w:tab w:pos="567" w:val="left"/>
        </w:tabs>
        <w:ind w:left="567" w:hanging="567"/>
      </w:pPr>
      <w:r>
        <w:t>1.</w:t>
      </w:r>
      <w:r>
        <w:tab/>
      </w:r>
      <w:r>
        <w:t>eine der folgenden Rechtsformen aufweist:</w:t>
      </w:r>
    </w:p>
    <w:p>
      <w:pPr>
        <w:tabs>
          <w:tab w:pos="1134" w:val="left"/>
        </w:tabs>
        <w:ind w:left="1134" w:hanging="567"/>
      </w:pPr>
      <w:r>
        <w:t>–</w:t>
      </w:r>
      <w:r>
        <w:tab/>
      </w:r>
      <w:r>
        <w:t>Aktiengesellschaft/société anonyme/società anonima;</w:t>
      </w:r>
    </w:p>
    <w:p>
      <w:pPr>
        <w:tabs>
          <w:tab w:pos="1134" w:val="left"/>
        </w:tabs>
        <w:ind w:left="1134" w:hanging="567"/>
      </w:pPr>
      <w:r>
        <w:t>–</w:t>
      </w:r>
      <w:r>
        <w:tab/>
      </w:r>
      <w:r>
        <w:t>Gesellschaft mit beschränkter Haftung/société à responsabilité limitée/società à responsabilità limitata;</w:t>
      </w:r>
    </w:p>
    <w:p>
      <w:pPr>
        <w:tabs>
          <w:tab w:pos="1134" w:val="left"/>
        </w:tabs>
        <w:ind w:left="1134" w:hanging="567"/>
      </w:pPr>
      <w:r>
        <w:t>–</w:t>
      </w:r>
      <w:r>
        <w:tab/>
      </w:r>
      <w:r>
        <w:t>Kommanditaktiengesellschaft/société en commandite par actions/società in accomandita per azioni, und</w:t>
      </w:r>
    </w:p>
    <w:p>
      <w:pPr>
        <w:tabs>
          <w:tab w:pos="567" w:val="left"/>
        </w:tabs>
        <w:ind w:left="567" w:hanging="567"/>
      </w:pPr>
      <w:r>
        <w:t>2.</w:t>
      </w:r>
      <w:r>
        <w:tab/>
      </w:r>
      <w:r>
        <w:t>nach dem Steuerrecht der Schweizerischen Eidgenossenschaft dort ansässig ist und nicht nach einem zwischen der Schweizerischen Eidgenossenschaft und einem Staat außerhalb der Europäischen Union geschlossenen Abkommen zur Vermeidung der Doppelbesteuerung von Einkünften für steuerliche Zwecke als außerhalb der Gemeinschaft oder der Schweizerischen Eidgenossenschaft ansässig gilt, und</w:t>
      </w:r>
    </w:p>
    <w:p>
      <w:pPr>
        <w:tabs>
          <w:tab w:pos="567" w:val="left"/>
        </w:tabs>
        <w:ind w:left="567" w:hanging="567"/>
      </w:pPr>
      <w:r>
        <w:t>3.</w:t>
      </w:r>
      <w:r>
        <w:tab/>
      </w:r>
      <w:r>
        <w:t>unbeschränkt der schweizerischen Körperschaftsteuer unterliegt, ohne von ihr befreit zu sein.</w:t>
      </w:r>
    </w:p>
    <w:p>
      <w:pPr>
        <w:pStyle w:val="Heading2"/>
      </w:pPr>
      <w:bookmarkStart w:id="202" w:name="b201"/>
      <w:r>
        <w:t>§ 50h Bestätigung für Zwecke der Entlastung von Quellensteuern in einem anderen Mitgliedstaat der Europäischen Union oder der Schweizerischen Eidgenossenschaft</w:t>
      </w:r>
      <w:r>
        <w:t xml:space="preserve"> </w:t>
      </w:r>
      <w:r>
        <w:rPr>
          <w:rStyle w:val="Suchmarke"/>
        </w:rPr>
        <w:t>#50h#</w:t>
      </w:r>
      <w:bookmarkEnd w:id="202"/>
    </w:p>
    <w:p>
      <w:r>
        <w:t xml:space="preserve">Auf Antrag hat das Finanzamt, das für die Besteuerung eines Unternehmens der Bundesrepublik Deutschland oder einer dort gelegenen Betriebsstätte eines Unternehmens eines anderen Mitgliedstaats der Europäischen Union im Sinne des </w:t>
      </w:r>
      <w:hyperlink w:anchor="b200" w:history="1">
        <w:r>
          <w:rPr>
            <w:color w:val="0A3A8C"/>
            <w:u w:val="single"/>
          </w:rPr>
          <w:t xml:space="preserve">§ 50g</w:t>
        </w:r>
      </w:hyperlink>
      <w:r>
        <w:t xml:space="preserve"> Absatz 3 Nummer 5 oder eines Unternehmens der Schweizerischen Eidgenossenschaft im Sinne des </w:t>
      </w:r>
      <w:hyperlink w:anchor="b200" w:history="1">
        <w:r>
          <w:rPr>
            <w:color w:val="0A3A8C"/>
            <w:u w:val="single"/>
          </w:rPr>
          <w:t xml:space="preserve">§ 50g</w:t>
        </w:r>
      </w:hyperlink>
      <w:r>
        <w:t xml:space="preserve"> Absatz 6 Satz 2 zuständig ist, für die Entlastung von der Quellensteuer dieses Staats auf Zinsen oder Lizenzgebühren im Sinne des </w:t>
      </w:r>
      <w:hyperlink w:anchor="b200" w:history="1">
        <w:r>
          <w:rPr>
            <w:color w:val="0A3A8C"/>
            <w:u w:val="single"/>
          </w:rPr>
          <w:t xml:space="preserve">§ 50g</w:t>
        </w:r>
      </w:hyperlink>
      <w:r>
        <w:t xml:space="preserve"> zu bescheinigen, dass das empfangende Unternehmen steuerlich im Inland ansässig ist oder die Betriebsstätte im Inland gelegen ist.</w:t>
      </w:r>
    </w:p>
    <w:p>
      <w:pPr>
        <w:pStyle w:val="Heading2"/>
      </w:pPr>
      <w:bookmarkStart w:id="203" w:name="b202"/>
      <w:r>
        <w:t>§ 50i Besteuerung bestimmter Einkünfte und Anwendung von Doppelbesteuerungsabkommen</w:t>
      </w:r>
      <w:r>
        <w:t xml:space="preserve"> </w:t>
      </w:r>
      <w:r>
        <w:rPr>
          <w:rStyle w:val="Suchmarke"/>
        </w:rPr>
        <w:t>#50i#</w:t>
      </w:r>
      <w:bookmarkEnd w:id="203"/>
    </w:p>
    <w:p>
      <w:r>
        <w:t xml:space="preserve">(1) </w:t>
      </w:r>
      <w:r>
        <w:rPr>
          <w:rStyle w:val="Satznummer"/>
        </w:rPr>
        <w:t>1</w:t>
      </w:r>
      <w:r>
        <w:t>Sind Wirtschaftsgüter des Betriebsvermögens oder sind Anteile im Sinne des § 17</w:t>
      </w:r>
    </w:p>
    <w:p>
      <w:pPr>
        <w:tabs>
          <w:tab w:pos="567" w:val="left"/>
        </w:tabs>
        <w:ind w:left="567" w:hanging="567"/>
      </w:pPr>
      <w:r>
        <w:t>1.</w:t>
      </w:r>
      <w:r>
        <w:tab/>
      </w:r>
      <w:r>
        <w:t xml:space="preserve">vor dem 29. Juni 2013 in das Betriebsvermögen einer Personengesellschaft im Sinne des </w:t>
      </w:r>
      <w:hyperlink w:anchor="b75" w:history="1">
        <w:r>
          <w:rPr>
            <w:color w:val="0A3A8C"/>
            <w:u w:val="single"/>
          </w:rPr>
          <w:t xml:space="preserve">§ 15</w:t>
        </w:r>
      </w:hyperlink>
      <w:r>
        <w:t xml:space="preserve"> Absatz 3 übertragen oder überführt worden,</w:t>
      </w:r>
    </w:p>
    <w:p>
      <w:pPr>
        <w:tabs>
          <w:tab w:pos="567" w:val="left"/>
        </w:tabs>
        <w:ind w:left="567" w:hanging="567"/>
      </w:pPr>
      <w:r>
        <w:t>2.</w:t>
      </w:r>
      <w:r>
        <w:tab/>
      </w:r>
      <w:r>
        <w:t>ist eine Besteuerung der stillen Reserven im Zeitpunkt der Übertragung oder Überführung unterblieben, und</w:t>
      </w:r>
    </w:p>
    <w:p>
      <w:pPr>
        <w:tabs>
          <w:tab w:pos="567" w:val="left"/>
        </w:tabs>
        <w:ind w:left="567" w:hanging="567"/>
      </w:pPr>
      <w:r>
        <w:t>3.</w:t>
      </w:r>
      <w:r>
        <w:tab/>
      </w:r>
      <w:r>
        <w:t>ist das Recht der Bundesrepublik Deutschland hinsichtlich der Besteuerung des Gewinns aus der Veräußerung oder Entnahme dieser Wirtschaftsgüter oder Anteile ungeachtet der Anwendung dieses Absatzes vor dem 1. Januar 2017 ausgeschlossen oder beschränkt worden,</w:t>
      </w:r>
    </w:p>
    <w:p>
      <w:r>
        <w:t xml:space="preserve">so ist der Gewinn, den ein Steuerpflichtiger, der im Sinne eines Abkommens zur Vermeidung der Doppelbesteuerung im anderen Vertragsstaat ansässig ist, aus der späteren Veräußerung oder Entnahme dieser Wirtschaftsgüter oder Anteile erzielt, ungeachtet entgegenstehender Bestimmungen des Abkommens zur Vermeidung der Doppelbesteuerung zu versteuern. </w:t>
      </w:r>
      <w:r>
        <w:rPr>
          <w:rStyle w:val="Satznummer"/>
        </w:rPr>
        <w:t>2</w:t>
      </w:r>
      <w:r>
        <w:t xml:space="preserve">Als Übertragung oder Überführung von Anteilen im Sinne des § 17 in das Betriebsvermögen einer Personengesellschaft gilt auch die Gewährung neuer Anteile an eine Personengesellschaft, die bisher auch eine Tätigkeit im Sinne des </w:t>
      </w:r>
      <w:hyperlink w:anchor="b75" w:history="1">
        <w:r>
          <w:rPr>
            <w:color w:val="0A3A8C"/>
            <w:u w:val="single"/>
          </w:rPr>
          <w:t xml:space="preserve">§ 15</w:t>
        </w:r>
      </w:hyperlink>
      <w:r>
        <w:t xml:space="preserve"> Absatz 1 Satz 1 Nummer 1 ausgeübt hat oder gewerbliche Einkünfte im Sinne des </w:t>
      </w:r>
      <w:hyperlink w:anchor="b75" w:history="1">
        <w:r>
          <w:rPr>
            <w:color w:val="0A3A8C"/>
            <w:u w:val="single"/>
          </w:rPr>
          <w:t xml:space="preserve">§ 15</w:t>
        </w:r>
      </w:hyperlink>
      <w:r>
        <w:t xml:space="preserve"> Absatz 1 Satz 1 Nummer 2 bezogen hat, im Rahmen der Einbringung eines Betriebs oder Teilbetriebs oder eines Mitunternehmeranteils dieser Personengesellschaft in eine Körperschaft nach § 20 des Umwandlungssteuergesetzes, wenn</w:t>
      </w:r>
    </w:p>
    <w:p>
      <w:pPr>
        <w:tabs>
          <w:tab w:pos="567" w:val="left"/>
        </w:tabs>
        <w:ind w:left="567" w:hanging="567"/>
      </w:pPr>
      <w:r>
        <w:t>1.</w:t>
      </w:r>
      <w:r>
        <w:tab/>
      </w:r>
      <w:r>
        <w:t>der Einbringungszeitpunkt vor dem 29. Juni 2013 liegt,</w:t>
      </w:r>
    </w:p>
    <w:p>
      <w:pPr>
        <w:tabs>
          <w:tab w:pos="567" w:val="left"/>
        </w:tabs>
        <w:ind w:left="567" w:hanging="567"/>
      </w:pPr>
      <w:r>
        <w:t>2.</w:t>
      </w:r>
      <w:r>
        <w:tab/>
      </w:r>
      <w:r>
        <w:t xml:space="preserve">die Personengesellschaft nach der Einbringung als Personengesellschaft im Sinne des </w:t>
      </w:r>
      <w:hyperlink w:anchor="b75" w:history="1">
        <w:r>
          <w:rPr>
            <w:color w:val="0A3A8C"/>
            <w:u w:val="single"/>
          </w:rPr>
          <w:t xml:space="preserve">§ 15</w:t>
        </w:r>
      </w:hyperlink>
      <w:r>
        <w:t xml:space="preserve"> Absatz 3 fortbesteht und</w:t>
      </w:r>
    </w:p>
    <w:p>
      <w:pPr>
        <w:tabs>
          <w:tab w:pos="567" w:val="left"/>
        </w:tabs>
        <w:ind w:left="567" w:hanging="567"/>
      </w:pPr>
      <w:r>
        <w:t>3.</w:t>
      </w:r>
      <w:r>
        <w:tab/>
      </w:r>
      <w:r>
        <w:t>das Recht der Bundesrepublik Deutschland hinsichtlich der Besteuerung des Gewinns aus der Veräußerung oder Entnahme der neuen Anteile ungeachtet der Anwendung dieses Absatzes bereits im Einbringungszeitpunkt ausgeschlossen oder beschränkt ist oder vor dem 1. Januar 2017 ausgeschlossen oder beschränkt worden ist.</w:t>
      </w:r>
    </w:p>
    <w:p>
      <w:r>
        <w:rPr>
          <w:rStyle w:val="Satznummer"/>
        </w:rPr>
        <w:t>3</w:t>
      </w:r>
      <w:r>
        <w:t xml:space="preserve">Auch die laufenden Einkünfte aus der Beteiligung an der Personengesellschaft, auf die die in Satz 1 genannten Wirtschaftsgüter oder Anteile übertragen oder überführt oder der im Sinne des Satzes 2 neue Anteile gewährt wurden, sind ungeachtet entgegenstehender Bestimmungen des Abkommens zur Vermeidung der Doppelbesteuerung zu versteuern. </w:t>
      </w:r>
      <w:r>
        <w:rPr>
          <w:rStyle w:val="Satznummer"/>
        </w:rPr>
        <w:t>4</w:t>
      </w:r>
      <w:r>
        <w:t>Die Sätze 1 und 3 gelten sinngemäß, wenn Wirtschaftsgüter vor dem 29. Juni 2013 Betriebsvermögen eines Einzelunternehmens oder einer Personengesellschaft geworden sind, die deswegen Einkünfte aus Gewerbebetrieb erzielen, weil der Steuerpflichtige sowohl im überlassenden Betrieb als auch im nutzenden Betrieb allein oder zusammen mit anderen Gesellschaftern einen einheitlichen geschäftlichen Betätigungswillen durchsetzen kann und dem nutzenden Betrieb eine wesentliche Betriebsgrundlage zur Nutzung überlässt.</w:t>
      </w:r>
    </w:p>
    <w:p>
      <w:r>
        <w:t>(2) Bei Einbringung nach § 20 des Umwandlungssteuergesetzes sind die Wirtschaftsgüter und Anteile im Sinne des Absatzes 1 abweichend von § 20 Absatz 2 Satz 2 des Umwandlungssteuergesetzes stets mit dem gemeinen Wert anzusetzen, soweit das Recht der Bundesrepublik Deutschland hinsichtlich der Besteuerung des Gewinns aus der Veräußerung der erhaltenen Anteile oder hinsichtlich der mit diesen im Zusammenhang stehenden Anteile im Sinne des § 22 Absatz 7 des Umwandlungssteuergesetzes ausgeschlossen oder beschränkt ist.</w:t>
      </w:r>
    </w:p>
    <w:p>
      <w:pPr>
        <w:pStyle w:val="Heading2"/>
      </w:pPr>
      <w:bookmarkStart w:id="204" w:name="b203"/>
      <w:r>
        <w:t>§ 50j Versagung der Entlastung von Kapitalertragsteuern in bestimmten Fällen</w:t>
      </w:r>
      <w:r>
        <w:t xml:space="preserve"> </w:t>
      </w:r>
      <w:r>
        <w:rPr>
          <w:rStyle w:val="Suchmarke"/>
        </w:rPr>
        <w:t>#50j#</w:t>
      </w:r>
      <w:bookmarkEnd w:id="204"/>
    </w:p>
    <w:p>
      <w:r>
        <w:t xml:space="preserve">(1) </w:t>
      </w:r>
      <w:r>
        <w:rPr>
          <w:rStyle w:val="Satznummer"/>
        </w:rPr>
        <w:t>1</w:t>
      </w:r>
      <w:r>
        <w:t xml:space="preserve">Ein Gläubiger von Kapitalerträgen im Sinne des </w:t>
      </w:r>
      <w:hyperlink w:anchor="b169" w:history="1">
        <w:r>
          <w:rPr>
            <w:color w:val="0A3A8C"/>
            <w:u w:val="single"/>
          </w:rPr>
          <w:t xml:space="preserve">§ 43</w:t>
        </w:r>
      </w:hyperlink>
      <w:r>
        <w:t xml:space="preserve"> Absatz 1 Satz 1 Nummer 1a, die nach einem Abkommen zur Vermeidung der Doppelbesteuerung nicht oder nur nach einem Steuersatz unterhalb des Steuersatzes des </w:t>
      </w:r>
      <w:hyperlink w:anchor="b170" w:history="1">
        <w:r>
          <w:rPr>
            <w:color w:val="0A3A8C"/>
            <w:u w:val="single"/>
          </w:rPr>
          <w:t xml:space="preserve">§ 43a</w:t>
        </w:r>
      </w:hyperlink>
      <w:r>
        <w:t xml:space="preserve"> Absatz 1 Satz 1 Nummer 1 besteuert werden, hat ungeachtet dieses Abkommens nur dann Anspruch auf völlige oder teilweise Entlastung nach </w:t>
      </w:r>
      <w:hyperlink w:anchor="b196" w:history="1">
        <w:r>
          <w:rPr>
            <w:color w:val="0A3A8C"/>
            <w:u w:val="single"/>
          </w:rPr>
          <w:t xml:space="preserve">§ 50c</w:t>
        </w:r>
      </w:hyperlink>
      <w:r>
        <w:t xml:space="preserve"> Absatz 3, wenn er</w:t>
      </w:r>
    </w:p>
    <w:p>
      <w:pPr>
        <w:tabs>
          <w:tab w:pos="567" w:val="left"/>
        </w:tabs>
        <w:ind w:left="567" w:hanging="567"/>
      </w:pPr>
      <w:r>
        <w:t>1.</w:t>
      </w:r>
      <w:r>
        <w:tab/>
      </w:r>
      <w:r>
        <w:t>während der Mindesthaltedauer nach Absatz 2 hinsichtlich der diesen Kapitalerträgen zugrunde liegenden Anteile oder Genussscheine ununterbrochen wirtschaftlicher Eigentümer ist,</w:t>
      </w:r>
    </w:p>
    <w:p>
      <w:pPr>
        <w:tabs>
          <w:tab w:pos="567" w:val="left"/>
        </w:tabs>
        <w:ind w:left="567" w:hanging="567"/>
      </w:pPr>
      <w:r>
        <w:t>2.</w:t>
      </w:r>
      <w:r>
        <w:tab/>
      </w:r>
      <w:r>
        <w:t>während der Mindesthaltedauer nach Absatz 2 ununterbrochen das Mindestwertänderungsrisiko nach Absatz 3 trägt und</w:t>
      </w:r>
    </w:p>
    <w:p>
      <w:pPr>
        <w:tabs>
          <w:tab w:pos="567" w:val="left"/>
        </w:tabs>
        <w:ind w:left="567" w:hanging="567"/>
      </w:pPr>
      <w:r>
        <w:t>3.</w:t>
      </w:r>
      <w:r>
        <w:tab/>
      </w:r>
      <w:r>
        <w:t xml:space="preserve">nicht verpflichtet ist, die Kapitalerträge im Sinne des </w:t>
      </w:r>
      <w:hyperlink w:anchor="b169" w:history="1">
        <w:r>
          <w:rPr>
            <w:color w:val="0A3A8C"/>
            <w:u w:val="single"/>
          </w:rPr>
          <w:t xml:space="preserve">§ 43</w:t>
        </w:r>
      </w:hyperlink>
      <w:r>
        <w:t xml:space="preserve"> Absatz 1 Satz 1 Nummer 1a ganz oder überwiegend, unmittelbar oder mittelbar anderen Personen zu vergüten.</w:t>
      </w:r>
    </w:p>
    <w:p>
      <w:r>
        <w:rPr>
          <w:rStyle w:val="Satznummer"/>
        </w:rPr>
        <w:t>2</w:t>
      </w:r>
      <w:r>
        <w:t xml:space="preserve">Satz 1 gilt entsprechend für Anteile oder Genussscheine, die zu inländischen Kapitalerträgen im Sinne des </w:t>
      </w:r>
      <w:hyperlink w:anchor="b169" w:history="1">
        <w:r>
          <w:rPr>
            <w:color w:val="0A3A8C"/>
            <w:u w:val="single"/>
          </w:rPr>
          <w:t xml:space="preserve">§ 43</w:t>
        </w:r>
      </w:hyperlink>
      <w:r>
        <w:t xml:space="preserve"> Absatz 3 Satz 1 führen und einer Wertpapiersammelbank im Ausland zur Verwahrung anvertraut sind.</w:t>
      </w:r>
    </w:p>
    <w:p>
      <w:r>
        <w:t xml:space="preserve">(2) </w:t>
      </w:r>
      <w:r>
        <w:rPr>
          <w:rStyle w:val="Satznummer"/>
        </w:rPr>
        <w:t>1</w:t>
      </w:r>
      <w:r>
        <w:t xml:space="preserve">Die Mindesthaltedauer umfasst 45 Tage und muss innerhalb eines Zeitraums von 45 Tagen vor und 45 Tagen nach der Fälligkeit der Kapitalerträge erreicht werden. </w:t>
      </w:r>
      <w:r>
        <w:rPr>
          <w:rStyle w:val="Satznummer"/>
        </w:rPr>
        <w:t>2</w:t>
      </w:r>
      <w:r>
        <w:t>Bei Anschaffungen und Veräußerungen ist zu unterstellen, dass die zuerst angeschafften Anteile oder Genussscheine zuerst veräußert wurden.</w:t>
      </w:r>
    </w:p>
    <w:p>
      <w:r>
        <w:t xml:space="preserve">(3) </w:t>
      </w:r>
      <w:r>
        <w:rPr>
          <w:rStyle w:val="Satznummer"/>
        </w:rPr>
        <w:t>1</w:t>
      </w:r>
      <w:r>
        <w:t xml:space="preserve">Der Gläubiger der Kapitalerträge muss unter Berücksichtigung von gegenläufigen Ansprüchen und Ansprüchen nahe stehender Personen das Risiko aus einem sinkenden Wert der Anteile oder Genussscheine im Umfang von mindestens 70 Prozent tragen (Mindestwertänderungsrisiko). </w:t>
      </w:r>
      <w:r>
        <w:rPr>
          <w:rStyle w:val="Satznummer"/>
        </w:rPr>
        <w:t>2</w:t>
      </w:r>
      <w:r>
        <w:t>Kein hinreichendes Mindestwertänderungsrisiko liegt insbesondere dann vor, wenn der Gläubiger der Kapitalerträge oder eine ihm nahe stehende Person Kurssicherungsgeschäfte abgeschlossen hat, die das Wertänderungsrisiko der Anteile oder Genussscheine unmittelbar oder mittelbar um mehr als 30 Prozent mindern.</w:t>
      </w:r>
    </w:p>
    <w:p>
      <w:r>
        <w:t xml:space="preserve">(4) </w:t>
      </w:r>
      <w:r>
        <w:rPr>
          <w:rStyle w:val="Satznummer"/>
        </w:rPr>
        <w:t>1</w:t>
      </w:r>
      <w:r>
        <w:t>Die Absätze 1 bis 3 sind nur anzuwenden, wenn</w:t>
      </w:r>
    </w:p>
    <w:p>
      <w:pPr>
        <w:tabs>
          <w:tab w:pos="567" w:val="left"/>
        </w:tabs>
        <w:ind w:left="567" w:hanging="567"/>
      </w:pPr>
      <w:r>
        <w:t>1.</w:t>
      </w:r>
      <w:r>
        <w:tab/>
      </w:r>
      <w:r>
        <w:t xml:space="preserve">die Steuer auf die dem Antrag zu Grunde liegenden Kapitalerträge nach einem Abkommen zur Vermeidung der Doppelbesteuerung 15 Prozent des Bruttobetrags der Kapitalerträge im Sinne des </w:t>
      </w:r>
      <w:hyperlink w:anchor="b169" w:history="1">
        <w:r>
          <w:rPr>
            <w:color w:val="0A3A8C"/>
            <w:u w:val="single"/>
          </w:rPr>
          <w:t xml:space="preserve">§ 43</w:t>
        </w:r>
      </w:hyperlink>
      <w:r>
        <w:t xml:space="preserve"> Absatz 1 Satz 1 Nummer 1a und des Absatzes 1 Satz 2 unterschreitet und</w:t>
      </w:r>
    </w:p>
    <w:p>
      <w:pPr>
        <w:tabs>
          <w:tab w:pos="567" w:val="left"/>
        </w:tabs>
        <w:ind w:left="567" w:hanging="567"/>
      </w:pPr>
      <w:r>
        <w:t>2.</w:t>
      </w:r>
      <w:r>
        <w:tab/>
      </w:r>
      <w:r>
        <w:t>es sich nicht um Kapitalerträge handelt, die einer beschränkt steuerpflichtigen Kapitalgesellschaft, die am Nennkapital einer unbeschränkt steuerpflichtigen Kapitalgesellschaft im Sinne des § 1 Absatz 1 Nummer 1 des Körperschaftsteuergesetzes zu mindestens einem Zehntel unmittelbar beteiligt ist und im Staat ihrer Ansässigkeit den Steuern vom Einkommen oder Gewinn unterliegt, ohne davon befreit zu sein, von der unbeschränkt steuerpflichtigen Kapitalgesellschaft zufließen.</w:t>
      </w:r>
    </w:p>
    <w:p>
      <w:r>
        <w:rPr>
          <w:rStyle w:val="Satznummer"/>
        </w:rPr>
        <w:t>2</w:t>
      </w:r>
      <w:r>
        <w:t xml:space="preserve">Die Absätze 1 bis 3 sind nicht anzuwenden, wenn der Gläubiger der Kapitalerträge im Sinne des </w:t>
      </w:r>
      <w:hyperlink w:anchor="b169" w:history="1">
        <w:r>
          <w:rPr>
            <w:color w:val="0A3A8C"/>
            <w:u w:val="single"/>
          </w:rPr>
          <w:t xml:space="preserve">§ 43</w:t>
        </w:r>
      </w:hyperlink>
      <w:r>
        <w:t xml:space="preserve"> Absatz 1 Satz 1 Nummer 1a und des Absatzes 1 Satz 2 bei Zufluss seit mindestens einem Jahr ununterbrochen wirtschaftlicher Eigentümer der Aktien oder Genussscheine ist; Absatz 2 Satz 2 gilt entsprechend.</w:t>
      </w:r>
    </w:p>
    <w:p>
      <w:r>
        <w:t>(5) Bestimmungen eines Abkommens zur Vermeidung der Doppelbesteuerung, § 42 der Abgabenordnung und andere steuerliche Vorschriften bleiben unberührt, soweit sie jeweils die Entlastung in einem weitergehenden Umfang einschränken.</w:t>
      </w:r>
    </w:p>
    <w:p>
      <w:pPr>
        <w:pStyle w:val="Heading2"/>
      </w:pPr>
      <w:bookmarkStart w:id="205" w:name="b204"/>
      <w:r>
        <w:t>§ 51 Ermächtigungen</w:t>
      </w:r>
      <w:r>
        <w:t xml:space="preserve"> </w:t>
      </w:r>
      <w:r>
        <w:rPr>
          <w:rStyle w:val="Suchmarke"/>
        </w:rPr>
        <w:t>#51#</w:t>
      </w:r>
      <w:bookmarkEnd w:id="205"/>
    </w:p>
    <w:p>
      <w:r>
        <w:t>(1) Die Bundesregierung wird ermächtigt, mit Zustimmung des Bundesrates</w:t>
      </w:r>
    </w:p>
    <w:p>
      <w:pPr>
        <w:tabs>
          <w:tab w:pos="567" w:val="left"/>
        </w:tabs>
        <w:ind w:left="567" w:hanging="567"/>
      </w:pPr>
      <w:r>
        <w:t>1.</w:t>
      </w:r>
      <w:r>
        <w:tab/>
      </w:r>
      <w:r>
        <w:t>zur Durchführung dieses Gesetzes Rechtsverordnungen zu erlassen, soweit dies zur Wahrung der Gleichmäßigkeit bei der Besteuerung, zur Beseitigung von Unbilligkeiten in Härtefällen, zur Steuerfreistellung des Existenzminimums oder zur Vereinfachung des Besteuerungsverfahrens erforderlich ist, und zwar:</w:t>
      </w:r>
    </w:p>
    <w:p>
      <w:pPr>
        <w:tabs>
          <w:tab w:pos="1134" w:val="left"/>
        </w:tabs>
        <w:ind w:left="1134" w:hanging="567"/>
      </w:pPr>
      <w:r>
        <w:t>a)</w:t>
      </w:r>
      <w:r>
        <w:tab/>
      </w:r>
      <w:r>
        <w:t>über die Abgrenzung der Steuerpflicht, die Beschränkung der Steuererklärungspflicht auf die Fälle, in denen eine Veranlagung in Betracht kommt, über die den Einkommensteuererklärungen beizufügenden Unterlagen und über die Beistandspflichten Dritter;</w:t>
      </w:r>
    </w:p>
    <w:p>
      <w:pPr>
        <w:tabs>
          <w:tab w:pos="1134" w:val="left"/>
        </w:tabs>
        <w:ind w:left="1134" w:hanging="567"/>
      </w:pPr>
      <w:r>
        <w:t>b)</w:t>
      </w:r>
      <w:r>
        <w:tab/>
      </w:r>
      <w:r>
        <w:t>über die Ermittlung der Einkünfte und die Feststellung des Einkommens einschließlich der abzugsfähigen Beträge;</w:t>
      </w:r>
    </w:p>
    <w:p>
      <w:pPr>
        <w:tabs>
          <w:tab w:pos="1134" w:val="left"/>
        </w:tabs>
        <w:ind w:left="1134" w:hanging="567"/>
      </w:pPr>
      <w:r>
        <w:t>c)</w:t>
      </w:r>
      <w:r>
        <w:tab/>
      </w:r>
      <w:r>
        <w:t>über die Höhe von besonderen Betriebsausgaben-Pauschbeträgen für Gruppen von Betrieben, bei denen hinsichtlich der Besteuerungsgrundlagen annähernd gleiche Verhältnisse vorliegen, wenn der Steuerpflichtige Einkünfte aus Gewerbebetrieb (</w:t>
      </w:r>
      <w:hyperlink w:anchor="b75" w:history="1">
        <w:r>
          <w:rPr>
            <w:color w:val="0A3A8C"/>
            <w:u w:val="single"/>
          </w:rPr>
          <w:t xml:space="preserve">§ 15</w:t>
        </w:r>
      </w:hyperlink>
      <w:r>
        <w:t>) oder selbständiger Arbeit (</w:t>
      </w:r>
      <w:hyperlink w:anchor="b81" w:history="1">
        <w:r>
          <w:rPr>
            <w:color w:val="0A3A8C"/>
            <w:u w:val="single"/>
          </w:rPr>
          <w:t xml:space="preserve">§ 18</w:t>
        </w:r>
      </w:hyperlink>
      <w:r>
        <w:t xml:space="preserve">) erzielt, in Höhe eines Prozentsatzes der Umsätze im Sinne des § 1 Absatz 1 Nummer 1 des Umsatzsteuergesetzes; Umsätze aus der Veräußerung von Wirtschaftsgütern des Anlagevermögens sind nicht zu berücksichtigen. </w:t>
      </w:r>
      <w:r>
        <w:rPr>
          <w:rStyle w:val="Satznummer"/>
        </w:rPr>
        <w:t>2</w:t>
      </w:r>
      <w:r>
        <w:t xml:space="preserve">Einen besonderen Betriebsausgaben-Pauschbetrag dürfen nur Steuerpflichtige in Anspruch nehmen, die ihren Gewinn durch Einnahme-Überschussrechnung nach </w:t>
      </w:r>
      <w:hyperlink w:anchor="b13" w:history="1">
        <w:r>
          <w:rPr>
            <w:color w:val="0A3A8C"/>
            <w:u w:val="single"/>
          </w:rPr>
          <w:t xml:space="preserve">§ 4</w:t>
        </w:r>
      </w:hyperlink>
      <w:r>
        <w:t xml:space="preserve"> Absatz 3 ermitteln. </w:t>
      </w:r>
      <w:r>
        <w:rPr>
          <w:rStyle w:val="Satznummer"/>
        </w:rPr>
        <w:t>3</w:t>
      </w:r>
      <w:r>
        <w:t xml:space="preserve">Bei der Festlegung der Höhe des besonderen Betriebsausgaben-Pauschbetrags ist der Zuordnung der Betriebe entsprechend der Klassifikation der Wirtschaftszweige, Fassung für Steuerstatistiken, Rechnung zu tragen. </w:t>
      </w:r>
      <w:r>
        <w:rPr>
          <w:rStyle w:val="Satznummer"/>
        </w:rPr>
        <w:t>4</w:t>
      </w:r>
      <w:r>
        <w:t xml:space="preserve">Bei der Ermittlung der besonderen Betriebsausgaben-Pauschbeträge sind alle Betriebsausgaben mit Ausnahme der an das Finanzamt gezahlten Umsatzsteuer zu berücksichtigen. </w:t>
      </w:r>
      <w:r>
        <w:rPr>
          <w:rStyle w:val="Satznummer"/>
        </w:rPr>
        <w:t>5</w:t>
      </w:r>
      <w:r>
        <w:t xml:space="preserve">Bei der Veräußerung oder Entnahme von Wirtschaftsgütern des Anlagevermögens sind die Anschaffungs- oder Herstellungskosten, vermindert um die Absetzungen für Abnutzung nach </w:t>
      </w:r>
      <w:hyperlink w:anchor="b34" w:history="1">
        <w:r>
          <w:rPr>
            <w:color w:val="0A3A8C"/>
            <w:u w:val="single"/>
          </w:rPr>
          <w:t xml:space="preserve">§ 7</w:t>
        </w:r>
      </w:hyperlink>
      <w:r>
        <w:t xml:space="preserve"> Absatz 1 oder 4 sowie die Veräußerungskosten neben dem besonderen Betriebsausgaben-Pauschbetrag abzugsfähig. </w:t>
      </w:r>
      <w:r>
        <w:rPr>
          <w:rStyle w:val="Satznummer"/>
        </w:rPr>
        <w:t>6</w:t>
      </w:r>
      <w:r>
        <w:t xml:space="preserve">Der Steuerpflichtige kann im folgenden Veranlagungszeitraum zur Ermittlung der tatsächlichen Betriebsausgaben übergehen. </w:t>
      </w:r>
      <w:r>
        <w:rPr>
          <w:rStyle w:val="Satznummer"/>
        </w:rPr>
        <w:t>7</w:t>
      </w:r>
      <w:r>
        <w:t xml:space="preserve">Wechselt der Steuerpflichtige zur Ermittlung der tatsächlichen Betriebsausgaben, sind die abnutzbaren Wirtschaftsgüter des Anlagevermögens mit ihren Anschaffungs- oder Herstellungskosten, vermindert um die Absetzungen für Abnutzung nach </w:t>
      </w:r>
      <w:hyperlink w:anchor="b34" w:history="1">
        <w:r>
          <w:rPr>
            <w:color w:val="0A3A8C"/>
            <w:u w:val="single"/>
          </w:rPr>
          <w:t xml:space="preserve">§ 7</w:t>
        </w:r>
      </w:hyperlink>
      <w:r>
        <w:t xml:space="preserve"> Absatz 1 oder 4, in ein laufend zu führendes Verzeichnis aufzunehmen. </w:t>
      </w:r>
      <w:r>
        <w:rPr>
          <w:rStyle w:val="Satznummer"/>
        </w:rPr>
        <w:t>8</w:t>
      </w:r>
      <w:hyperlink w:anchor="b13" w:history="1">
        <w:r>
          <w:rPr>
            <w:color w:val="0A3A8C"/>
            <w:u w:val="single"/>
          </w:rPr>
          <w:t xml:space="preserve">§ 4</w:t>
        </w:r>
      </w:hyperlink>
      <w:r>
        <w:t xml:space="preserve"> Absatz 3 Satz 5 bleibt unberührt. </w:t>
      </w:r>
      <w:r>
        <w:rPr>
          <w:rStyle w:val="Satznummer"/>
        </w:rPr>
        <w:t>9</w:t>
      </w:r>
      <w:r>
        <w:t>Nach dem Wechsel zur Ermittlung der tatsächlichen Betriebsausgaben ist eine erneute Inanspruchnahme des besonderen Betriebsausgaben-Pauschbetrags erst nach Ablauf der folgenden vier Veranlagungszeiträume zulässig; die §§ 140 und 141 der Abgabenordnung bleiben unberührt;</w:t>
      </w:r>
    </w:p>
    <w:p>
      <w:pPr>
        <w:tabs>
          <w:tab w:pos="1134" w:val="left"/>
        </w:tabs>
        <w:ind w:left="1134" w:hanging="567"/>
      </w:pPr>
      <w:r>
        <w:t>d)</w:t>
      </w:r>
      <w:r>
        <w:tab/>
      </w:r>
      <w:r>
        <w:t>über die Veranlagung, die Anwendung der Tarifvorschriften und die Regelung der Steuerentrichtung einschließlich der Steuerabzüge;</w:t>
      </w:r>
    </w:p>
    <w:p>
      <w:pPr>
        <w:tabs>
          <w:tab w:pos="1134" w:val="left"/>
        </w:tabs>
        <w:ind w:left="1134" w:hanging="567"/>
      </w:pPr>
      <w:r>
        <w:t>e)</w:t>
      </w:r>
      <w:r>
        <w:tab/>
      </w:r>
      <w:r>
        <w:t>über die Besteuerung der beschränkt Steuerpflichtigen einschließlich eines Steuerabzugs;</w:t>
      </w:r>
    </w:p>
    <w:p>
      <w:pPr>
        <w:tabs>
          <w:tab w:pos="1134" w:val="left"/>
        </w:tabs>
        <w:ind w:left="1134" w:hanging="567"/>
      </w:pPr>
      <w:r>
        <w:t>f)</w:t>
      </w:r>
      <w:r>
        <w:tab/>
      </w:r>
      <w:r>
        <w:t>(weggefallen)</w:t>
      </w:r>
    </w:p>
    <w:p>
      <w:pPr>
        <w:tabs>
          <w:tab w:pos="567" w:val="left"/>
        </w:tabs>
        <w:ind w:left="567" w:hanging="567"/>
      </w:pPr>
      <w:r>
        <w:t>2.</w:t>
      </w:r>
      <w:r>
        <w:tab/>
      </w:r>
      <w:r>
        <w:t>Vorschriften durch Rechtsverordnung zu erlassen</w:t>
      </w:r>
    </w:p>
    <w:p>
      <w:pPr>
        <w:tabs>
          <w:tab w:pos="1134" w:val="left"/>
        </w:tabs>
        <w:ind w:left="1134" w:hanging="567"/>
      </w:pPr>
      <w:r>
        <w:t>a)</w:t>
      </w:r>
      <w:r>
        <w:tab/>
      </w:r>
      <w:r>
        <w:t>über die sich aus der Aufhebung oder Änderung von Vorschriften dieses Gesetzes ergebenden Rechtsfolgen, soweit dies zur Wahrung der Gleichmäßigkeit bei der Besteuerung oder zur Beseitigung von Unbilligkeiten in Härtefällen erforderlich ist;</w:t>
      </w:r>
    </w:p>
    <w:p>
      <w:pPr>
        <w:tabs>
          <w:tab w:pos="1134" w:val="left"/>
        </w:tabs>
        <w:ind w:left="1134" w:hanging="567"/>
      </w:pPr>
      <w:r>
        <w:t>b)</w:t>
      </w:r>
      <w:r>
        <w:tab/>
      </w:r>
      <w:r>
        <w:t>(weggefallen)</w:t>
      </w:r>
    </w:p>
    <w:p>
      <w:pPr>
        <w:tabs>
          <w:tab w:pos="1134" w:val="left"/>
        </w:tabs>
        <w:ind w:left="1134" w:hanging="567"/>
      </w:pPr>
      <w:r>
        <w:t>c)</w:t>
      </w:r>
      <w:r>
        <w:tab/>
      </w:r>
      <w:r>
        <w:t xml:space="preserve">über den Nachweis von Zuwendungen im Sinne des </w:t>
      </w:r>
      <w:hyperlink w:anchor="b53" w:history="1">
        <w:r>
          <w:rPr>
            <w:color w:val="0A3A8C"/>
            <w:u w:val="single"/>
          </w:rPr>
          <w:t xml:space="preserve">§ 10b</w:t>
        </w:r>
      </w:hyperlink>
      <w:r>
        <w:t xml:space="preserve"> einschließlich erleichterter Nachweisanforderungen;</w:t>
      </w:r>
    </w:p>
    <w:p>
      <w:pPr>
        <w:tabs>
          <w:tab w:pos="1134" w:val="left"/>
        </w:tabs>
        <w:ind w:left="1134" w:hanging="567"/>
      </w:pPr>
      <w:r>
        <w:t>d)</w:t>
      </w:r>
      <w:r>
        <w:tab/>
      </w:r>
      <w:r>
        <w:t xml:space="preserve">über Verfahren, die in den Fällen des § 38 Absatz 1 Nummer 2 den Steueranspruch der Bundesrepublik Deutschland sichern oder die sicherstellen, dass bei Befreiungen im Ausland ansässiger Leiharbeitnehmer von der Steuer der Bundesrepublik Deutschland auf Grund von Abkommen zur Vermeidung der Doppelbesteuerung die ordnungsgemäße Besteuerung im Ausland gewährleistet ist. </w:t>
      </w:r>
      <w:r>
        <w:rPr>
          <w:rStyle w:val="Satznummer"/>
        </w:rPr>
        <w:t>2</w:t>
      </w:r>
      <w:r>
        <w:t>Hierzu kann nach Maßgabe zwischenstaatlicher Regelungen bestimmt werden, dass</w:t>
      </w:r>
    </w:p>
    <w:p>
      <w:pPr>
        <w:tabs>
          <w:tab w:pos="1701" w:val="left"/>
        </w:tabs>
        <w:ind w:left="1701" w:hanging="567"/>
      </w:pPr>
      <w:r>
        <w:t>aa)</w:t>
      </w:r>
      <w:r>
        <w:tab/>
      </w:r>
      <w:r>
        <w:t>der Entleiher in dem hierzu notwendigen Umfang an derartigen Verfahren mitwirkt,</w:t>
      </w:r>
    </w:p>
    <w:p>
      <w:pPr>
        <w:tabs>
          <w:tab w:pos="1701" w:val="left"/>
        </w:tabs>
        <w:ind w:left="1701" w:hanging="567"/>
      </w:pPr>
      <w:r>
        <w:t>bb)</w:t>
      </w:r>
      <w:r>
        <w:tab/>
      </w:r>
      <w:r>
        <w:t>er sich im Haftungsverfahren nicht auf die Freistellungsbestimmungen des Abkommens berufen kann, wenn er seine Mitwirkungspflichten verletzt;</w:t>
      </w:r>
    </w:p>
    <w:p>
      <w:pPr>
        <w:tabs>
          <w:tab w:pos="1134" w:val="left"/>
        </w:tabs>
        <w:ind w:left="1134" w:hanging="567"/>
      </w:pPr>
      <w:r>
        <w:t>e)</w:t>
      </w:r>
      <w:r>
        <w:tab/>
      </w:r>
      <w:r>
        <w:t>bis m) (weggefallen)</w:t>
      </w:r>
    </w:p>
    <w:p>
      <w:pPr>
        <w:tabs>
          <w:tab w:pos="1134" w:val="left"/>
        </w:tabs>
        <w:ind w:left="1134" w:hanging="567"/>
      </w:pPr>
      <w:r>
        <w:t>n)</w:t>
      </w:r>
      <w:r>
        <w:tab/>
      </w:r>
      <w:r>
        <w:t>über Sonderabschreibungen</w:t>
      </w:r>
    </w:p>
    <w:p>
      <w:pPr>
        <w:tabs>
          <w:tab w:pos="1701" w:val="left"/>
        </w:tabs>
        <w:ind w:left="1701" w:hanging="567"/>
      </w:pPr>
      <w:r>
        <w:t>aa)</w:t>
      </w:r>
      <w:r>
        <w:tab/>
      </w:r>
      <w:r>
        <w:t>im Tiefbaubetrieb des Steinkohlen-, Pechkohlen-, Braunkohlen- und Erzbergbaues bei Wirtschaftsgütern des Anlagevermögens unter Tage und bei bestimmten mit dem Grubenbetrieb unter Tage in unmittelbarem Zusammenhang stehenden, der Förderung, Seilfahrt, Wasserhaltung und Wetterführung sowie der Aufbereitung des Minerals dienenden Wirtschaftsgütern des Anlagevermögens über Tage, soweit die Wirtschaftsgüter</w:t>
      </w:r>
    </w:p>
    <w:p>
      <w:pPr>
        <w:ind w:left="1701"/>
      </w:pPr>
      <w:r>
        <w:t>für die Errichtung von neuen Förderschachtanlagen, auch in Form von Anschlussschachtanlagen,</w:t>
      </w:r>
    </w:p>
    <w:p>
      <w:pPr>
        <w:ind w:left="1701"/>
      </w:pPr>
      <w:r>
        <w:t>für die Errichtung neuer Schächte sowie die Erweiterung des Grubengebäudes und den durch Wasserzuflüsse aus stillliegenden Anlagen bedingten Ausbau der Wasserhaltung bestehender Schachtanlagen,</w:t>
      </w:r>
    </w:p>
    <w:p>
      <w:pPr>
        <w:ind w:left="1701"/>
      </w:pPr>
      <w:r>
        <w:t>für Rationalisierungsmaßnahmen in der Hauptschacht-, Blindschacht-, Strecken- und Abbauförderung, im Streckenvortrieb, in der Gewinnung, Versatzwirtschaft, Seilfahrt, Wetterführung und Wasserhaltung sowie in der Aufbereitung,</w:t>
      </w:r>
    </w:p>
    <w:p>
      <w:pPr>
        <w:ind w:left="1701"/>
      </w:pPr>
      <w:r>
        <w:t>für die Zusammenfassung von mehreren Förderschachtanlagen zu einer einheitlichen Förderschachtanlage und</w:t>
      </w:r>
    </w:p>
    <w:p>
      <w:pPr>
        <w:ind w:left="1701"/>
      </w:pPr>
      <w:r>
        <w:t>für den Wiederaufschluss stillliegender Grubenfelder und Feldesteile,</w:t>
      </w:r>
    </w:p>
    <w:p>
      <w:pPr>
        <w:tabs>
          <w:tab w:pos="1701" w:val="left"/>
        </w:tabs>
        <w:ind w:left="1701" w:hanging="567"/>
      </w:pPr>
      <w:r>
        <w:t>bb)</w:t>
      </w:r>
      <w:r>
        <w:tab/>
      </w:r>
      <w:r>
        <w:t>im Tagebaubetrieb des Braunkohlen- und Erzbergbaues bei bestimmten Wirtschaftsgütern des beweglichen Anlagevermögens (Grubenaufschluss, Entwässerungsanlagen, Großgeräte sowie Einrichtungen des Grubenrettungswesens und der ersten Hilfe und im Erzbergbau auch Aufbereitungsanlagen), die</w:t>
      </w:r>
    </w:p>
    <w:p>
      <w:pPr>
        <w:ind w:left="1701"/>
      </w:pPr>
      <w:r>
        <w:t>für die Erschließung neuer Tagebaue, auch in Form von Anschlusstagebauen, für Rationalisierungsmaßnahmen bei laufenden Tagebauen,</w:t>
      </w:r>
    </w:p>
    <w:p>
      <w:pPr>
        <w:ind w:left="1701"/>
      </w:pPr>
      <w:r>
        <w:t>beim Übergang zum Tieftagebau für die Freilegung und Gewinnung der Lagerstätte und</w:t>
      </w:r>
    </w:p>
    <w:p>
      <w:pPr>
        <w:ind w:left="1701"/>
      </w:pPr>
      <w:r>
        <w:t>für die Wiederinbetriebnahme stillgelegter Tagebaue</w:t>
      </w:r>
    </w:p>
    <w:p>
      <w:pPr>
        <w:ind w:left="1134"/>
      </w:pPr>
      <w:r>
        <w:t xml:space="preserve">von Steuerpflichtigen, die den Gewinn nach </w:t>
      </w:r>
      <w:hyperlink w:anchor="b25" w:history="1">
        <w:r>
          <w:rPr>
            <w:color w:val="0A3A8C"/>
            <w:u w:val="single"/>
          </w:rPr>
          <w:t xml:space="preserve">§ 5</w:t>
        </w:r>
      </w:hyperlink>
      <w:r>
        <w:t xml:space="preserve"> ermitteln, vor dem 1. Januar 1990 angeschafft oder hergestellt werden. </w:t>
      </w:r>
      <w:r>
        <w:rPr>
          <w:rStyle w:val="Satznummer"/>
        </w:rPr>
        <w:t>2</w:t>
      </w:r>
      <w:r>
        <w:t xml:space="preserve">Die Sonderabschreibungen können bereits für Anzahlungen auf Anschaffungskosten und für Teilherstellungskosten zugelassen werden. </w:t>
      </w:r>
      <w:r>
        <w:rPr>
          <w:rStyle w:val="Satznummer"/>
        </w:rPr>
        <w:t>3</w:t>
      </w:r>
      <w:r>
        <w:t xml:space="preserve">Hat der Steuerpflichtige vor dem 1. Januar 1990 die Wirtschaftsgüter bestellt oder mit ihrer Herstellung begonnen, so können die Sonderabschreibungen auch für nach dem 31. Dezember 1989 und vor dem 1. Januar 1991 angeschaffte oder hergestellte Wirtschaftsgüter sowie für vor dem 1. Januar 1991 geleistete Anzahlungen auf Anschaffungskosten und entstandene Teilherstellungskosten in Anspruch genommen werden. </w:t>
      </w:r>
      <w:r>
        <w:rPr>
          <w:rStyle w:val="Satznummer"/>
        </w:rPr>
        <w:t>4</w:t>
      </w:r>
      <w:r>
        <w:t xml:space="preserve">Voraussetzung für die Inanspruchnahme der Sonderabschreibungen ist, dass die Förderungswürdigkeit der bezeichneten Vorhaben von der obersten Landesbehörde für Wirtschaft im Einvernehmen mit dem Bundesministerium für Wirtschaft und Energie bescheinigt worden ist. </w:t>
      </w:r>
      <w:r>
        <w:rPr>
          <w:rStyle w:val="Satznummer"/>
        </w:rPr>
        <w:t>5</w:t>
      </w:r>
      <w:r>
        <w:t xml:space="preserve">Die Sonderabschreibungen können im Wirtschaftsjahr der Anschaffung oder Herstellung und in den vier folgenden Wirtschaftsjahren in Anspruch genommen werden, und zwar bei beweglichen Wirtschaftsgütern des Anlagevermögens bis zu insgesamt 50 Prozent, bei unbeweglichen Wirtschaftsgütern des Anlagevermögens bis zu insgesamt 30 Prozent der Anschaffungs- oder Herstellungskosten. </w:t>
      </w:r>
      <w:r>
        <w:rPr>
          <w:rStyle w:val="Satznummer"/>
        </w:rPr>
        <w:t>6</w:t>
      </w:r>
      <w:r>
        <w:t>Bei den begünstigten Vorhaben im Tagebaubetrieb des Braunkohlen- und Erzbergbaues kann außerdem zugelassen werden, dass die vor dem 1. Januar 1991 aufgewendeten Kosten für den Vorabraum bis zu 50 Prozent als sofort abzugsfähige Betriebsausgaben behandelt werden;</w:t>
      </w:r>
    </w:p>
    <w:p>
      <w:pPr>
        <w:tabs>
          <w:tab w:pos="1134" w:val="left"/>
        </w:tabs>
        <w:ind w:left="1134" w:hanging="567"/>
      </w:pPr>
      <w:r>
        <w:t>o)</w:t>
      </w:r>
      <w:r>
        <w:tab/>
      </w:r>
      <w:r>
        <w:t>(weggefallen)</w:t>
      </w:r>
    </w:p>
    <w:p>
      <w:pPr>
        <w:tabs>
          <w:tab w:pos="1134" w:val="left"/>
        </w:tabs>
        <w:ind w:left="1134" w:hanging="567"/>
      </w:pPr>
      <w:r>
        <w:t>p)</w:t>
      </w:r>
      <w:r>
        <w:tab/>
      </w:r>
      <w:r>
        <w:t xml:space="preserve">über die Bemessung der Absetzungen für Abnutzung oder Substanzverringerung bei nicht zu einem Betriebsvermögen gehörenden Wirtschaftsgütern, die vor dem 21. Juni 1948 angeschafft oder hergestellt oder die unentgeltlich erworben sind. </w:t>
      </w:r>
      <w:r>
        <w:rPr>
          <w:rStyle w:val="Satznummer"/>
        </w:rPr>
        <w:t>2</w:t>
      </w:r>
      <w:r>
        <w:t xml:space="preserve">Hierbei kann bestimmt werden, dass die Absetzungen für Abnutzung oder Substanzverringerung nicht nach den Anschaffungs- oder Herstellungskosten, sondern nach Hilfswerten (am 21. Juni 1948 maßgebender Einheitswert, Anschaffungs- oder Herstellungskosten des Rechtsvorgängers abzüglich der von ihm vorgenommenen Absetzungen, fiktive Anschaffungskosten an einem noch zu bestimmenden Stichtag) zu bemessen sind. </w:t>
      </w:r>
      <w:r>
        <w:rPr>
          <w:rStyle w:val="Satznummer"/>
        </w:rPr>
        <w:t>3</w:t>
      </w:r>
      <w:r>
        <w:t xml:space="preserve">Zur Vermeidung von Härten kann zugelassen werden, dass anstelle der Absetzungen für Abnutzung, die nach dem am 21. Juni 1948 maßgebenden Einheitswert zu bemessen sind, der Betrag abgezogen wird, der für das Wirtschaftsgut in dem Veranlagungszeitraum 1947 als Absetzung für Abnutzung geltend gemacht werden konnte. </w:t>
      </w:r>
      <w:r>
        <w:rPr>
          <w:rStyle w:val="Satznummer"/>
        </w:rPr>
        <w:t>4</w:t>
      </w:r>
      <w:r>
        <w:t>Für das Land Berlin tritt in den Sätzen 1 bis 3 an die Stelle des 21. Juni 1948 jeweils der 1. April 1949;</w:t>
      </w:r>
    </w:p>
    <w:p>
      <w:pPr>
        <w:tabs>
          <w:tab w:pos="1134" w:val="left"/>
        </w:tabs>
        <w:ind w:left="1134" w:hanging="567"/>
      </w:pPr>
      <w:r>
        <w:t>q)</w:t>
      </w:r>
      <w:r>
        <w:tab/>
      </w:r>
      <w:r>
        <w:t>über erhöhte Absetzungen bei Herstellungskosten</w:t>
      </w:r>
    </w:p>
    <w:p>
      <w:pPr>
        <w:tabs>
          <w:tab w:pos="1701" w:val="left"/>
        </w:tabs>
        <w:ind w:left="1701" w:hanging="567"/>
      </w:pPr>
      <w:r>
        <w:t>aa)</w:t>
      </w:r>
      <w:r>
        <w:tab/>
      </w:r>
      <w:r>
        <w:t>für Maßnahmen, die für den Anschluss eines im Inland belegenen Gebäudes an eine Fernwärmeversorgung einschließlich der Anbindung an das Heizsystem erforderlich sind, wenn die Fernwärmeversorgung überwiegend aus Anlagen der Kraft-Wärme-Kopplung, zur Verbrennung von Müll oder zur Verwertung von Abwärme gespeist wird,</w:t>
      </w:r>
    </w:p>
    <w:p>
      <w:pPr>
        <w:tabs>
          <w:tab w:pos="1701" w:val="left"/>
        </w:tabs>
        <w:ind w:left="1701" w:hanging="567"/>
      </w:pPr>
      <w:r>
        <w:t>bb)</w:t>
      </w:r>
      <w:r>
        <w:tab/>
      </w:r>
      <w:r>
        <w:t>für den Einbau von Wärmepumpenanlagen, Solaranlagen und Anlagen zur Wärmerückgewinnung in einem im Inland belegenen Gebäude einschließlich der Anbindung an das Heizsystem,</w:t>
      </w:r>
    </w:p>
    <w:p>
      <w:pPr>
        <w:tabs>
          <w:tab w:pos="1701" w:val="left"/>
        </w:tabs>
        <w:ind w:left="1701" w:hanging="567"/>
      </w:pPr>
      <w:r>
        <w:t>cc)</w:t>
      </w:r>
      <w:r>
        <w:tab/>
      </w:r>
      <w:r>
        <w:t>für die Errichtung von Windkraftanlagen, wenn die mit diesen Anlagen erzeugte Energie überwiegend entweder unmittelbar oder durch Verrechnung mit Elektrizitätsbezügen des Steuerpflichtigen von einem Elektrizitätsversorgungsunternehmen zur Versorgung eines im Inland belegenen Gebäudes des Steuerpflichtigen verwendet wird, einschließlich der Anbindung an das Versorgungssystem des Gebäudes,</w:t>
      </w:r>
    </w:p>
    <w:p>
      <w:pPr>
        <w:tabs>
          <w:tab w:pos="1701" w:val="left"/>
        </w:tabs>
        <w:ind w:left="1701" w:hanging="567"/>
      </w:pPr>
      <w:r>
        <w:t>dd)</w:t>
      </w:r>
      <w:r>
        <w:tab/>
      </w:r>
      <w:r>
        <w:t>für die Errichtung von Anlagen zur Gewinnung von Gas, das aus pflanzlichen oder tierischen Abfallstoffen durch Gärung unter Sauerstoffabschluss entsteht, wenn dieses Gas zur Beheizung eines im Inland belegenen Gebäudes des Steuerpflichtigen oder zur Warmwasserbereitung in einem solchen Gebäude des Steuerpflichtigen verwendet wird, einschließlich der Anbindung an das Versorgungssystem des Gebäudes,</w:t>
      </w:r>
    </w:p>
    <w:p>
      <w:pPr>
        <w:tabs>
          <w:tab w:pos="1701" w:val="left"/>
        </w:tabs>
        <w:ind w:left="1701" w:hanging="567"/>
      </w:pPr>
      <w:r>
        <w:t>ee)</w:t>
      </w:r>
      <w:r>
        <w:tab/>
      </w:r>
      <w:r>
        <w:t>für den Einbau einer Warmwasseranlage zur Versorgung von mehr als einer Zapfstelle und einer zentralen Heizungsanlage oder bei einer zentralen Heizungs- und Warmwasseranlage für den Einbau eines Heizkessels, eines Brenners, einer zentralen Steuerungseinrichtung, einer Wärmeabgabeeinrichtung und eine Änderung der Abgasanlage in einem im Inland belegenen Gebäude oder in einer im Inland belegenen Eigentumswohnung, wenn mit dem Einbau nicht vor Ablauf von zehn Jahren seit Fertigstellung dieses Gebäudes begonnen worden ist und der Einbau nach dem 30. Juni 1985 fertiggestellt worden ist; Entsprechendes gilt bei Anschaffungskosten für neue Einzelöfen, wenn keine Zentralheizung vorhanden ist.</w:t>
      </w:r>
    </w:p>
    <w:p>
      <w:pPr>
        <w:ind w:left="1134"/>
      </w:pPr>
      <w:r>
        <w:rPr>
          <w:rStyle w:val="Satznummer"/>
        </w:rPr>
        <w:t>2</w:t>
      </w:r>
      <w:r>
        <w:t xml:space="preserve">Voraussetzung für die Gewährung der erhöhten Absetzungen ist, dass die Maßnahmen vor dem 1. Januar 1992 fertiggestellt worden sind; in den Fällen des Satzes 1 Doppelbuchstabe aa müssen die Gebäude vor dem 1. Juli 1983 fertiggestellt worden sein, es sei denn, dass der Anschluss nicht schon im Zusammenhang mit der Errichtung des Gebäudes möglich war. </w:t>
      </w:r>
      <w:r>
        <w:rPr>
          <w:rStyle w:val="Satznummer"/>
        </w:rPr>
        <w:t>3</w:t>
      </w:r>
      <w:r>
        <w:t xml:space="preserve">Die erhöhten Absetzungen dürfen jährlich 10 Prozent der Aufwendungen nicht übersteigen. </w:t>
      </w:r>
      <w:r>
        <w:rPr>
          <w:rStyle w:val="Satznummer"/>
        </w:rPr>
        <w:t>4</w:t>
      </w:r>
      <w:r>
        <w:t xml:space="preserve">Sie dürfen nicht gewährt werden, wenn für dieselbe Maßnahme eine Investitionszulage in Anspruch genommen wird. </w:t>
      </w:r>
      <w:r>
        <w:rPr>
          <w:rStyle w:val="Satznummer"/>
        </w:rPr>
        <w:t>5</w:t>
      </w:r>
      <w:r>
        <w:t>Sind die Aufwendungen Erhaltungsaufwand und entstehen sie bei einer zu eigenen Wohnzwecken genutzten Wohnung im eigenen Haus, für die der Nutzungswert nicht mehr besteuert wird, und liegen in den Fällen des Satzes 1 Doppelbuchstabe aa die Voraussetzungen des Satzes 2 zweiter Halbsatz vor, so kann der Abzug dieser Aufwendungen wie Sonderausgaben mit gleichmäßiger Verteilung auf das Kalenderjahr, in dem die Arbeiten abgeschlossen worden sind, und die neun folgenden Kalenderjahre zugelassen werden, wenn die Maßnahme vor dem 1. Januar 1992 abgeschlossen worden ist;</w:t>
      </w:r>
    </w:p>
    <w:p>
      <w:pPr>
        <w:tabs>
          <w:tab w:pos="1134" w:val="left"/>
        </w:tabs>
        <w:ind w:left="1134" w:hanging="567"/>
      </w:pPr>
      <w:r>
        <w:t>r)</w:t>
      </w:r>
      <w:r>
        <w:tab/>
      </w:r>
      <w:r>
        <w:t>nach denen Steuerpflichtige größere Aufwendungen</w:t>
      </w:r>
    </w:p>
    <w:p>
      <w:pPr>
        <w:tabs>
          <w:tab w:pos="1701" w:val="left"/>
        </w:tabs>
        <w:ind w:left="1701" w:hanging="567"/>
      </w:pPr>
      <w:r>
        <w:t>aa)</w:t>
      </w:r>
      <w:r>
        <w:tab/>
      </w:r>
      <w:r>
        <w:t>für die Erhaltung von nicht zu einem Betriebsvermögen gehörenden Gebäuden, die überwiegend Wohnzwecken dienen,</w:t>
      </w:r>
    </w:p>
    <w:p>
      <w:pPr>
        <w:tabs>
          <w:tab w:pos="1701" w:val="left"/>
        </w:tabs>
        <w:ind w:left="1701" w:hanging="567"/>
      </w:pPr>
      <w:r>
        <w:t>bb)</w:t>
      </w:r>
      <w:r>
        <w:tab/>
      </w:r>
      <w:r>
        <w:t>zur Erhaltung eines Gebäudes in einem förmlich festgelegten Sanierungsgebiet oder städtebaulichen Entwicklungsbereich, die für Maßnahmen im Sinne des § 177 des Baugesetzbuchs sowie für bestimmte Maßnahmen, die der Erhaltung, Erneuerung und funktionsgerechten Verwendung eines Gebäudes dienen, das wegen seiner geschichtlichen, künstlerischen oder städtebaulichen Bedeutung erhalten bleiben soll, und zu deren Durchführung sich der Eigentümer neben bestimmten Modernisierungsmaßnahmen gegenüber der Gemeinde verpflichtet hat, aufgewendet worden sind,</w:t>
      </w:r>
    </w:p>
    <w:p>
      <w:pPr>
        <w:tabs>
          <w:tab w:pos="1701" w:val="left"/>
        </w:tabs>
        <w:ind w:left="1701" w:hanging="567"/>
      </w:pPr>
      <w:r>
        <w:t>cc)</w:t>
      </w:r>
      <w:r>
        <w:tab/>
      </w:r>
      <w:r>
        <w:t>zur Erhaltung von Gebäuden, die nach den jeweiligen landesrechtlichen Vorschriften Baudenkmale sind, soweit die Aufwendungen nach Art und Umfang zur Erhaltung des Gebäudes als Baudenkmal und zu seiner sinnvollen Nutzung erforderlich sind,</w:t>
      </w:r>
    </w:p>
    <w:p>
      <w:pPr>
        <w:ind w:left="1134"/>
      </w:pPr>
      <w:r>
        <w:t xml:space="preserve">auf zwei bis fünf Jahre gleichmäßig verteilen können. </w:t>
      </w:r>
      <w:r>
        <w:rPr>
          <w:rStyle w:val="Satznummer"/>
        </w:rPr>
        <w:t>2</w:t>
      </w:r>
      <w:r>
        <w:t xml:space="preserve">In den Fällen der Doppelbuchstaben bb und cc ist Voraussetzung, dass der Erhaltungsaufwand vor dem 1. Januar 1990 entstanden ist. </w:t>
      </w:r>
      <w:r>
        <w:rPr>
          <w:rStyle w:val="Satznummer"/>
        </w:rPr>
        <w:t>3</w:t>
      </w:r>
      <w:r>
        <w:t>In den Fällen von Doppelbuchstabe cc sind die Denkmaleigenschaft des Gebäudes und die Voraussetzung, dass die Aufwendungen nach Art und Umfang zur Erhaltung des Gebäudes als Baudenkmal und zu seiner sinnvollen Nutzung erforderlich sind, durch eine Bescheinigung der nach Landesrecht zuständigen oder von der Landesregierung bestimmten Stelle nachzuweisen;</w:t>
      </w:r>
    </w:p>
    <w:p>
      <w:pPr>
        <w:tabs>
          <w:tab w:pos="1134" w:val="left"/>
        </w:tabs>
        <w:ind w:left="1134" w:hanging="567"/>
      </w:pPr>
      <w:r>
        <w:t>s)</w:t>
      </w:r>
      <w:r>
        <w:tab/>
      </w:r>
      <w:r>
        <w:t xml:space="preserve">nach denen bei Anschaffung oder Herstellung von abnutzbaren beweglichen und bei Herstellung von abnutzbaren unbeweglichen Wirtschaftsgütern des Anlagevermögens auf Antrag ein Abzug von der Einkommensteuer für den Veranlagungszeitraum der Anschaffung oder Herstellung bis zur Höhe von 7,5 Prozent der Anschaffungs- oder Herstellungskosten dieser Wirtschaftsgüter vorgenommen werden kann, wenn eine Störung des gesamtwirtschaftlichen Gleichgewichts eingetreten ist oder sich abzeichnet, die eine nachhaltige Verringerung der Umsätze oder der Beschäftigung zur Folge hatte oder erwarten lässt, insbesondere bei einem erheblichen Rückgang der Nachfrage nach Investitionsgütern oder Bauleistungen. </w:t>
      </w:r>
      <w:r>
        <w:rPr>
          <w:rStyle w:val="Satznummer"/>
        </w:rPr>
        <w:t>2</w:t>
      </w:r>
      <w:r>
        <w:t>Bei der Bemessung des von der Einkommensteuer abzugsfähigen Betrags dürfen nur berücksichtigt werden</w:t>
      </w:r>
    </w:p>
    <w:p>
      <w:pPr>
        <w:tabs>
          <w:tab w:pos="1701" w:val="left"/>
        </w:tabs>
        <w:ind w:left="1701" w:hanging="567"/>
      </w:pPr>
      <w:r>
        <w:t>aa)</w:t>
      </w:r>
      <w:r>
        <w:tab/>
      </w:r>
      <w:r>
        <w:t>die Anschaffungs- oder Herstellungskosten von beweglichen Wirtschaftsgütern, die innerhalb eines jeweils festzusetzenden Zeitraums, der ein Jahr nicht übersteigen darf (Begünstigungszeitraum), angeschafft oder hergestellt werden,</w:t>
      </w:r>
    </w:p>
    <w:p>
      <w:pPr>
        <w:tabs>
          <w:tab w:pos="1701" w:val="left"/>
        </w:tabs>
        <w:ind w:left="1701" w:hanging="567"/>
      </w:pPr>
      <w:r>
        <w:t>bb)</w:t>
      </w:r>
      <w:r>
        <w:tab/>
      </w:r>
      <w:r>
        <w:t xml:space="preserve">die Anschaffungs- oder Herstellungskosten von beweglichen Wirtschaftsgütern, die innerhalb des Begünstigungszeitraums bestellt und angezahlt werden oder mit deren Herstellung innerhalb des Begünstigungszeitraums begonnen wird, wenn sie innerhalb eines Jahres, bei Schiffen innerhalb zweier Jahre nach Ablauf des Begünstigungszeitraums geliefert oder fertiggestellt werden. </w:t>
      </w:r>
      <w:r>
        <w:rPr>
          <w:rStyle w:val="Satznummer"/>
        </w:rPr>
        <w:t>2</w:t>
      </w:r>
      <w:r>
        <w:t>Soweit bewegliche Wirtschaftsgüter im Sinne des Satzes 1 mit Ausnahme von Schiffen nach Ablauf eines Jahres, aber vor Ablauf zweier Jahre nach dem Ende des Begünstigungszeitraums geliefert oder fertiggestellt werden, dürfen bei Bemessung des Abzugs von der Einkommensteuer die bis zum Ablauf eines Jahres nach dem Ende des Begünstigungszeitraums aufgewendeten Anzahlungen und Teilherstellungskosten berücksichtigt werden,</w:t>
      </w:r>
    </w:p>
    <w:p>
      <w:pPr>
        <w:tabs>
          <w:tab w:pos="1701" w:val="left"/>
        </w:tabs>
        <w:ind w:left="1701" w:hanging="567"/>
      </w:pPr>
      <w:r>
        <w:t>cc)</w:t>
      </w:r>
      <w:r>
        <w:tab/>
      </w:r>
      <w:r>
        <w:t>die Herstellungskosten von Gebäuden, bei denen innerhalb des Begünstigungszeitraums der Antrag auf Baugenehmigung gestellt wird, wenn sie bis zum Ablauf von zwei Jahren nach dem Ende des Begünstigungszeitraums fertiggestellt werden;</w:t>
      </w:r>
    </w:p>
    <w:p>
      <w:pPr>
        <w:ind w:left="1134"/>
      </w:pPr>
      <w:r>
        <w:t xml:space="preserve">dabei scheiden geringwertige Wirtschaftsgüter im Sinne des </w:t>
      </w:r>
      <w:hyperlink w:anchor="b28" w:history="1">
        <w:r>
          <w:rPr>
            <w:color w:val="0A3A8C"/>
            <w:u w:val="single"/>
          </w:rPr>
          <w:t xml:space="preserve">§ 6</w:t>
        </w:r>
      </w:hyperlink>
      <w:r>
        <w:t xml:space="preserve"> Absatz 2 und Wirtschaftsgüter, die in gebrauchtem Zustand erworben werden, aus. </w:t>
      </w:r>
      <w:r>
        <w:rPr>
          <w:rStyle w:val="Satznummer"/>
        </w:rPr>
        <w:t>3</w:t>
      </w:r>
      <w:r>
        <w:t xml:space="preserve">Von der Begünstigung können außerdem Wirtschaftsgüter ausgeschlossen werden, für die Sonderabschreibungen, erhöhte Absetzungen oder die Investitionszulage nach § 19 des Berlinförderungsgesetzes in Anspruch genommen werden. </w:t>
      </w:r>
      <w:r>
        <w:rPr>
          <w:rStyle w:val="Satznummer"/>
        </w:rPr>
        <w:t>4</w:t>
      </w:r>
      <w:r>
        <w:t xml:space="preserve">In den Fällen des Satzes 2 Doppelbuchstabe bb und cc können bei Bemessung des von der Einkommensteuer abzugsfähigen Betrags bereits die im Begünstigungszeitraum, im Fall des Satzes 2 Doppelbuchstabe bb Satz 2 auch die bis zum Ablauf eines Jahres nach dem Ende des Begünstigungszeitraums aufgewendeten Anzahlungen und Teilherstellungskosten berücksichtigt werden; der Abzug von der Einkommensteuer kann insoweit schon für den Veranlagungszeitraum vorgenommen werden, in dem die Anzahlungen oder Teilherstellungskosten aufgewendet worden sind. </w:t>
      </w:r>
      <w:r>
        <w:rPr>
          <w:rStyle w:val="Satznummer"/>
        </w:rPr>
        <w:t>5</w:t>
      </w:r>
      <w:r>
        <w:t xml:space="preserve">Übersteigt der von der Einkommensteuer abzugsfähige Betrag die für den Veranlagungszeitraum der Anschaffung oder Herstellung geschuldete Einkommensteuer, so kann der übersteigende Betrag von der Einkommensteuer für den darauf folgenden Veranlagungszeitraum abgezogen werden. </w:t>
      </w:r>
      <w:r>
        <w:rPr>
          <w:rStyle w:val="Satznummer"/>
        </w:rPr>
        <w:t>6</w:t>
      </w:r>
      <w:r>
        <w:t xml:space="preserve">Entsprechendes gilt, wenn in den Fällen des Satzes 2 Doppelbuchstabe bb und cc der Abzug von der Einkommensteuer bereits für Anzahlungen oder Teilherstellungskosten geltend gemacht wird. </w:t>
      </w:r>
      <w:r>
        <w:rPr>
          <w:rStyle w:val="Satznummer"/>
        </w:rPr>
        <w:t>7</w:t>
      </w:r>
      <w:r>
        <w:t xml:space="preserve">Der Abzug von der Einkommensteuer darf jedoch die für den Veranlagungszeitraum der Anschaffung oder Herstellung und den folgenden Veranlagungszeitraum insgesamt zu entrichtende Einkommensteuer nicht übersteigen. </w:t>
      </w:r>
      <w:r>
        <w:rPr>
          <w:rStyle w:val="Satznummer"/>
        </w:rPr>
        <w:t>8</w:t>
      </w:r>
      <w:r>
        <w:t xml:space="preserve">In den Fällen des Satzes 2 Doppelbuchstabe bb Satz 2 gilt dies mit der Maßgabe, dass an die Stelle des Veranlagungszeitraums der Anschaffung oder Herstellung der Veranlagungszeitraum tritt, in dem zuletzt Anzahlungen oder Teilherstellungskosten aufgewendet worden sind. </w:t>
      </w:r>
      <w:r>
        <w:rPr>
          <w:rStyle w:val="Satznummer"/>
        </w:rPr>
        <w:t>9</w:t>
      </w:r>
      <w:r>
        <w:t xml:space="preserve">Werden begünstigte Wirtschaftsgüter von Gesellschaften im Sinne des </w:t>
      </w:r>
      <w:hyperlink w:anchor="b75" w:history="1">
        <w:r>
          <w:rPr>
            <w:color w:val="0A3A8C"/>
            <w:u w:val="single"/>
          </w:rPr>
          <w:t xml:space="preserve">§ 15</w:t>
        </w:r>
      </w:hyperlink>
      <w:r>
        <w:t xml:space="preserve"> Absatz 1 Satz 1 Nummer 2 und 3 angeschafft oder hergestellt, so ist der abzugsfähige Betrag nach dem Verhältnis der Gewinnanteile einschließlich der Vergütungen aufzuteilen. </w:t>
      </w:r>
      <w:r>
        <w:rPr>
          <w:rStyle w:val="Satznummer"/>
        </w:rPr>
        <w:t>10</w:t>
      </w:r>
      <w:r>
        <w:t xml:space="preserve">Die Anschaffungs- oder Herstellungskosten der Wirtschaftsgüter, die bei Bemessung des von der Einkommensteuer abzugsfähigen Betrags berücksichtigt worden sind, werden durch den Abzug von der Einkommensteuer nicht gemindert. </w:t>
      </w:r>
      <w:r>
        <w:rPr>
          <w:rStyle w:val="Satznummer"/>
        </w:rPr>
        <w:t>11</w:t>
      </w:r>
      <w:r>
        <w:t xml:space="preserve">Rechtsverordnungen auf Grund dieser Ermächtigung bedürfen der Zustimmung des Bundestages. </w:t>
      </w:r>
      <w:r>
        <w:rPr>
          <w:rStyle w:val="Satznummer"/>
        </w:rPr>
        <w:t>12</w:t>
      </w:r>
      <w:r>
        <w:t>Die Zustimmung gilt als erteilt, wenn der Bundestag nicht binnen vier Wochen nach Eingang der Vorlage der Bundesregierung die Zustimmung verweigert hat;</w:t>
      </w:r>
    </w:p>
    <w:p>
      <w:pPr>
        <w:tabs>
          <w:tab w:pos="1134" w:val="left"/>
        </w:tabs>
        <w:ind w:left="1134" w:hanging="567"/>
      </w:pPr>
      <w:r>
        <w:t>t)</w:t>
      </w:r>
      <w:r>
        <w:tab/>
      </w:r>
      <w:r>
        <w:t>(weggefallen)</w:t>
      </w:r>
    </w:p>
    <w:p>
      <w:pPr>
        <w:tabs>
          <w:tab w:pos="1134" w:val="left"/>
        </w:tabs>
        <w:ind w:left="1134" w:hanging="567"/>
      </w:pPr>
      <w:r>
        <w:t>u)</w:t>
      </w:r>
      <w:r>
        <w:tab/>
      </w:r>
      <w:r>
        <w:t xml:space="preserve">über Sonderabschreibungen bei abnutzbaren Wirtschaftsgütern des Anlagevermögens, die der Forschung oder Entwicklung dienen und nach dem 18. Mai 1983 und vor dem 1. Januar 1990 angeschafft oder hergestellt werden. </w:t>
      </w:r>
      <w:r>
        <w:rPr>
          <w:rStyle w:val="Satznummer"/>
        </w:rPr>
        <w:t>2</w:t>
      </w:r>
      <w:r>
        <w:t xml:space="preserve">Voraussetzung für die Inanspruchnahme der Sonderabschreibungen ist, dass die beweglichen Wirtschaftsgüter ausschließlich und die unbeweglichen Wirtschaftsgüter zu mehr als 33 </w:t>
      </w:r>
      <w:r>
        <w:rPr>
          <w:vertAlign w:val="superscript"/>
        </w:rPr>
        <w:t>1</w:t>
      </w:r>
      <w:r>
        <w:t>/</w:t>
      </w:r>
      <w:r>
        <w:rPr>
          <w:vertAlign w:val="subscript"/>
        </w:rPr>
        <w:t>3</w:t>
      </w:r>
      <w:r>
        <w:t xml:space="preserve"> Prozent der Forschung oder Entwicklung dienen. </w:t>
      </w:r>
      <w:r>
        <w:rPr>
          <w:rStyle w:val="Satznummer"/>
        </w:rPr>
        <w:t>3</w:t>
      </w:r>
      <w:r>
        <w:t xml:space="preserve">Die Sonderabschreibungen können auch für Ausbauten und Erweiterungen an bestehenden Gebäuden, Gebäudeteilen, Eigentumswohnungen oder im Teileigentum stehenden Räumen zugelassen werden, wenn die ausgebauten oder neu hergestellten Gebäudeteile zu mehr als 33 </w:t>
      </w:r>
      <w:r>
        <w:rPr>
          <w:vertAlign w:val="superscript"/>
        </w:rPr>
        <w:t>1</w:t>
      </w:r>
      <w:r>
        <w:t>/</w:t>
      </w:r>
      <w:r>
        <w:rPr>
          <w:vertAlign w:val="subscript"/>
        </w:rPr>
        <w:t>3</w:t>
      </w:r>
      <w:r>
        <w:t xml:space="preserve"> Prozent der Forschung oder Entwicklung dienen. </w:t>
      </w:r>
      <w:r>
        <w:rPr>
          <w:rStyle w:val="Satznummer"/>
        </w:rPr>
        <w:t>4</w:t>
      </w:r>
      <w:r>
        <w:t>Die Wirtschaftsgüter dienen der Forschung oder Entwicklung, wenn sie verwendet werden</w:t>
      </w:r>
    </w:p>
    <w:p>
      <w:pPr>
        <w:tabs>
          <w:tab w:pos="1701" w:val="left"/>
        </w:tabs>
        <w:ind w:left="1701" w:hanging="567"/>
      </w:pPr>
      <w:r>
        <w:t>aa)</w:t>
      </w:r>
      <w:r>
        <w:tab/>
      </w:r>
      <w:r>
        <w:t>zur Gewinnung von neuen wissenschaftlichen oder technischen Erkenntnissen und Erfahrungen allgemeiner Art (Grundlagenforschung) oder</w:t>
      </w:r>
    </w:p>
    <w:p>
      <w:pPr>
        <w:tabs>
          <w:tab w:pos="1701" w:val="left"/>
        </w:tabs>
        <w:ind w:left="1701" w:hanging="567"/>
      </w:pPr>
      <w:r>
        <w:t>bb)</w:t>
      </w:r>
      <w:r>
        <w:tab/>
      </w:r>
      <w:r>
        <w:t>zur Neuentwicklung von Erzeugnissen oder Herstellungsverfahren oder</w:t>
      </w:r>
    </w:p>
    <w:p>
      <w:pPr>
        <w:tabs>
          <w:tab w:pos="1701" w:val="left"/>
        </w:tabs>
        <w:ind w:left="1701" w:hanging="567"/>
      </w:pPr>
      <w:r>
        <w:t>cc)</w:t>
      </w:r>
      <w:r>
        <w:tab/>
      </w:r>
      <w:r>
        <w:t>zur Weiterentwicklung von Erzeugnissen oder Herstellungsverfahren, soweit wesentliche Änderungen dieser Erzeugnisse oder Verfahren entwickelt werden.</w:t>
      </w:r>
    </w:p>
    <w:p>
      <w:pPr>
        <w:ind w:left="1134"/>
      </w:pPr>
      <w:r>
        <w:rPr>
          <w:rStyle w:val="Satznummer"/>
        </w:rPr>
        <w:t>5</w:t>
      </w:r>
      <w:r>
        <w:t>Die Sonderabschreibungen können im Wirtschaftsjahr der Anschaffung oder Herstellung und in den vier folgenden Wirtschaftsjahren in Anspruch genommen werden, und zwar</w:t>
      </w:r>
    </w:p>
    <w:p>
      <w:pPr>
        <w:tabs>
          <w:tab w:pos="1701" w:val="left"/>
        </w:tabs>
        <w:ind w:left="1701" w:hanging="567"/>
      </w:pPr>
      <w:r>
        <w:t>aa)</w:t>
      </w:r>
      <w:r>
        <w:tab/>
      </w:r>
      <w:r>
        <w:t>bei beweglichen Wirtschaftsgütern des Anlagevermögens bis zu insgesamt 40 Prozent,</w:t>
      </w:r>
    </w:p>
    <w:p>
      <w:pPr>
        <w:tabs>
          <w:tab w:pos="1701" w:val="left"/>
        </w:tabs>
        <w:ind w:left="1701" w:hanging="567"/>
      </w:pPr>
      <w:r>
        <w:t>bb)</w:t>
      </w:r>
      <w:r>
        <w:tab/>
      </w:r>
      <w:r>
        <w:t xml:space="preserve">bei unbeweglichen Wirtschaftsgütern des Anlagevermögens, die zu mehr als 66 </w:t>
      </w:r>
      <w:r>
        <w:rPr>
          <w:vertAlign w:val="superscript"/>
        </w:rPr>
        <w:t>2</w:t>
      </w:r>
      <w:r>
        <w:t>/</w:t>
      </w:r>
      <w:r>
        <w:rPr>
          <w:vertAlign w:val="subscript"/>
        </w:rPr>
        <w:t>3</w:t>
      </w:r>
      <w:r>
        <w:t xml:space="preserve"> Prozent der Forschung oder Entwicklung dienen, bis zu insgesamt 15 Prozent, die nicht zu mehr als 66 </w:t>
      </w:r>
      <w:r>
        <w:rPr>
          <w:vertAlign w:val="superscript"/>
        </w:rPr>
        <w:t>2</w:t>
      </w:r>
      <w:r>
        <w:t>/</w:t>
      </w:r>
      <w:r>
        <w:rPr>
          <w:vertAlign w:val="subscript"/>
        </w:rPr>
        <w:t>3</w:t>
      </w:r>
      <w:r>
        <w:t xml:space="preserve"> Prozent, aber zu mehr als 33 </w:t>
      </w:r>
      <w:r>
        <w:rPr>
          <w:vertAlign w:val="superscript"/>
        </w:rPr>
        <w:t>1</w:t>
      </w:r>
      <w:r>
        <w:t>/</w:t>
      </w:r>
      <w:r>
        <w:rPr>
          <w:vertAlign w:val="subscript"/>
        </w:rPr>
        <w:t>3</w:t>
      </w:r>
      <w:r>
        <w:t xml:space="preserve"> Prozent der Forschung oder Entwicklung dienen, bis zu insgesamt 10 Prozent,</w:t>
      </w:r>
    </w:p>
    <w:p>
      <w:pPr>
        <w:tabs>
          <w:tab w:pos="1701" w:val="left"/>
        </w:tabs>
        <w:ind w:left="1701" w:hanging="567"/>
      </w:pPr>
      <w:r>
        <w:t>cc)</w:t>
      </w:r>
      <w:r>
        <w:tab/>
      </w:r>
      <w:r>
        <w:t xml:space="preserve">bei Ausbauten und Erweiterungen an bestehenden Gebäuden, Gebäudeteilen, Eigentumswohnungen oder im Teileigentum stehenden Räumen, wenn die ausgebauten oder neu hergestellten Gebäudeteile zu mehr als 66 </w:t>
      </w:r>
      <w:r>
        <w:rPr>
          <w:vertAlign w:val="superscript"/>
        </w:rPr>
        <w:t>2</w:t>
      </w:r>
      <w:r>
        <w:t>/</w:t>
      </w:r>
      <w:r>
        <w:rPr>
          <w:vertAlign w:val="subscript"/>
        </w:rPr>
        <w:t>3</w:t>
      </w:r>
      <w:r>
        <w:t xml:space="preserve"> Prozent der Forschung oder Entwicklung dienen, bis zu insgesamt 15 Prozent, zu nicht mehr als 66 </w:t>
      </w:r>
      <w:r>
        <w:rPr>
          <w:vertAlign w:val="superscript"/>
        </w:rPr>
        <w:t>2</w:t>
      </w:r>
      <w:r>
        <w:t>/</w:t>
      </w:r>
      <w:r>
        <w:rPr>
          <w:vertAlign w:val="subscript"/>
        </w:rPr>
        <w:t>3</w:t>
      </w:r>
      <w:r>
        <w:t xml:space="preserve"> Prozent, aber zu mehr als 33 </w:t>
      </w:r>
      <w:r>
        <w:rPr>
          <w:vertAlign w:val="superscript"/>
        </w:rPr>
        <w:t>1</w:t>
      </w:r>
      <w:r>
        <w:t>/</w:t>
      </w:r>
      <w:r>
        <w:rPr>
          <w:vertAlign w:val="subscript"/>
        </w:rPr>
        <w:t>3</w:t>
      </w:r>
      <w:r>
        <w:t xml:space="preserve"> Prozent der Forschung oder Entwicklung dienen, bis zu insgesamt 10 Prozent</w:t>
      </w:r>
    </w:p>
    <w:p>
      <w:pPr>
        <w:ind w:left="1134"/>
      </w:pPr>
      <w:r>
        <w:t xml:space="preserve">der Anschaffungs- oder Herstellungskosten. </w:t>
      </w:r>
      <w:r>
        <w:rPr>
          <w:rStyle w:val="Satznummer"/>
        </w:rPr>
        <w:t>6</w:t>
      </w:r>
      <w:r>
        <w:t xml:space="preserve">Sie können bereits für Anzahlungen auf Anschaffungskosten und für Teilherstellungskosten zugelassen werden. </w:t>
      </w:r>
      <w:r>
        <w:rPr>
          <w:rStyle w:val="Satznummer"/>
        </w:rPr>
        <w:t>7</w:t>
      </w:r>
      <w:r>
        <w:t>Die Sonderabschreibungen sind nur unter der Bedingung zuzulassen, dass die Wirtschaftsgüter und die ausgebauten oder neu hergestellten Gebäudeteile mindestens drei Jahre nach ihrer Anschaffung oder Herstellung in dem erforderlichen Umfang der Forschung oder Entwicklung in einer inländischen Betriebsstätte des Steuerpflichtigen dienen;</w:t>
      </w:r>
    </w:p>
    <w:p>
      <w:pPr>
        <w:tabs>
          <w:tab w:pos="1134" w:val="left"/>
        </w:tabs>
        <w:ind w:left="1134" w:hanging="567"/>
      </w:pPr>
      <w:r>
        <w:t>v)</w:t>
      </w:r>
      <w:r>
        <w:tab/>
      </w:r>
      <w:r>
        <w:t>(weggefallen)</w:t>
      </w:r>
    </w:p>
    <w:p>
      <w:pPr>
        <w:tabs>
          <w:tab w:pos="1134" w:val="left"/>
        </w:tabs>
        <w:ind w:left="1134" w:hanging="567"/>
      </w:pPr>
      <w:r>
        <w:t>w)</w:t>
      </w:r>
      <w:r>
        <w:tab/>
      </w:r>
      <w:r>
        <w:t xml:space="preserve">über Sonderabschreibungen bei Handelsschiffen, die auf Grund eines vor dem 25. April 1996 abgeschlossenen Schiffbauvertrags hergestellt, in einem inländischen Seeschiffsregister eingetragen und vor dem 1. Januar 1999 von Steuerpflichtigen angeschafft oder hergestellt worden sind, die den Gewinn nach </w:t>
      </w:r>
      <w:hyperlink w:anchor="b25" w:history="1">
        <w:r>
          <w:rPr>
            <w:color w:val="0A3A8C"/>
            <w:u w:val="single"/>
          </w:rPr>
          <w:t xml:space="preserve">§ 5</w:t>
        </w:r>
      </w:hyperlink>
      <w:r>
        <w:t xml:space="preserve"> ermitteln. </w:t>
      </w:r>
      <w:r>
        <w:rPr>
          <w:rStyle w:val="Satznummer"/>
        </w:rPr>
        <w:t>2</w:t>
      </w:r>
      <w:r>
        <w:t xml:space="preserve">Im Fall der Anschaffung eines Handelsschiffes ist weitere Voraussetzung, dass das Schiff vor dem 1. Januar 1996 in ungebrauchtem Zustand vom Hersteller oder nach dem 31. Dezember 1995 auf Grund eines vor dem 25. April 1996 abgeschlossenen Kaufvertrags bis zum Ablauf des vierten auf das Jahr der Fertigstellung folgenden Jahres erworben worden ist. </w:t>
      </w:r>
      <w:r>
        <w:rPr>
          <w:rStyle w:val="Satznummer"/>
        </w:rPr>
        <w:t>3</w:t>
      </w:r>
      <w:r>
        <w:t xml:space="preserve">Bei Steuerpflichtigen, die in eine Gesellschaft im Sinne des </w:t>
      </w:r>
      <w:hyperlink w:anchor="b75" w:history="1">
        <w:r>
          <w:rPr>
            <w:color w:val="0A3A8C"/>
            <w:u w:val="single"/>
          </w:rPr>
          <w:t xml:space="preserve">§ 15</w:t>
        </w:r>
      </w:hyperlink>
      <w:r>
        <w:t xml:space="preserve"> Absatz 1 Satz 1 Nummer 2 und Absatz 3 nach Abschluss des Schiffbauvertrags (Unterzeichnung des Hauptvertrags) eingetreten sind, dürfen Sonderabschreibungen nur zugelassen werden, wenn sie der Gesellschaft vor dem 1. Januar 1999 beitreten. </w:t>
      </w:r>
      <w:r>
        <w:rPr>
          <w:rStyle w:val="Satznummer"/>
        </w:rPr>
        <w:t>4</w:t>
      </w:r>
      <w:r>
        <w:t xml:space="preserve">Die Sonderabschreibungen können im Wirtschaftsjahr der Anschaffung oder Herstellung und in den vier folgenden Wirtschaftsjahren bis zu insgesamt 40 Prozent der Anschaffungs- oder Herstellungskosten in Anspruch genommen werden. </w:t>
      </w:r>
      <w:r>
        <w:rPr>
          <w:rStyle w:val="Satznummer"/>
        </w:rPr>
        <w:t>5</w:t>
      </w:r>
      <w:r>
        <w:t xml:space="preserve">Sie können bereits für Anzahlungen auf Anschaffungskosten und für Teilherstellungskosten zugelassen werden. </w:t>
      </w:r>
      <w:r>
        <w:rPr>
          <w:rStyle w:val="Satznummer"/>
        </w:rPr>
        <w:t>6</w:t>
      </w:r>
      <w:r>
        <w:t xml:space="preserve">Die Sonderabschreibungen sind nur unter der Bedingung zuzulassen, dass die Handelsschiffe innerhalb eines Zeitraums von acht Jahren nach ihrer Anschaffung oder Herstellung nicht veräußert werden; für Anteile an einem Handelsschiff gilt dies entsprechend. </w:t>
      </w:r>
      <w:r>
        <w:rPr>
          <w:rStyle w:val="Satznummer"/>
        </w:rPr>
        <w:t>7</w:t>
      </w:r>
      <w:r>
        <w:t xml:space="preserve">Die Sätze 1 bis 6 gelten für Schiffe, die der Seefischerei dienen, entsprechend. </w:t>
      </w:r>
      <w:r>
        <w:rPr>
          <w:rStyle w:val="Satznummer"/>
        </w:rPr>
        <w:t>8</w:t>
      </w:r>
      <w:r>
        <w:t>Für Luftfahrzeuge, die vom Steuerpflichtigen hergestellt oder in ungebrauchtem Zustand vom Hersteller erworben worden sind und die zur gewerbsmäßigen Beförderung von Personen oder Sachen im internationalen Luftverkehr oder zur Verwendung zu sonstigen gewerblichen Zwecken im Ausland bestimmt sind, gelten die Sätze 1 bis 4 und 6 mit der Maßgabe entsprechend, dass an die Stelle der Eintragung in ein inländisches Seeschiffsregister die Eintragung in die deutsche Luftfahrzeugrolle, an die Stelle des Höchstsatzes von 40 Prozent ein Höchstsatz von 30 Prozent und bei der Vorschrift des Satzes 6 an die Stelle des Zeitraums von acht Jahren ein Zeitraum von sechs Jahren treten;</w:t>
      </w:r>
    </w:p>
    <w:p>
      <w:pPr>
        <w:tabs>
          <w:tab w:pos="1134" w:val="left"/>
        </w:tabs>
        <w:ind w:left="1134" w:hanging="567"/>
      </w:pPr>
      <w:r>
        <w:t>x)</w:t>
      </w:r>
      <w:r>
        <w:tab/>
      </w:r>
      <w:r>
        <w:t xml:space="preserve">über erhöhte Absetzungen bei Herstellungskosten für Modernisierungs- und Instandsetzungsmaßnahmen im Sinne des § 177 des Baugesetzbuchs sowie für bestimmte Maßnahmen, die der Erhaltung, Erneuerung und funktionsgerechten Verwendung eines Gebäudes dienen, das wegen seiner geschichtlichen, künstlerischen oder städtebaulichen Bedeutung erhalten bleiben soll, und zu deren Durchführung sich der Eigentümer neben bestimmten Modernisierungsmaßnahmen gegenüber der Gemeinde verpflichtet hat, die für Gebäude in einem förmlich festgelegten Sanierungsgebiet oder städtebaulichen Entwicklungsbereich aufgewendet worden sind; Voraussetzung ist, dass die Maßnahmen vor dem 1. Januar 1991 abgeschlossen worden sind. </w:t>
      </w:r>
      <w:r>
        <w:rPr>
          <w:rStyle w:val="Satznummer"/>
        </w:rPr>
        <w:t>2</w:t>
      </w:r>
      <w:r>
        <w:t>Die erhöhten Absetzungen dürfen jährlich 10 Prozent der Aufwendungen nicht übersteigen;</w:t>
      </w:r>
    </w:p>
    <w:p>
      <w:pPr>
        <w:tabs>
          <w:tab w:pos="1134" w:val="left"/>
        </w:tabs>
        <w:ind w:left="1134" w:hanging="567"/>
      </w:pPr>
      <w:r>
        <w:t>y)</w:t>
      </w:r>
      <w:r>
        <w:tab/>
      </w:r>
      <w:r>
        <w:t xml:space="preserve">über erhöhte Absetzungen für Herstellungskosten an Gebäuden, die nach den jeweiligen landesrechtlichen Vorschriften Baudenkmale sind, soweit die Aufwendungen nach Art und Umfang zur Erhaltung des Gebäudes als Baudenkmal und zu seiner sinnvollen Nutzung erforderlich sind; Voraussetzung ist, dass die Maßnahmen vor dem 1. Januar 1991 abgeschlossen worden sind. </w:t>
      </w:r>
      <w:r>
        <w:rPr>
          <w:rStyle w:val="Satznummer"/>
        </w:rPr>
        <w:t>2</w:t>
      </w:r>
      <w:r>
        <w:t xml:space="preserve">Die Denkmaleigenschaft des Gebäudes und die Voraussetzung, dass die Aufwendungen nach Art und Umfang zur Erhaltung des Gebäudes als Baudenkmal und zu seiner sinnvollen Nutzung erforderlich sind, sind durch eine Bescheinigung der nach Landesrecht zuständigen oder von der Landesregierung bestimmten Stelle nachzuweisen. </w:t>
      </w:r>
      <w:r>
        <w:rPr>
          <w:rStyle w:val="Satznummer"/>
        </w:rPr>
        <w:t>3</w:t>
      </w:r>
      <w:r>
        <w:t>Die erhöhten Absetzungen dürfen jährlich 10 Prozent der Aufwendungen nicht übersteigen;</w:t>
      </w:r>
    </w:p>
    <w:p>
      <w:pPr>
        <w:tabs>
          <w:tab w:pos="567" w:val="left"/>
        </w:tabs>
        <w:ind w:left="567" w:hanging="567"/>
      </w:pPr>
      <w:r>
        <w:t>3.</w:t>
      </w:r>
      <w:r>
        <w:tab/>
      </w:r>
      <w:r>
        <w:t xml:space="preserve">die in § 4a Absatz 1 Satz 2 Nummer 1, § 10 Absatz 5, § 22 Nummer 1 Satz 3 Buchstabe a, </w:t>
      </w:r>
      <w:hyperlink w:anchor="b100" w:history="1">
        <w:r>
          <w:rPr>
            <w:color w:val="0A3A8C"/>
            <w:u w:val="single"/>
          </w:rPr>
          <w:t xml:space="preserve">§ 26a</w:t>
        </w:r>
      </w:hyperlink>
      <w:r>
        <w:t xml:space="preserve"> Absatz 3, </w:t>
      </w:r>
      <w:hyperlink w:anchor="b120" w:history="1">
        <w:r>
          <w:rPr>
            <w:color w:val="0A3A8C"/>
            <w:u w:val="single"/>
          </w:rPr>
          <w:t xml:space="preserve">§ 34c</w:t>
        </w:r>
      </w:hyperlink>
      <w:r>
        <w:t xml:space="preserve"> Absatz 7, </w:t>
      </w:r>
      <w:hyperlink w:anchor="b182" w:history="1">
        <w:r>
          <w:rPr>
            <w:color w:val="0A3A8C"/>
            <w:u w:val="single"/>
          </w:rPr>
          <w:t xml:space="preserve">§ 46</w:t>
        </w:r>
      </w:hyperlink>
      <w:r>
        <w:t xml:space="preserve"> Absatz 5 und </w:t>
      </w:r>
      <w:hyperlink w:anchor="b193" w:history="1">
        <w:r>
          <w:rPr>
            <w:color w:val="0A3A8C"/>
            <w:u w:val="single"/>
          </w:rPr>
          <w:t xml:space="preserve">§ 50a</w:t>
        </w:r>
      </w:hyperlink>
      <w:r>
        <w:t xml:space="preserve"> Absatz 6 vorgesehenen Rechtsverordnungen zu erlassen.</w:t>
      </w:r>
    </w:p>
    <w:p>
      <w:r>
        <w:t xml:space="preserve">(2) </w:t>
      </w:r>
      <w:r>
        <w:rPr>
          <w:rStyle w:val="Satznummer"/>
        </w:rPr>
        <w:t>1</w:t>
      </w:r>
      <w:r>
        <w:t xml:space="preserve">Die Bundesregierung wird ermächtigt, durch Rechtsverordnung Vorschriften zu erlassen, nach denen die Inanspruchnahme von Sonderabschreibungen und erhöhten Absetzungen sowie die Bemessung der Absetzung für Abnutzung in fallenden Jahresbeträgen ganz oder teilweise ausgeschlossen werden können, wenn eine Störung des gesamtwirtschaftlichen Gleichgewichts eingetreten ist oder sich abzeichnet, die erhebliche Preissteigerungen mit sich gebracht hat oder erwarten lässt, insbesondere, wenn die Inlandsnachfrage nach Investitionsgütern oder Bauleistungen das Angebot wesentlich übersteigt. </w:t>
      </w:r>
      <w:r>
        <w:rPr>
          <w:rStyle w:val="Satznummer"/>
        </w:rPr>
        <w:t>2</w:t>
      </w:r>
      <w:r>
        <w:t>Die Inanspruchnahme von Sonderabschreibungen und erhöhten Absetzungen sowie die Bemessung der Absetzung für Abnutzung in fallenden Jahresbeträgen darf nur ausgeschlossen werden</w:t>
      </w:r>
    </w:p>
    <w:p>
      <w:pPr>
        <w:tabs>
          <w:tab w:pos="567" w:val="left"/>
        </w:tabs>
        <w:ind w:left="567" w:hanging="567"/>
      </w:pPr>
      <w:r>
        <w:t>1.</w:t>
      </w:r>
      <w:r>
        <w:tab/>
      </w:r>
      <w:r>
        <w:t xml:space="preserve">für bewegliche Wirtschaftsgüter, die innerhalb eines jeweils festzusetzenden Zeitraums, der frühestens mit dem Tage beginnt, an dem die Bundesregierung ihren Beschluss über die Verordnung bekannt gibt, und der ein Jahr nicht übersteigen darf, angeschafft oder hergestellt werden. </w:t>
      </w:r>
      <w:r>
        <w:rPr>
          <w:rStyle w:val="Satznummer"/>
        </w:rPr>
        <w:t>2</w:t>
      </w:r>
      <w:r>
        <w:t>Für bewegliche Wirtschaftsgüter, die vor Beginn dieses Zeitraums bestellt und angezahlt worden sind oder mit deren Herstellung vor Beginn dieses Zeitraums angefangen worden ist, darf jedoch die Inanspruchnahme von Sonderabschreibungen und erhöhten Absetzungen sowie die Bemessung der Absetzung für Abnutzung in fallenden Jahresbeträgen nicht ausgeschlossen werden;</w:t>
      </w:r>
    </w:p>
    <w:p>
      <w:pPr>
        <w:tabs>
          <w:tab w:pos="567" w:val="left"/>
        </w:tabs>
        <w:ind w:left="567" w:hanging="567"/>
      </w:pPr>
      <w:r>
        <w:t>2.</w:t>
      </w:r>
      <w:r>
        <w:tab/>
      </w:r>
      <w:r>
        <w:t xml:space="preserve">für bewegliche Wirtschaftsgüter und für Gebäude, die in dem in Nummer 1 bezeichneten Zeitraum bestellt werden oder mit deren Herstellung in diesem Zeitraum begonnen wird. </w:t>
      </w:r>
      <w:r>
        <w:rPr>
          <w:rStyle w:val="Satznummer"/>
        </w:rPr>
        <w:t>2</w:t>
      </w:r>
      <w:r>
        <w:t>Als Beginn der Herstellung gilt bei Gebäuden der Zeitpunkt, in dem der Antrag auf Baugenehmigung gestellt wird.</w:t>
      </w:r>
    </w:p>
    <w:p>
      <w:r>
        <w:rPr>
          <w:rStyle w:val="Satznummer"/>
        </w:rPr>
        <w:t>3</w:t>
      </w:r>
      <w:r>
        <w:t xml:space="preserve">Rechtsverordnungen auf Grund dieser Ermächtigung bedürfen der Zustimmung des Bundestages und des Bundesrates. </w:t>
      </w:r>
      <w:r>
        <w:rPr>
          <w:rStyle w:val="Satznummer"/>
        </w:rPr>
        <w:t>4</w:t>
      </w:r>
      <w:r>
        <w:t>Die Zustimmung gilt als erteilt, wenn der Bundesrat nicht binnen drei Wochen, der Bundestag nicht binnen vier Wochen nach Eingang der Vorlage der Bundesregierung die Zustimmung verweigert hat.</w:t>
      </w:r>
    </w:p>
    <w:p>
      <w:r>
        <w:t xml:space="preserve">(3) </w:t>
      </w:r>
      <w:r>
        <w:rPr>
          <w:rStyle w:val="Satznummer"/>
        </w:rPr>
        <w:t>1</w:t>
      </w:r>
      <w:r>
        <w:t>Die Bundesregierung wird ermächtigt, durch Rechtsverordnung mit Zustimmung des Bundesrates Vorschriften zu erlassen, nach denen die Einkommensteuer einschließlich des Steuerabzugs vom Arbeitslohn, des Steuerabzugs vom Kapitalertrag und des Steuerabzugs bei beschränkt Steuerpflichtigen</w:t>
      </w:r>
    </w:p>
    <w:p>
      <w:pPr>
        <w:tabs>
          <w:tab w:pos="567" w:val="left"/>
        </w:tabs>
        <w:ind w:left="567" w:hanging="567"/>
      </w:pPr>
      <w:r>
        <w:t>1.</w:t>
      </w:r>
      <w:r>
        <w:tab/>
      </w:r>
      <w:r>
        <w:t xml:space="preserve">um höchstens 10 Prozent herabgesetzt werden kann. </w:t>
      </w:r>
      <w:r>
        <w:rPr>
          <w:rStyle w:val="Satznummer"/>
        </w:rPr>
        <w:t>2</w:t>
      </w:r>
      <w:r>
        <w:t xml:space="preserve">Der Zeitraum, für den die Herabsetzung gilt, darf ein Jahr nicht übersteigen; er soll sich mit dem Kalenderjahr decken. </w:t>
      </w:r>
      <w:r>
        <w:rPr>
          <w:rStyle w:val="Satznummer"/>
        </w:rPr>
        <w:t>3</w:t>
      </w:r>
      <w:r>
        <w:t>Voraussetzung ist, dass eine Störung des gesamtwirtschaftlichen Gleichgewichts eingetreten ist oder sich abzeichnet, die eine nachhaltige Verringerung der Umsätze oder der Beschäftigung zur Folge hatte oder erwarten lässt, insbesondere bei einem erheblichen Rückgang der Nachfrage nach Investitionsgütern und Bauleistungen oder Verbrauchsgütern;</w:t>
      </w:r>
    </w:p>
    <w:p>
      <w:pPr>
        <w:tabs>
          <w:tab w:pos="567" w:val="left"/>
        </w:tabs>
        <w:ind w:left="567" w:hanging="567"/>
      </w:pPr>
      <w:r>
        <w:t>2.</w:t>
      </w:r>
      <w:r>
        <w:tab/>
      </w:r>
      <w:r>
        <w:t xml:space="preserve">um höchstens 10 Prozent erhöht werden kann. </w:t>
      </w:r>
      <w:r>
        <w:rPr>
          <w:rStyle w:val="Satznummer"/>
        </w:rPr>
        <w:t>2</w:t>
      </w:r>
      <w:r>
        <w:t xml:space="preserve">Der Zeitraum, für den die Erhöhung gilt, darf ein Jahr nicht übersteigen; er soll sich mit dem Kalenderjahr decken. </w:t>
      </w:r>
      <w:r>
        <w:rPr>
          <w:rStyle w:val="Satznummer"/>
        </w:rPr>
        <w:t>3</w:t>
      </w:r>
      <w:r>
        <w:t>Voraussetzung ist, dass eine Störung des gesamtwirtschaftlichen Gleichgewichts eingetreten ist oder sich abzeichnet, die erhebliche Preissteigerungen mit sich gebracht hat oder erwarten lässt, insbesondere, wenn die Nachfrage nach Investitionsgütern und Bauleistungen oder Verbrauchsgütern das Angebot wesentlich übersteigt.</w:t>
      </w:r>
    </w:p>
    <w:p>
      <w:r>
        <w:rPr>
          <w:rStyle w:val="Satznummer"/>
        </w:rPr>
        <w:t>2</w:t>
      </w:r>
      <w:r>
        <w:t>Rechtsverordnungen auf Grund dieser Ermächtigung bedürfen der Zustimmung des Bundestages.</w:t>
      </w:r>
    </w:p>
    <w:p>
      <w:r>
        <w:t>(4) Das Bundesministerium der Finanzen wird ermächtigt,</w:t>
      </w:r>
    </w:p>
    <w:p>
      <w:pPr>
        <w:tabs>
          <w:tab w:pos="567" w:val="left"/>
        </w:tabs>
        <w:ind w:left="567" w:hanging="567"/>
      </w:pPr>
      <w:r>
        <w:t>1.</w:t>
      </w:r>
      <w:r>
        <w:tab/>
      </w:r>
      <w:r>
        <w:t>im Einvernehmen mit den obersten Finanzbehörden der Länder die Vordrucke für</w:t>
      </w:r>
    </w:p>
    <w:p>
      <w:pPr>
        <w:tabs>
          <w:tab w:pos="1134" w:val="left"/>
        </w:tabs>
        <w:ind w:left="1134" w:hanging="567"/>
      </w:pPr>
      <w:r>
        <w:t>a)</w:t>
      </w:r>
      <w:r>
        <w:tab/>
      </w:r>
      <w:r>
        <w:t>(weggefallen)</w:t>
      </w:r>
    </w:p>
    <w:p>
      <w:pPr>
        <w:tabs>
          <w:tab w:pos="1134" w:val="left"/>
        </w:tabs>
        <w:ind w:left="1134" w:hanging="567"/>
      </w:pPr>
      <w:r>
        <w:t>b)</w:t>
      </w:r>
      <w:r>
        <w:tab/>
      </w:r>
      <w:r>
        <w:t>die Erklärungen zur Einkommensbesteuerung,</w:t>
      </w:r>
    </w:p>
    <w:p>
      <w:pPr>
        <w:tabs>
          <w:tab w:pos="1134" w:val="left"/>
        </w:tabs>
        <w:ind w:left="1134" w:hanging="567"/>
      </w:pPr>
      <w:r>
        <w:t>c)</w:t>
      </w:r>
      <w:r>
        <w:tab/>
      </w:r>
      <w:r>
        <w:t xml:space="preserve">die Anträge nach </w:t>
      </w:r>
      <w:hyperlink w:anchor="b146" w:history="1">
        <w:r>
          <w:rPr>
            <w:color w:val="0A3A8C"/>
            <w:u w:val="single"/>
          </w:rPr>
          <w:t xml:space="preserve">§ 38b</w:t>
        </w:r>
      </w:hyperlink>
      <w:r>
        <w:t xml:space="preserve"> Absatz 2, nach </w:t>
      </w:r>
      <w:hyperlink w:anchor="b148" w:history="1">
        <w:r>
          <w:rPr>
            <w:color w:val="0A3A8C"/>
            <w:u w:val="single"/>
          </w:rPr>
          <w:t xml:space="preserve">§ 39a</w:t>
        </w:r>
      </w:hyperlink>
      <w:r>
        <w:t xml:space="preserve"> Absatz 2, in dessen Vordrucke der Antrag nach </w:t>
      </w:r>
      <w:hyperlink w:anchor="b153" w:history="1">
        <w:r>
          <w:rPr>
            <w:color w:val="0A3A8C"/>
            <w:u w:val="single"/>
          </w:rPr>
          <w:t xml:space="preserve">§ 39f</w:t>
        </w:r>
      </w:hyperlink>
      <w:r>
        <w:t xml:space="preserve"> einzubeziehen ist, die Anträge nach </w:t>
      </w:r>
      <w:hyperlink w:anchor="b148" w:history="1">
        <w:r>
          <w:rPr>
            <w:color w:val="0A3A8C"/>
            <w:u w:val="single"/>
          </w:rPr>
          <w:t xml:space="preserve">§ 39a</w:t>
        </w:r>
      </w:hyperlink>
      <w:r>
        <w:t xml:space="preserve"> Absatz 4 sowie die Anträge zu den elektronischen Lohnsteuerabzugsmerkmalen (</w:t>
      </w:r>
      <w:hyperlink w:anchor="b146" w:history="1">
        <w:r>
          <w:rPr>
            <w:color w:val="0A3A8C"/>
            <w:u w:val="single"/>
          </w:rPr>
          <w:t xml:space="preserve">§ 38b</w:t>
        </w:r>
      </w:hyperlink>
      <w:r>
        <w:t xml:space="preserve"> Absatz 3 und </w:t>
      </w:r>
      <w:hyperlink w:anchor="b152" w:history="1">
        <w:r>
          <w:rPr>
            <w:color w:val="0A3A8C"/>
            <w:u w:val="single"/>
          </w:rPr>
          <w:t xml:space="preserve">§ 39e</w:t>
        </w:r>
      </w:hyperlink>
      <w:r>
        <w:t xml:space="preserve"> Absatz 6 Satz 7),</w:t>
      </w:r>
    </w:p>
    <w:p>
      <w:pPr>
        <w:tabs>
          <w:tab w:pos="1134" w:val="left"/>
        </w:tabs>
        <w:ind w:left="1134" w:hanging="567"/>
      </w:pPr>
      <w:r>
        <w:t>d)</w:t>
      </w:r>
      <w:r>
        <w:tab/>
      </w:r>
      <w:r>
        <w:t>die Lohnsteuer-Anmeldung (</w:t>
      </w:r>
      <w:hyperlink w:anchor="b158" w:history="1">
        <w:r>
          <w:rPr>
            <w:color w:val="0A3A8C"/>
            <w:u w:val="single"/>
          </w:rPr>
          <w:t xml:space="preserve">§ 41a</w:t>
        </w:r>
      </w:hyperlink>
      <w:r>
        <w:t xml:space="preserve"> Absatz 1),</w:t>
      </w:r>
    </w:p>
    <w:p>
      <w:pPr>
        <w:tabs>
          <w:tab w:pos="1134" w:val="left"/>
        </w:tabs>
        <w:ind w:left="1134" w:hanging="567"/>
      </w:pPr>
      <w:r>
        <w:t>e)</w:t>
      </w:r>
      <w:r>
        <w:tab/>
      </w:r>
      <w:r>
        <w:t>die Anmeldung der Kapitalertragsteuer (</w:t>
      </w:r>
      <w:hyperlink w:anchor="b176" w:history="1">
        <w:r>
          <w:rPr>
            <w:color w:val="0A3A8C"/>
            <w:u w:val="single"/>
          </w:rPr>
          <w:t xml:space="preserve">§ 45a</w:t>
        </w:r>
      </w:hyperlink>
      <w:r>
        <w:t xml:space="preserve"> Absatz 1) und den Freistellungsauftrag nach </w:t>
      </w:r>
      <w:hyperlink w:anchor="b173" w:history="1">
        <w:r>
          <w:rPr>
            <w:color w:val="0A3A8C"/>
            <w:u w:val="single"/>
          </w:rPr>
          <w:t xml:space="preserve">§ 44a</w:t>
        </w:r>
      </w:hyperlink>
      <w:r>
        <w:t xml:space="preserve"> Absatz 2 Satz 1 Nummer 1,</w:t>
      </w:r>
    </w:p>
    <w:p>
      <w:pPr>
        <w:tabs>
          <w:tab w:pos="1134" w:val="left"/>
        </w:tabs>
        <w:ind w:left="1134" w:hanging="567"/>
      </w:pPr>
      <w:r>
        <w:t>f)</w:t>
      </w:r>
      <w:r>
        <w:tab/>
      </w:r>
      <w:r>
        <w:t>die Anmeldung des Abzugsbetrags (</w:t>
      </w:r>
      <w:hyperlink w:anchor="b186" w:history="1">
        <w:r>
          <w:rPr>
            <w:color w:val="0A3A8C"/>
            <w:u w:val="single"/>
          </w:rPr>
          <w:t xml:space="preserve">§ 48a</w:t>
        </w:r>
      </w:hyperlink>
      <w:r>
        <w:t>),</w:t>
      </w:r>
    </w:p>
    <w:p>
      <w:pPr>
        <w:tabs>
          <w:tab w:pos="1134" w:val="left"/>
        </w:tabs>
        <w:ind w:left="1134" w:hanging="567"/>
      </w:pPr>
      <w:r>
        <w:t>g)</w:t>
      </w:r>
      <w:r>
        <w:tab/>
      </w:r>
      <w:r>
        <w:t>die Erteilung der Freistellungsbescheinigung (</w:t>
      </w:r>
      <w:hyperlink w:anchor="b187" w:history="1">
        <w:r>
          <w:rPr>
            <w:color w:val="0A3A8C"/>
            <w:u w:val="single"/>
          </w:rPr>
          <w:t xml:space="preserve">§ 48b</w:t>
        </w:r>
      </w:hyperlink>
      <w:r>
        <w:t>),</w:t>
      </w:r>
    </w:p>
    <w:p>
      <w:pPr>
        <w:tabs>
          <w:tab w:pos="1134" w:val="left"/>
        </w:tabs>
        <w:ind w:left="1134" w:hanging="567"/>
      </w:pPr>
      <w:r>
        <w:t>h)</w:t>
      </w:r>
      <w:r>
        <w:tab/>
      </w:r>
      <w:r>
        <w:t>die Anmeldung der Abzugsteuer (</w:t>
      </w:r>
      <w:hyperlink w:anchor="b193" w:history="1">
        <w:r>
          <w:rPr>
            <w:color w:val="0A3A8C"/>
            <w:u w:val="single"/>
          </w:rPr>
          <w:t xml:space="preserve">§ 50a</w:t>
        </w:r>
      </w:hyperlink>
      <w:r>
        <w:t xml:space="preserve"> Absatz 7)</w:t>
      </w:r>
    </w:p>
    <w:p>
      <w:pPr>
        <w:tabs>
          <w:tab w:pos="1134" w:val="left"/>
        </w:tabs>
        <w:ind w:left="1134" w:hanging="567"/>
      </w:pPr>
      <w:r>
        <w:t>i)</w:t>
      </w:r>
      <w:r>
        <w:tab/>
      </w:r>
      <w:r>
        <w:t>(weggefallen)</w:t>
      </w:r>
    </w:p>
    <w:p>
      <w:pPr>
        <w:ind w:left="567"/>
      </w:pPr>
      <w:r>
        <w:t xml:space="preserve">und die Muster der Bescheinigungen für den Lohnsteuerabzug nach </w:t>
      </w:r>
      <w:hyperlink w:anchor="b147" w:history="1">
        <w:r>
          <w:rPr>
            <w:color w:val="0A3A8C"/>
            <w:u w:val="single"/>
          </w:rPr>
          <w:t xml:space="preserve">§ 39</w:t>
        </w:r>
      </w:hyperlink>
      <w:r>
        <w:t xml:space="preserve"> Absatz 3 und </w:t>
      </w:r>
      <w:hyperlink w:anchor="b152" w:history="1">
        <w:r>
          <w:rPr>
            <w:color w:val="0A3A8C"/>
            <w:u w:val="single"/>
          </w:rPr>
          <w:t xml:space="preserve">§ 39e</w:t>
        </w:r>
      </w:hyperlink>
      <w:r>
        <w:t xml:space="preserve"> Absatz 7 Satz 5, des Ausdrucks der elektronischen Lohnsteuerbescheinigung (</w:t>
      </w:r>
      <w:hyperlink w:anchor="b159" w:history="1">
        <w:r>
          <w:rPr>
            <w:color w:val="0A3A8C"/>
            <w:u w:val="single"/>
          </w:rPr>
          <w:t xml:space="preserve">§ 41b</w:t>
        </w:r>
      </w:hyperlink>
      <w:r>
        <w:t xml:space="preserve"> Absatz 1), das Muster der Lohnsteuerbescheinigung nach </w:t>
      </w:r>
      <w:hyperlink w:anchor="b159" w:history="1">
        <w:r>
          <w:rPr>
            <w:color w:val="0A3A8C"/>
            <w:u w:val="single"/>
          </w:rPr>
          <w:t xml:space="preserve">§ 41b</w:t>
        </w:r>
      </w:hyperlink>
      <w:r>
        <w:t xml:space="preserve"> Absatz 3 Satz 1, der Anträge auf Erteilung einer Bescheinigung für den Lohnsteuerabzug nach </w:t>
      </w:r>
      <w:hyperlink w:anchor="b147" w:history="1">
        <w:r>
          <w:rPr>
            <w:color w:val="0A3A8C"/>
            <w:u w:val="single"/>
          </w:rPr>
          <w:t xml:space="preserve">§ 39</w:t>
        </w:r>
      </w:hyperlink>
      <w:r>
        <w:t xml:space="preserve"> Absatz 3 und </w:t>
      </w:r>
      <w:hyperlink w:anchor="b152" w:history="1">
        <w:r>
          <w:rPr>
            <w:color w:val="0A3A8C"/>
            <w:u w:val="single"/>
          </w:rPr>
          <w:t xml:space="preserve">§ 39e</w:t>
        </w:r>
      </w:hyperlink>
      <w:r>
        <w:t xml:space="preserve"> Absatz 7 Satz 1 sowie der in </w:t>
      </w:r>
      <w:hyperlink w:anchor="b176" w:history="1">
        <w:r>
          <w:rPr>
            <w:color w:val="0A3A8C"/>
            <w:u w:val="single"/>
          </w:rPr>
          <w:t xml:space="preserve">§ 45a</w:t>
        </w:r>
      </w:hyperlink>
      <w:r>
        <w:t xml:space="preserve"> Absatz 2 und 3 vorgesehenen Bescheinigungen zu bestimmen;</w:t>
      </w:r>
    </w:p>
    <w:p>
      <w:pPr>
        <w:tabs>
          <w:tab w:pos="567" w:val="left"/>
        </w:tabs>
        <w:ind w:left="567" w:hanging="567"/>
      </w:pPr>
      <w:r>
        <w:t>1a.</w:t>
      </w:r>
      <w:r>
        <w:tab/>
      </w:r>
      <w:r>
        <w:t xml:space="preserve">im Einvernehmen mit den obersten Finanzbehörden der Länder auf der Basis der </w:t>
      </w:r>
      <w:hyperlink w:anchor="b108" w:history="1">
        <w:r>
          <w:rPr>
            <w:color w:val="0A3A8C"/>
            <w:u w:val="single"/>
          </w:rPr>
          <w:t xml:space="preserve">§§ 32a</w:t>
        </w:r>
      </w:hyperlink>
      <w:r>
        <w:t xml:space="preserve"> und </w:t>
      </w:r>
      <w:hyperlink w:anchor="b149" w:history="1">
        <w:r>
          <w:rPr>
            <w:color w:val="0A3A8C"/>
            <w:u w:val="single"/>
          </w:rPr>
          <w:t xml:space="preserve">39b</w:t>
        </w:r>
      </w:hyperlink>
      <w:r>
        <w:t xml:space="preserve"> einen Programmablaufplan für die Herstellung von Lohnsteuertabellen zur manuellen Berechnung der Lohnsteuer aufzustellen und bekannt zu machen. </w:t>
      </w:r>
      <w:r>
        <w:rPr>
          <w:rStyle w:val="Satznummer"/>
        </w:rPr>
        <w:t>2</w:t>
      </w:r>
      <w:r>
        <w:t xml:space="preserve">Der Lohnstufenabstand beträgt bei den Jahrestabellen 36. </w:t>
      </w:r>
      <w:r>
        <w:rPr>
          <w:rStyle w:val="Satznummer"/>
        </w:rPr>
        <w:t>3</w:t>
      </w:r>
      <w:r>
        <w:t xml:space="preserve">Die in den Tabellenstufen auszuweisende Lohnsteuer ist aus der Obergrenze der Tabellenstufen zu berechnen und muss an der Obergrenze mit der maschinell berechneten Lohnsteuer übereinstimmen. </w:t>
      </w:r>
      <w:r>
        <w:rPr>
          <w:rStyle w:val="Satznummer"/>
        </w:rPr>
        <w:t>4</w:t>
      </w:r>
      <w:r>
        <w:t>Die Monats-, Wochen- und Tagestabellen sind aus den Jahrestabellen abzuleiten;</w:t>
      </w:r>
    </w:p>
    <w:p>
      <w:pPr>
        <w:tabs>
          <w:tab w:pos="567" w:val="left"/>
        </w:tabs>
        <w:ind w:left="567" w:hanging="567"/>
      </w:pPr>
      <w:r>
        <w:t>1b.</w:t>
      </w:r>
      <w:r>
        <w:tab/>
      </w:r>
      <w:r>
        <w:t xml:space="preserve">im Einvernehmen mit den obersten Finanzbehörden der Länder den Mindestumfang der nach </w:t>
      </w:r>
      <w:hyperlink w:anchor="b27" w:history="1">
        <w:r>
          <w:rPr>
            <w:color w:val="0A3A8C"/>
            <w:u w:val="single"/>
          </w:rPr>
          <w:t xml:space="preserve">§ 5b</w:t>
        </w:r>
      </w:hyperlink>
      <w:r>
        <w:t xml:space="preserve"> elektronisch zu übermittelnden Daten zu bestimmen;</w:t>
      </w:r>
    </w:p>
    <w:p>
      <w:pPr>
        <w:tabs>
          <w:tab w:pos="567" w:val="left"/>
        </w:tabs>
        <w:ind w:left="567" w:hanging="567"/>
      </w:pPr>
      <w:r>
        <w:t>1c.</w:t>
      </w:r>
      <w:r>
        <w:tab/>
      </w:r>
      <w:r>
        <w:t>durch Rechtsverordnung zur Durchführung dieses Gesetzes mit Zustimmung des Bundesrates Vorschriften über einen von dem vorgesehenen erstmaligen Anwendungszeitpunkt gemäß § 52 Absatz 15a in der Fassung des Artikels 1 des Gesetzes vom 20. Dezember 2008 (BGBl. I S. 2850) abweichenden späteren Anwendungszeitpunkt zu erlassen, wenn bis zum 31. Dezember 2010 erkennbar ist, dass die technischen oder organisatorischen Voraussetzungen für eine Umsetzung der in § 5b Absatz 1 in der Fassung des Artikels 1 des Gesetzes vom 20. Dezember 2008 (BGBl. I S. 2850) vorgesehenen Verpflichtung nicht ausreichen;</w:t>
      </w:r>
    </w:p>
    <w:p>
      <w:pPr>
        <w:tabs>
          <w:tab w:pos="567" w:val="left"/>
        </w:tabs>
        <w:ind w:left="567" w:hanging="567"/>
      </w:pPr>
      <w:r>
        <w:t>1d.</w:t>
      </w:r>
      <w:r>
        <w:tab/>
      </w:r>
      <w:r>
        <w:t xml:space="preserve">die Vordrucke für die Anmeldung des Steuerabzugs von Vergütungen im Sinne des </w:t>
      </w:r>
      <w:hyperlink w:anchor="b193" w:history="1">
        <w:r>
          <w:rPr>
            <w:color w:val="0A3A8C"/>
            <w:u w:val="single"/>
          </w:rPr>
          <w:t xml:space="preserve">§ 50a</w:t>
        </w:r>
      </w:hyperlink>
      <w:r>
        <w:t xml:space="preserve"> Absatz 1 sowie das amtlich vorgeschriebene Muster nach </w:t>
      </w:r>
      <w:hyperlink w:anchor="b193" w:history="1">
        <w:r>
          <w:rPr>
            <w:color w:val="0A3A8C"/>
            <w:u w:val="single"/>
          </w:rPr>
          <w:t xml:space="preserve">§ 50a</w:t>
        </w:r>
      </w:hyperlink>
      <w:r>
        <w:t xml:space="preserve"> Absatz 5 Satz 7 zu bestimmen;</w:t>
      </w:r>
    </w:p>
    <w:p>
      <w:pPr>
        <w:tabs>
          <w:tab w:pos="567" w:val="left"/>
        </w:tabs>
        <w:ind w:left="567" w:hanging="567"/>
      </w:pPr>
      <w:r>
        <w:t>1e.</w:t>
      </w:r>
      <w:r>
        <w:tab/>
      </w:r>
      <w:r>
        <w:t xml:space="preserve">im Einvernehmen mit den obersten Finanzbehörden der Länder die Vorgaben für die Zuweisung der Ordnungsnummer nach </w:t>
      </w:r>
      <w:hyperlink w:anchor="b177" w:history="1">
        <w:r>
          <w:rPr>
            <w:color w:val="0A3A8C"/>
            <w:u w:val="single"/>
          </w:rPr>
          <w:t xml:space="preserve">§ 45b</w:t>
        </w:r>
      </w:hyperlink>
      <w:r>
        <w:t xml:space="preserve"> Absatz 1 zu bestimmen;</w:t>
      </w:r>
    </w:p>
    <w:p>
      <w:pPr>
        <w:tabs>
          <w:tab w:pos="567" w:val="left"/>
        </w:tabs>
        <w:ind w:left="567" w:hanging="567"/>
      </w:pPr>
      <w:r>
        <w:t>2.</w:t>
      </w:r>
      <w:r>
        <w:tab/>
      </w:r>
      <w:r>
        <w:t>den Wortlaut dieses Gesetzes und der zu diesem Gesetz erlassenen Rechtsverordnungen in der jeweils geltenden Fassung satzweise nummeriert mit neuem Datum und in neuer Paragraphenfolge bekannt zu machen und dabei Unstimmigkeiten im Wortlaut zu beseitigen.</w:t>
      </w:r>
    </w:p>
    <w:p>
      <w:pPr>
        <w:pStyle w:val="Heading2"/>
      </w:pPr>
      <w:bookmarkStart w:id="206" w:name="b205"/>
      <w:r>
        <w:t>§ 51a Festsetzung und Erhebung von Zuschlagsteuern</w:t>
      </w:r>
      <w:r>
        <w:t xml:space="preserve"> </w:t>
      </w:r>
      <w:r>
        <w:rPr>
          <w:rStyle w:val="Suchmarke"/>
        </w:rPr>
        <w:t>#51a#</w:t>
      </w:r>
      <w:bookmarkEnd w:id="206"/>
    </w:p>
    <w:p>
      <w:r>
        <w:t xml:space="preserve">(1) </w:t>
      </w:r>
      <w:r>
        <w:rPr>
          <w:rStyle w:val="Satznummer"/>
        </w:rPr>
        <w:t>1</w:t>
      </w:r>
      <w:r>
        <w:t xml:space="preserve">Auf die Festsetzung und Erhebung von Steuern, die nach der Einkommensteuer bemessen werden (Zuschlagsteuern), sind die Vorschriften dieses Gesetzes mit Ausnahme des </w:t>
      </w:r>
      <w:hyperlink w:anchor="b139" w:history="1">
        <w:r>
          <w:rPr>
            <w:color w:val="0A3A8C"/>
            <w:u w:val="single"/>
          </w:rPr>
          <w:t xml:space="preserve">§ 36a</w:t>
        </w:r>
      </w:hyperlink>
      <w:r>
        <w:t xml:space="preserve"> entsprechend anzuwenden. </w:t>
      </w:r>
      <w:r>
        <w:rPr>
          <w:rStyle w:val="Satznummer"/>
        </w:rPr>
        <w:t>2</w:t>
      </w:r>
      <w:r>
        <w:t>Wird Einkommensteuer im Wege des Steuerabzugs erhoben, dürfen die zu diesem Zweck verarbeiteten personenbezogenen Daten auch für die Erhebung einer Zuschlagsteuer im Wege des Steuerabzugs verarbeitet werden.</w:t>
      </w:r>
    </w:p>
    <w:p>
      <w:r>
        <w:t xml:space="preserve">(2) </w:t>
      </w:r>
      <w:r>
        <w:rPr>
          <w:rStyle w:val="Satznummer"/>
        </w:rPr>
        <w:t>1</w:t>
      </w:r>
      <w:r>
        <w:t xml:space="preserve">Bemessungsgrundlage ist die Einkommensteuer, die abweichend von </w:t>
      </w:r>
      <w:hyperlink w:anchor="b5" w:history="1">
        <w:r>
          <w:rPr>
            <w:color w:val="0A3A8C"/>
            <w:u w:val="single"/>
          </w:rPr>
          <w:t xml:space="preserve">§ 2</w:t>
        </w:r>
      </w:hyperlink>
      <w:r>
        <w:t xml:space="preserve"> Absatz 6 unter Berücksichtigung von Freibeträgen nach § 32 Absatz 6 in allen Fällen des </w:t>
      </w:r>
      <w:hyperlink w:anchor="b107" w:history="1">
        <w:r>
          <w:rPr>
            <w:color w:val="0A3A8C"/>
            <w:u w:val="single"/>
          </w:rPr>
          <w:t xml:space="preserve">§ 32</w:t>
        </w:r>
      </w:hyperlink>
      <w:r>
        <w:t xml:space="preserve"> festzusetzen wäre. </w:t>
      </w:r>
      <w:r>
        <w:rPr>
          <w:rStyle w:val="Satznummer"/>
        </w:rPr>
        <w:t>2</w:t>
      </w:r>
      <w:r>
        <w:t xml:space="preserve">Zur Ermittlung der Einkommensteuer im Sinne des Satzes 1 ist das zu versteuernde Einkommen um die nach </w:t>
      </w:r>
      <w:hyperlink w:anchor="b8" w:history="1">
        <w:r>
          <w:rPr>
            <w:color w:val="0A3A8C"/>
            <w:u w:val="single"/>
          </w:rPr>
          <w:t xml:space="preserve">§ 3</w:t>
        </w:r>
      </w:hyperlink>
      <w:r>
        <w:t xml:space="preserve"> Nummer 40 steuerfreien Beträge zu erhöhen und um die nach </w:t>
      </w:r>
      <w:hyperlink w:anchor="b11" w:history="1">
        <w:r>
          <w:rPr>
            <w:color w:val="0A3A8C"/>
            <w:u w:val="single"/>
          </w:rPr>
          <w:t xml:space="preserve">§ 3c</w:t>
        </w:r>
      </w:hyperlink>
      <w:r>
        <w:t xml:space="preserve"> Absatz 2 nicht abziehbaren Beträge zu mindern. </w:t>
      </w:r>
      <w:r>
        <w:rPr>
          <w:rStyle w:val="Satznummer"/>
        </w:rPr>
        <w:t>3</w:t>
      </w:r>
      <w:hyperlink w:anchor="b129" w:history="1">
        <w:r>
          <w:rPr>
            <w:color w:val="0A3A8C"/>
            <w:u w:val="single"/>
          </w:rPr>
          <w:t xml:space="preserve">§ 35</w:t>
        </w:r>
      </w:hyperlink>
      <w:r>
        <w:t xml:space="preserve"> ist bei der Ermittlung der festzusetzenden Einkommensteuer nach Satz 1 nicht anzuwenden.</w:t>
      </w:r>
    </w:p>
    <w:p>
      <w:r>
        <w:t xml:space="preserve">(2a) </w:t>
      </w:r>
      <w:r>
        <w:rPr>
          <w:rStyle w:val="Satznummer"/>
        </w:rPr>
        <w:t>1</w:t>
      </w:r>
      <w:r>
        <w:t xml:space="preserve">Vorbehaltlich des </w:t>
      </w:r>
      <w:hyperlink w:anchor="b155" w:history="1">
        <w:r>
          <w:rPr>
            <w:color w:val="0A3A8C"/>
            <w:u w:val="single"/>
          </w:rPr>
          <w:t xml:space="preserve">§ 40a</w:t>
        </w:r>
      </w:hyperlink>
      <w:r>
        <w:t xml:space="preserve"> Absatz 2 ist beim Steuerabzug vom Arbeitslohn Bemessungsgrundlage die Lohnsteuer; beim Steuerabzug vom laufenden Arbeitslohn und beim Jahresausgleich ist die Lohnsteuer maßgebend, die sich ergibt, wenn der nach </w:t>
      </w:r>
      <w:hyperlink w:anchor="b149" w:history="1">
        <w:r>
          <w:rPr>
            <w:color w:val="0A3A8C"/>
            <w:u w:val="single"/>
          </w:rPr>
          <w:t xml:space="preserve">§ 39b</w:t>
        </w:r>
      </w:hyperlink>
      <w:r>
        <w:t xml:space="preserve"> Absatz 2 Satz 5 zu versteuernde Jahresbetrag für die Steuerklassen I, II und III um den doppelten Kinderfreibetrag sowie den doppelten Freibetrag für den Betreuungs- und Erziehungs- oder Ausbildungsbedarf und für die Steuerklasse IV um den Kinderfreibetrag sowie den Freibetrag für den Betreuungs- und Erziehungs- oder Ausbildungsbedarf (</w:t>
      </w:r>
      <w:hyperlink w:anchor="b107" w:history="1">
        <w:r>
          <w:rPr>
            <w:color w:val="0A3A8C"/>
            <w:u w:val="single"/>
          </w:rPr>
          <w:t xml:space="preserve">§ 32</w:t>
        </w:r>
      </w:hyperlink>
      <w:r>
        <w:t xml:space="preserve"> Absatz 6 Satz 1) für jedes Kind vermindert wird, für das eine Kürzung der Freibeträge für Kinder nach </w:t>
      </w:r>
      <w:hyperlink w:anchor="b107" w:history="1">
        <w:r>
          <w:rPr>
            <w:color w:val="0A3A8C"/>
            <w:u w:val="single"/>
          </w:rPr>
          <w:t xml:space="preserve">§ 32</w:t>
        </w:r>
      </w:hyperlink>
      <w:r>
        <w:t xml:space="preserve"> Absatz 6 Satz 4 nicht in Betracht kommt. </w:t>
      </w:r>
      <w:r>
        <w:rPr>
          <w:rStyle w:val="Satznummer"/>
        </w:rPr>
        <w:t>2</w:t>
      </w:r>
      <w:r>
        <w:t xml:space="preserve">Bei der Anwendung des </w:t>
      </w:r>
      <w:hyperlink w:anchor="b149" w:history="1">
        <w:r>
          <w:rPr>
            <w:color w:val="0A3A8C"/>
            <w:u w:val="single"/>
          </w:rPr>
          <w:t xml:space="preserve">§ 39b</w:t>
        </w:r>
      </w:hyperlink>
      <w:r>
        <w:t xml:space="preserve"> für die Ermittlung der Zuschlagsteuern ist die als Lohnsteuerabzugsmerkmal gebildete Zahl der Kinderfreibeträge maßgebend. </w:t>
      </w:r>
      <w:r>
        <w:rPr>
          <w:rStyle w:val="Satznummer"/>
        </w:rPr>
        <w:t>3</w:t>
      </w:r>
      <w:r>
        <w:t xml:space="preserve">Bei Anwendung des </w:t>
      </w:r>
      <w:hyperlink w:anchor="b153" w:history="1">
        <w:r>
          <w:rPr>
            <w:color w:val="0A3A8C"/>
            <w:u w:val="single"/>
          </w:rPr>
          <w:t xml:space="preserve">§ 39f</w:t>
        </w:r>
      </w:hyperlink>
      <w:r>
        <w:t xml:space="preserve"> ist beim Steuerabzug vom laufenden Arbeitslohn die Lohnsteuer maßgebend, die sich bei Anwendung des nach </w:t>
      </w:r>
      <w:hyperlink w:anchor="b153" w:history="1">
        <w:r>
          <w:rPr>
            <w:color w:val="0A3A8C"/>
            <w:u w:val="single"/>
          </w:rPr>
          <w:t xml:space="preserve">§ 39f</w:t>
        </w:r>
      </w:hyperlink>
      <w:r>
        <w:t xml:space="preserve"> Absatz 1 ermittelten Faktors auf den nach den Sätzen 1 und 2 ermittelten Betrag ergibt.</w:t>
      </w:r>
    </w:p>
    <w:p>
      <w:r>
        <w:t xml:space="preserve">(2b) </w:t>
      </w:r>
      <w:r>
        <w:rPr>
          <w:rStyle w:val="Satznummer"/>
        </w:rPr>
        <w:t>1</w:t>
      </w:r>
      <w:r>
        <w:t xml:space="preserve">Wird die Einkommensteuer nach </w:t>
      </w:r>
      <w:hyperlink w:anchor="b169" w:history="1">
        <w:r>
          <w:rPr>
            <w:color w:val="0A3A8C"/>
            <w:u w:val="single"/>
          </w:rPr>
          <w:t xml:space="preserve">§ 43</w:t>
        </w:r>
      </w:hyperlink>
      <w:r>
        <w:t xml:space="preserve"> Absatz 1 durch Abzug vom Kapitalertrag (Kapitalertragsteuer) erhoben, wird die darauf entfallende Kirchensteuer nach dem Kirchensteuersatz der Religionsgemeinschaft, der der Kirchensteuerpflichtige angehört, als Zuschlag zur Kapitalertragsteuer erhoben. </w:t>
      </w:r>
      <w:r>
        <w:rPr>
          <w:rStyle w:val="Satznummer"/>
        </w:rPr>
        <w:t>2</w:t>
      </w:r>
      <w:r>
        <w:t>Satz 1 ist nicht anzuwenden, wenn die Kapitalerträge zu den Einkünften aus Land- und Forstwirtschaft, aus Gewerbebetrieb, aus selbständiger Arbeit oder aus Vermietung und Verpachtung gehören.</w:t>
      </w:r>
    </w:p>
    <w:p>
      <w:r>
        <w:t xml:space="preserve">(2c) </w:t>
      </w:r>
      <w:r>
        <w:rPr>
          <w:rStyle w:val="Satznummer"/>
        </w:rPr>
        <w:t>1</w:t>
      </w:r>
      <w:r>
        <w:t>Der zur Vornahme des Steuerabzugs vom Kapitalertrag Verpflichtete (Kirchensteuerabzugsverpflichteter) hat die auf die Kapitalertragsteuer nach Absatz 2b entfallende Kirchensteuer nach folgenden Maßgaben einzubehalten:</w:t>
      </w:r>
    </w:p>
    <w:p>
      <w:pPr>
        <w:tabs>
          <w:tab w:pos="567" w:val="left"/>
        </w:tabs>
        <w:ind w:left="567" w:hanging="567"/>
      </w:pPr>
      <w:r>
        <w:t>1.</w:t>
      </w:r>
      <w:r>
        <w:tab/>
      </w:r>
      <w:r>
        <w:t xml:space="preserve">Das Bundeszentralamt für Steuern speichert unabhängig von und zusätzlich zu den in § 139b Absatz 3 der Abgabenordnung genannten und nach </w:t>
      </w:r>
      <w:hyperlink w:anchor="b152" w:history="1">
        <w:r>
          <w:rPr>
            <w:color w:val="0A3A8C"/>
            <w:u w:val="single"/>
          </w:rPr>
          <w:t xml:space="preserve">§ 39e</w:t>
        </w:r>
      </w:hyperlink>
      <w:r>
        <w:t xml:space="preserve"> gespeicherten Daten des Steuerpflichtigen den Kirchensteuersatz der steuererhebenden Religionsgemeinschaft des Kirchensteuerpflichtigen sowie die ortsbezogenen Daten, mit deren Hilfe der Kirchensteuerpflichtige seiner Religionsgemeinschaft zugeordnet werden kann. </w:t>
      </w:r>
      <w:r>
        <w:rPr>
          <w:rStyle w:val="Satznummer"/>
        </w:rPr>
        <w:t>2</w:t>
      </w:r>
      <w:r>
        <w:t>Die Daten werden als automatisiert abrufbares Merkmal für den Kirchensteuerabzug bereitgestellt;</w:t>
      </w:r>
    </w:p>
    <w:p>
      <w:pPr>
        <w:tabs>
          <w:tab w:pos="567" w:val="left"/>
        </w:tabs>
        <w:ind w:left="567" w:hanging="567"/>
      </w:pPr>
      <w:r>
        <w:t>2.</w:t>
      </w:r>
      <w:r>
        <w:tab/>
      </w:r>
      <w:r>
        <w:t xml:space="preserve">sofern dem Kirchensteuerabzugsverpflichteten die Identifikationsnummer des Schuldners der Kapitalertragsteuer nicht bereits bekannt ist, kann er sie beim Bundeszentralamt für Steuern anfragen. </w:t>
      </w:r>
      <w:r>
        <w:rPr>
          <w:rStyle w:val="Satznummer"/>
        </w:rPr>
        <w:t>2</w:t>
      </w:r>
      <w:r>
        <w:t xml:space="preserve">In der Anfrage dürfen nur die in § 139b Absatz 3 der Abgabenordnung genannten Daten des Schuldners der Kapitalertragsteuer angegeben werden, soweit sie dem Kirchensteuerabzugsverpflichteten bekannt sind. </w:t>
      </w:r>
      <w:r>
        <w:rPr>
          <w:rStyle w:val="Satznummer"/>
        </w:rPr>
        <w:t>3</w:t>
      </w:r>
      <w:r>
        <w:t xml:space="preserve">Die Anfrage hat nach amtlich vorgeschriebenem Datensatz durch Datenfernübertragung zu erfolgen. </w:t>
      </w:r>
      <w:r>
        <w:rPr>
          <w:rStyle w:val="Satznummer"/>
        </w:rPr>
        <w:t>4</w:t>
      </w:r>
      <w:r>
        <w:t>Das Bundeszentralamt für Steuern teilt dem Kirchensteuerabzugsverpflichteten die Identifikationsnummer mit, sofern die übermittelten Daten mit den nach § 139b Absatz 3 der Abgabenordnung beim Bundeszentralamt für Steuern gespeicherten Daten übereinstimmen;</w:t>
      </w:r>
    </w:p>
    <w:p>
      <w:pPr>
        <w:tabs>
          <w:tab w:pos="567" w:val="left"/>
        </w:tabs>
        <w:ind w:left="567" w:hanging="567"/>
      </w:pPr>
      <w:r>
        <w:t>3.</w:t>
      </w:r>
      <w:r>
        <w:tab/>
      </w:r>
      <w:r>
        <w:t xml:space="preserve">der Kirchensteuerabzugsverpflichtete hat unter Angabe der Identifikationsnummer und des Geburtsdatums des Schuldners der Kapitalertragsteuer bei Begründung einer rechtlichen Verbindung beim Bundeszentralamt für Steuern anzufragen, ob der Schuldner der Kapitalertragsteuer kirchensteuerpflichtig ist (Anlassabfrage), und einmal jährlich im Zeitraum vom 1. September bis 31. Oktober beim Bundeszentralamt für Steuern anzufragen, ob der Schuldner der Kapitalertragsteuer am 31. August des betreffenden Jahres (Stichtag) kirchensteuerpflichtig ist (Regelabfrage). </w:t>
      </w:r>
      <w:r>
        <w:rPr>
          <w:rStyle w:val="Satznummer"/>
        </w:rPr>
        <w:t>2</w:t>
      </w:r>
      <w:r>
        <w:t xml:space="preserve">Für Kapitalerträge im Sinne des § 43 Absatz 1 Nummer 4 aus Versicherungsverträgen hat der Kirchensteuerabzugsverpflichtete eine auf den Zuflusszeitpunkt der Kapitalerträge bezogene Abfrage (Anlassabfrage) an das Bundeszentralamt für Steuern zu richten. </w:t>
      </w:r>
      <w:r>
        <w:rPr>
          <w:rStyle w:val="Satznummer"/>
        </w:rPr>
        <w:t>3</w:t>
      </w:r>
      <w:r>
        <w:t xml:space="preserve">Im Übrigen kann der Kirchensteuerabzugsverpflichtete eine Anlassabfrage auf Veranlassung des Schuldners der Kapitalertragsteuer an das Bundeszentralamt für Steuern richten. </w:t>
      </w:r>
      <w:r>
        <w:rPr>
          <w:rStyle w:val="Satznummer"/>
        </w:rPr>
        <w:t>4</w:t>
      </w:r>
      <w:r>
        <w:t xml:space="preserve">Auf die Anfrage hin teilt das Bundeszentralamt für Steuern dem Kirchensteuerabzugsverpflichteten die rechtliche Zugehörigkeit zu einer steuererhebenden Religionsgemeinschaft und den für die Religionsgemeinschaft geltenden Kirchensteuersatz zum Zeitpunkt der Anfrage als automatisiert abrufbares Merkmal nach Nummer 1 mit. </w:t>
      </w:r>
      <w:r>
        <w:rPr>
          <w:rStyle w:val="Satznummer"/>
        </w:rPr>
        <w:t>5</w:t>
      </w:r>
      <w:r>
        <w:t xml:space="preserve">Bei Begründung einer rechtlichen Verbindung ist der Schuldner der Kapitalertragsteuer vom Kirchensteuerabzugsverpflichteten auf die Datenabfrage sowie das Antragsrecht nach Absatz 2e Satz 1 in geeigneter Form hinzuweisen. </w:t>
      </w:r>
      <w:r>
        <w:rPr>
          <w:rStyle w:val="Satznummer"/>
        </w:rPr>
        <w:t>6</w:t>
      </w:r>
      <w:r>
        <w:t xml:space="preserve">Anträge auf das Setzen der Sperrvermerke, die im aktuellen Kalenderjahr für eine Regelabfrage berücksichtigt werden sollen, müssen bis zum 30. Juni beim Bundeszentralamt für Steuern eingegangen sein. </w:t>
      </w:r>
      <w:r>
        <w:rPr>
          <w:rStyle w:val="Satznummer"/>
        </w:rPr>
        <w:t>7</w:t>
      </w:r>
      <w:r>
        <w:t xml:space="preserve">Alle übrigen Sperrvermerke können nur berücksichtigt werden, wenn sie spätestens zwei Monate vor der Abfrage des Kirchensteuerabzugsverpflichteten eingegangen sind. </w:t>
      </w:r>
      <w:r>
        <w:rPr>
          <w:rStyle w:val="Satznummer"/>
        </w:rPr>
        <w:t>8</w:t>
      </w:r>
      <w:r>
        <w:t xml:space="preserve">Dies gilt für den Widerruf entsprechend. </w:t>
      </w:r>
      <w:r>
        <w:rPr>
          <w:rStyle w:val="Satznummer"/>
        </w:rPr>
        <w:t>9</w:t>
      </w:r>
      <w:r>
        <w:t xml:space="preserve">Gehört der Schuldner der Kapitalertragsteuer keiner steuererhebenden Religionsgemeinschaft an oder hat er dem Abruf von Daten zur Religionszugehörigkeit widersprochen (Sperrvermerk), so teilt das Bundeszentralamt für Steuern dem Kirchensteuerabzugsverpflichteten zur Religionszugehörigkeit einen neutralen Wert (Nullwert) mit. </w:t>
      </w:r>
      <w:r>
        <w:rPr>
          <w:rStyle w:val="Satznummer"/>
        </w:rPr>
        <w:t>10</w:t>
      </w:r>
      <w:r>
        <w:t>Der Kirchensteuerabzugsverpflichtete hat die vorhandenen Daten zur Religionszugehörigkeit unverzüglich zu löschen, wenn ein Nullwert übermittelt wurde;</w:t>
      </w:r>
    </w:p>
    <w:p>
      <w:pPr>
        <w:tabs>
          <w:tab w:pos="567" w:val="left"/>
        </w:tabs>
        <w:ind w:left="567" w:hanging="567"/>
      </w:pPr>
      <w:r>
        <w:t>4.</w:t>
      </w:r>
      <w:r>
        <w:tab/>
      </w:r>
      <w:r>
        <w:t xml:space="preserve">im Falle einer am Stichtag oder im Zuflusszeitpunkt bestehenden Kirchensteuerpflicht hat der Kirchensteuerabzugsverpflichtete den Kirchensteuerabzug für die steuererhebende Religionsgemeinschaft durchzuführen und den Kirchensteuerbetrag an das für ihn zuständige Finanzamt abzuführen. </w:t>
      </w:r>
      <w:r>
        <w:rPr>
          <w:rStyle w:val="Satznummer"/>
        </w:rPr>
        <w:t>2</w:t>
      </w:r>
      <w:hyperlink w:anchor="b176" w:history="1">
        <w:r>
          <w:rPr>
            <w:color w:val="0A3A8C"/>
            <w:u w:val="single"/>
          </w:rPr>
          <w:t xml:space="preserve">§ 45a</w:t>
        </w:r>
      </w:hyperlink>
      <w:r>
        <w:t xml:space="preserve"> Absatz 1 gilt entsprechend; in der Steueranmeldung sind die nach Satz 1 einbehaltenen Kirchensteuerbeträge für jede steuererhebende Religionsgemeinschaft jeweils als Summe anzumelden. </w:t>
      </w:r>
      <w:r>
        <w:rPr>
          <w:rStyle w:val="Satznummer"/>
        </w:rPr>
        <w:t>3</w:t>
      </w:r>
      <w:r>
        <w:t xml:space="preserve">Die auf Grund der Regelabfrage vom Bundeszentralamt für Steuern bestätigte Kirchensteuerpflicht hat der Kirchensteuerabzugsverpflichtete dem Kirchensteuerabzug des auf den Stichtag folgenden Kalenderjahres zu Grunde zu legen. </w:t>
      </w:r>
      <w:r>
        <w:rPr>
          <w:rStyle w:val="Satznummer"/>
        </w:rPr>
        <w:t>4</w:t>
      </w:r>
      <w:r>
        <w:t>Das Ergebnis einer Anlassabfrage wirkt anlassbezogen.</w:t>
      </w:r>
    </w:p>
    <w:p>
      <w:r>
        <w:rPr>
          <w:rStyle w:val="Satznummer"/>
        </w:rPr>
        <w:t>2</w:t>
      </w:r>
      <w:r>
        <w:t xml:space="preserve">Die Daten gemäß Nummer 3 sind nach amtlich vorgeschriebenem Datensatz durch Datenfernübertragung zu übermitteln. </w:t>
      </w:r>
      <w:r>
        <w:rPr>
          <w:rStyle w:val="Satznummer"/>
        </w:rPr>
        <w:t>3</w:t>
      </w:r>
      <w:r>
        <w:t xml:space="preserve">Die Verbindung der Anfrage nach Nummer 2 mit der Anfrage nach Nummer 3 zu einer Anfrage ist zulässig. </w:t>
      </w:r>
      <w:r>
        <w:rPr>
          <w:rStyle w:val="Satznummer"/>
        </w:rPr>
        <w:t>4</w:t>
      </w:r>
      <w:r>
        <w:t xml:space="preserve">Auf Antrag kann das Bundeszentralamt für Steuern zur Vermeidung unbilliger Härten auf eine elektronische Übermittlung verzichten. </w:t>
      </w:r>
      <w:r>
        <w:rPr>
          <w:rStyle w:val="Satznummer"/>
        </w:rPr>
        <w:t>5</w:t>
      </w:r>
      <w:hyperlink w:anchor="b172" w:history="1">
        <w:r>
          <w:rPr>
            <w:color w:val="0A3A8C"/>
            <w:u w:val="single"/>
          </w:rPr>
          <w:t xml:space="preserve">§ 44</w:t>
        </w:r>
      </w:hyperlink>
      <w:r>
        <w:t xml:space="preserve"> Absatz 5 ist mit der Maßgabe anzuwenden, dass der Haftungsbescheid von dem für den Kirchensteuerabzugsverpflichteten zuständigen Finanzamt erlassen wird. </w:t>
      </w:r>
      <w:r>
        <w:rPr>
          <w:rStyle w:val="Satznummer"/>
        </w:rPr>
        <w:t>6</w:t>
      </w:r>
      <w:hyperlink w:anchor="b176" w:history="1">
        <w:r>
          <w:rPr>
            <w:color w:val="0A3A8C"/>
            <w:u w:val="single"/>
          </w:rPr>
          <w:t xml:space="preserve">§ 45a</w:t>
        </w:r>
      </w:hyperlink>
      <w:r>
        <w:t xml:space="preserve"> Absatz 2 ist mit der Maßgabe anzuwenden, dass die steuererhebende Religionsgemeinschaft angegeben wird. </w:t>
      </w:r>
      <w:r>
        <w:rPr>
          <w:rStyle w:val="Satznummer"/>
        </w:rPr>
        <w:t>7</w:t>
      </w:r>
      <w:r>
        <w:t xml:space="preserve">Sind an den Kapitalerträgen ausschließlich Ehegatten beteiligt, wird der Anteil an der Kapitalertragsteuer hälftig ermittelt. </w:t>
      </w:r>
      <w:r>
        <w:rPr>
          <w:rStyle w:val="Satznummer"/>
        </w:rPr>
        <w:t>8</w:t>
      </w:r>
      <w:r>
        <w:t xml:space="preserve">Der Kirchensteuerabzugsverpflichtete darf die von ihm für die Durchführung des Kirchensteuerabzugs erhobenen Daten ausschließlich für diesen Zweck verarbeiten. </w:t>
      </w:r>
      <w:r>
        <w:rPr>
          <w:rStyle w:val="Satznummer"/>
        </w:rPr>
        <w:t>9</w:t>
      </w:r>
      <w:r>
        <w:t xml:space="preserve">Er hat organisatorisch dafür Sorge zu tragen, dass ein Zugriff auf diese Daten für andere Zwecke gesperrt ist. </w:t>
      </w:r>
      <w:r>
        <w:rPr>
          <w:rStyle w:val="Satznummer"/>
        </w:rPr>
        <w:t>10</w:t>
      </w:r>
      <w:r>
        <w:t>Ohne Einwilligung der oder des Kirchensteuerpflichtigen und soweit gesetzlich nichts anderes zugelassen ist, dürfen der Kirchensteuerabzugsverpflichtete und die beteiligte Finanzbehörde die Daten nach Satz 8 nicht für andere Zwecke verarbeiten.</w:t>
      </w:r>
    </w:p>
    <w:p>
      <w:r>
        <w:t xml:space="preserve">(2d) </w:t>
      </w:r>
      <w:r>
        <w:rPr>
          <w:rStyle w:val="Satznummer"/>
        </w:rPr>
        <w:t>1</w:t>
      </w:r>
      <w:r>
        <w:t xml:space="preserve">Wird die nach Absatz 2b zu erhebende Kirchensteuer nicht nach Absatz 2c als Kirchensteuerabzug vom Kirchensteuerabzugsverpflichteten einbehalten, wird sie nach Ablauf des Kalenderjahres nach dem Kapitalertragsteuerbetrag veranlagt, der sich ergibt, wenn die Steuer auf Kapitalerträge nach </w:t>
      </w:r>
      <w:hyperlink w:anchor="b111" w:history="1">
        <w:r>
          <w:rPr>
            <w:color w:val="0A3A8C"/>
            <w:u w:val="single"/>
          </w:rPr>
          <w:t xml:space="preserve">§ 32d</w:t>
        </w:r>
      </w:hyperlink>
      <w:r>
        <w:t xml:space="preserve"> Absatz 1 Satz 4 und 5 errechnet wird; wenn Kirchensteuer als Kirchensteuerabzug nach Absatz 2c erhoben wurde, wird eine Veranlagung auf Antrag des Steuerpflichtigen durchgeführt. </w:t>
      </w:r>
      <w:r>
        <w:rPr>
          <w:rStyle w:val="Satznummer"/>
        </w:rPr>
        <w:t>2</w:t>
      </w:r>
      <w:r>
        <w:t xml:space="preserve">Der Abzugsverpflichtete hat dem Kirchensteuerpflichtigen auf dessen Verlangen hin eine Bescheinigung über die einbehaltene Kapitalertragsteuer zu erteilen. </w:t>
      </w:r>
      <w:r>
        <w:rPr>
          <w:rStyle w:val="Satznummer"/>
        </w:rPr>
        <w:t>3</w:t>
      </w:r>
      <w:r>
        <w:t xml:space="preserve">Der Kirchensteuerpflichtige hat die erhobene Kapitalertragsteuer zu erklären und die Bescheinigung nach Satz 2 oder nach </w:t>
      </w:r>
      <w:hyperlink w:anchor="b176" w:history="1">
        <w:r>
          <w:rPr>
            <w:color w:val="0A3A8C"/>
            <w:u w:val="single"/>
          </w:rPr>
          <w:t xml:space="preserve">§ 45a</w:t>
        </w:r>
      </w:hyperlink>
      <w:r>
        <w:t xml:space="preserve"> Absatz 2 oder 3 vorzulegen.</w:t>
      </w:r>
    </w:p>
    <w:p>
      <w:r>
        <w:t xml:space="preserve">(2e) </w:t>
      </w:r>
      <w:r>
        <w:rPr>
          <w:rStyle w:val="Satznummer"/>
        </w:rPr>
        <w:t>1</w:t>
      </w:r>
      <w:r>
        <w:t xml:space="preserve">Der Schuldner der Kapitalertragsteuer kann unter Angabe seiner Identifikationsnummer nach amtlich vorgeschriebenem Vordruck schriftlich beim Bundeszentralamt für Steuern beantragen, dass der automatisierte Datenabruf seiner rechtlichen Zugehörigkeit zu einer steuererhebenden Religionsgemeinschaft bis auf schriftlichen Widerruf unterbleibt (Sperrvermerk). </w:t>
      </w:r>
      <w:r>
        <w:rPr>
          <w:rStyle w:val="Satznummer"/>
        </w:rPr>
        <w:t>2</w:t>
      </w:r>
      <w:r>
        <w:t xml:space="preserve">Das Bundeszentralamt für Steuern kann für die Abgabe der Erklärungen nach Satz 1 ein anderes sicheres Verfahren zur Verfügung stellen. </w:t>
      </w:r>
      <w:r>
        <w:rPr>
          <w:rStyle w:val="Satznummer"/>
        </w:rPr>
        <w:t>3</w:t>
      </w:r>
      <w:r>
        <w:t xml:space="preserve">Der Sperrvermerk verpflichtet den Kirchensteuerpflichtigen für jeden Veranlagungszeitraum, in dem Kapitalertragsteuer einbehalten worden ist, zur Abgabe einer Steuererklärung zum Zwecke der Veranlagung nach Absatz 2d Satz 1. </w:t>
      </w:r>
      <w:r>
        <w:rPr>
          <w:rStyle w:val="Satznummer"/>
        </w:rPr>
        <w:t>4</w:t>
      </w:r>
      <w:r>
        <w:t xml:space="preserve">Das Bundeszentralamt für Steuern übermittelt für jeden Veranlagungszeitraum, für den ein Sperrvermerk abgerufen worden ist, an das Wohnsitzfinanzamt des Schuldners der Kapitalertragsteuer Name und Anschrift des Kirchensteuerabzugsverpflichteten, dem im Fall des Absatzes 2c Satz 1 Nummer 3 auf Grund des Sperrvermerks ein Nullwert im Sinne des Absatzes 2c Satz 1 Nummer 3 Satz 9 mitgeteilt worden ist. </w:t>
      </w:r>
      <w:r>
        <w:rPr>
          <w:rStyle w:val="Satznummer"/>
        </w:rPr>
        <w:t>5</w:t>
      </w:r>
      <w:r>
        <w:t>Das Wohnsitzfinanzamt fordert den Kirchensteuerpflichtigen zur Abgabe einer Steuererklärung nach § 149 Absatz 1 Satz 1 und 2 der Abgabenordnung auf.</w:t>
      </w:r>
    </w:p>
    <w:p>
      <w:r>
        <w:t>(3) Ist die Einkommensteuer für Einkünfte, die dem Steuerabzug unterliegen, durch den Steuerabzug abgegolten oder werden solche Einkünfte bei der Veranlagung zur Einkommensteuer oder beim Lohnsteuer-Jahresausgleich nicht erfasst, gilt dies für die Zuschlagsteuer entsprechend.</w:t>
      </w:r>
    </w:p>
    <w:p>
      <w:r>
        <w:t>(4)</w:t>
      </w:r>
      <w:r>
        <w:t xml:space="preserve"> </w:t>
      </w:r>
      <w:r>
        <w:rPr>
          <w:rStyle w:val="Satznummer"/>
        </w:rPr>
        <w:t>1</w:t>
      </w:r>
      <w:r>
        <w:t xml:space="preserve">Die Vorauszahlungen auf Zuschlagsteuern sind gleichzeitig mit den festgesetzten Vorauszahlungen auf die Einkommensteuer zu entrichten; </w:t>
      </w:r>
      <w:hyperlink w:anchor="b140" w:history="1">
        <w:r>
          <w:rPr>
            <w:color w:val="0A3A8C"/>
            <w:u w:val="single"/>
          </w:rPr>
          <w:t xml:space="preserve">§ 37</w:t>
        </w:r>
      </w:hyperlink>
      <w:r>
        <w:t xml:space="preserve"> Absatz 5 ist nicht anzuwenden. </w:t>
      </w:r>
      <w:r>
        <w:rPr>
          <w:rStyle w:val="Satznummer"/>
        </w:rPr>
        <w:t>2</w:t>
      </w:r>
      <w:r>
        <w:t xml:space="preserve">Solange ein Bescheid über die Vorauszahlungen auf Zuschlagsteuern nicht erteilt worden ist, sind die Vorauszahlungen ohne besondere Aufforderung nach Maßgabe der für die Zuschlagsteuern geltenden Vorschriften zu entrichten. </w:t>
      </w:r>
      <w:r>
        <w:rPr>
          <w:rStyle w:val="Satznummer"/>
        </w:rPr>
        <w:t>3</w:t>
      </w:r>
      <w:r>
        <w:t>§ 240 Absatz 1 Satz 3 der Abgabenordnung ist insoweit nicht anzuwenden; § 254 Absatz 2 der Abgabenordnung gilt insoweit sinngemäß.</w:t>
      </w:r>
    </w:p>
    <w:p>
      <w:r>
        <w:t>(5)</w:t>
      </w:r>
      <w:r>
        <w:t xml:space="preserve"> </w:t>
      </w:r>
      <w:r>
        <w:rPr>
          <w:rStyle w:val="Satznummer"/>
        </w:rPr>
        <w:t>1</w:t>
      </w:r>
      <w:r>
        <w:t xml:space="preserve">Mit einem Rechtsbehelf gegen die Zuschlagsteuer kann weder die Bemessungsgrundlage noch die Höhe des zu versteuernden Einkommens angegriffen werden. </w:t>
      </w:r>
      <w:r>
        <w:rPr>
          <w:rStyle w:val="Satznummer"/>
        </w:rPr>
        <w:t>2</w:t>
      </w:r>
      <w:r>
        <w:t>Wird die Bemessungsgrundlage geändert, ändert sich die Zuschlagsteuer entsprechend.</w:t>
      </w:r>
    </w:p>
    <w:p>
      <w:r>
        <w:t>(6) Die Absätze 1 bis 5 gelten für die Kirchensteuern nach Maßgabe landesrechtlicher Vorschriften.</w:t>
      </w:r>
    </w:p>
    <w:p>
      <w:pPr>
        <w:pStyle w:val="Heading2"/>
      </w:pPr>
      <w:bookmarkStart w:id="207" w:name="b206"/>
      <w:r>
        <w:t>§ 52 Anwendungsvorschriften</w:t>
      </w:r>
      <w:r>
        <w:t xml:space="preserve"> </w:t>
      </w:r>
      <w:r>
        <w:rPr>
          <w:rStyle w:val="Suchmarke"/>
        </w:rPr>
        <w:t>#52#</w:t>
      </w:r>
      <w:bookmarkEnd w:id="207"/>
    </w:p>
    <w:p>
      <w:r>
        <w:t xml:space="preserve">(1) </w:t>
      </w:r>
      <w:r>
        <w:rPr>
          <w:rStyle w:val="Satznummer"/>
        </w:rPr>
        <w:t>1</w:t>
      </w:r>
      <w:r>
        <w:t xml:space="preserve">Diese Fassung des Gesetzes ist, soweit in den folgenden Absätzen nichts anderes bestimmt ist, erstmals für den Veranlagungszeitraum 2026 anzuwenden. </w:t>
      </w:r>
      <w:r>
        <w:rPr>
          <w:rStyle w:val="Satznummer"/>
        </w:rPr>
        <w:t>2</w:t>
      </w:r>
      <w:r>
        <w:t xml:space="preserve">Beim Steuerabzug vom Arbeitslohn gilt Satz 1 mit der Maßgabe, dass diese Fassung erstmals auf den laufenden Arbeitslohn anzuwenden ist, der für einen nach dem 31. Dezember 2025 endenden Lohnzahlungszeitraum gezahlt wird, und auf sonstige Bezüge, die nach dem 31. Dezember 2025 zufließen. </w:t>
      </w:r>
      <w:r>
        <w:rPr>
          <w:rStyle w:val="Satznummer"/>
        </w:rPr>
        <w:t>3</w:t>
      </w:r>
      <w:r>
        <w:t>Beim Steuerabzug vom Kapitalertrag gilt Satz 1 mit der Maßgabe, dass diese Fassung des Gesetzes erstmals auf Kapitalerträge anzuwenden ist, die dem Gläubiger nach dem 31. Dezember 2025 zufließen.</w:t>
      </w:r>
    </w:p>
    <w:p>
      <w:r>
        <w:t xml:space="preserve">(2) </w:t>
      </w:r>
      <w:r>
        <w:rPr>
          <w:rStyle w:val="Satznummer"/>
        </w:rPr>
        <w:t>1</w:t>
      </w:r>
      <w:r>
        <w:t xml:space="preserve">§ 2a Absatz 1 Satz 1 Nummer 6 Buchstabe b in der am 1. Januar 2000 geltenden Fassung ist erstmals auf negative Einkünfte eines Steuerpflichtigen anzuwenden, die er aus einer entgeltlichen Überlassung von Schiffen auf Grund eines nach dem 31. Dezember 1999 rechtswirksam abgeschlossenen obligatorischen Vertrags oder gleichstehenden Rechtsakts erzielt. </w:t>
      </w:r>
      <w:r>
        <w:rPr>
          <w:rStyle w:val="Satznummer"/>
        </w:rPr>
        <w:t>2</w:t>
      </w:r>
      <w:r>
        <w:t xml:space="preserve">Für negative Einkünfte im Sinne des § 2a Absatz 1 und 2 in der am 24. Dezember 2008 geltenden Fassung, die vor dem 25. Dezember 2008 nach </w:t>
      </w:r>
      <w:hyperlink w:anchor="b6" w:history="1">
        <w:r>
          <w:rPr>
            <w:color w:val="0A3A8C"/>
            <w:u w:val="single"/>
          </w:rPr>
          <w:t xml:space="preserve">§ 2a</w:t>
        </w:r>
      </w:hyperlink>
      <w:r>
        <w:t xml:space="preserve"> Absatz 1 Satz 5 bestandskräftig gesondert festgestellt wurden, ist § 2a Absatz 1 Satz 3 bis 5 in der am 24. Dezember 2008 geltenden Fassung weiter anzuwenden. </w:t>
      </w:r>
      <w:r>
        <w:rPr>
          <w:rStyle w:val="Satznummer"/>
        </w:rPr>
        <w:t>3</w:t>
      </w:r>
      <w:r>
        <w:t xml:space="preserve">§ 2a Absatz 3 Satz 3, 5 und 6 in der am 29. April 1997 geltenden Fassung ist für Veranlagungszeiträume ab 1999 weiter anzuwenden, soweit sich ein positiver Betrag im Sinne des § 2a Absatz 3 Satz 3 in der am 29. April 1997 geltenden Fassung ergibt oder soweit eine in einem ausländischen Staat belegene Betriebsstätte im Sinne des § 2a Absatz 4 in der Fassung des § 52 Absatz 3 Satz 8 in der am 30. Juli 2014 geltenden Fassung in eine Kapitalgesellschaft umgewandelt, übertragen oder aufgegeben wird. </w:t>
      </w:r>
      <w:r>
        <w:rPr>
          <w:rStyle w:val="Satznummer"/>
        </w:rPr>
        <w:t>4</w:t>
      </w:r>
      <w:r>
        <w:t xml:space="preserve">Insoweit ist in </w:t>
      </w:r>
      <w:hyperlink w:anchor="b6" w:history="1">
        <w:r>
          <w:rPr>
            <w:color w:val="0A3A8C"/>
            <w:u w:val="single"/>
          </w:rPr>
          <w:t xml:space="preserve">§ 2a</w:t>
        </w:r>
      </w:hyperlink>
      <w:r>
        <w:t xml:space="preserve"> Absatz 3 Satz 5 letzter Halbsatz in der am 29. April 1997 geltenden Fassung die Angabe „§ 10d Absatz 3” durch die Angabe „§ 10d Absatz 4” zu ersetzen.</w:t>
      </w:r>
    </w:p>
    <w:p>
      <w:r>
        <w:t>(3) § 2b in der Fassung der Bekanntmachung vom 19. Oktober 2002 (BGBl. I S. 4210; 2003 I S. 179) ist weiterhin für Einkünfte aus einer Einkunftsquelle im Sinne des § 2b anzuwenden, die der Steuerpflichtige nach dem 4. März 1999 und vor dem 11. November 2005 rechtswirksam erworben oder begründet hat.</w:t>
      </w:r>
    </w:p>
    <w:p>
      <w:r>
        <w:t xml:space="preserve">(4) </w:t>
      </w:r>
      <w:r>
        <w:rPr>
          <w:rStyle w:val="Satznummer"/>
        </w:rPr>
        <w:t>1</w:t>
      </w:r>
      <w:r>
        <w:t xml:space="preserve">§ 3 Nummer 5 in der am 30. Juni 2013 geltenden Fassung ist vorbehaltlich des Satzes 2 erstmals für den Veranlagungszeitraum 2013 anzuwenden. </w:t>
      </w:r>
      <w:r>
        <w:rPr>
          <w:rStyle w:val="Satznummer"/>
        </w:rPr>
        <w:t>2</w:t>
      </w:r>
      <w:r>
        <w:t xml:space="preserve">§ 3 Nummer 5 in der am 29. Juni 2013 geltenden Fassung ist weiterhin anzuwenden für freiwillig Wehrdienst Leistende, die das Dienstverhältnis vor dem 1. Januar 2014 begonnen haben. </w:t>
      </w:r>
      <w:r>
        <w:rPr>
          <w:rStyle w:val="Satznummer"/>
        </w:rPr>
        <w:t>3</w:t>
      </w:r>
      <w:r>
        <w:t xml:space="preserve">§ 3 Nummer 10 in der am 31. Dezember 2005 geltenden Fassung ist weiter anzuwenden für ausgezahlte Übergangsbeihilfen an Soldatinnen auf Zeit und Soldaten auf Zeit, wenn das Dienstverhältnis vor dem 1. Januar 2006 begründet worden ist. </w:t>
      </w:r>
      <w:r>
        <w:rPr>
          <w:rStyle w:val="Satznummer"/>
        </w:rPr>
        <w:t>4</w:t>
      </w:r>
      <w:r>
        <w:t xml:space="preserve">§ 3 Nummer 11b in der Fassung des Artikels 1 des Gesetzes vom 19. Juni 2022 (BGBl. I S. 911) ist erstmals für den Veranlagungszeitraum 2021 anzuwenden. </w:t>
      </w:r>
      <w:r>
        <w:rPr>
          <w:rStyle w:val="Satznummer"/>
        </w:rPr>
        <w:t>5</w:t>
      </w:r>
      <w:r>
        <w:t xml:space="preserve">§ 3 Nummer 14a in der Fassung des Artikels 3 des Gesetzes vom 16. Dezember 2022 (BGBl. I S. 2294) ist erstmals für den Veranlagungszeitraum 2021 anzuwenden. </w:t>
      </w:r>
      <w:r>
        <w:rPr>
          <w:rStyle w:val="Satznummer"/>
        </w:rPr>
        <w:t>6</w:t>
      </w:r>
      <w:r>
        <w:t xml:space="preserve">Ist in der für das jeweilige Leistungsjahr zuletzt übermittelten Rentenbezugsmitteilung im Sinne des § 22a in den nach </w:t>
      </w:r>
      <w:hyperlink w:anchor="b91" w:history="1">
        <w:r>
          <w:rPr>
            <w:color w:val="0A3A8C"/>
            <w:u w:val="single"/>
          </w:rPr>
          <w:t xml:space="preserve">§ 22a</w:t>
        </w:r>
      </w:hyperlink>
      <w:r>
        <w:t xml:space="preserve"> Absatz 1 Satz 1 Nummer 2 zu übermittelnden Daten der Zuschlag an Entgeltpunkten für langjährige Versicherung nach dem Sechsten Buch Sozialgesetzbuch enthalten, haben die Träger der gesetzlichen Rentenversicherung als mitteilungspflichtige Stelle im Sinne des </w:t>
      </w:r>
      <w:hyperlink w:anchor="b91" w:history="1">
        <w:r>
          <w:rPr>
            <w:color w:val="0A3A8C"/>
            <w:u w:val="single"/>
          </w:rPr>
          <w:t xml:space="preserve">§ 22a</w:t>
        </w:r>
      </w:hyperlink>
      <w:r>
        <w:t xml:space="preserve"> bis zum letzten Tag des Monats Februar 2024 für das jeweilige Leistungsjahr eine insoweit korrigierte Rentenbezugsmitteilung zu übermitteln. </w:t>
      </w:r>
      <w:r>
        <w:rPr>
          <w:rStyle w:val="Satznummer"/>
        </w:rPr>
        <w:t>7</w:t>
      </w:r>
      <w:r>
        <w:t xml:space="preserve">Ein Einkommensteuerbescheid ist infolge einer nach Satz 6 korrigierten Rentenbezugsmitteilung insoweit zu ändern. </w:t>
      </w:r>
      <w:r>
        <w:rPr>
          <w:rStyle w:val="Satznummer"/>
        </w:rPr>
        <w:t>8</w:t>
      </w:r>
      <w:r>
        <w:t xml:space="preserve">Das gilt auch, wenn der Einkommensteuerbescheid bereits bestandskräftig ist; andere Änderungsvorschriften bleiben unberührt. </w:t>
      </w:r>
      <w:r>
        <w:rPr>
          <w:rStyle w:val="Satznummer"/>
        </w:rPr>
        <w:t>9</w:t>
      </w:r>
      <w:r>
        <w:t xml:space="preserve">Auf fortlaufende Leistungen nach dem Gesetz über die Heimkehrerstiftung vom 21. Dezember 1992 (BGBl. I S. 2094, 2101), das zuletzt durch Artikel 1 des Gesetzes vom 10. Dezember 2007 (BGBl. I S. 2830) geändert worden ist, in der jeweils geltenden Fassung ist § 3 Nummer 19 in der am 31. Dezember 2010 geltenden Fassung weiter anzuwenden. </w:t>
      </w:r>
      <w:r>
        <w:rPr>
          <w:rStyle w:val="Satznummer"/>
        </w:rPr>
        <w:t>10</w:t>
      </w:r>
      <w:r>
        <w:t xml:space="preserve">§ 3 Nummer 26 und 26a in der Fassung des Artikels 1 des Gesetzes vom 22. Dezember 2025 (BGBl. 2025 I Nr. 363) ist in allen offenen Fällen anzuwenden. </w:t>
      </w:r>
      <w:r>
        <w:rPr>
          <w:rStyle w:val="Satznummer"/>
        </w:rPr>
        <w:t>11</w:t>
      </w:r>
      <w:r>
        <w:t xml:space="preserve">Für die Anwendung des § 3 Nummer 34 in der Fassung des Artikels 3 des Gesetzes vom 11. Dezember 2018 (BGBl. I S. 2338) ist das Zertifizierungserfordernis nach </w:t>
      </w:r>
      <w:hyperlink w:anchor="b86" w:history="1">
        <w:r>
          <w:rPr>
            <w:color w:val="0A3A8C"/>
            <w:u w:val="single"/>
          </w:rPr>
          <w:t xml:space="preserve">§ 20</w:t>
        </w:r>
      </w:hyperlink>
      <w:r>
        <w:t xml:space="preserve"> Absatz 2 Satz 2 in Verbindung mit § 20 Absatz 5 des Fünften Buches Sozialgesetzbuch für bereits vor dem 1. Januar 2019 begonnene unzertifizierte Gesundheitsmaßnahmen erstmals maßgeblich für Sachbezüge, die nach dem 31. Dezember 2019 gewährt werden. </w:t>
      </w:r>
      <w:r>
        <w:rPr>
          <w:rStyle w:val="Satznummer"/>
        </w:rPr>
        <w:t>12</w:t>
      </w:r>
      <w:r>
        <w:t xml:space="preserve">§ 3 Nummer 37 in der Fassung des Artikels 3 des Gesetzes vom 11. Dezember 2018 (BGBl. I S. 2338) ist letztmals für den Veranlagungszeitraum 2030 anzuwenden, sowie beim Steuerabzug vom Arbeitslohn auf Vorteile, die in einem vor dem 1. Januar 2031 endenden Lohnzahlungszeitraum oder als sonstige Bezüge vor dem 1. Januar 2031 zugewendet werden. </w:t>
      </w:r>
      <w:r>
        <w:rPr>
          <w:rStyle w:val="Satznummer"/>
        </w:rPr>
        <w:t>13</w:t>
      </w:r>
      <w:hyperlink w:anchor="b8" w:history="1">
        <w:r>
          <w:rPr>
            <w:color w:val="0A3A8C"/>
            <w:u w:val="single"/>
          </w:rPr>
          <w:t xml:space="preserve">§ 3</w:t>
        </w:r>
      </w:hyperlink>
      <w:r>
        <w:t xml:space="preserve"> Nummer 40 ist erstmals anzuwenden für</w:t>
      </w:r>
    </w:p>
    <w:p>
      <w:pPr>
        <w:tabs>
          <w:tab w:pos="567" w:val="left"/>
        </w:tabs>
        <w:ind w:left="567" w:hanging="567"/>
      </w:pPr>
      <w:r>
        <w:t>1.</w:t>
      </w:r>
      <w:r>
        <w:tab/>
      </w:r>
      <w:r>
        <w:t xml:space="preserve">Gewinnausschüttungen, auf die bei der ausschüttenden Körperschaft der nach Artikel 3 des Gesetzes vom 23. Oktober 2000 (BGBl. I S. 1433) aufgehobene Vierte Teil des Körperschaftsteuergesetzes nicht mehr anzuwenden ist; für die übrigen in </w:t>
      </w:r>
      <w:hyperlink w:anchor="b8" w:history="1">
        <w:r>
          <w:rPr>
            <w:color w:val="0A3A8C"/>
            <w:u w:val="single"/>
          </w:rPr>
          <w:t xml:space="preserve">§ 3</w:t>
        </w:r>
      </w:hyperlink>
      <w:r>
        <w:t xml:space="preserve"> Nummer 40 genannten Erträge im Sinne des </w:t>
      </w:r>
      <w:hyperlink w:anchor="b86" w:history="1">
        <w:r>
          <w:rPr>
            <w:color w:val="0A3A8C"/>
            <w:u w:val="single"/>
          </w:rPr>
          <w:t xml:space="preserve">§ 20</w:t>
        </w:r>
      </w:hyperlink>
      <w:r>
        <w:t xml:space="preserve"> gilt Entsprechendes;</w:t>
      </w:r>
    </w:p>
    <w:p>
      <w:pPr>
        <w:tabs>
          <w:tab w:pos="567" w:val="left"/>
        </w:tabs>
        <w:ind w:left="567" w:hanging="567"/>
      </w:pPr>
      <w:r>
        <w:t>2.</w:t>
      </w:r>
      <w:r>
        <w:tab/>
      </w:r>
      <w:r>
        <w:t>Erträge im Sinne des § 3 Nummer 40 Satz 1 Buchstabe a, b, c und j nach Ablauf des ersten Wirtschaftsjahres der Gesellschaft, an der die Anteile bestehen, für das das Körperschaftsteuergesetz in der Fassung des Artikels 3 des Gesetzes vom 23. Oktober 2000 (BGBl. I S. 1433) erstmals anzuwenden ist.</w:t>
      </w:r>
    </w:p>
    <w:p>
      <w:r>
        <w:rPr>
          <w:rStyle w:val="Satznummer"/>
        </w:rPr>
        <w:t>14</w:t>
      </w:r>
      <w:r>
        <w:t xml:space="preserve">§ 3 Nummer 40 Satz 1 Buchstabe d Satz 3 in der Fassung des Artikels 1 des Gesetzes vom 25. Juni 2021 (BGBl. I S. 2035) ist erstmals für Bezüge anzuwenden, die nach dem 31. Dezember 2019 zufließen. </w:t>
      </w:r>
      <w:r>
        <w:rPr>
          <w:rStyle w:val="Satznummer"/>
        </w:rPr>
        <w:t>15</w:t>
      </w:r>
      <w:r>
        <w:t xml:space="preserve">§ 3 Nummer 40 Satz 3 und 4 in der am 12. Dezember 2006 geltenden Fassung ist für Anteile, die einbringungsgeboren im Sinne des § 21 des Umwandlungssteuergesetzes in der am 12. Dezember 2006 geltenden Fassung sind, weiter anzuwenden. </w:t>
      </w:r>
      <w:r>
        <w:rPr>
          <w:rStyle w:val="Satznummer"/>
        </w:rPr>
        <w:t>16</w:t>
      </w:r>
      <w:hyperlink w:anchor="b8" w:history="1">
        <w:r>
          <w:rPr>
            <w:color w:val="0A3A8C"/>
            <w:u w:val="single"/>
          </w:rPr>
          <w:t xml:space="preserve">§ 3</w:t>
        </w:r>
      </w:hyperlink>
      <w:r>
        <w:t xml:space="preserve"> Nummer 40 Satz 3 erster Halbsatz in der am 1. Januar 2017 geltenden Fassung ist erstmals für den Veranlagungszeitraum 2017 anzuwenden; der zweite Halbsatz ist anzuwenden auf Anteile, die nach dem 31. Dezember 2016 dem Betriebsvermögen zugehen. </w:t>
      </w:r>
      <w:r>
        <w:rPr>
          <w:rStyle w:val="Satznummer"/>
        </w:rPr>
        <w:t>17</w:t>
      </w:r>
      <w:r>
        <w:t xml:space="preserve">Bei vom Kalenderjahr abweichenden Wirtschaftsjahren ist § 3 Nummer 40 Buchstabe d Satz 2 in der am 30. Juni 2013 geltenden Fassung erstmals für den Veranlagungszeitraum anzuwenden, in dem das Wirtschaftsjahr endet, das nach dem 31. Dezember 2013 begonnen hat. </w:t>
      </w:r>
      <w:r>
        <w:rPr>
          <w:rStyle w:val="Satznummer"/>
        </w:rPr>
        <w:t>18</w:t>
      </w:r>
      <w:r>
        <w:t xml:space="preserve">§ 3 Nummer 40a in der am 6. August 2004 geltenden Fassung ist auf Vergütungen im Sinne des </w:t>
      </w:r>
      <w:hyperlink w:anchor="b81" w:history="1">
        <w:r>
          <w:rPr>
            <w:color w:val="0A3A8C"/>
            <w:u w:val="single"/>
          </w:rPr>
          <w:t xml:space="preserve">§ 18</w:t>
        </w:r>
      </w:hyperlink>
      <w:r>
        <w:t xml:space="preserve"> Absatz 1 Nummer 4 anzuwenden, wenn die vermögensverwaltende Gesellschaft oder Gemeinschaft nach dem 31. März 2002 und vor dem 1. Januar 2009 gegründet worden ist oder soweit die Vergütungen in Zusammenhang mit der Veräußerung von Anteilen an Kapitalgesellschaften stehen, die nach dem 7. November 2003 und vor dem 1. Januar 2009 erworben worden sind. </w:t>
      </w:r>
      <w:r>
        <w:rPr>
          <w:rStyle w:val="Satznummer"/>
        </w:rPr>
        <w:t>19</w:t>
      </w:r>
      <w:r>
        <w:t xml:space="preserve">§ 3 Nummer 40a in der am 19. August 2008 geltenden Fassung ist erstmals auf Vergütungen im Sinne des </w:t>
      </w:r>
      <w:hyperlink w:anchor="b81" w:history="1">
        <w:r>
          <w:rPr>
            <w:color w:val="0A3A8C"/>
            <w:u w:val="single"/>
          </w:rPr>
          <w:t xml:space="preserve">§ 18</w:t>
        </w:r>
      </w:hyperlink>
      <w:r>
        <w:t xml:space="preserve"> Absatz 1 Nummer 4 anzuwenden, wenn die vermögensverwaltende Gesellschaft oder Gemeinschaft nach dem 31. Dezember 2008 gegründet worden ist. </w:t>
      </w:r>
      <w:r>
        <w:rPr>
          <w:rStyle w:val="Satznummer"/>
        </w:rPr>
        <w:t>20</w:t>
      </w:r>
      <w:r>
        <w:t xml:space="preserve">§ 3 Nummer 41 in der am 30. Juni 2021 geltenden Fassung ist letztmals für den Veranlagungszeitraum 2021 anzuwenden. </w:t>
      </w:r>
      <w:r>
        <w:rPr>
          <w:rStyle w:val="Satznummer"/>
        </w:rPr>
        <w:t>21</w:t>
      </w:r>
      <w:r>
        <w:t xml:space="preserve">§ 3 Nummer 46 in der am 17. November 2016 geltenden Fassung ist erstmals anzuwenden auf Vorteile, die in einem nach dem 31. Dezember 2016 endenden Lohnzahlungszeitraum oder als sonstige Bezüge nach dem 31. Dezember 2016 zugewendet werden, und letztmals anzuwenden auf Vorteile, die in einem vor dem 1. Januar 2031 endenden Lohnzahlungszeitraum oder als sonstige Bezüge vor dem 1. Januar 2031 zugewendet werden. </w:t>
      </w:r>
      <w:r>
        <w:rPr>
          <w:rStyle w:val="Satznummer"/>
        </w:rPr>
        <w:t>22</w:t>
      </w:r>
      <w:r>
        <w:t xml:space="preserve">§ 3 Nummer 60 in der am 13. August 2020 geltenden Fassung ist weiterhin anzuwenden für Anpassungsgelder an Arbeitnehmer im Steinkohlenbergbau bis zum Auslaufen dieser öffentlichen Mittel im Jahr 2027. </w:t>
      </w:r>
      <w:r>
        <w:rPr>
          <w:rStyle w:val="Satznummer"/>
        </w:rPr>
        <w:t>23</w:t>
      </w:r>
      <w:r>
        <w:t xml:space="preserve">Der Höchstbetrag nach </w:t>
      </w:r>
      <w:hyperlink w:anchor="b8" w:history="1">
        <w:r>
          <w:rPr>
            <w:color w:val="0A3A8C"/>
            <w:u w:val="single"/>
          </w:rPr>
          <w:t xml:space="preserve">§ 3</w:t>
        </w:r>
      </w:hyperlink>
      <w:r>
        <w:t xml:space="preserve"> Nummer 63 Satz 1 verringert sich um Zuwendungen, auf die § 40b Absatz 1 und 2 Satz 1 und 2 in der am 31. Dezember 2004 geltenden Fassung angewendet wird. </w:t>
      </w:r>
      <w:r>
        <w:rPr>
          <w:rStyle w:val="Satznummer"/>
        </w:rPr>
        <w:t>24</w:t>
      </w:r>
      <w:r>
        <w:t xml:space="preserve">§ 3 Nummer 63 Satz 3 in der ab dem 1. Januar 2018 geltenden Fassung ist nicht anzuwenden, soweit § 40b Absatz 1 und 2 Satz 3 und 4 in der am 31. Dezember 2004 geltenden Fassung angewendet wird. </w:t>
      </w:r>
      <w:r>
        <w:rPr>
          <w:rStyle w:val="Satznummer"/>
        </w:rPr>
        <w:t>25</w:t>
      </w:r>
      <w:r>
        <w:t xml:space="preserve">§ 3 Nummer 71 in der am 31. Dezember 2014 geltenden Fassung ist erstmals für den Veranlagungszeitraum 2013 anzuwenden. </w:t>
      </w:r>
      <w:r>
        <w:rPr>
          <w:rStyle w:val="Satznummer"/>
        </w:rPr>
        <w:t>26</w:t>
      </w:r>
      <w:r>
        <w:t xml:space="preserve">§ 3 Nummer 71 in der Fassung des Artikels 1 des Gesetzes vom 27. Juni 2017 (BGBl. I S. 2074) ist erstmals für den Veranlagungszeitraum 2017 anzuwenden. </w:t>
      </w:r>
      <w:r>
        <w:rPr>
          <w:rStyle w:val="Satznummer"/>
        </w:rPr>
        <w:t>27</w:t>
      </w:r>
      <w:r>
        <w:t xml:space="preserve">§ 3 Nummer 71 in der Fassung des Artikels 17 des Gesetzes vom 11. Dezember 2023 (BGBl. 2023 I Nr. 354) ist erstmals für den Veranlagungszeitraum 2023 anzuwenden. </w:t>
      </w:r>
      <w:r>
        <w:rPr>
          <w:rStyle w:val="Satznummer"/>
        </w:rPr>
        <w:t>28</w:t>
      </w:r>
      <w:r>
        <w:t>§ 3 Nummer 72 in der Fassung des Artikels 1 des Gesetzes vom 16. Dezember 2022 (BGBl. I S. 2294) ist für Einnahmen und Entnahmen anzuwenden, die nach dem 31. Dezember 2021 erzielt oder getätigt werden.</w:t>
      </w:r>
      <w:r>
        <w:rPr>
          <w:rStyle w:val="Satznummer"/>
        </w:rPr>
        <w:t>29</w:t>
      </w:r>
      <w:r>
        <w:t>§ 3 Nummer 72 in der Fassung des Artikels 3 des Gesetzes vom 2. Dezember 2024 (BGBl. 2024 I Nr. 387) ist erstmals für Photovoltaikanlagen anzuwenden, die nach dem 31. Dezember 2024 angeschafft, in Betrieb genommen oder erweitert werden.</w:t>
      </w:r>
    </w:p>
    <w:p>
      <w:r>
        <w:t xml:space="preserve">(4a) </w:t>
      </w:r>
      <w:r>
        <w:rPr>
          <w:rStyle w:val="Satznummer"/>
        </w:rPr>
        <w:t>1</w:t>
      </w:r>
      <w:r>
        <w:t xml:space="preserve">§ 3a in der Fassung des Artikels 2 des Gesetzes vom 27. Juni 2017 (BGBl. I S. 2074) ist erstmals in den Fällen anzuwenden, in denen die Schulden ganz oder teilweise nach dem 8. Februar 2017 erlassen wurden. </w:t>
      </w:r>
      <w:r>
        <w:rPr>
          <w:rStyle w:val="Satznummer"/>
        </w:rPr>
        <w:t>2</w:t>
      </w:r>
      <w:r>
        <w:t xml:space="preserve">Satz 1 gilt bei einem Schuldenerlass nach dem 8. Februar 2017 nicht, wenn dem Steuerpflichtigen auf Antrag Billigkeitsmaßnahmen aus Gründen des Vertrauensschutzes für einen Sanierungsertrag auf Grundlage von § 163 Absatz 1 Satz 2 und den §§ 222, 227 der Abgabenordnung zu gewähren sind. </w:t>
      </w:r>
      <w:r>
        <w:rPr>
          <w:rStyle w:val="Satznummer"/>
        </w:rPr>
        <w:t>3</w:t>
      </w:r>
      <w:r>
        <w:t xml:space="preserve">Auf Antrag des Steuerpflichtigen ist </w:t>
      </w:r>
      <w:hyperlink w:anchor="b9" w:history="1">
        <w:r>
          <w:rPr>
            <w:color w:val="0A3A8C"/>
            <w:u w:val="single"/>
          </w:rPr>
          <w:t xml:space="preserve">§ 3a</w:t>
        </w:r>
      </w:hyperlink>
      <w:r>
        <w:t xml:space="preserve"> auch in den Fällen anzuwenden, in denen die Schulden vor dem 9. Februar 2017 erlassen wurden. </w:t>
      </w:r>
      <w:r>
        <w:rPr>
          <w:rStyle w:val="Satznummer"/>
        </w:rPr>
        <w:t>4</w:t>
      </w:r>
      <w:r>
        <w:t>Satz 1 gilt auch für § 3a Absatz 3a in der Fassung des Artikels 1 des Gesetzes vom 12. Dezember 2019 (BGBl. I S. 2451).</w:t>
      </w:r>
    </w:p>
    <w:p>
      <w:r>
        <w:t xml:space="preserve">(5) </w:t>
      </w:r>
      <w:r>
        <w:rPr>
          <w:rStyle w:val="Satznummer"/>
        </w:rPr>
        <w:t>1</w:t>
      </w:r>
      <w:r>
        <w:t xml:space="preserve">§ 3c Absatz 2 Satz 3 und 4 in der am 12. Dezember 2006 geltenden Fassung ist für Anteile, die einbringungsgeboren im Sinne des § 21 des Umwandlungssteuergesetzes in der am 12. Dezember 2006 geltenden Fassung sind, weiter anzuwenden. </w:t>
      </w:r>
      <w:r>
        <w:rPr>
          <w:rStyle w:val="Satznummer"/>
        </w:rPr>
        <w:t>2</w:t>
      </w:r>
      <w:r>
        <w:t xml:space="preserve">§ 3c Absatz 2 in der am 31. Dezember 2014 geltenden Fassung ist erstmals für Wirtschaftsjahre anzuwenden, die nach dem 31. Dezember 2014 beginnen. </w:t>
      </w:r>
      <w:r>
        <w:rPr>
          <w:rStyle w:val="Satznummer"/>
        </w:rPr>
        <w:t>3</w:t>
      </w:r>
      <w:r>
        <w:t xml:space="preserve">§ 3c Absatz 4 in der Fassung des Artikels 2 des Gesetzes vom 27. Juni 2017 (BGBl. I S. 2074) ist für Betriebsvermögensminderungen oder Betriebsausgaben in unmittelbarem wirtschaftlichem Zusammenhang mit einem Schuldenerlass nach dem 8. Februar 2017 anzuwenden, für den </w:t>
      </w:r>
      <w:hyperlink w:anchor="b9" w:history="1">
        <w:r>
          <w:rPr>
            <w:color w:val="0A3A8C"/>
            <w:u w:val="single"/>
          </w:rPr>
          <w:t xml:space="preserve">§ 3a</w:t>
        </w:r>
      </w:hyperlink>
      <w:r>
        <w:t xml:space="preserve"> angewendet wird. </w:t>
      </w:r>
      <w:r>
        <w:rPr>
          <w:rStyle w:val="Satznummer"/>
        </w:rPr>
        <w:t>4</w:t>
      </w:r>
      <w:hyperlink w:anchor="b11" w:history="1">
        <w:r>
          <w:rPr>
            <w:color w:val="0A3A8C"/>
            <w:u w:val="single"/>
          </w:rPr>
          <w:t xml:space="preserve">§ 3c</w:t>
        </w:r>
      </w:hyperlink>
      <w:r>
        <w:t xml:space="preserve"> Absatz 4 ist auch in den Fällen anzuwenden, in denen dem Steuerpflichtigen die Steuerbefreiung des </w:t>
      </w:r>
      <w:hyperlink w:anchor="b9" w:history="1">
        <w:r>
          <w:rPr>
            <w:color w:val="0A3A8C"/>
            <w:u w:val="single"/>
          </w:rPr>
          <w:t xml:space="preserve">§ 3a</w:t>
        </w:r>
      </w:hyperlink>
      <w:r>
        <w:t xml:space="preserve"> auf Grund eines Antrags nach Absatz 4a Satz 3 gewährt wird.</w:t>
      </w:r>
    </w:p>
    <w:p>
      <w:r>
        <w:t xml:space="preserve">(6) </w:t>
      </w:r>
      <w:r>
        <w:rPr>
          <w:rStyle w:val="Satznummer"/>
        </w:rPr>
        <w:t>1</w:t>
      </w:r>
      <w:r>
        <w:t xml:space="preserve">§ 4 Absatz 1 Satz 3 in der Fassung des Artikels 1 des Gesetzes vom 25. Juni 2021 (BGBl. I S. 2035) ist erstmals für nach dem 31. Dezember 2019 endende Wirtschaftsjahre anzuwenden. </w:t>
      </w:r>
      <w:r>
        <w:rPr>
          <w:rStyle w:val="Satznummer"/>
        </w:rPr>
        <w:t>2</w:t>
      </w:r>
      <w:r>
        <w:t xml:space="preserve">§ 4 Absatz 1 Satz 4 in der Fassung des Artikels 1 des Gesetzes vom 8. Dezember 2010 (BGBl. I S. 1768) gilt in allen Fällen, in denen </w:t>
      </w:r>
      <w:hyperlink w:anchor="b13" w:history="1">
        <w:r>
          <w:rPr>
            <w:color w:val="0A3A8C"/>
            <w:u w:val="single"/>
          </w:rPr>
          <w:t xml:space="preserve">§ 4</w:t>
        </w:r>
      </w:hyperlink>
      <w:r>
        <w:t xml:space="preserve"> Absatz 1 Satz 3 anzuwenden ist. </w:t>
      </w:r>
      <w:r>
        <w:rPr>
          <w:rStyle w:val="Satznummer"/>
        </w:rPr>
        <w:t>3</w:t>
      </w:r>
      <w:r>
        <w:t xml:space="preserve">§ 4 Absatz 1 Satz 9 in der Fassung des Artikels 1 des Gesetzes vom 25. Juni 2021 (BGBl. I S. 2035) ist erstmals für nach dem 31. Dezember 2019 endende Wirtschaftsjahre anzuwenden. </w:t>
      </w:r>
      <w:r>
        <w:rPr>
          <w:rStyle w:val="Satznummer"/>
        </w:rPr>
        <w:t>4</w:t>
      </w:r>
      <w:hyperlink w:anchor="b13" w:history="1">
        <w:r>
          <w:rPr>
            <w:color w:val="0A3A8C"/>
            <w:u w:val="single"/>
          </w:rPr>
          <w:t xml:space="preserve">§ 4</w:t>
        </w:r>
      </w:hyperlink>
      <w:r>
        <w:t xml:space="preserve"> Absatz 3 Satz 4 ist nicht anzuwenden, soweit die Anschaffungs- oder Herstellungskosten vor dem 1. Januar 1971 als Betriebsausgaben abgesetzt worden sind. </w:t>
      </w:r>
      <w:r>
        <w:rPr>
          <w:rStyle w:val="Satznummer"/>
        </w:rPr>
        <w:t>5</w:t>
      </w:r>
      <w:r>
        <w:t xml:space="preserve">§ 4 Absatz 3 Satz 4 und 5 in der Fassung des Artikels 1 des Gesetzes vom 28. April 2006 (BGBl. I S. 1095) ist erstmals für Wirtschaftsgüter anzuwenden, die nach dem 5. Mai 2006 angeschafft, hergestellt oder in das Betriebsvermögen eingelegt werden. </w:t>
      </w:r>
      <w:r>
        <w:rPr>
          <w:rStyle w:val="Satznummer"/>
        </w:rPr>
        <w:t>6</w:t>
      </w:r>
      <w:r>
        <w:t xml:space="preserve">Die Anschaffungs- oder Herstellungskosten für nicht abnutzbare Wirtschaftsgüter des Anlagevermögens, die vor dem 5. Mai 2006 angeschafft, hergestellt oder in das Betriebsvermögen eingelegt wurden, sind erst im Zeitpunkt des Zuflusses des Veräußerungserlöses oder im Zeitpunkt der Entnahme als Betriebsausgaben zu berücksichtigen. </w:t>
      </w:r>
      <w:r>
        <w:rPr>
          <w:rStyle w:val="Satznummer"/>
        </w:rPr>
        <w:t>7</w:t>
      </w:r>
      <w:r>
        <w:t xml:space="preserve">§ 4 Absatz 4a in der Fassung des Gesetzes vom 22. Dezember 1999 (BGBl. I S. 2601) ist erstmals für das Wirtschaftsjahr anzuwenden, das nach dem 31. Dezember 1998 endet. </w:t>
      </w:r>
      <w:r>
        <w:rPr>
          <w:rStyle w:val="Satznummer"/>
        </w:rPr>
        <w:t>8</w:t>
      </w:r>
      <w:r>
        <w:t xml:space="preserve">Über- und Unterentnahmen vorangegangener Wirtschaftsjahre bleiben unberücksichtigt. </w:t>
      </w:r>
      <w:r>
        <w:rPr>
          <w:rStyle w:val="Satznummer"/>
        </w:rPr>
        <w:t>9</w:t>
      </w:r>
      <w:r>
        <w:t xml:space="preserve">Bei vor dem 1. Januar 1999 eröffneten Betrieben sind im Fall der Betriebsaufgabe bei der Überführung von Wirtschaftsgütern aus dem Betriebsvermögen in das Privatvermögen die Buchwerte nicht als Entnahme anzusetzen; im Fall der Betriebsveräußerung ist nur der Veräußerungsgewinn als Entnahme anzusetzen. </w:t>
      </w:r>
      <w:r>
        <w:rPr>
          <w:rStyle w:val="Satznummer"/>
        </w:rPr>
        <w:t>10</w:t>
      </w:r>
      <w:r>
        <w:t xml:space="preserve">§ 4 Absatz 5 Satz 1 Nummer 1 in der Fassung des Artikels 2 des Gesetzes vom 27. März 2024 (BGBl. 2024 I Nr. 108) ist erstmals für das Wirtschaftsjahr anzuwenden, das nach dem 31. Dezember 2023 beginnt. </w:t>
      </w:r>
      <w:r>
        <w:rPr>
          <w:rStyle w:val="Satznummer"/>
        </w:rPr>
        <w:t>11</w:t>
      </w:r>
      <w:r>
        <w:t xml:space="preserve">§ 4 Absatz 5 Satz 1 Nummer 5 in der Fassung des Artikels 1 des Gesetzes vom 20. Februar 2013 (BGBl. I S. 285) ist erstmals ab dem 1. Januar 2014 anzuwenden. </w:t>
      </w:r>
      <w:r>
        <w:rPr>
          <w:rStyle w:val="Satznummer"/>
        </w:rPr>
        <w:t>12</w:t>
      </w:r>
      <w:r>
        <w:t xml:space="preserve">§ 4 Absatz 5 Satz 1 Nummer 6a in der Fassung des Artikels 1 des Gesetzes vom 20. Februar 2013 (BGBl. I S. 285) ist erstmals ab dem 1. Januar 2014 anzuwenden. </w:t>
      </w:r>
      <w:r>
        <w:rPr>
          <w:rStyle w:val="Satznummer"/>
        </w:rPr>
        <w:t>13</w:t>
      </w:r>
      <w:r>
        <w:t xml:space="preserve">§ 4 Absatz 5 Satz 1 Nummer 6b und 6c in der Fassung des Artikels 1 des Gesetzes vom 16. Dezember 2022 (BGBl. I S. 2294) ist für nach dem 31. Dezember 2022 in der häuslichen Wohnung ausgeübte Tätigkeiten anzuwenden. </w:t>
      </w:r>
      <w:r>
        <w:rPr>
          <w:rStyle w:val="Satznummer"/>
        </w:rPr>
        <w:t>14</w:t>
      </w:r>
      <w:r>
        <w:t xml:space="preserve">§ 4 Absatz 5 Satz 1 Nummer 8 in der Fassung des Artikels 1 des Gesetzes vom 12. Dezember 2019 (BGBl. I S. 2451) ist erstmals anzuwenden auf nach dem 31. Dezember 2018 festgesetzte Geldbußen, Ordnungsgelder und Verwarnungsgelder sowie auf nach dem 31. Dezember 2018 entstandene mit der Geldbuße, dem Ordnungsgeld oder dem Verwarnungsgeld zusammenhängende Aufwendungen. </w:t>
      </w:r>
      <w:r>
        <w:rPr>
          <w:rStyle w:val="Satznummer"/>
        </w:rPr>
        <w:t>15</w:t>
      </w:r>
      <w:r>
        <w:t xml:space="preserve">§ 4 Absatz 5 Satz 1 Nummer 8a in der Fassung des Artikels 1 des Gesetzes vom 12. Dezember 2019 (BGBl. I S. 2451) ist erstmals anzuwenden auf nach dem 31. Dezember 2018 festgesetzte Zinsen im Sinne der Vorschrift. </w:t>
      </w:r>
      <w:r>
        <w:rPr>
          <w:rStyle w:val="Satznummer"/>
        </w:rPr>
        <w:t>16</w:t>
      </w:r>
      <w:r>
        <w:t xml:space="preserve">§ 4 Absatz 10 in der Fassung des Artikels 2 des Gesetzes vom 12. Dezember 2019 (BGBl. I S. 2451) ist erstmals anzuwenden auf nach dem 31. Dezember 2019 durchgeführte Übernachtungen im Sinne der Vorschrift. </w:t>
      </w:r>
      <w:r>
        <w:rPr>
          <w:rStyle w:val="Satznummer"/>
        </w:rPr>
        <w:t>17</w:t>
      </w:r>
      <w:r>
        <w:t>§ 4 Absatz 5 Satz 1 Nummer 6b Satz 4 in der Fassung des Artikels 1 des Gesetzes vom 21. Dezember 2020 (BGBl. I S. 3096) ist für nach dem 31. Dezember 2019 und vor dem 1. Januar 2023 in der häuslichen Wohnung ausgeübte Tätigkeiten anzuwenden.</w:t>
      </w:r>
    </w:p>
    <w:p>
      <w:r>
        <w:t xml:space="preserve">(7) </w:t>
      </w:r>
      <w:r>
        <w:rPr>
          <w:rStyle w:val="Satznummer"/>
        </w:rPr>
        <w:t>1</w:t>
      </w:r>
      <w:r>
        <w:t xml:space="preserve">§ 4d Absatz 1 Satz 1 Nummer 1 Satz 3 in der Fassung des Artikels 2 des Gesetzes vom 2. Dezember 2024 (BGBl. 2024 I Nr. 387) ist bei Grundbesitz anzuwenden, der der Kasse erstmals nach dem 31. Dezember 2023 zuzurechnen ist. </w:t>
      </w:r>
      <w:r>
        <w:rPr>
          <w:rStyle w:val="Satznummer"/>
        </w:rPr>
        <w:t>2</w:t>
      </w:r>
      <w:r>
        <w:t xml:space="preserve">Vor dem 1. Januar 2024 vorhandener Grundbesitz ist mit dem Wert anzusetzen, der bei der Ermittlung des Kassenvermögens in dem letzten vor dem 1. Januar 2024 endenden Wirtschaftsjahr maßgebend war. </w:t>
      </w:r>
      <w:r>
        <w:rPr>
          <w:rStyle w:val="Satznummer"/>
        </w:rPr>
        <w:t>3</w:t>
      </w:r>
      <w:r>
        <w:t>Führen in den Fällen des Satzes 2 Baumaßnahmen nach dem 31. Dezember 2023 zu Herstellungskosten, sind neben dem Wert nach Satz 2 auch diese Herstellungskosten anzusetzen.</w:t>
      </w:r>
    </w:p>
    <w:p>
      <w:r>
        <w:t xml:space="preserve">(8) </w:t>
      </w:r>
      <w:r>
        <w:rPr>
          <w:rStyle w:val="Satznummer"/>
        </w:rPr>
        <w:t>1</w:t>
      </w:r>
      <w:r>
        <w:t xml:space="preserve">§ 4f in der Fassung des Gesetzes vom 18. Dezember 2013 (BGBl. I S. 4318) ist erstmals für Wirtschaftsjahre anzuwenden, die nach dem 28. November 2013 enden. </w:t>
      </w:r>
      <w:r>
        <w:rPr>
          <w:rStyle w:val="Satznummer"/>
        </w:rPr>
        <w:t>2</w:t>
      </w:r>
      <w:r>
        <w:t xml:space="preserve">§ 4f Absatz 1 Satz 3 in der Fassung des Artikels 1 des Gesetzes vom 21. Dezember 2020 (BGBl. I S. 3096) ist erstmals für Wirtschaftsjahre anzuwenden, die nach dem 31. Dezember 2019 enden; bei nach § 4a vom Kalenderjahr abweichenden Wirtschaftsjahren ist </w:t>
      </w:r>
      <w:hyperlink w:anchor="b19" w:history="1">
        <w:r>
          <w:rPr>
            <w:color w:val="0A3A8C"/>
            <w:u w:val="single"/>
          </w:rPr>
          <w:t xml:space="preserve">§ 4f</w:t>
        </w:r>
      </w:hyperlink>
      <w:r>
        <w:t xml:space="preserve"> Absatz 1 Satz 3 spätestens für Wirtschaftsjahre anzuwenden, die nach dem 17. Juli 2020 enden.</w:t>
      </w:r>
    </w:p>
    <w:p>
      <w:r>
        <w:t>(8a) § 4g Absatz 1 in der Fassung des Artikels 3 des Gesetzes vom 2. Dezember 2024 (BGBl. 2024 I Nr. 387) ist in allen offenen Fällen anzuwenden.</w:t>
      </w:r>
    </w:p>
    <w:p>
      <w:r>
        <w:t>(8b) § 4h in der Fassung des Artikels 20 des Gesetzes vom 22. Dezember 2023 (BGBl. 2023 I Nr. 411) ist erstmals für Wirtschaftsjahre anzuwenden, die nach dem 14. Dezember 2023 beginnen und nicht vor dem 1. Januar 2024 enden.</w:t>
      </w:r>
    </w:p>
    <w:p>
      <w:r>
        <w:t xml:space="preserve">(8c) </w:t>
      </w:r>
      <w:r>
        <w:rPr>
          <w:rStyle w:val="Satznummer"/>
        </w:rPr>
        <w:t>1</w:t>
      </w:r>
      <w:r>
        <w:t xml:space="preserve">§ 4j in der Fassung des Artikels 1 des Gesetzes vom 27. Juni 2017 (BGBl. I S. 2074) ist erstmals für Aufwendungen anzuwenden, die nach dem 31. Dezember 2017 entstehen. </w:t>
      </w:r>
      <w:r>
        <w:rPr>
          <w:rStyle w:val="Satznummer"/>
        </w:rPr>
        <w:t>2</w:t>
      </w:r>
      <w:r>
        <w:t xml:space="preserve">§ 4j Absatz 2 Satz 1 und Absatz 3 Satz 2 in der Fassung des Artikels 4 des Gesetzes vom 21. Dezember 2023 (BGBl. 2023 I Nr. 397) sind erstmals für Aufwendungen anzuwenden, die nach dem 31. Dezember 2023 entstehen. </w:t>
      </w:r>
      <w:r>
        <w:rPr>
          <w:rStyle w:val="Satznummer"/>
        </w:rPr>
        <w:t>3</w:t>
      </w:r>
      <w:hyperlink w:anchor="b23" w:history="1">
        <w:r>
          <w:rPr>
            <w:color w:val="0A3A8C"/>
            <w:u w:val="single"/>
          </w:rPr>
          <w:t xml:space="preserve">§ 4j</w:t>
        </w:r>
      </w:hyperlink>
      <w:r>
        <w:t xml:space="preserve"> ist letztmals für den Veranlagungszeitraum 2024 anzuwenden.</w:t>
      </w:r>
    </w:p>
    <w:p>
      <w:r>
        <w:t xml:space="preserve">(8d) </w:t>
      </w:r>
      <w:r>
        <w:rPr>
          <w:rStyle w:val="Satznummer"/>
        </w:rPr>
        <w:t>1</w:t>
      </w:r>
      <w:r>
        <w:t xml:space="preserve">§ 4k in der Fassung des Artikels 1 des Gesetzes vom 25. Juni 2021 (BGBl. I S. 2035) ist erstmals für Aufwendungen anzuwenden, die nach dem 31. Dezember 2019 entstehen. </w:t>
      </w:r>
      <w:r>
        <w:rPr>
          <w:rStyle w:val="Satznummer"/>
        </w:rPr>
        <w:t>2</w:t>
      </w:r>
      <w:r>
        <w:t xml:space="preserve">Aufwendungen, die rechtlich bereits vor dem 1. Januar 2020 verursacht wurden, gelten bei der Anwendung des Satzes 1 nur insoweit als nach dem 31. Dezember 2019 entstanden, als ihnen ein Dauerschuldverhältnis zugrunde liegt und sie ab diesem Zeitpunkt ohne wesentliche Nachteile hätten vermieden werden können. </w:t>
      </w:r>
      <w:r>
        <w:rPr>
          <w:rStyle w:val="Satznummer"/>
        </w:rPr>
        <w:t>3</w:t>
      </w:r>
      <w:r>
        <w:t xml:space="preserve">Ein Nachteil ist insbesondere dann wesentlich im Sinne des Satzes 2, wenn sämtliche mit der Vermeidung der Aufwendungen verbundenen Kosten den steuerlichen Vorteil infolge der Besteuerungsinkongruenz übersteigen. </w:t>
      </w:r>
      <w:r>
        <w:rPr>
          <w:rStyle w:val="Satznummer"/>
        </w:rPr>
        <w:t>4</w:t>
      </w:r>
      <w:r>
        <w:t>Satz 2 gilt nicht, wenn das Dauerschuldverhältnis nach dem 31. Dezember 2019 wesentlich geändert wurde.</w:t>
      </w:r>
    </w:p>
    <w:p>
      <w:r>
        <w:t xml:space="preserve">(9) </w:t>
      </w:r>
      <w:r>
        <w:rPr>
          <w:rStyle w:val="Satznummer"/>
        </w:rPr>
        <w:t>1</w:t>
      </w:r>
      <w:r>
        <w:t xml:space="preserve">§ 5 Absatz 5 Satz 2 in der Fassung des Artikels 1 des Gesetzes vom 16. Dezember 2022 (BGBl. I S. 2294) ist erstmals für Wirtschaftsjahre anzuwenden, die nach dem 31. Dezember 2021 enden. </w:t>
      </w:r>
      <w:r>
        <w:rPr>
          <w:rStyle w:val="Satznummer"/>
        </w:rPr>
        <w:t>2</w:t>
      </w:r>
      <w:r>
        <w:t xml:space="preserve">§ 5 Absatz 7 in der Fassung des Gesetzes vom 18. Dezember 2013 (BGBl. I S. 4318) ist erstmals für Wirtschaftsjahre anzuwenden, die nach dem 28. November 2013 enden. </w:t>
      </w:r>
      <w:r>
        <w:rPr>
          <w:rStyle w:val="Satznummer"/>
        </w:rPr>
        <w:t>3</w:t>
      </w:r>
      <w:r>
        <w:t xml:space="preserve">Auf Antrag kann </w:t>
      </w:r>
      <w:hyperlink w:anchor="b25" w:history="1">
        <w:r>
          <w:rPr>
            <w:color w:val="0A3A8C"/>
            <w:u w:val="single"/>
          </w:rPr>
          <w:t xml:space="preserve">§ 5</w:t>
        </w:r>
      </w:hyperlink>
      <w:r>
        <w:t xml:space="preserve"> Absatz 7 auch für frühere Wirtschaftsjahre angewendet werden. </w:t>
      </w:r>
      <w:r>
        <w:rPr>
          <w:rStyle w:val="Satznummer"/>
        </w:rPr>
        <w:t>4</w:t>
      </w:r>
      <w:r>
        <w:t xml:space="preserve">Bei Schuldübertragungen, Schuldbeitritten und Erfüllungsübernahmen, die vor dem 14. Dezember 2011 vereinbart wurden, ist </w:t>
      </w:r>
      <w:hyperlink w:anchor="b25" w:history="1">
        <w:r>
          <w:rPr>
            <w:color w:val="0A3A8C"/>
            <w:u w:val="single"/>
          </w:rPr>
          <w:t xml:space="preserve">§ 5</w:t>
        </w:r>
      </w:hyperlink>
      <w:r>
        <w:t xml:space="preserve"> Absatz 7 Satz 5 mit der Maßgabe anzuwenden, dass für einen Gewinn, der sich aus der Anwendung von </w:t>
      </w:r>
      <w:hyperlink w:anchor="b25" w:history="1">
        <w:r>
          <w:rPr>
            <w:color w:val="0A3A8C"/>
            <w:u w:val="single"/>
          </w:rPr>
          <w:t xml:space="preserve">§ 5</w:t>
        </w:r>
      </w:hyperlink>
      <w:r>
        <w:t xml:space="preserve"> Absatz 7 Satz 1 bis 3 ergibt, jeweils in Höhe von 19 Zwanzigsteln eine gewinnmindernde Rücklage gebildet werden kann, die in den folgenden 19 Wirtschaftsjahren jeweils mit mindestens einem Neunzehntel gewinnerhöhend aufzulösen ist.</w:t>
      </w:r>
    </w:p>
    <w:p>
      <w:r>
        <w:t xml:space="preserve">(10) </w:t>
      </w:r>
      <w:r>
        <w:rPr>
          <w:rStyle w:val="Satznummer"/>
        </w:rPr>
        <w:t>1</w:t>
      </w:r>
      <w:r>
        <w:t xml:space="preserve">§ 5a Absatz 3 in der Fassung des Artikels 9 des Gesetzes vom 29. Dezember 2003 (BGBl. I S. 3076) ist erstmals für das Wirtschaftsjahr anzuwenden, das nach dem 31. Dezember 2005 endet. </w:t>
      </w:r>
      <w:r>
        <w:rPr>
          <w:rStyle w:val="Satznummer"/>
        </w:rPr>
        <w:t>2</w:t>
      </w:r>
      <w:r>
        <w:t xml:space="preserve">§ 5a Absatz 3 Satz 1 in der am 31. Dezember 2003 geltenden Fassung ist weiterhin anzuwenden, wenn der Steuerpflichtige im Fall der Anschaffung das Handelsschiff auf Grund eines vor dem 1. Januar 2006 rechtswirksam abgeschlossenen schuldrechtlichen Vertrags oder gleichgestellten Rechtsakts angeschafft oder im Fall der Herstellung mit der Herstellung des Handelsschiffs vor dem 1. Januar 2006 begonnen hat. </w:t>
      </w:r>
      <w:r>
        <w:rPr>
          <w:rStyle w:val="Satznummer"/>
        </w:rPr>
        <w:t>3</w:t>
      </w:r>
      <w:r>
        <w:t xml:space="preserve">In Fällen des Satzes 2 muss der Antrag auf Anwendung des </w:t>
      </w:r>
      <w:hyperlink w:anchor="b26" w:history="1">
        <w:r>
          <w:rPr>
            <w:color w:val="0A3A8C"/>
            <w:u w:val="single"/>
          </w:rPr>
          <w:t xml:space="preserve">§ 5a</w:t>
        </w:r>
      </w:hyperlink>
      <w:r>
        <w:t xml:space="preserve"> Absatz 1 spätestens bis zum Ablauf des Wirtschaftsjahres gestellt werden, das vor dem 1. Januar 2008 endet. </w:t>
      </w:r>
      <w:r>
        <w:rPr>
          <w:rStyle w:val="Satznummer"/>
        </w:rPr>
        <w:t>4</w:t>
      </w:r>
      <w:r>
        <w:t xml:space="preserve">§ 5a Absatz 4 Satz 5 bis 7 in der Fassung des Artikels 1 des Gesetzes vom 2. Juni 2021 (BGBl. I S. 1259) ist erstmals auf Wirtschaftsjahre anzuwenden, die nach dem 31. Dezember 1998 beginnen. </w:t>
      </w:r>
      <w:r>
        <w:rPr>
          <w:rStyle w:val="Satznummer"/>
        </w:rPr>
        <w:t>5</w:t>
      </w:r>
      <w:r>
        <w:t xml:space="preserve">Soweit Ansparabschreibungen im Sinne des § 7g Absatz 3 in der am 17. August 2007 geltenden Fassung zum Zeitpunkt des Übergangs zur Gewinnermittlung nach </w:t>
      </w:r>
      <w:hyperlink w:anchor="b26" w:history="1">
        <w:r>
          <w:rPr>
            <w:color w:val="0A3A8C"/>
            <w:u w:val="single"/>
          </w:rPr>
          <w:t xml:space="preserve">§ 5a</w:t>
        </w:r>
      </w:hyperlink>
      <w:r>
        <w:t xml:space="preserve"> Absatz 1 noch nicht gewinnerhöhend aufgelöst worden sind, ist § 5a Absatz 5 Satz 3 in der am 17. August 2007 geltenden Fassung weiter anzuwenden. </w:t>
      </w:r>
      <w:r>
        <w:rPr>
          <w:rStyle w:val="Satznummer"/>
        </w:rPr>
        <w:t>6</w:t>
      </w:r>
      <w:r>
        <w:t>§ 5a Absatz 6 in der durch Artikel 1 des Gesetzes vom 12. Dezember 2019 (BGBl. I S. 2451) geänderten Fassung ist erstmals für Wirtschaftsjahre anzuwenden, die nach dem 31. Dezember 2018 beginnen.</w:t>
      </w:r>
    </w:p>
    <w:p>
      <w:r>
        <w:t xml:space="preserve">(11) </w:t>
      </w:r>
      <w:r>
        <w:rPr>
          <w:rStyle w:val="Satznummer"/>
        </w:rPr>
        <w:t>1</w:t>
      </w:r>
      <w:r>
        <w:t>§ 5b in der Fassung des Artikels 1 des Gesetzes vom 20. Dezember 2008 (BGBl. I S. 2850) ist erstmals für Wirtschaftsjahre anzuwenden, die nach dem 31. Dezember 2010 beginnen.</w:t>
      </w:r>
      <w:r>
        <w:rPr>
          <w:rStyle w:val="Satznummer"/>
        </w:rPr>
        <w:t>2</w:t>
      </w:r>
      <w:r>
        <w:t xml:space="preserve">§ 5b Absatz 1 Satz 1 in der Fassung des Artikels 4 des Gesetzes vom 2. Dezember 2024 (BGBl. 2024 I Nr. 387) ist, soweit er sich auf die Übermittlung von Kontennachweisen bezieht, erstmals für Wirtschaftsjahre anzuwenden, die nach dem 31. Dezember 2024 beginnen. </w:t>
      </w:r>
      <w:r>
        <w:rPr>
          <w:rStyle w:val="Satznummer"/>
        </w:rPr>
        <w:t>3</w:t>
      </w:r>
      <w:r>
        <w:t>§ 5b Absatz 1 Satz 1 in der Fassung des Artikels 4 des Gesetzes vom 2. Dezember 2024 (BGBl. 2024 I Nr. 387), soweit er sich auf die Übermittlung von Anlagenspiegel und Anlagenverzeichnis bezieht, sowie § 5b Absatz 1 Satz 5 und 6 in der Fassung des Artikels 4 des Gesetzes vom 2. Dezember 2024 (BGBl. 2024 I Nr. 387) sind erstmals für Wirtschaftsjahre anzuwenden, die nach dem 31. Dezember 2027 beginnen.</w:t>
      </w:r>
    </w:p>
    <w:p>
      <w:r>
        <w:t xml:space="preserve">(12) </w:t>
      </w:r>
      <w:r>
        <w:rPr>
          <w:rStyle w:val="Satznummer"/>
        </w:rPr>
        <w:t>1</w:t>
      </w:r>
      <w:hyperlink w:anchor="b28" w:history="1">
        <w:r>
          <w:rPr>
            <w:color w:val="0A3A8C"/>
            <w:u w:val="single"/>
          </w:rPr>
          <w:t xml:space="preserve">§ 6</w:t>
        </w:r>
      </w:hyperlink>
      <w:r>
        <w:t xml:space="preserve"> Absatz 1 Nummer 1b kann auch für Wirtschaftsjahre angewendet werden, die vor dem 23. Juli 2016 enden. </w:t>
      </w:r>
      <w:r>
        <w:rPr>
          <w:rStyle w:val="Satznummer"/>
        </w:rPr>
        <w:t>2</w:t>
      </w:r>
      <w:r>
        <w:t xml:space="preserve">§ 6 Absatz 1 Nummer 3 und 3a Buchstabe e in der Fassung des Artikels 3 des Gesetzes vom 19. Juni 2022 (BGBl. I S. 911) ist erstmals für Wirtschaftsjahre anzuwenden, die nach dem 31. Dezember 2022 enden. </w:t>
      </w:r>
      <w:r>
        <w:rPr>
          <w:rStyle w:val="Satznummer"/>
        </w:rPr>
        <w:t>3</w:t>
      </w:r>
      <w:r>
        <w:t>Auf Antrag kann § 6 Absatz 1 Nummer 3 und 3a Buchstabe e in der Fassung des Artikels 3 des Gesetzes vom 19. Juni 2022 (BGBl. I S. 911) auch für frühere Wirtschaftsjahre angewendet werden.</w:t>
      </w:r>
      <w:r>
        <w:rPr>
          <w:rStyle w:val="Satznummer"/>
        </w:rPr>
        <w:t>4</w:t>
      </w:r>
      <w:r>
        <w:t xml:space="preserve">§ 6 Absatz 1 Nummer 4 Satz 2 Nummer 3 und Satz 3 Nummer 3 in der Fassung des Artikels 1 des Gesetzes vom 29. Juni 2020 (BGBl. I S. 1512) ist bereits ab dem 1. Januar 2020 anzuwenden. </w:t>
      </w:r>
      <w:r>
        <w:rPr>
          <w:rStyle w:val="Satznummer"/>
        </w:rPr>
        <w:t>5</w:t>
      </w:r>
      <w:r>
        <w:t xml:space="preserve">§ 6 Absatz 1 Nummer 4 Satz 2 Nummer 3 und Satz 3 Nummer 3 in der Fassung des Artikels 3 des Gesetzes vom 27. März 2024 (BGBl. 2024 I Nr. 108) ist erstmals für Kraftfahrzeuge anzuwenden, die nach dem 31. Dezember 2023 angeschafft werden. </w:t>
      </w:r>
      <w:r>
        <w:rPr>
          <w:rStyle w:val="Satznummer"/>
        </w:rPr>
        <w:t>6</w:t>
      </w:r>
      <w:r>
        <w:t xml:space="preserve">§ 6 Absatz 1 Nummer 4 Satz 2 Nummer 3 und Satz 3 Nummer 3 in der Fassung des Artikels 1 des Gesetzes vom 14. Juli 2025 (BGBl. 2025 I Nr. 161) ist erstmals für Kraftfahrzeuge anzuwenden, die nach dem 30. Juni 2025 angeschafft werden. </w:t>
      </w:r>
      <w:r>
        <w:rPr>
          <w:rStyle w:val="Satznummer"/>
        </w:rPr>
        <w:t>7</w:t>
      </w:r>
      <w:r>
        <w:t xml:space="preserve">§ 6 Absatz 1 Nummer 5 Satz 1 Buchstabe a in der Fassung des Artikels 3 des Gesetzes vom 27. März 2024 (BGBl. 2024 I Nr. 108) ist erstmals auf Wirtschaftsgüter anzuwenden, die nach dem 27. März 2024 eingelegt werden. </w:t>
      </w:r>
      <w:r>
        <w:rPr>
          <w:rStyle w:val="Satznummer"/>
        </w:rPr>
        <w:t>8</w:t>
      </w:r>
      <w:hyperlink w:anchor="b28" w:history="1">
        <w:r>
          <w:rPr>
            <w:color w:val="0A3A8C"/>
            <w:u w:val="single"/>
          </w:rPr>
          <w:t xml:space="preserve">§ 6</w:t>
        </w:r>
      </w:hyperlink>
      <w:r>
        <w:t xml:space="preserve"> Absatz 1 Nummer 4 Satz 6 ist bis zum 31. Dezember 2030 anzuwenden. </w:t>
      </w:r>
      <w:r>
        <w:rPr>
          <w:rStyle w:val="Satznummer"/>
        </w:rPr>
        <w:t>9</w:t>
      </w:r>
      <w:r>
        <w:t xml:space="preserve">§ 6 Absatz 1 Nummer 5 Satz 1 Buchstabe c in der Fassung des Artikels 2 des Gesetzes vom 11. Dezember 2018 (BGBl. I S. 2338) ist erstmals bei Wirtschaftsgütern anzuwenden, die nach dem 31. Dezember 2017 in ein Betriebsvermögen eingelegt werden. </w:t>
      </w:r>
      <w:r>
        <w:rPr>
          <w:rStyle w:val="Satznummer"/>
        </w:rPr>
        <w:t>10</w:t>
      </w:r>
      <w:r>
        <w:t xml:space="preserve">§ 6 Absatz 2 Satz 4 in der Fassung des Artikels 4 des Gesetzes vom 30. Juni 2017 (BGBl. I S. 2143) ist erstmals bei Wirtschaftsgütern anzuwenden, die nach dem 31. Dezember 2017 angeschafft, hergestellt oder in das Betriebsvermögen eingelegt werden. </w:t>
      </w:r>
      <w:r>
        <w:rPr>
          <w:rStyle w:val="Satznummer"/>
        </w:rPr>
        <w:t>11</w:t>
      </w:r>
      <w:r>
        <w:t xml:space="preserve">§ 6 Absatz 2 Satz 1 in der Fassung des Artikels 1 des Gesetzes vom 27. Juni 2017 (BGBl. I S. 2074) ist erstmals bei Wirtschaftsgütern anzuwenden, die nach dem 31. Dezember 2017 angeschafft, hergestellt oder in das Betriebsvermögen eingelegt werden. </w:t>
      </w:r>
      <w:r>
        <w:rPr>
          <w:rStyle w:val="Satznummer"/>
        </w:rPr>
        <w:t>12</w:t>
      </w:r>
      <w:hyperlink w:anchor="b28" w:history="1">
        <w:r>
          <w:rPr>
            <w:color w:val="0A3A8C"/>
            <w:u w:val="single"/>
          </w:rPr>
          <w:t xml:space="preserve">§ 6</w:t>
        </w:r>
      </w:hyperlink>
      <w:r>
        <w:t xml:space="preserve"> Absatz 5 Satz 1 zweiter Halbsatz in der am 14. Dezember 2010 geltenden Fassung gilt in allen Fällen, in denen </w:t>
      </w:r>
      <w:hyperlink w:anchor="b13" w:history="1">
        <w:r>
          <w:rPr>
            <w:color w:val="0A3A8C"/>
            <w:u w:val="single"/>
          </w:rPr>
          <w:t xml:space="preserve">§ 4</w:t>
        </w:r>
      </w:hyperlink>
      <w:r>
        <w:t xml:space="preserve"> Absatz 1 Satz 3 anzuwenden ist. </w:t>
      </w:r>
      <w:r>
        <w:rPr>
          <w:rStyle w:val="Satznummer"/>
        </w:rPr>
        <w:t>13</w:t>
      </w:r>
      <w:r>
        <w:t xml:space="preserve">§ 6 Absatz 2a in der Fassung des Artikels 1 des Gesetzes vom 27. Juni 2017 (BGBl. I S. 2074) ist erstmals bei Wirtschaftsgütern anzuwenden, die nach dem 31. Dezember 2017 angeschafft, hergestellt oder in das Betriebsvermögen eingelegt werden. </w:t>
      </w:r>
      <w:r>
        <w:rPr>
          <w:rStyle w:val="Satznummer"/>
        </w:rPr>
        <w:t>14</w:t>
      </w:r>
      <w:hyperlink w:anchor="b28" w:history="1">
        <w:r>
          <w:rPr>
            <w:color w:val="0A3A8C"/>
            <w:u w:val="single"/>
          </w:rPr>
          <w:t xml:space="preserve">§ 6</w:t>
        </w:r>
      </w:hyperlink>
      <w:r>
        <w:t xml:space="preserve"> Absatz 1 Nummer 4 Satz 1 zweiter Halbsatz, Nummer 5a zweiter Halbsatz und Nummer 5b in der Fassung des Artikels 1 des Gesetzes vom 25. Juni 2021 (BGBl. I S. 2035) ist erstmals für nach dem 31. Dezember 2019 endende Wirtschaftsjahre anzuwenden.</w:t>
      </w:r>
      <w:r>
        <w:rPr>
          <w:rStyle w:val="Satznummer"/>
        </w:rPr>
        <w:t>15</w:t>
      </w:r>
      <w:hyperlink w:anchor="b28" w:history="1">
        <w:r>
          <w:rPr>
            <w:color w:val="0A3A8C"/>
            <w:u w:val="single"/>
          </w:rPr>
          <w:t xml:space="preserve">§ 6</w:t>
        </w:r>
      </w:hyperlink>
      <w:r>
        <w:t xml:space="preserve"> Absatz 5 Satz 3 Nummer 4 ist in allen offenen Fällen anzuwenden. </w:t>
      </w:r>
      <w:r>
        <w:rPr>
          <w:rStyle w:val="Satznummer"/>
        </w:rPr>
        <w:t>16</w:t>
      </w:r>
      <w:r>
        <w:t xml:space="preserve">Für Übertragungen vor dem 12. Januar 2024 sind Feststellungsbescheide im Sinne des § 180 Absatz 1 Satz 1 Nummer 2 Buchstabe a der Abgabenordnung zur Umsetzung des Buchwertansatzes bei der übernehmenden Mitunternehmerschaft in entsprechender Anwendung des § 174 Absatz 4 der Abgabenordnung zu ändern. </w:t>
      </w:r>
      <w:r>
        <w:rPr>
          <w:rStyle w:val="Satznummer"/>
        </w:rPr>
        <w:t>17</w:t>
      </w:r>
      <w:r>
        <w:t xml:space="preserve">§ 176 Absatz 1 Satz 1 Nummer 1 der Abgabenordnung steht dem Buchwertansatz bei der übernehmenden Mitunternehmerschaft für Übertragungen vor dem 12. Januar 2024 nicht entgegen. </w:t>
      </w:r>
      <w:r>
        <w:rPr>
          <w:rStyle w:val="Satznummer"/>
        </w:rPr>
        <w:t>18</w:t>
      </w:r>
      <w:r>
        <w:t xml:space="preserve">Auf gemeinsamen Antrag der Mitunternehmer zum Zeitpunkt der Übertragung kann aus Vertrauensschutzgründen für Übertragungen vor dem 12. Januar 2024 von einer Anwendung des </w:t>
      </w:r>
      <w:hyperlink w:anchor="b28" w:history="1">
        <w:r>
          <w:rPr>
            <w:color w:val="0A3A8C"/>
            <w:u w:val="single"/>
          </w:rPr>
          <w:t xml:space="preserve">§ 6</w:t>
        </w:r>
      </w:hyperlink>
      <w:r>
        <w:t xml:space="preserve"> Absatz 5 Satz 3 Nummer 4 abgesehen werden. </w:t>
      </w:r>
      <w:r>
        <w:rPr>
          <w:rStyle w:val="Satznummer"/>
        </w:rPr>
        <w:t>19</w:t>
      </w:r>
      <w:r>
        <w:t>§ 6 Absatz 5 Satz 7 und § 16 Absatz 3 Satz 5 in der Fassung des Artikels 3 des Gesetzes vom 2. Dezember 2024 (BGBl. 2024 I Nr. 387) sind für Übertragungen von Wirtschaftsgütern anzuwenden, die nach dem 18. Oktober 2024 stattfinden.</w:t>
      </w:r>
    </w:p>
    <w:p>
      <w:r>
        <w:t>(13) (weggefallen)</w:t>
      </w:r>
    </w:p>
    <w:p>
      <w:r>
        <w:t xml:space="preserve">(14) </w:t>
      </w:r>
      <w:r>
        <w:rPr>
          <w:rStyle w:val="Satznummer"/>
        </w:rPr>
        <w:t>1</w:t>
      </w:r>
      <w:r>
        <w:t xml:space="preserve">§ 6b Absatz 2a in der am 6. November 2015 geltenden Fassung ist auch auf Gewinne im Sinne des </w:t>
      </w:r>
      <w:hyperlink w:anchor="b30" w:history="1">
        <w:r>
          <w:rPr>
            <w:color w:val="0A3A8C"/>
            <w:u w:val="single"/>
          </w:rPr>
          <w:t xml:space="preserve">§ 6b</w:t>
        </w:r>
      </w:hyperlink>
      <w:r>
        <w:t xml:space="preserve"> Absatz 2 anzuwenden, die vor dem 6. November 2015 entstanden sind. </w:t>
      </w:r>
      <w:r>
        <w:rPr>
          <w:rStyle w:val="Satznummer"/>
        </w:rPr>
        <w:t>2</w:t>
      </w:r>
      <w:r>
        <w:t xml:space="preserve">§ 6b Absatz 10 Satz 11 in der am 12. Dezember 2006 geltenden Fassung ist für Anteile, die einbringungsgeboren im Sinne des § 21 des Umwandlungssteuergesetzes in der am 12. Dezember 2006 geltenden Fassung sind, weiter anzuwenden. </w:t>
      </w:r>
      <w:r>
        <w:rPr>
          <w:rStyle w:val="Satznummer"/>
        </w:rPr>
        <w:t>3</w:t>
      </w:r>
      <w:r>
        <w:t xml:space="preserve">§ 6b Absatz 2a in der Fassung des Artikels 1 des Gesetzes vom 11. Dezember 2018 (BGBl. I S. 2338) ist erstmals auf Gewinne im Sinne des </w:t>
      </w:r>
      <w:hyperlink w:anchor="b30" w:history="1">
        <w:r>
          <w:rPr>
            <w:color w:val="0A3A8C"/>
            <w:u w:val="single"/>
          </w:rPr>
          <w:t xml:space="preserve">§ 6b</w:t>
        </w:r>
      </w:hyperlink>
      <w:r>
        <w:t xml:space="preserve"> Absatz 2 anzuwenden, die in nach dem 31. Dezember 2017 beginnenden Wirtschaftsjahren entstanden sind. </w:t>
      </w:r>
      <w:r>
        <w:rPr>
          <w:rStyle w:val="Satznummer"/>
        </w:rPr>
        <w:t>4</w:t>
      </w:r>
      <w:r>
        <w:t xml:space="preserve">Die Fristen des </w:t>
      </w:r>
      <w:hyperlink w:anchor="b30" w:history="1">
        <w:r>
          <w:rPr>
            <w:color w:val="0A3A8C"/>
            <w:u w:val="single"/>
          </w:rPr>
          <w:t xml:space="preserve">§ 6b</w:t>
        </w:r>
      </w:hyperlink>
      <w:r>
        <w:t xml:space="preserve"> Absatz 3 Satz 2, 3 und 5, Absatz 8 Satz 1 Nummer 1 sowie Absatz 10 Satz 1 und 8 verlängern sich jeweils um drei Jahre, wenn die Rücklage wegen </w:t>
      </w:r>
      <w:hyperlink w:anchor="b30" w:history="1">
        <w:r>
          <w:rPr>
            <w:color w:val="0A3A8C"/>
            <w:u w:val="single"/>
          </w:rPr>
          <w:t xml:space="preserve">§ 6b</w:t>
        </w:r>
      </w:hyperlink>
      <w:r>
        <w:t xml:space="preserve"> Absatz 3 Satz 5, Absatz 8 Satz 1 Nummer 1 in Verbindung mit Absatz 3 Satz 5 oder Absatz 10 Satz 8 am Schluss des nach dem 29. Februar 2020 und vor dem 1. Januar 2021 endenden Wirtschaftsjahres aufzulösen wäre. </w:t>
      </w:r>
      <w:r>
        <w:rPr>
          <w:rStyle w:val="Satznummer"/>
        </w:rPr>
        <w:t>5</w:t>
      </w:r>
      <w:r>
        <w:t xml:space="preserve">Die in Satz 4 genannten Fristen verlängern sich um zwei Jahre, wenn die Rücklage wegen </w:t>
      </w:r>
      <w:hyperlink w:anchor="b30" w:history="1">
        <w:r>
          <w:rPr>
            <w:color w:val="0A3A8C"/>
            <w:u w:val="single"/>
          </w:rPr>
          <w:t xml:space="preserve">§ 6b</w:t>
        </w:r>
      </w:hyperlink>
      <w:r>
        <w:t xml:space="preserve"> Absatz 3 Satz 5, Absatz 8 Satz 1 Nummer 1 in Verbindung mit Absatz 3 Satz 5 oder Absatz 10 Satz 8 am Schluss des nach dem 31. Dezember 2020 und vor dem 1. Januar 2022 endenden Wirtschaftsjahres aufzulösen wäre. </w:t>
      </w:r>
      <w:r>
        <w:rPr>
          <w:rStyle w:val="Satznummer"/>
        </w:rPr>
        <w:t>6</w:t>
      </w:r>
      <w:r>
        <w:t xml:space="preserve">Die in Satz 4 genannten Fristen verlängern sich um ein Jahr, wenn die Rücklage wegen </w:t>
      </w:r>
      <w:hyperlink w:anchor="b30" w:history="1">
        <w:r>
          <w:rPr>
            <w:color w:val="0A3A8C"/>
            <w:u w:val="single"/>
          </w:rPr>
          <w:t xml:space="preserve">§ 6b</w:t>
        </w:r>
      </w:hyperlink>
      <w:r>
        <w:t xml:space="preserve"> Absatz 3 Satz 5, Absatz 8 Satz 1 Nummer 1 in Verbindung mit Absatz 3 Satz 5 oder Absatz 10 Satz 8 am Schluss des nach dem 31. Dezember 2021 und vor dem 1. Januar 2023 endenden Wirtschaftsjahres aufzulösen wäre. </w:t>
      </w:r>
      <w:r>
        <w:rPr>
          <w:rStyle w:val="Satznummer"/>
        </w:rPr>
        <w:t>7</w:t>
      </w:r>
      <w:r>
        <w:t>§ 6b Absatz 10 Satz 1 in der am 10. Februar 2026 geltenden Fassung ist erstmals auf Gewinne aus der Veräußerung von Anteilen an Kapitalgesellschaften anzuwenden, die in nach dem 10. Februar 2026 beginnenden Wirtschaftsjahren entstanden sind.</w:t>
      </w:r>
    </w:p>
    <w:p>
      <w:r>
        <w:t>(14a) § 6e in der Fassung des Artikels 1 des Gesetzes vom 12. Dezember 2019 (BGBl. I S. 2451) ist auch in Wirtschaftsjahren anzuwenden, die vor dem 18. Dezember 2019 enden.</w:t>
      </w:r>
    </w:p>
    <w:p>
      <w:r>
        <w:t xml:space="preserve">(15) </w:t>
      </w:r>
      <w:r>
        <w:rPr>
          <w:rStyle w:val="Satznummer"/>
        </w:rPr>
        <w:t>1</w:t>
      </w:r>
      <w:r>
        <w:t xml:space="preserve">Bei Wirtschaftsgütern, die vor dem 1. Januar 2001 angeschafft oder hergestellt worden sind, ist § 7 Absatz 2 Satz 2 in der Fassung des Gesetzes vom 22. Dezember 1999 (BGBl. I S. 2601) weiter anzuwenden. </w:t>
      </w:r>
      <w:r>
        <w:rPr>
          <w:rStyle w:val="Satznummer"/>
        </w:rPr>
        <w:t>2</w:t>
      </w:r>
      <w:r>
        <w:t xml:space="preserve">Bei Gebäuden, soweit sie zu einem Betriebsvermögen gehören und nicht Wohnzwecken dienen, ist § 7 Absatz 4 Satz 1 und 2 in der am 31. Dezember 2000 geltenden Fassung weiter anzuwenden, wenn der Steuerpflichtige im Fall der Herstellung vor dem 1. Januar 2001 mit der Herstellung des Gebäudes begonnen hat oder im Fall der Anschaffung das Objekt auf Grund eines vor dem 1. Januar 2001 rechtswirksam abgeschlossenen obligatorischen Vertrags oder gleichstehenden Rechtsakts angeschafft hat. </w:t>
      </w:r>
      <w:r>
        <w:rPr>
          <w:rStyle w:val="Satznummer"/>
        </w:rPr>
        <w:t>3</w:t>
      </w:r>
      <w:r>
        <w:t xml:space="preserve">Als Beginn der Herstellung im Sinne des Satzes 2 gilt bei Gebäuden, für die eine Baugenehmigung erforderlich ist, der Zeitpunkt, in dem der Bauantrag gestellt wird; bei baugenehmigungsfreien Gebäuden, für die Bauunterlagen einzureichen sind, der Zeitpunkt, in dem die Bauunterlagen eingereicht werden. </w:t>
      </w:r>
      <w:r>
        <w:rPr>
          <w:rStyle w:val="Satznummer"/>
        </w:rPr>
        <w:t>4</w:t>
      </w:r>
      <w:r>
        <w:t>Bei Wirtschaftsgütern, die nach dem 31. Dezember 2019 und vor dem 1. Januar 2023 oder nach dem 31. März 2024 und vor dem 1. Januar 2025 angeschafft oder hergestellt worden sind, ist § 7 Absatz 2 in der Fassung des Gesetzes vom 27. März 2024 (BGBl. 2024 I Nr. 108) weiter anzuwenden.</w:t>
      </w:r>
    </w:p>
    <w:p>
      <w:r>
        <w:t xml:space="preserve">(15a) </w:t>
      </w:r>
      <w:r>
        <w:rPr>
          <w:rStyle w:val="Satznummer"/>
        </w:rPr>
        <w:t>1</w:t>
      </w:r>
      <w:r>
        <w:t xml:space="preserve">Die Inanspruchnahme der Sonderabschreibungen nach § 7b in der Fassung des Artikels 1 des Gesetzes vom 4. August 2019 (BGBl. I S. 1122) kann erstmalig für den Veranlagungszeitraum 2018 und letztmalig für den Veranlagungszeitraum 2026, in den Fällen des </w:t>
      </w:r>
      <w:hyperlink w:anchor="b14" w:history="1">
        <w:r>
          <w:rPr>
            <w:color w:val="0A3A8C"/>
            <w:u w:val="single"/>
          </w:rPr>
          <w:t xml:space="preserve">§ 4a</w:t>
        </w:r>
      </w:hyperlink>
      <w:r>
        <w:t xml:space="preserve"> letztmalig für Wirtschaftsjahre, die vor dem 1. Januar 2027 enden, geltend gemacht werden. </w:t>
      </w:r>
      <w:r>
        <w:rPr>
          <w:rStyle w:val="Satznummer"/>
        </w:rPr>
        <w:t>2</w:t>
      </w:r>
      <w:r>
        <w:t xml:space="preserve">Das gilt auch dann, wenn der Abschreibungszeitraum nach </w:t>
      </w:r>
      <w:hyperlink w:anchor="b36" w:history="1">
        <w:r>
          <w:rPr>
            <w:color w:val="0A3A8C"/>
            <w:u w:val="single"/>
          </w:rPr>
          <w:t xml:space="preserve">§ 7b</w:t>
        </w:r>
      </w:hyperlink>
      <w:r>
        <w:t xml:space="preserve"> Absatz 1 noch nicht abgelaufen ist. </w:t>
      </w:r>
      <w:r>
        <w:rPr>
          <w:rStyle w:val="Satznummer"/>
        </w:rPr>
        <w:t>3</w:t>
      </w:r>
      <w:r>
        <w:t>§ 7b Absatz 5 in der Fassung des Artikels 4 des Gesetzes vom 16. Dezember 2022 (BGBl. I S. 2294) gilt für Sonderabschreibungen, die für neue Wohnungen in Anspruch genommen werden, die aufgrund eines nach dem 31. Dezember 2022 und vor dem 1. Oktober 2029 gestellten Bauantrags oder einer in diesem Zeitraum getätigten Bauanzeige hergestellt werden.</w:t>
      </w:r>
    </w:p>
    <w:p>
      <w:r>
        <w:t>(15b) § 7c in der Fassung des Artikels 2 des Gesetzes vom 12. Dezember 2019 (BGBl. I S. 2451) ist für nach dem 31. Dezember 2019 und vor dem 1. Januar 2031 angeschaffte neue Elektrolieferfahrzeuge anzuwenden.</w:t>
      </w:r>
    </w:p>
    <w:p>
      <w:r>
        <w:t xml:space="preserve">(16) </w:t>
      </w:r>
      <w:r>
        <w:rPr>
          <w:rStyle w:val="Satznummer"/>
        </w:rPr>
        <w:t>1</w:t>
      </w:r>
      <w:r>
        <w:t xml:space="preserve">§ 7g Absatz 1 Satz 1, 2 Nummer 1, Absatz 2 Satz 1 und 3, Absatz 4 Satz 1 sowie Absatz 6 in der Fassung des Artikels 1 des Gesetzes vom 21. Dezember 2020 (BGBl. I S. 3096) ist erstmals für Investitionsabzugsbeträge und Sonderabschreibungen anzuwenden, die in nach dem 31. Dezember 2019 endenden Wirtschaftsjahren in Anspruch genommen werden; bei nach § 4a vom Kalenderjahr abweichenden Wirtschaftsjahren ist </w:t>
      </w:r>
      <w:hyperlink w:anchor="b40" w:history="1">
        <w:r>
          <w:rPr>
            <w:color w:val="0A3A8C"/>
            <w:u w:val="single"/>
          </w:rPr>
          <w:t xml:space="preserve">§ 7g</w:t>
        </w:r>
      </w:hyperlink>
      <w:r>
        <w:t xml:space="preserve"> Absatz 1 Satz 2 Nummer 1 und Absatz 6 Nummer 1 spätestens für Investitionsabzugsbeträge und Sonderabschreibungen anzuwenden, die in nach dem 17. Juli 2020 endenden Wirtschaftsjahren in Anspruch genommen werden. </w:t>
      </w:r>
      <w:r>
        <w:rPr>
          <w:rStyle w:val="Satznummer"/>
        </w:rPr>
        <w:t>2</w:t>
      </w:r>
      <w:r>
        <w:t xml:space="preserve">§ 7g Absatz 2 Satz 2 und Absatz 7 in der Fassung des Artikels 1 des Gesetzes vom 21. Dezember 2020 (BGBl. I S. 3096) ist erstmals für Investitionsabzugsbeträge anzuwenden, die in nach dem 31. Dezember 2020 endenden Wirtschaftsjahren in Anspruch genommen werden. </w:t>
      </w:r>
      <w:r>
        <w:rPr>
          <w:rStyle w:val="Satznummer"/>
        </w:rPr>
        <w:t>3</w:t>
      </w:r>
      <w:r>
        <w:t xml:space="preserve">Bei in nach dem 31. Dezember 2016 und vor dem 1. Januar 2018 endenden Wirtschaftsjahren beanspruchten Investitionsabzugsbeträgen endet die Investitionsfrist abweichend von </w:t>
      </w:r>
      <w:hyperlink w:anchor="b40" w:history="1">
        <w:r>
          <w:rPr>
            <w:color w:val="0A3A8C"/>
            <w:u w:val="single"/>
          </w:rPr>
          <w:t xml:space="preserve">§ 7g</w:t>
        </w:r>
      </w:hyperlink>
      <w:r>
        <w:t xml:space="preserve"> Absatz 3 Satz 1 erst zum Ende des sechsten auf das Wirtschaftsjahr des Abzugs folgenden Wirtschaftsjahres. </w:t>
      </w:r>
      <w:r>
        <w:rPr>
          <w:rStyle w:val="Satznummer"/>
        </w:rPr>
        <w:t>4</w:t>
      </w:r>
      <w:r>
        <w:t xml:space="preserve">Bei in nach dem 31. Dezember 2017 und vor dem 1. Januar 2019 endenden Wirtschaftsjahren beanspruchten Investitionsabzugsbeträgen endet die Investitionsfrist abweichend von </w:t>
      </w:r>
      <w:hyperlink w:anchor="b40" w:history="1">
        <w:r>
          <w:rPr>
            <w:color w:val="0A3A8C"/>
            <w:u w:val="single"/>
          </w:rPr>
          <w:t xml:space="preserve">§ 7g</w:t>
        </w:r>
      </w:hyperlink>
      <w:r>
        <w:t xml:space="preserve"> Absatz 3 Satz 1 erst zum Ende des fünften auf das Wirtschaftsjahr des Abzugs folgenden Wirtschaftsjahres. </w:t>
      </w:r>
      <w:r>
        <w:rPr>
          <w:rStyle w:val="Satznummer"/>
        </w:rPr>
        <w:t>5</w:t>
      </w:r>
      <w:r>
        <w:t xml:space="preserve">Bei in nach dem 31. Dezember 2018 und vor dem 1. Januar 2020 endenden Wirtschaftsjahren beanspruchten Investitionsabzugsbeträgen endet die Investitionsfrist abweichend von </w:t>
      </w:r>
      <w:hyperlink w:anchor="b40" w:history="1">
        <w:r>
          <w:rPr>
            <w:color w:val="0A3A8C"/>
            <w:u w:val="single"/>
          </w:rPr>
          <w:t xml:space="preserve">§ 7g</w:t>
        </w:r>
      </w:hyperlink>
      <w:r>
        <w:t xml:space="preserve"> Absatz 3 Satz 1 erst zum Ende des vierten auf das Wirtschaftsjahr des Abzugs folgenden Wirtschaftsjahres. </w:t>
      </w:r>
      <w:r>
        <w:rPr>
          <w:rStyle w:val="Satznummer"/>
        </w:rPr>
        <w:t>6</w:t>
      </w:r>
      <w:r>
        <w:t>§ 7g Absatz 5 in der Fassung des Artikels 3 des Gesetzes vom 27. März 2024 (BGBl. 2024 I Nr. 108) ist erstmals für abnutzbare bewegliche Wirtschaftsgüter des Anlagevermögens anzuwenden, die nach dem 31. Dezember 2023 angeschafft oder hergestellt werden.</w:t>
      </w:r>
    </w:p>
    <w:p>
      <w:r>
        <w:t xml:space="preserve">(16a) </w:t>
      </w:r>
      <w:r>
        <w:rPr>
          <w:rStyle w:val="Satznummer"/>
        </w:rPr>
        <w:t>1</w:t>
      </w:r>
      <w:r>
        <w:t xml:space="preserve">§ 7h Absatz 1a in der Fassung des Artikels 1 des Gesetzes vom 12. Dezember 2019 (BGBl. I S. 2451) ist erstmals auf Baumaßnahmen anzuwenden, mit denen nach dem 31. Dezember 2018 begonnen wurde. </w:t>
      </w:r>
      <w:r>
        <w:rPr>
          <w:rStyle w:val="Satznummer"/>
        </w:rPr>
        <w:t>2</w:t>
      </w:r>
      <w:r>
        <w:t xml:space="preserve">Als Beginn der Baumaßnahmen am Gebäude, für die eine Baugenehmigung erforderlich ist, gilt der Zeitpunkt, in dem der Bauantrag gestellt wurde. </w:t>
      </w:r>
      <w:r>
        <w:rPr>
          <w:rStyle w:val="Satznummer"/>
        </w:rPr>
        <w:t>3</w:t>
      </w:r>
      <w:r>
        <w:t xml:space="preserve">Bei baugenehmigungsfreien Baumaßnahmen, für die Bauunterlagen einzureichen sind, gilt als Beginn der Baumaßnahmen der Zeitpunkt, in dem die Bauunterlagen eingereicht werden. </w:t>
      </w:r>
      <w:r>
        <w:rPr>
          <w:rStyle w:val="Satznummer"/>
        </w:rPr>
        <w:t>4</w:t>
      </w:r>
      <w:r>
        <w:t xml:space="preserve">§ 7h Absatz 2 Satz 1 in der Fassung des Artikels 1 des Gesetzes vom 21. Dezember 2020 (BGBl. I S. 3096) ist erstmals anzuwenden auf Bescheinigungen der zuständigen Gemeindebehörde, die nach dem 31. Dezember 2020 erteilt werden. </w:t>
      </w:r>
      <w:r>
        <w:rPr>
          <w:rStyle w:val="Satznummer"/>
        </w:rPr>
        <w:t>5</w:t>
      </w:r>
      <w:hyperlink w:anchor="b41" w:history="1">
        <w:r>
          <w:rPr>
            <w:color w:val="0A3A8C"/>
            <w:u w:val="single"/>
          </w:rPr>
          <w:t xml:space="preserve">§ 7h</w:t>
        </w:r>
      </w:hyperlink>
      <w:r>
        <w:t xml:space="preserve"> Absatz 2 Satz 1 letzter Halbsatz in der Fassung des Artikels 1 des Gesetzes vom 12. Dezember 2019 (BGBl. I S. 2451) ist erstmals anzuwenden auf Bescheinigungen der zuständigen Gemeindebehörde, die nach dem 31. Dezember 2018 erteilt werden. </w:t>
      </w:r>
      <w:r>
        <w:rPr>
          <w:rStyle w:val="Satznummer"/>
        </w:rPr>
        <w:t>6</w:t>
      </w:r>
      <w:r>
        <w:t xml:space="preserve">§ 7h Absatz 3 in der Fassung des Artikels 1 des Gesetzes vom 12. Dezember 2019 (BGBl. I S. 2451) ist erstmals anzuwenden auf Baumaßnahmen, mit denen nach dem 31. Dezember 2018 begonnen wurde sowie auf Bescheinigungen, die nach dem 31. Dezember 2018 erteilt werden. </w:t>
      </w:r>
      <w:r>
        <w:rPr>
          <w:rStyle w:val="Satznummer"/>
        </w:rPr>
        <w:t>7</w:t>
      </w:r>
      <w:r>
        <w:t>§ 7i Absatz 2 Satz 1 in der Fassung des Artikels 1 des Gesetzes vom 21. Dezember 2020 (BGBl. I S. 3096) ist erstmals anzuwenden auf Bescheinigungen der nach Landesrecht zuständigen oder von der Landesregierung bestimmten Stelle, die nach dem 31. Dezember 2020 erteilt werden.</w:t>
      </w:r>
    </w:p>
    <w:p>
      <w:r>
        <w:t xml:space="preserve">(16b) </w:t>
      </w:r>
      <w:r>
        <w:rPr>
          <w:rStyle w:val="Satznummer"/>
        </w:rPr>
        <w:t>1</w:t>
      </w:r>
      <w:r>
        <w:t xml:space="preserve">§ 9 Absatz 1 Satz 3 Nummer 7 Satz 1 in der Fassung des Artikels 1 des Gesetzes vom 12. Dezember 2019 (BGBl. I S. 2451) ist erstmals anzuwenden auf Sonderabschreibungen nach § 7b in der Fassung des Artikels 1 des Gesetzes vom 4. August 2019 (BGBl. I S. 1122). </w:t>
      </w:r>
      <w:r>
        <w:rPr>
          <w:rStyle w:val="Satznummer"/>
        </w:rPr>
        <w:t>2</w:t>
      </w:r>
      <w:r>
        <w:t xml:space="preserve">§ 9 Absatz 5 Satz 2 in der Fassung des Artikels 1 des Gesetzes vom 27. Juni 2017 (BGBl. I S. 2074) ist erstmals für Aufwendungen im Sinne des § 4j in der Fassung des Artikels 1 des Gesetzes vom 27. Juni 2017 (BGBl. I S. 2074) anzuwenden, die nach dem 31. Dezember 2017 entstehen. </w:t>
      </w:r>
      <w:r>
        <w:rPr>
          <w:rStyle w:val="Satznummer"/>
        </w:rPr>
        <w:t>3</w:t>
      </w:r>
      <w:r>
        <w:t xml:space="preserve">§ 9 Absatz 5 Satz 2 in der Fassung des Artikels 1 des Gesetzes vom 12. Dezember 2019 (BGBl. I S. 2451) ist auch für Veranlagungszeiträume vor 2019 anzuwenden. </w:t>
      </w:r>
      <w:r>
        <w:rPr>
          <w:rStyle w:val="Satznummer"/>
        </w:rPr>
        <w:t>4</w:t>
      </w:r>
      <w:r>
        <w:t xml:space="preserve">§ 9 Absatz 5 Satz 2 in der Fassung des Artikels 1 des Gesetzes vom 25. Juni 2021 (BGBl. I S. 2035) ist erstmals für Aufwendungen im Sinne des </w:t>
      </w:r>
      <w:hyperlink w:anchor="b24" w:history="1">
        <w:r>
          <w:rPr>
            <w:color w:val="0A3A8C"/>
            <w:u w:val="single"/>
          </w:rPr>
          <w:t xml:space="preserve">§ 4k</w:t>
        </w:r>
      </w:hyperlink>
      <w:r>
        <w:t xml:space="preserve"> anzuwenden, die nach dem 31. Dezember 2019 entstehen. </w:t>
      </w:r>
      <w:r>
        <w:rPr>
          <w:rStyle w:val="Satznummer"/>
        </w:rPr>
        <w:t>5</w:t>
      </w:r>
      <w:r>
        <w:t>§ 9 Absatz 5 Satz 2 in der Fassung des Artikels 4 des Gesetzes vom 22. Dezember 2025 (BGBl. 2025 I Nr. 353) ist erstmals für den Veranlagungszeitraum 2025 anzuwenden.</w:t>
      </w:r>
    </w:p>
    <w:p>
      <w:r>
        <w:t>(17) § 9b Absatz 2 in der Fassung des Artikels 11 des Gesetzes vom 18. Dezember 2013 (BGBl. I S. 4318) ist auf Mehr- und Minderbeträge infolge von Änderungen der Verhältnisse im Sinne von § 15a des Umsatzsteuergesetzes anzuwenden, die nach dem 28. November 2013 eingetreten sind.</w:t>
      </w:r>
    </w:p>
    <w:p>
      <w:r>
        <w:t xml:space="preserve">(18) </w:t>
      </w:r>
      <w:r>
        <w:rPr>
          <w:rStyle w:val="Satznummer"/>
        </w:rPr>
        <w:t>1</w:t>
      </w:r>
      <w:r>
        <w:t xml:space="preserve">§ 10 Absatz 1a Nummer 2 in der am 1. Januar 2015 geltenden Fassung ist auf alle Versorgungsleistungen anzuwenden, die auf Vermögensübertragungen beruhen, die nach dem 31. Dezember 2007 vereinbart worden sind. </w:t>
      </w:r>
      <w:r>
        <w:rPr>
          <w:rStyle w:val="Satznummer"/>
        </w:rPr>
        <w:t>2</w:t>
      </w:r>
      <w:r>
        <w:t xml:space="preserve">Für Versorgungsleistungen, die auf Vermögensübertragungen beruhen, die vor dem 1. Januar 2008 vereinbart worden sind, gilt dies nur, wenn das übertragene Vermögen nur deshalb einen ausreichenden Ertrag bringt, weil ersparte Aufwendungen, mit Ausnahme des Nutzungsvorteils eines vom Vermögensübernehmer zu eigenen Zwecken genutzten Grundstücks, zu den Erträgen des Vermögens gerechnet werden. </w:t>
      </w:r>
      <w:r>
        <w:rPr>
          <w:rStyle w:val="Satznummer"/>
        </w:rPr>
        <w:t>3</w:t>
      </w:r>
      <w:r>
        <w:t xml:space="preserve">§ 10 Absatz 1 Nummer 5 in der am 1. Januar 2012 geltenden Fassung gilt auch für Kinder, die wegen einer vor dem 1. Januar 2007 in der Zeit ab Vollendung des 25. Lebensjahres und vor Vollendung des 27. Lebensjahres eingetretenen körperlichen, geistigen oder seelischen Behinderung außerstande sind, sich selbst zu unterhalten. </w:t>
      </w:r>
      <w:r>
        <w:rPr>
          <w:rStyle w:val="Satznummer"/>
        </w:rPr>
        <w:t>4</w:t>
      </w:r>
      <w:r>
        <w:t>§ 10 Absatz 2 Satz 1 Nummer 1 in der Fassung des Artikels 3 des Gesetzes vom 2. Dezember 2024 (BGBl. 2024 I Nr. 387) ist in allen offenen Fällen anzuwenden.</w:t>
      </w:r>
      <w:r>
        <w:rPr>
          <w:rStyle w:val="Satznummer"/>
        </w:rPr>
        <w:t>5</w:t>
      </w:r>
      <w:r>
        <w:t xml:space="preserve">§ 10 Absatz 2c in der Fassung des Artikels 3 des Gesetzes vom 2. Dezember 2024 (BGBl. 2024 I Nr. 387) ist erstmals auf Vorsorgeaufwendungen anzuwenden, die nach dem 31. Dezember 2027 an die mitteilungspflichtige Stelle geleistet oder an den Steuerpflichtigen erstattet werden. </w:t>
      </w:r>
      <w:r>
        <w:rPr>
          <w:rStyle w:val="Satznummer"/>
        </w:rPr>
        <w:t>6</w:t>
      </w:r>
      <w:r>
        <w:t xml:space="preserve">§ 10 Absatz 4b Satz 4 bis 6 in der am 30. Juni 2013 geltenden Fassung ist erstmals für die Übermittlung der Daten des Veranlagungszeitraums 2016 anzuwenden. </w:t>
      </w:r>
      <w:r>
        <w:rPr>
          <w:rStyle w:val="Satznummer"/>
        </w:rPr>
        <w:t>7</w:t>
      </w:r>
      <w:r>
        <w:t>§ 10 Absatz 5 in der am 31. Dezember 2009 geltenden Fassung ist auf Beiträge zu Versicherungen im Sinne des § 10 Absatz 1 Nummer 2 Buchstabe b Doppelbuchstabe bb bis dd in der am 31. Dezember 2004 geltenden Fassung weiterhin anzuwenden, wenn die Laufzeit dieser Versicherungen vor dem 1. Januar 2005 begonnen hat und ein Versicherungsbeitrag bis zum 31. Dezember 2004 entrichtet wurde.</w:t>
      </w:r>
    </w:p>
    <w:p>
      <w:r>
        <w:t>(18a) § 10b Absatz 1 Satz 8 in der Fassung des Artikels 2 des Gesetzes vom 12. Dezember 2019 (BGBl. I S. 2451) ist erstmals auf Mitgliedsbeiträge anzuwenden, die nach dem 31. Dezember 2019 gezahlt werden.</w:t>
      </w:r>
    </w:p>
    <w:p>
      <w:r>
        <w:t xml:space="preserve">(18b) </w:t>
      </w:r>
      <w:r>
        <w:rPr>
          <w:rStyle w:val="Satznummer"/>
        </w:rPr>
        <w:t>1</w:t>
      </w:r>
      <w:r>
        <w:t xml:space="preserve">§ 10d Absatz 1 Satz 1 in der Fassung des Artikels 1 des Gesetzes vom 10. März 2021 (BGBl. I S. 330) ist für die Veranlagungszeiträume 2020 und 2021 anzuwenden. </w:t>
      </w:r>
      <w:r>
        <w:rPr>
          <w:rStyle w:val="Satznummer"/>
        </w:rPr>
        <w:t>2</w:t>
      </w:r>
      <w:r>
        <w:t xml:space="preserve">§ 10d Absatz 1 in der Fassung des Artikels 3 des Gesetzes vom 19. Juni 2022 (BGBl. I S. 911) ist erstmals für den Veranlagungszeitraum 2022 anzuwenden. </w:t>
      </w:r>
      <w:r>
        <w:rPr>
          <w:rStyle w:val="Satznummer"/>
        </w:rPr>
        <w:t>3</w:t>
      </w:r>
      <w:r>
        <w:t>§ 10d Absatz 2 in der Fassung des Artikels 2 des Gesetzes vom 27. März 2024 (BGBl. 2024 I Nr. 108) ist erstmals für den Veranlagungszeitraum 2024 anzuwenden.</w:t>
      </w:r>
    </w:p>
    <w:p>
      <w:r>
        <w:t xml:space="preserve">(19) </w:t>
      </w:r>
      <w:r>
        <w:rPr>
          <w:rStyle w:val="Satznummer"/>
        </w:rPr>
        <w:t>1</w:t>
      </w:r>
      <w:r>
        <w:t xml:space="preserve">Für nach dem 31. Dezember 1986 und vor dem 1. Januar 1991 hergestellte oder angeschaffte Wohnungen im eigenen Haus oder Eigentumswohnungen sowie in diesem Zeitraum fertiggestellte Ausbauten oder Erweiterungen ist § 10e in der am 30. Dezember 1989 geltenden Fassung weiter anzuwenden. </w:t>
      </w:r>
      <w:r>
        <w:rPr>
          <w:rStyle w:val="Satznummer"/>
        </w:rPr>
        <w:t>2</w:t>
      </w:r>
      <w:r>
        <w:t xml:space="preserve">Für nach dem 31. Dezember 1990 hergestellte oder angeschaffte Wohnungen im eigenen Haus oder Eigentumswohnungen sowie in diesem Zeitraum fertiggestellte Ausbauten oder Erweiterungen ist § 10e in der am 28. Juni 1991 geltenden Fassung weiter anzuwenden. </w:t>
      </w:r>
      <w:r>
        <w:rPr>
          <w:rStyle w:val="Satznummer"/>
        </w:rPr>
        <w:t>3</w:t>
      </w:r>
      <w:r>
        <w:t xml:space="preserve">Abweichend von Satz 2 ist § 10e Absatz 1 bis 5 und 6 bis 7 in der am 28. Juni 1991 geltenden Fassung erstmals für den Veranlagungszeitraum 1991 bei Objekten im Sinne des </w:t>
      </w:r>
      <w:hyperlink w:anchor="b56" w:history="1">
        <w:r>
          <w:rPr>
            <w:color w:val="0A3A8C"/>
            <w:u w:val="single"/>
          </w:rPr>
          <w:t xml:space="preserve">§ 10e</w:t>
        </w:r>
      </w:hyperlink>
      <w:r>
        <w:t xml:space="preserve"> Absatz 1 und 2 anzuwenden, wenn im Fall der Herstellung der Steuerpflichtige nach dem 30. September 1991 den Bauantrag gestellt oder mit der Herstellung des Objekts begonnen hat oder im Fall der Anschaffung der Steuerpflichtige das Objekt nach dem 30. September 1991 auf Grund eines nach diesem Zeitpunkt rechtswirksam abgeschlossenen obligatorischen Vertrags oder gleichstehenden Rechtsakts angeschafft hat oder mit der Herstellung des Objekts nach dem 30. September 1991 begonnen worden ist. </w:t>
      </w:r>
      <w:r>
        <w:rPr>
          <w:rStyle w:val="Satznummer"/>
        </w:rPr>
        <w:t>4</w:t>
      </w:r>
      <w:hyperlink w:anchor="b56" w:history="1">
        <w:r>
          <w:rPr>
            <w:color w:val="0A3A8C"/>
            <w:u w:val="single"/>
          </w:rPr>
          <w:t xml:space="preserve">§ 10e</w:t>
        </w:r>
      </w:hyperlink>
      <w:r>
        <w:t xml:space="preserve"> Absatz 5a ist erstmals bei den in </w:t>
      </w:r>
      <w:hyperlink w:anchor="b56" w:history="1">
        <w:r>
          <w:rPr>
            <w:color w:val="0A3A8C"/>
            <w:u w:val="single"/>
          </w:rPr>
          <w:t xml:space="preserve">§ 10e</w:t>
        </w:r>
      </w:hyperlink>
      <w:r>
        <w:t xml:space="preserve"> Absatz 1 und 2 bezeichneten Objekten anzuwenden, wenn im Fall der Herstellung der Steuerpflichtige den Bauantrag nach dem 31. Dezember 1991 gestellt oder, falls ein solcher nicht erforderlich ist, mit der Herstellung nach diesem Zeitpunkt begonnen hat, oder im Fall der Anschaffung der Steuerpflichtige das Objekt auf Grund eines nach dem 31. Dezember 1991 rechtswirksam abgeschlossenen obligatorischen Vertrags oder gleichstehenden Rechtsakts angeschafft hat. </w:t>
      </w:r>
      <w:r>
        <w:rPr>
          <w:rStyle w:val="Satznummer"/>
        </w:rPr>
        <w:t>5</w:t>
      </w:r>
      <w:r>
        <w:t xml:space="preserve">§ 10e Absatz 1 Satz 4 in der am 27. Juni 1993 geltenden Fassung und § 10e Absatz 6 Satz 3 in der am 30. Dezember 1993 geltenden Fassung sind erstmals anzuwenden, wenn der Steuerpflichtige das Objekt auf Grund eines nach dem 31. Dezember 1993 rechtswirksam abgeschlossenen obligatorischen Vertrags oder gleichstehenden Rechtsakts angeschafft hat. </w:t>
      </w:r>
      <w:r>
        <w:rPr>
          <w:rStyle w:val="Satznummer"/>
        </w:rPr>
        <w:t>6</w:t>
      </w:r>
      <w:hyperlink w:anchor="b56" w:history="1">
        <w:r>
          <w:rPr>
            <w:color w:val="0A3A8C"/>
            <w:u w:val="single"/>
          </w:rPr>
          <w:t xml:space="preserve">§ 10e</w:t>
        </w:r>
      </w:hyperlink>
      <w:r>
        <w:t xml:space="preserve"> ist letztmals anzuwenden, wenn der Steuerpflichtige im Fall der Herstellung vor dem 1. Januar 1996 mit der Herstellung des Objekts begonnen hat oder im Fall der Anschaffung das Objekt auf Grund eines vor dem 1. Januar 1996 rechtswirksam abgeschlossenen obligatorischen Vertrags oder gleichstehenden Rechtsakts angeschafft hat. </w:t>
      </w:r>
      <w:r>
        <w:rPr>
          <w:rStyle w:val="Satznummer"/>
        </w:rPr>
        <w:t>7</w:t>
      </w:r>
      <w:r>
        <w:t>Als Beginn der Herstellung gilt bei Objekten, für die eine Baugenehmigung erforderlich ist, der Zeitpunkt, in dem der Bauantrag gestellt wird; bei baugenehmigungsfreien Objekten, für die Bauunterlagen einzureichen sind, gilt als Beginn der Herstellung der Zeitpunkt, in dem die Bauunterlagen eingereicht werden.</w:t>
      </w:r>
    </w:p>
    <w:p>
      <w:r>
        <w:t>(20) § 12 Nummer 4 in der Fassung des Artikels 1 des Gesetzes vom 12. Dezember 2019 (BGBl. I S. 2451) ist erstmals anzuwenden auf nach dem 31. Dezember 2018 festgesetzte Geldstrafen, sonstige Rechtsfolgen vermögensrechtlicher Art, bei denen der Strafcharakter überwiegt, und Leistungen zur Erfüllung von Auflagen oder Weisungen, soweit die Auflagen oder Weisungen nicht lediglich der Wiedergutmachung des durch die Tat verursachten Schadens dienen, sowie auf nach dem 31. Dezember 2018 entstandene damit zusammenhängende Aufwendungen.</w:t>
      </w:r>
    </w:p>
    <w:p>
      <w:r>
        <w:t>(21) (weggefallen)</w:t>
      </w:r>
    </w:p>
    <w:p>
      <w:r>
        <w:t>(22) Für die Anwendung des § 13 Absatz 7 in der am 31. Dezember 2005 geltenden Fassung gilt Absatz 25 entsprechend.</w:t>
      </w:r>
    </w:p>
    <w:p>
      <w:r>
        <w:t xml:space="preserve">(22a) </w:t>
      </w:r>
      <w:r>
        <w:rPr>
          <w:rStyle w:val="Satznummer"/>
        </w:rPr>
        <w:t>1</w:t>
      </w:r>
      <w:r>
        <w:t xml:space="preserve">§ 13a in der am 31. Dezember 2014 geltenden Fassung ist letztmals für das Wirtschaftsjahr anzuwenden, das vor dem 31. Dezember 2015 endet. </w:t>
      </w:r>
      <w:r>
        <w:rPr>
          <w:rStyle w:val="Satznummer"/>
        </w:rPr>
        <w:t>2</w:t>
      </w:r>
      <w:r>
        <w:t xml:space="preserve">§ 13a in der am 1. Januar 2015 geltenden Fassung ist erstmals für das Wirtschaftsjahr anzuwenden, das nach dem 30. Dezember 2015 endet. </w:t>
      </w:r>
      <w:r>
        <w:rPr>
          <w:rStyle w:val="Satznummer"/>
        </w:rPr>
        <w:t>3</w:t>
      </w:r>
      <w:r>
        <w:t>Die Bindungsfrist auf Grund des § 13a Absatz 2 Satz 1 in der am 31. Dezember 2014 geltenden Fassung bleibt bestehen.</w:t>
      </w:r>
    </w:p>
    <w:p>
      <w:r>
        <w:t xml:space="preserve">(22b) </w:t>
      </w:r>
      <w:r>
        <w:rPr>
          <w:rStyle w:val="Satznummer"/>
        </w:rPr>
        <w:t>1</w:t>
      </w:r>
      <w:r>
        <w:t xml:space="preserve">§ 13b in der Fassung des Artikels 5 des Gesetzes vom 12. Dezember 2019 (BGBl. I S. 2451) ist erstmals für das Wirtschaftsjahr anzuwenden, das nach dem 31. Dezember 2024 beginnt. </w:t>
      </w:r>
      <w:r>
        <w:rPr>
          <w:rStyle w:val="Satznummer"/>
        </w:rPr>
        <w:t>2</w:t>
      </w:r>
      <w:r>
        <w:t>Für gemeinschaftliche Tierhaltungen gemäß § 51a des Bewertungsgesetzes gelten für einkommensteuerrechtliche Zwecke die zu Beginn des Wirtschaftsjahres 2024/2025 noch gültigen Vorschriften der §§ 51, 51a des Bewertungsgesetzes bis zum Ablauf des Wirtschaftsjahres 2024/2025 fort.</w:t>
      </w:r>
    </w:p>
    <w:p>
      <w:r>
        <w:t xml:space="preserve">(22c) </w:t>
      </w:r>
      <w:r>
        <w:rPr>
          <w:rStyle w:val="Satznummer"/>
        </w:rPr>
        <w:t>1</w:t>
      </w:r>
      <w:hyperlink w:anchor="b72" w:history="1">
        <w:r>
          <w:rPr>
            <w:color w:val="0A3A8C"/>
            <w:u w:val="single"/>
          </w:rPr>
          <w:t xml:space="preserve">§ 14</w:t>
        </w:r>
      </w:hyperlink>
      <w:r>
        <w:t xml:space="preserve"> Absatz 3 ist erstmals auf Fälle anzuwenden, in denen die Übertragung oder Überführung der Grundstücke nach dem 16. Dezember 2020 stattgefunden hat. </w:t>
      </w:r>
      <w:r>
        <w:rPr>
          <w:rStyle w:val="Satznummer"/>
        </w:rPr>
        <w:t>2</w:t>
      </w:r>
      <w:r>
        <w:t xml:space="preserve">Auf unwiderruflichen Antrag des jeweiligen Mitunternehmers ist </w:t>
      </w:r>
      <w:hyperlink w:anchor="b72" w:history="1">
        <w:r>
          <w:rPr>
            <w:color w:val="0A3A8C"/>
            <w:u w:val="single"/>
          </w:rPr>
          <w:t xml:space="preserve">§ 14</w:t>
        </w:r>
      </w:hyperlink>
      <w:r>
        <w:t xml:space="preserve"> Absatz 3 auch für Übertragungen oder Überführungen vor dem 17. Dezember 2020 anzuwenden. </w:t>
      </w:r>
      <w:r>
        <w:rPr>
          <w:rStyle w:val="Satznummer"/>
        </w:rPr>
        <w:t>3</w:t>
      </w:r>
      <w:r>
        <w:t>Der Antrag ist bei dem Finanzamt zu stellen, das für die einheitliche und gesonderte Feststellung der Einkünfte der Mitunternehmerschaft zuständig ist.</w:t>
      </w:r>
    </w:p>
    <w:p>
      <w:r>
        <w:t xml:space="preserve">(23) </w:t>
      </w:r>
      <w:r>
        <w:rPr>
          <w:rStyle w:val="Satznummer"/>
        </w:rPr>
        <w:t>1</w:t>
      </w:r>
      <w:hyperlink w:anchor="b75" w:history="1">
        <w:r>
          <w:rPr>
            <w:color w:val="0A3A8C"/>
            <w:u w:val="single"/>
          </w:rPr>
          <w:t xml:space="preserve">§ 15</w:t>
        </w:r>
      </w:hyperlink>
      <w:r>
        <w:t xml:space="preserve"> Absatz 3 Nummer 1 Satz 2 ist auch für Veranlagungszeiträume vor 2019 anzuwenden. </w:t>
      </w:r>
      <w:r>
        <w:rPr>
          <w:rStyle w:val="Satznummer"/>
        </w:rPr>
        <w:t>2</w:t>
      </w:r>
      <w:r>
        <w:t>§ 15 Absatz 4 Satz 2 und 7 in der am 30. Juni 2013 geltenden Fassung ist in allen Fällen anzuwenden, in denen am 30. Juni 2013 die Feststellungsfrist noch nicht abgelaufen ist.</w:t>
      </w:r>
    </w:p>
    <w:p>
      <w:r>
        <w:t xml:space="preserve">(24) </w:t>
      </w:r>
      <w:r>
        <w:rPr>
          <w:rStyle w:val="Satznummer"/>
        </w:rPr>
        <w:t>1</w:t>
      </w:r>
      <w:hyperlink w:anchor="b76" w:history="1">
        <w:r>
          <w:rPr>
            <w:color w:val="0A3A8C"/>
            <w:u w:val="single"/>
          </w:rPr>
          <w:t xml:space="preserve">§ 15a</w:t>
        </w:r>
      </w:hyperlink>
      <w:r>
        <w:t xml:space="preserve"> ist nicht auf Verluste anzuwenden, soweit sie</w:t>
      </w:r>
    </w:p>
    <w:p>
      <w:pPr>
        <w:tabs>
          <w:tab w:pos="567" w:val="left"/>
        </w:tabs>
        <w:ind w:left="567" w:hanging="567"/>
      </w:pPr>
      <w:r>
        <w:t>1.</w:t>
      </w:r>
      <w:r>
        <w:tab/>
      </w:r>
      <w:r>
        <w:t>durch Sonderabschreibungen nach § 82f der Einkommensteuer-Durchführungsverordnung,</w:t>
      </w:r>
    </w:p>
    <w:p>
      <w:pPr>
        <w:tabs>
          <w:tab w:pos="567" w:val="left"/>
        </w:tabs>
        <w:ind w:left="567" w:hanging="567"/>
      </w:pPr>
      <w:r>
        <w:t>2.</w:t>
      </w:r>
      <w:r>
        <w:tab/>
      </w:r>
      <w:r>
        <w:t>durch Absetzungen für Abnutzung in fallenden Jahresbeträgen nach § 7 Absatz 2 von den Herstellungskosten oder von den Anschaffungskosten von in ungebrauchtem Zustand vom Hersteller erworbenen Seeschiffen, die in einem inländischen Seeschiffsregister eingetragen sind,</w:t>
      </w:r>
    </w:p>
    <w:p>
      <w:r>
        <w:t xml:space="preserve">entstehen; Nummer 1 gilt nur bei Schiffen, deren Anschaffungs- oder Herstellungskosten zu mindestens 30 Prozent durch Mittel finanziert werden, die weder unmittelbar noch mittelbar in wirtschaftlichem Zusammenhang mit der Aufnahme von Krediten durch den Gewerbebetrieb stehen, zu dessen Betriebsvermögen das Schiff gehört. </w:t>
      </w:r>
      <w:r>
        <w:rPr>
          <w:rStyle w:val="Satznummer"/>
        </w:rPr>
        <w:t>2</w:t>
      </w:r>
      <w:hyperlink w:anchor="b76" w:history="1">
        <w:r>
          <w:rPr>
            <w:color w:val="0A3A8C"/>
            <w:u w:val="single"/>
          </w:rPr>
          <w:t xml:space="preserve">§ 15a</w:t>
        </w:r>
      </w:hyperlink>
      <w:r>
        <w:t xml:space="preserve"> ist in diesen Fällen erstmals anzuwenden auf Verluste, die in nach dem 31. Dezember 1999 beginnenden Wirtschaftsjahren entstehen, wenn der Schiffbauvertrag vor dem 25. April 1996 abgeschlossen worden ist und der Gesellschafter der Gesellschaft vor dem 1. Januar 1999 beigetreten ist; soweit Verluste, die in dem Betrieb der Gesellschaft entstehen und nach Satz 1 oder nach </w:t>
      </w:r>
      <w:hyperlink w:anchor="b76" w:history="1">
        <w:r>
          <w:rPr>
            <w:color w:val="0A3A8C"/>
            <w:u w:val="single"/>
          </w:rPr>
          <w:t xml:space="preserve">§ 15a</w:t>
        </w:r>
      </w:hyperlink>
      <w:r>
        <w:t xml:space="preserve"> Absatz 1 Satz 1 ausgleichsfähig oder abzugsfähig sind, zusammen das Eineinviertelfache der insgesamt geleisteten Einlage übersteigen, ist </w:t>
      </w:r>
      <w:hyperlink w:anchor="b76" w:history="1">
        <w:r>
          <w:rPr>
            <w:color w:val="0A3A8C"/>
            <w:u w:val="single"/>
          </w:rPr>
          <w:t xml:space="preserve">§ 15a</w:t>
        </w:r>
      </w:hyperlink>
      <w:r>
        <w:t xml:space="preserve"> auf Verluste anzuwenden, die in nach dem 31. Dezember 1994 beginnenden Wirtschaftsjahren entstehen. </w:t>
      </w:r>
      <w:r>
        <w:rPr>
          <w:rStyle w:val="Satznummer"/>
        </w:rPr>
        <w:t>3</w:t>
      </w:r>
      <w:r>
        <w:t xml:space="preserve">Scheidet ein Kommanditist oder ein anderer Mitunternehmer, dessen Haftung der eines Kommanditisten vergleichbar ist und dessen Kapitalkonto in der Steuerbilanz der Gesellschaft auf Grund von ausgleichs- oder abzugsfähigen Verlusten negativ geworden ist, aus der Gesellschaft aus oder wird in einem solchen Fall die Gesellschaft aufgelöst, so gilt der Betrag, den der Mitunternehmer nicht ausgleichen muss, als Veräußerungsgewinn im Sinne des </w:t>
      </w:r>
      <w:hyperlink w:anchor="b78" w:history="1">
        <w:r>
          <w:rPr>
            <w:color w:val="0A3A8C"/>
            <w:u w:val="single"/>
          </w:rPr>
          <w:t xml:space="preserve">§ 16</w:t>
        </w:r>
      </w:hyperlink>
      <w:r>
        <w:t xml:space="preserve">. </w:t>
      </w:r>
      <w:r>
        <w:rPr>
          <w:rStyle w:val="Satznummer"/>
        </w:rPr>
        <w:t>4</w:t>
      </w:r>
      <w:r>
        <w:t xml:space="preserve">In Höhe der nach Satz 3 als Gewinn zuzurechnenden Beträge sind bei den anderen Mitunternehmern unter Berücksichtigung der für die Zurechnung von Verlusten geltenden Grundsätze Verlustanteile anzusetzen. </w:t>
      </w:r>
      <w:r>
        <w:rPr>
          <w:rStyle w:val="Satznummer"/>
        </w:rPr>
        <w:t>5</w:t>
      </w:r>
      <w:r>
        <w:t xml:space="preserve">Bei der Anwendung des </w:t>
      </w:r>
      <w:hyperlink w:anchor="b76" w:history="1">
        <w:r>
          <w:rPr>
            <w:color w:val="0A3A8C"/>
            <w:u w:val="single"/>
          </w:rPr>
          <w:t xml:space="preserve">§ 15a</w:t>
        </w:r>
      </w:hyperlink>
      <w:r>
        <w:t xml:space="preserve"> Absatz 3 sind nur Verluste zu berücksichtigen, auf die </w:t>
      </w:r>
      <w:hyperlink w:anchor="b76" w:history="1">
        <w:r>
          <w:rPr>
            <w:color w:val="0A3A8C"/>
            <w:u w:val="single"/>
          </w:rPr>
          <w:t xml:space="preserve">§ 15a</w:t>
        </w:r>
      </w:hyperlink>
      <w:r>
        <w:t xml:space="preserve"> Absatz 1 anzuwenden ist.</w:t>
      </w:r>
    </w:p>
    <w:p>
      <w:r>
        <w:t xml:space="preserve">(25) </w:t>
      </w:r>
      <w:r>
        <w:rPr>
          <w:rStyle w:val="Satznummer"/>
        </w:rPr>
        <w:t>1</w:t>
      </w:r>
      <w:r>
        <w:t xml:space="preserve">§ 15b in der Fassung des Artikels 1 des Gesetzes vom 22. Dezember 2005 (BGBl. I S. 3683) ist nur auf Verluste der dort bezeichneten Steuerstundungsmodelle anzuwenden, denen der Steuerpflichtige nach dem 10. November 2005 beigetreten ist oder für die nach dem 10. November 2005 mit dem Außenvertrieb begonnen wurde. </w:t>
      </w:r>
      <w:r>
        <w:rPr>
          <w:rStyle w:val="Satznummer"/>
        </w:rPr>
        <w:t>2</w:t>
      </w:r>
      <w:r>
        <w:t xml:space="preserve">Der Außenvertrieb beginnt in dem Zeitpunkt, in dem die Voraussetzungen für die Veräußerung der konkret bestimmbaren Fondsanteile erfüllt sind und die Gesellschaft selbst oder über ein Vertriebsunternehmen mit Außenwirkung an den Markt herangetreten ist. </w:t>
      </w:r>
      <w:r>
        <w:rPr>
          <w:rStyle w:val="Satznummer"/>
        </w:rPr>
        <w:t>3</w:t>
      </w:r>
      <w:r>
        <w:t xml:space="preserve">Dem Beginn des Außenvertriebs stehen der Beschluss von Kapitalerhöhungen und die Reinvestition von Erlösen in neue Projekte gleich. </w:t>
      </w:r>
      <w:r>
        <w:rPr>
          <w:rStyle w:val="Satznummer"/>
        </w:rPr>
        <w:t>4</w:t>
      </w:r>
      <w:r>
        <w:t xml:space="preserve">Besteht das Steuerstundungsmodell nicht im Erwerb eines Anteils an einem geschlossenen Fonds, ist § 15b in der Fassung des Artikels 1 des Gesetzes vom 22. Dezember 2005 (BGBl. I S. 3683) anzuwenden, wenn die Investition nach dem 10. November 2005 rechtsverbindlich getätigt wurde. </w:t>
      </w:r>
      <w:r>
        <w:rPr>
          <w:rStyle w:val="Satznummer"/>
        </w:rPr>
        <w:t>5</w:t>
      </w:r>
      <w:hyperlink w:anchor="b77" w:history="1">
        <w:r>
          <w:rPr>
            <w:color w:val="0A3A8C"/>
            <w:u w:val="single"/>
          </w:rPr>
          <w:t xml:space="preserve">§ 15b</w:t>
        </w:r>
      </w:hyperlink>
      <w:r>
        <w:t xml:space="preserve"> Absatz 3a ist erstmals auf Verluste der dort bezeichneten Steuerstundungsmodelle anzuwenden, bei denen Wirtschaftsgüter des Umlaufvermögens nach dem 28. November 2013 angeschafft, hergestellt oder in das Betriebsvermögen eingelegt werden.</w:t>
      </w:r>
    </w:p>
    <w:p>
      <w:r>
        <w:t xml:space="preserve">(25a) </w:t>
      </w:r>
      <w:r>
        <w:rPr>
          <w:rStyle w:val="Satznummer"/>
        </w:rPr>
        <w:t>1</w:t>
      </w:r>
      <w:r>
        <w:t xml:space="preserve">§ 17 Absatz 2a in der Fassung des Artikels 2 des Gesetzes vom 12. Dezember 2019 (BGBl. I S. 2451) ist erstmals für Veräußerungen im Sinne von </w:t>
      </w:r>
      <w:hyperlink w:anchor="b79" w:history="1">
        <w:r>
          <w:rPr>
            <w:color w:val="0A3A8C"/>
            <w:u w:val="single"/>
          </w:rPr>
          <w:t xml:space="preserve">§ 17</w:t>
        </w:r>
      </w:hyperlink>
      <w:r>
        <w:t xml:space="preserve"> Absatz 1, 4 oder 5 nach dem 31. Juli 2019 anzuwenden. </w:t>
      </w:r>
      <w:r>
        <w:rPr>
          <w:rStyle w:val="Satznummer"/>
        </w:rPr>
        <w:t>2</w:t>
      </w:r>
      <w:r>
        <w:t xml:space="preserve">Auf Antrag des Steuerpflichtigen ist </w:t>
      </w:r>
      <w:hyperlink w:anchor="b79" w:history="1">
        <w:r>
          <w:rPr>
            <w:color w:val="0A3A8C"/>
            <w:u w:val="single"/>
          </w:rPr>
          <w:t xml:space="preserve">§ 17</w:t>
        </w:r>
      </w:hyperlink>
      <w:r>
        <w:t xml:space="preserve"> Absatz 2a Satz 1 bis 4 auch für Veräußerungen im Sinne von </w:t>
      </w:r>
      <w:hyperlink w:anchor="b79" w:history="1">
        <w:r>
          <w:rPr>
            <w:color w:val="0A3A8C"/>
            <w:u w:val="single"/>
          </w:rPr>
          <w:t xml:space="preserve">§ 17</w:t>
        </w:r>
      </w:hyperlink>
      <w:r>
        <w:t xml:space="preserve"> Absatz 1, 4 oder 5 vor dem 31. Juli 2019 anzuwenden.</w:t>
      </w:r>
    </w:p>
    <w:p>
      <w:r>
        <w:t>(26) Für die Anwendung des § 18 Absatz 4 Satz 2 in der Fassung des Artikels 1 des Gesetzes vom 22. Dezember 2005 (BGBl. I S. 3683) gilt Absatz 25 entsprechend.</w:t>
      </w:r>
    </w:p>
    <w:p>
      <w:r>
        <w:t>(26a) § 19 Absatz 2 Satz 3 und § 24a Satz 5 in der Fassung des Artikels 1 des Gesetzes vom 27. März 2024 (BGBl. 2024 I Nr. 108) sind beim Steuerabzug vom Arbeitslohn erstmals ab dem 1. Januar 2025 anzuwenden.</w:t>
      </w:r>
    </w:p>
    <w:p>
      <w:r>
        <w:t>(27) (weggefallen)</w:t>
      </w:r>
    </w:p>
    <w:p>
      <w:r>
        <w:t xml:space="preserve">(28) </w:t>
      </w:r>
      <w:r>
        <w:rPr>
          <w:rStyle w:val="Satznummer"/>
        </w:rPr>
        <w:t>1</w:t>
      </w:r>
      <w:r>
        <w:t xml:space="preserve">Für die Anwendung des § 20 Absatz 1 Nummer 4 Satz 2 in der am 31. Dezember 2005 geltenden Fassung gilt Absatz 25 entsprechend. </w:t>
      </w:r>
      <w:r>
        <w:rPr>
          <w:rStyle w:val="Satznummer"/>
        </w:rPr>
        <w:t>2</w:t>
      </w:r>
      <w:r>
        <w:t xml:space="preserve">Für die Anwendung von § 20 Absatz 1 Nummer 4 Satz 2 und Absatz 2b in der am 1. Januar 2007 geltenden Fassung gilt Absatz 25 entsprechend. </w:t>
      </w:r>
      <w:r>
        <w:rPr>
          <w:rStyle w:val="Satznummer"/>
        </w:rPr>
        <w:t>3</w:t>
      </w:r>
      <w:r>
        <w:t xml:space="preserve">§ 20 Absatz 1 Nummer 6 in der Fassung des Gesetzes vom 7. September 1990 (BGBl. I S. 1898) ist erstmals auf nach dem 31. Dezember 1974 zugeflossene Zinsen aus Versicherungsverträgen anzuwenden, die nach dem 31. Dezember 1973 abgeschlossen worden sind. </w:t>
      </w:r>
      <w:r>
        <w:rPr>
          <w:rStyle w:val="Satznummer"/>
        </w:rPr>
        <w:t>4</w:t>
      </w:r>
      <w:r>
        <w:t xml:space="preserve">§ 20 Absatz 1 Nummer 6 in der Fassung des Gesetzes vom 20. Dezember 1996 (BGBl. I S. 2049) ist erstmals auf Zinsen aus Versicherungsverträgen anzuwenden, bei denen die Ansprüche nach dem 31. Dezember 1996 entgeltlich erworben worden sind. </w:t>
      </w:r>
      <w:r>
        <w:rPr>
          <w:rStyle w:val="Satznummer"/>
        </w:rPr>
        <w:t>5</w:t>
      </w:r>
      <w:r>
        <w:t xml:space="preserve">Für Leistungen aus Rentenversicherungen mit Kapitalwahlrecht, soweit die Kapitalauszahlung gewählt wird, sowie aus Kapitalversicherungen mit Sparanteil ist, wenn die Leistungen auf einem vor dem 1. Januar 2005 abgeschlossenen Versicherungsvertrag beruhen, § 20 Absatz 1 Nummer 6 in der am 31. Dezember 2004 geltenden Fassung, auch in allen offenen Fällen, mit der Maßgabe weiterhin anzuwenden, dass in Satz 3 die Wörter „§ 10 Absatz 1 Nummer 2 Buchstabe b Satz 5“ durch die Wörter „§ 10 Absatz 1 Nummer 2 Buchstabe b Satz 6“ ersetzt werden; für Rentenzahlungen aus diesen Versicherungsverträgen ist § 22 Nummer 1 Satz 3 Buchstabe a Doppelbuchstabe bb anzuwenden. </w:t>
      </w:r>
      <w:r>
        <w:rPr>
          <w:rStyle w:val="Satznummer"/>
        </w:rPr>
        <w:t>6</w:t>
      </w:r>
      <w:r>
        <w:t xml:space="preserve">§ 20 Absatz 1 Nummer 6 Satz 3 in der Fassung des Artikels 1 des Gesetzes vom 13. Dezember 2006 (BGBl. I S. 2878) ist erstmals anzuwenden auf Versicherungsleistungen im Erlebensfall bei Versicherungsverträgen, die nach dem 31. Dezember 2006 abgeschlossen werden, und auf Versicherungsleistungen bei Rückkauf eines Vertrages nach dem 31. Dezember 2006. </w:t>
      </w:r>
      <w:r>
        <w:rPr>
          <w:rStyle w:val="Satznummer"/>
        </w:rPr>
        <w:t>7</w:t>
      </w:r>
      <w:hyperlink w:anchor="b86" w:history="1">
        <w:r>
          <w:rPr>
            <w:color w:val="0A3A8C"/>
            <w:u w:val="single"/>
          </w:rPr>
          <w:t xml:space="preserve">§ 20</w:t>
        </w:r>
      </w:hyperlink>
      <w:r>
        <w:t xml:space="preserve"> Absatz 1 Nummer 6 Satz 2 ist für Vertragsabschlüsse nach dem 31. Dezember 2011 mit der Maßgabe anzuwenden, dass die Versicherungsleistung nach Vollendung des 62. Lebensjahres des Steuerpflichtigen ausgezahlt wird. </w:t>
      </w:r>
      <w:r>
        <w:rPr>
          <w:rStyle w:val="Satznummer"/>
        </w:rPr>
        <w:t>8</w:t>
      </w:r>
      <w:r>
        <w:t xml:space="preserve">§ 20 Absatz 1 Nummer 6 Satz 6 in der Fassung des Artikels 1 des Gesetzes vom 19. Dezember 2008 (BGBl. I S. 2794) ist für alle Versicherungsverträge anzuwenden, die nach dem 31. März 2009 abgeschlossen werden oder bei denen die erstmalige Beitragsleistung nach dem 31. März 2009 erfolgt. </w:t>
      </w:r>
      <w:r>
        <w:rPr>
          <w:rStyle w:val="Satznummer"/>
        </w:rPr>
        <w:t>9</w:t>
      </w:r>
      <w:r>
        <w:t xml:space="preserve">Wird auf Grund einer internen Teilung nach § 10 des Versorgungsausgleichsgesetzes oder einer externen Teilung nach § 14 des Versorgungsausgleichsgesetzes ein Anrecht in Form eines Versicherungsvertrags zugunsten der ausgleichsberechtigten Person begründet, so gilt dieser Vertrag insoweit zu dem gleichen Zeitpunkt als abgeschlossen wie derjenige der ausgleichspflichtigen Person. </w:t>
      </w:r>
      <w:r>
        <w:rPr>
          <w:rStyle w:val="Satznummer"/>
        </w:rPr>
        <w:t>10</w:t>
      </w:r>
      <w:hyperlink w:anchor="b86" w:history="1">
        <w:r>
          <w:rPr>
            <w:color w:val="0A3A8C"/>
            <w:u w:val="single"/>
          </w:rPr>
          <w:t xml:space="preserve">§ 20</w:t>
        </w:r>
      </w:hyperlink>
      <w:r>
        <w:t xml:space="preserve"> Absatz 1 Nummer 6 Satz 7 und 8 ist auf Versicherungsleistungen anzuwenden, die auf Grund eines nach dem 31. Dezember 2014 eingetretenen Versicherungsfalles ausgezahlt werden. </w:t>
      </w:r>
      <w:r>
        <w:rPr>
          <w:rStyle w:val="Satznummer"/>
        </w:rPr>
        <w:t>11</w:t>
      </w:r>
      <w:r>
        <w:t xml:space="preserve">§ 20 Absatz 2 Satz 1 Nummer 1 in der am 18. August 2007 geltenden Fassung ist erstmals auf Gewinne aus der Veräußerung von Anteilen anzuwenden, die nach dem 31. Dezember 2008 erworben wurden. </w:t>
      </w:r>
      <w:r>
        <w:rPr>
          <w:rStyle w:val="Satznummer"/>
        </w:rPr>
        <w:t>12</w:t>
      </w:r>
      <w:r>
        <w:t xml:space="preserve">§ 20 Absatz 2 Satz 1 Nummer 3 in der am 18. August 2007 geltenden Fassung ist erstmals auf Gewinne aus Termingeschäften anzuwenden, bei denen der Rechtserwerb nach dem 31. Dezember 2008 stattgefunden hat. </w:t>
      </w:r>
      <w:r>
        <w:rPr>
          <w:rStyle w:val="Satznummer"/>
        </w:rPr>
        <w:t>13</w:t>
      </w:r>
      <w:r>
        <w:t xml:space="preserve">§ 20 Absatz 2 Satz 1 Nummer 4, 5 und 8 in der am 18. August 2007 geltenden Fassung ist erstmals auf Gewinne anzuwenden, bei denen die zugrunde liegenden Wirtschaftsgüter, Rechte oder Rechtspositionen nach dem 31. Dezember 2008 erworben oder geschaffen wurden. </w:t>
      </w:r>
      <w:r>
        <w:rPr>
          <w:rStyle w:val="Satznummer"/>
        </w:rPr>
        <w:t>14</w:t>
      </w:r>
      <w:r>
        <w:t xml:space="preserve">§ 20 Absatz 2 Satz 1 Nummer 6 in der am 18. August 2007 geltenden Fassung ist erstmals auf die Veräußerung von Ansprüchen nach dem 31. Dezember 2008 anzuwenden, bei denen der Versicherungsvertrag nach dem 31. Dezember 2004 abgeschlossen wurde; dies gilt auch für Versicherungsverträge, die vor dem 1. Januar 2005 abgeschlossen wurden, sofern bei einem Rückkauf zum Veräußerungszeitpunkt die Erträge nach § 20 Absatz 1 Nummer 6 in der am 31. Dezember 2004 geltenden Fassung steuerpflichtig wären. </w:t>
      </w:r>
      <w:r>
        <w:rPr>
          <w:rStyle w:val="Satznummer"/>
        </w:rPr>
        <w:t>15</w:t>
      </w:r>
      <w:r>
        <w:t xml:space="preserve">§ 20 Absatz 2 Satz 1 Nummer 7 in der Fassung des Artikels 1 des Gesetzes vom 14. August 2007 (BGBl. I S. 1912) ist erstmals auf nach dem 31. Dezember 2008 zufließende Kapitalerträge aus der Veräußerung sonstiger Kapitalforderungen anzuwenden. </w:t>
      </w:r>
      <w:r>
        <w:rPr>
          <w:rStyle w:val="Satznummer"/>
        </w:rPr>
        <w:t>16</w:t>
      </w:r>
      <w:r>
        <w:t xml:space="preserve">Für Kapitalerträge aus Kapitalforderungen, die zum Zeitpunkt des vor dem 1. Januar 2009 erfolgten Erwerbs zwar Kapitalforderungen im Sinne des § 20 Absatz 1 Nummer 7 in der am 31. Dezember 2008 anzuwendenden Fassung, aber nicht Kapitalforderungen im Sinne des § 20 Absatz 2 Satz 1 Nummer 4 in der am 31. Dezember 2008 anzuwendenden Fassung sind, ist </w:t>
      </w:r>
      <w:hyperlink w:anchor="b86" w:history="1">
        <w:r>
          <w:rPr>
            <w:color w:val="0A3A8C"/>
            <w:u w:val="single"/>
          </w:rPr>
          <w:t xml:space="preserve">§ 20</w:t>
        </w:r>
      </w:hyperlink>
      <w:r>
        <w:t xml:space="preserve"> Absatz 2 Satz 1 Nummer 7 nicht anzuwenden; für die bei der Veräußerung in Rechnung gestellten Stückzinsen ist Satz 15 anzuwenden; Kapitalforderungen im Sinne des § 20 Absatz 2 Satz 1 Nummer 4 in der am 31. Dezember 2008 anzuwendenden Fassung liegen auch vor, wenn die Rückzahlung nur teilweise garantiert ist oder wenn eine Trennung zwischen Ertrags- und Vermögensebene möglich erscheint. </w:t>
      </w:r>
      <w:r>
        <w:rPr>
          <w:rStyle w:val="Satznummer"/>
        </w:rPr>
        <w:t>17</w:t>
      </w:r>
      <w:r>
        <w:t xml:space="preserve">Bei Kapitalforderungen, die zwar nicht die Voraussetzungen von § 20 Absatz 1 Nummer 7 in der am 31. Dezember 2008 geltenden Fassung, aber die Voraussetzungen von § 20 Absatz 1 Nummer 7 in der am 18. August 2007 geltenden Fassung erfüllen, ist </w:t>
      </w:r>
      <w:hyperlink w:anchor="b86" w:history="1">
        <w:r>
          <w:rPr>
            <w:color w:val="0A3A8C"/>
            <w:u w:val="single"/>
          </w:rPr>
          <w:t xml:space="preserve">§ 20</w:t>
        </w:r>
      </w:hyperlink>
      <w:r>
        <w:t xml:space="preserve"> Absatz 2 Satz 1 Nummer 7 in Verbindung mit </w:t>
      </w:r>
      <w:hyperlink w:anchor="b86" w:history="1">
        <w:r>
          <w:rPr>
            <w:color w:val="0A3A8C"/>
            <w:u w:val="single"/>
          </w:rPr>
          <w:t xml:space="preserve">§ 20</w:t>
        </w:r>
      </w:hyperlink>
      <w:r>
        <w:t xml:space="preserve"> Absatz 1 Nummer 7 vorbehaltlich der Regelung in Absatz 31 Satz 2 und 3 auf alle nach dem 30. Juni 2009 zufließenden Kapitalerträge anzuwenden, es sei denn, die Kapitalforderung wurde vor dem 15. März 2007 angeschafft. </w:t>
      </w:r>
      <w:r>
        <w:rPr>
          <w:rStyle w:val="Satznummer"/>
        </w:rPr>
        <w:t>18</w:t>
      </w:r>
      <w:r>
        <w:t xml:space="preserve">§ 20 Absatz 4a Satz 3 in der Fassung des Artikels 1 des Gesetzes vom 8. Dezember 2010 (BGBl. I S. 1768) ist erstmals für Wertpapiere anzuwenden, die nach dem 31. Dezember 2009 geliefert wurden, sofern für die Lieferung </w:t>
      </w:r>
      <w:hyperlink w:anchor="b86" w:history="1">
        <w:r>
          <w:rPr>
            <w:color w:val="0A3A8C"/>
            <w:u w:val="single"/>
          </w:rPr>
          <w:t xml:space="preserve">§ 20</w:t>
        </w:r>
      </w:hyperlink>
      <w:r>
        <w:t xml:space="preserve"> Absatz 4 anzuwenden ist. </w:t>
      </w:r>
      <w:r>
        <w:rPr>
          <w:rStyle w:val="Satznummer"/>
        </w:rPr>
        <w:t>19</w:t>
      </w:r>
      <w:r>
        <w:t xml:space="preserve">§ 20 Absatz 4a Satz 3 in der Fassung des Artikels 1 des Gesetzes vom 21. Dezember 2020 (BGBl. I S. 3096) ist für die Andienung von Wertpapieren anzuwenden, wenn diese nach dem 31. Dezember 2020 erfolgt. </w:t>
      </w:r>
      <w:r>
        <w:rPr>
          <w:rStyle w:val="Satznummer"/>
        </w:rPr>
        <w:t>20</w:t>
      </w:r>
      <w:r>
        <w:t xml:space="preserve">§ 20 Absatz 4a Satz 5 in der Fassung des Artikels 1 des Gesetzes vom 21. Dezember 2020 (BGBl. I S. 3096) ist für die Zuteilung von Anteilen anzuwenden, wenn diese nach dem 31. Dezember 2020 erfolgt und die die Zuteilung begründenden Anteile nach dem 31. Dezember 2008 angeschafft worden sind. </w:t>
      </w:r>
      <w:r>
        <w:rPr>
          <w:rStyle w:val="Satznummer"/>
        </w:rPr>
        <w:t>21</w:t>
      </w:r>
      <w:r>
        <w:t xml:space="preserve">§ 20 Absatz 2 und 4 in der am 27. Juli 2016 geltenden Fassung ist erstmals ab dem 1. Januar 2017 anzuwenden. </w:t>
      </w:r>
      <w:r>
        <w:rPr>
          <w:rStyle w:val="Satznummer"/>
        </w:rPr>
        <w:t>22</w:t>
      </w:r>
      <w:r>
        <w:t xml:space="preserve">§ 20 Absatz 1 in der am 27. Juli 2016 geltenden Fassung ist erstmals ab dem 1. Januar 2018 anzuwenden. </w:t>
      </w:r>
      <w:r>
        <w:rPr>
          <w:rStyle w:val="Satznummer"/>
        </w:rPr>
        <w:t>23</w:t>
      </w:r>
      <w:r>
        <w:t xml:space="preserve">Investmenterträge nach </w:t>
      </w:r>
      <w:hyperlink w:anchor="b86" w:history="1">
        <w:r>
          <w:rPr>
            <w:color w:val="0A3A8C"/>
            <w:u w:val="single"/>
          </w:rPr>
          <w:t xml:space="preserve">§ 20</w:t>
        </w:r>
      </w:hyperlink>
      <w:r>
        <w:t xml:space="preserve"> Absatz 1 Nummer 6 Satz 9 sind</w:t>
      </w:r>
    </w:p>
    <w:p>
      <w:pPr>
        <w:tabs>
          <w:tab w:pos="567" w:val="left"/>
        </w:tabs>
        <w:ind w:left="567" w:hanging="567"/>
      </w:pPr>
      <w:r>
        <w:t>1.</w:t>
      </w:r>
      <w:r>
        <w:tab/>
      </w:r>
      <w:r>
        <w:t>die nach dem 31. Dezember 2017 zugeflossenen Ausschüttungen nach § 2 Absatz 11 des Investmentsteuergesetzes,</w:t>
      </w:r>
    </w:p>
    <w:p>
      <w:pPr>
        <w:tabs>
          <w:tab w:pos="567" w:val="left"/>
        </w:tabs>
        <w:ind w:left="567" w:hanging="567"/>
      </w:pPr>
      <w:r>
        <w:t>2.</w:t>
      </w:r>
      <w:r>
        <w:tab/>
      </w:r>
      <w:r>
        <w:t>die realisierten oder unrealisierten Wertveränderungen aus Investmentanteilen nach § 2 Absatz 4 Satz 1 des Investmentsteuergesetzes, die das Versicherungsunternehmen nach dem 31. Dezember 2017 dem Sicherungsvermögen zur Sicherung der Ansprüche des Steuerpflichtigen zugeführt hat, und</w:t>
      </w:r>
    </w:p>
    <w:p>
      <w:pPr>
        <w:tabs>
          <w:tab w:pos="567" w:val="left"/>
        </w:tabs>
        <w:ind w:left="567" w:hanging="567"/>
      </w:pPr>
      <w:r>
        <w:t>3.</w:t>
      </w:r>
      <w:r>
        <w:tab/>
      </w:r>
      <w:r>
        <w:t>die realisierten oder unrealisierten Wertveränderungen aus Investmentanteilen nach § 2 Absatz 4 Satz 1 des Investmentsteuergesetzes, die das Versicherungsunternehmen vor dem 1. Januar 2018 dem Sicherungsvermögen zur Sicherung der Ansprüche des Steuerpflichtigen zugeführt hat, soweit Wertveränderungen gegenüber dem letzten im Kalenderjahr 2017 festgesetzten Rücknahmepreis des Investmentanteils eingetreten sind.</w:t>
      </w:r>
    </w:p>
    <w:p>
      <w:r>
        <w:rPr>
          <w:rStyle w:val="Satznummer"/>
        </w:rPr>
        <w:t>24</w:t>
      </w:r>
      <w:r>
        <w:t xml:space="preserve">Wird kein Rücknahmepreis festgesetzt, tritt der Börsen- oder </w:t>
      </w:r>
      <w:r>
        <w:rPr>
          <w:i/>
        </w:rPr>
        <w:t>Marktpreis</w:t>
      </w:r>
      <w:r>
        <w:t xml:space="preserve"> an die Stelle des Rücknahmepreises. </w:t>
      </w:r>
      <w:r>
        <w:rPr>
          <w:rStyle w:val="Satznummer"/>
        </w:rPr>
        <w:t>25</w:t>
      </w:r>
      <w:r>
        <w:t xml:space="preserve">§ 20 Absatz 6 Satz 5 in der Fassung des Artikels 1 des Gesetzes vom 21. Dezember 2020 (BGBl. I S. 3096) ist auf alle offenen Fälle nicht mehr anzuwenden. </w:t>
      </w:r>
      <w:r>
        <w:rPr>
          <w:rStyle w:val="Satznummer"/>
        </w:rPr>
        <w:t>26</w:t>
      </w:r>
      <w:r>
        <w:t>§ 20 Absatz 6 Satz 6 in der Fassung des Artikels 1 des Gesetzes vom 21. Dezember 2020 (BGBl. I S. 3096) ist auf alle offenen Fälle nicht mehr anzuwenden.</w:t>
      </w:r>
    </w:p>
    <w:p>
      <w:r>
        <w:t>(29) Für die Anwendung des § 21 Absatz 1 Satz 2 in der am 31. Dezember 2005 geltenden Fassung gilt Absatz 25 entsprechend.</w:t>
      </w:r>
    </w:p>
    <w:p>
      <w:r>
        <w:t xml:space="preserve">(30) Für die Anwendung des </w:t>
      </w:r>
      <w:hyperlink w:anchor="b90" w:history="1">
        <w:r>
          <w:rPr>
            <w:color w:val="0A3A8C"/>
            <w:u w:val="single"/>
          </w:rPr>
          <w:t xml:space="preserve">§ 22</w:t>
        </w:r>
      </w:hyperlink>
      <w:r>
        <w:t xml:space="preserve"> Nummer 1 Satz 1 zweiter Halbsatz in der am 31. Dezember 2005 geltenden Fassung gilt Absatz 25 entsprechend.</w:t>
      </w:r>
    </w:p>
    <w:p>
      <w:r>
        <w:t>(30a) § 22a Absatz 2 Satz 2 in der am 1. Januar 2017 geltenden Fassung ist erstmals für die Übermittlung von Daten ab dem 1. Januar 2019 anzuwenden.</w:t>
      </w:r>
    </w:p>
    <w:p>
      <w:r>
        <w:t xml:space="preserve">(30b) </w:t>
      </w:r>
      <w:r>
        <w:rPr>
          <w:rStyle w:val="Satznummer"/>
        </w:rPr>
        <w:t>1</w:t>
      </w:r>
      <w:r>
        <w:t xml:space="preserve">Die mitteilungspflichtige Stelle nach </w:t>
      </w:r>
      <w:hyperlink w:anchor="b91" w:history="1">
        <w:r>
          <w:rPr>
            <w:color w:val="0A3A8C"/>
            <w:u w:val="single"/>
          </w:rPr>
          <w:t xml:space="preserve">§ 22a</w:t>
        </w:r>
      </w:hyperlink>
      <w:r>
        <w:t xml:space="preserve"> Absatz 1 kann die Identifikationsnummer im Sinne des § 139b der Abgabenordnung ihrer Kunden, bei denen das Versicherungs- oder Vertragsverhältnis vor dem 1. Januar 2027 bestand, abweichend von § 22a Absatz 2 Satz 1 und 2 zur Durchführung des Rentenübersichtsgesetzes beim Bundeszentralamt für Steuern bereits vor dem Leistungsbezug erheben. </w:t>
      </w:r>
      <w:r>
        <w:rPr>
          <w:rStyle w:val="Satznummer"/>
        </w:rPr>
        <w:t>2</w:t>
      </w:r>
      <w:r>
        <w:t xml:space="preserve">Das Bundeszentralamt für Steuern teilt der mitteilungspflichtigen Stelle die Identifikationsnummer des Versicherten nur mit, wenn die von der mitteilungspflichtigen Stelle übermittelten Daten mit den nach § 139b Absatz 3 der Abgabenordnung beim Bundeszentralamt für Steuern gespeicherten Daten im maschinellen Datenabgleich übereinstimmen. </w:t>
      </w:r>
      <w:r>
        <w:rPr>
          <w:rStyle w:val="Satznummer"/>
        </w:rPr>
        <w:t>3</w:t>
      </w:r>
      <w:r>
        <w:t xml:space="preserve">Für Versicherungsverhältnisse und Mitgliedschaften bei Trägern der Basisversorgung im Sinne des § 10 Absatz 1 Nummer 2 Buchstabe a, die vor dem 1. Januar 2026 bestanden haben, ist </w:t>
      </w:r>
      <w:hyperlink w:anchor="b51" w:history="1">
        <w:r>
          <w:rPr>
            <w:color w:val="0A3A8C"/>
            <w:u w:val="single"/>
          </w:rPr>
          <w:t xml:space="preserve">§ 10</w:t>
        </w:r>
      </w:hyperlink>
      <w:r>
        <w:t xml:space="preserve"> Absatz 2c Satz 3 mit der Maßgabe anzuwenden, dass die mitteilungspflichtige Stelle die für die Datenübermittlung nach </w:t>
      </w:r>
      <w:hyperlink w:anchor="b51" w:history="1">
        <w:r>
          <w:rPr>
            <w:color w:val="0A3A8C"/>
            <w:u w:val="single"/>
          </w:rPr>
          <w:t xml:space="preserve">§ 10</w:t>
        </w:r>
      </w:hyperlink>
      <w:r>
        <w:t xml:space="preserve"> Absatz 2c in Verbindung mit § 93c Absatz 1 Nummer 2 Buchstabe a der Abgabenordnung erforderliche Identifikationsnummer (§ 139b der Abgabenordnung) des Steuerpflichtigen abweichend von </w:t>
      </w:r>
      <w:hyperlink w:anchor="b91" w:history="1">
        <w:r>
          <w:rPr>
            <w:color w:val="0A3A8C"/>
            <w:u w:val="single"/>
          </w:rPr>
          <w:t xml:space="preserve">§ 22a</w:t>
        </w:r>
      </w:hyperlink>
      <w:r>
        <w:t xml:space="preserve"> Absatz 2 Satz 1 und 2 beim Bundeszentralamt für Steuern erheben kann. </w:t>
      </w:r>
      <w:r>
        <w:rPr>
          <w:rStyle w:val="Satznummer"/>
        </w:rPr>
        <w:t>4</w:t>
      </w:r>
      <w:r>
        <w:t xml:space="preserve">Das Bundeszentralamt für Steuern teilt der übermittelnden Stelle die Identifikationsnummer des Steuerpflichtigen nur mit, wenn die übermittelten Daten mit den nach § 139b Absatz 3 der Abgabenordnung beim Bundeszentralamt für Steuern gespeicherten Daten im maschinellen Verfahren übereinstimmen. </w:t>
      </w:r>
      <w:r>
        <w:rPr>
          <w:rStyle w:val="Satznummer"/>
        </w:rPr>
        <w:t>5</w:t>
      </w:r>
      <w:r>
        <w:t>Stimmen die Daten nicht überein, findet § 22a Absatz 2 Satz 1 und 2 Anwendung.</w:t>
      </w:r>
    </w:p>
    <w:p>
      <w:r>
        <w:t xml:space="preserve">(31) </w:t>
      </w:r>
      <w:r>
        <w:rPr>
          <w:rStyle w:val="Satznummer"/>
        </w:rPr>
        <w:t>1</w:t>
      </w:r>
      <w:r>
        <w:t xml:space="preserve">§ 23 Absatz 1 Satz 1 Nummer 2 in der am 18. August 2007 geltenden Fassung ist erstmals auf Veräußerungsgeschäfte anzuwenden, bei denen die Wirtschaftsgüter nach dem 31. Dezember 2008 auf Grund eines nach diesem Zeitpunkt rechtswirksam abgeschlossenen obligatorischen Vertrags oder gleichstehenden Rechtsakts angeschafft wurden; § 23 Absatz 1 Satz 1 Nummer 2 Satz 2 in der am 14. Dezember 2010 geltenden Fassung ist erstmals auf Veräußerungsgeschäfte anzuwenden, bei denen die Gegenstände des täglichen Gebrauchs auf Grund eines nach dem 13. Dezember 2010 rechtskräftig abgeschlossenen Vertrags oder gleichstehenden Rechtsakts angeschafft wurden. </w:t>
      </w:r>
      <w:r>
        <w:rPr>
          <w:rStyle w:val="Satznummer"/>
        </w:rPr>
        <w:t>2</w:t>
      </w:r>
      <w:r>
        <w:t xml:space="preserve">§ 23 Absatz 1 Satz 1 Nummer 2 in der am 1. Januar 1999 geltenden Fassung ist letztmals auf Veräußerungsgeschäfte anzuwenden, bei denen die Wirtschaftsgüter vor dem 1. Januar 2009 erworben wurden. </w:t>
      </w:r>
      <w:r>
        <w:rPr>
          <w:rStyle w:val="Satznummer"/>
        </w:rPr>
        <w:t>3</w:t>
      </w:r>
      <w:r>
        <w:t xml:space="preserve">§ 23 Absatz 1 Satz 1 Nummer 3 in der Fassung des Artikels 7 des Gesetzes vom 20. Dezember 2016 (BGBl. I S. 3000) ist erstmals auf Veräußerungsgeschäfte anzuwenden, bei denen die Veräußerung auf einem nach dem 23. Dezember 2016 rechtswirksam abgeschlossenen obligatorischen Vertrag oder gleichstehenden Rechtsakt beruht. </w:t>
      </w:r>
      <w:r>
        <w:rPr>
          <w:rStyle w:val="Satznummer"/>
        </w:rPr>
        <w:t>4</w:t>
      </w:r>
      <w:hyperlink w:anchor="b92" w:history="1">
        <w:r>
          <w:rPr>
            <w:color w:val="0A3A8C"/>
            <w:u w:val="single"/>
          </w:rPr>
          <w:t xml:space="preserve">§ 23</w:t>
        </w:r>
      </w:hyperlink>
      <w:r>
        <w:t xml:space="preserve"> Absatz 1 Satz 1 Nummer 4 ist auf Termingeschäfte anzuwenden, bei denen der Erwerb des Rechts auf einen Differenzausgleich, Geldbetrag oder Vorteil nach dem 31. Dezember 1998 und vor dem 1. Januar 2009 erfolgt. </w:t>
      </w:r>
      <w:r>
        <w:rPr>
          <w:rStyle w:val="Satznummer"/>
        </w:rPr>
        <w:t>5</w:t>
      </w:r>
      <w:r>
        <w:t xml:space="preserve">§ 23 Absatz 3 Satz 4 in der am 1. Januar 2000 geltenden Fassung ist auf Veräußerungsgeschäfte anzuwenden, bei denen der Steuerpflichtige das Wirtschaftsgut nach dem 31. Juli 1995 und vor dem 1. Januar 2009 angeschafft oder nach dem 31. Dezember 1998 und vor dem 1. Januar 2009 fertiggestellt hat; § 23 Absatz 3 Satz 4 in der am 1. Januar 2009 geltenden Fassung ist auf Veräußerungsgeschäfte anzuwenden, bei denen der Steuerpflichtige das Wirtschaftsgut nach dem 31. Dezember 2008 angeschafft oder fertiggestellt hat. </w:t>
      </w:r>
      <w:r>
        <w:rPr>
          <w:rStyle w:val="Satznummer"/>
        </w:rPr>
        <w:t>6</w:t>
      </w:r>
      <w:r>
        <w:t xml:space="preserve">§ 23 Absatz 1 Satz 2 und 3 sowie Absatz 3 Satz 3 in der am 12. Dezember 2006 geltenden Fassung sind für Anteile, die einbringungsgeboren im Sinne des § 21 des Umwandlungssteuergesetzes in der am 12. Dezember 2006 geltenden Fassung sind, weiter anzuwenden. </w:t>
      </w:r>
      <w:r>
        <w:rPr>
          <w:rStyle w:val="Satznummer"/>
        </w:rPr>
        <w:t>7</w:t>
      </w:r>
      <w:r>
        <w:t>§ 23 Absatz 1 Satz 4 in der Fassung des Artikels 3 des Gesetzes vom 2. Dezember 2024 (BGBl. 2024 I Nr. 387) ist in allen offenen Fällen anzuwenden.</w:t>
      </w:r>
    </w:p>
    <w:p>
      <w:r>
        <w:t xml:space="preserve">(32) </w:t>
      </w:r>
      <w:r>
        <w:rPr>
          <w:rStyle w:val="Satznummer"/>
        </w:rPr>
        <w:t>1</w:t>
      </w:r>
      <w:r>
        <w:t xml:space="preserve">§ 32 Absatz 4 Satz 1 Nummer 3 in der Fassung des Artikels 1 des Gesetzes vom 19. Juli 2006 (BGBl. I S. 1652) ist erstmals für Kinder anzuwenden, die im Veranlagungszeitraum 2007 wegen einer vor Vollendung des 25. Lebensjahres eingetretenen körperlichen, geistigen oder seelischen Behinderung außerstande sind, sich selbst zu unterhalten; für Kinder, die wegen einer vor dem 1. Januar 2007 in der Zeit ab der Vollendung des 25. Lebensjahres und vor Vollendung des 27. Lebensjahres eingetretenen körperlichen, geistigen oder seelischen Behinderung außerstande sind, sich selbst zu unterhalten, ist </w:t>
      </w:r>
      <w:hyperlink w:anchor="b107" w:history="1">
        <w:r>
          <w:rPr>
            <w:color w:val="0A3A8C"/>
            <w:u w:val="single"/>
          </w:rPr>
          <w:t xml:space="preserve">§ 32</w:t>
        </w:r>
      </w:hyperlink>
      <w:r>
        <w:t xml:space="preserve"> Absatz 4 Satz 1 Nummer 3 weiterhin in der bis zum 31. Dezember 2006 geltenden Fassung anzuwenden. </w:t>
      </w:r>
      <w:r>
        <w:rPr>
          <w:rStyle w:val="Satznummer"/>
        </w:rPr>
        <w:t>2</w:t>
      </w:r>
      <w:hyperlink w:anchor="b107" w:history="1">
        <w:r>
          <w:rPr>
            <w:color w:val="0A3A8C"/>
            <w:u w:val="single"/>
          </w:rPr>
          <w:t xml:space="preserve">§ 32</w:t>
        </w:r>
      </w:hyperlink>
      <w:r>
        <w:t xml:space="preserve"> Absatz 5 ist nur noch anzuwenden, wenn das Kind den Dienst oder die Tätigkeit vor dem 1. Juli 2011 angetreten hat. </w:t>
      </w:r>
      <w:r>
        <w:rPr>
          <w:rStyle w:val="Satznummer"/>
        </w:rPr>
        <w:t>3</w:t>
      </w:r>
      <w:r>
        <w:t xml:space="preserve">Für die nach § 10 Absatz 1 Nummer 2 Buchstabe b und den </w:t>
      </w:r>
      <w:hyperlink w:anchor="b52" w:history="1">
        <w:r>
          <w:rPr>
            <w:color w:val="0A3A8C"/>
            <w:u w:val="single"/>
          </w:rPr>
          <w:t xml:space="preserve">§§ 10a</w:t>
        </w:r>
      </w:hyperlink>
      <w:r>
        <w:t xml:space="preserve">, </w:t>
      </w:r>
      <w:hyperlink w:anchor="b240" w:history="1">
        <w:r>
          <w:rPr>
            <w:color w:val="0A3A8C"/>
            <w:u w:val="single"/>
          </w:rPr>
          <w:t xml:space="preserve">82</w:t>
        </w:r>
      </w:hyperlink>
      <w:r>
        <w:t xml:space="preserve"> begünstigten Verträge, die vor dem 1. Januar 2007 abgeschlossen wurden, gelten für das Vorliegen einer begünstigten Hinterbliebenenversorgung die Altersgrenzen des § 32 in der am 31. Dezember 2006 geltenden Fassung. </w:t>
      </w:r>
      <w:r>
        <w:rPr>
          <w:rStyle w:val="Satznummer"/>
        </w:rPr>
        <w:t>4</w:t>
      </w:r>
      <w:r>
        <w:t xml:space="preserve">Dies gilt entsprechend für die Anwendung des § 93 Absatz 1 Satz 3 Buchstabe b. </w:t>
      </w:r>
      <w:r>
        <w:rPr>
          <w:rStyle w:val="Satznummer"/>
        </w:rPr>
        <w:t>5</w:t>
      </w:r>
      <w:r>
        <w:t>§ 32 Absatz 6 Satz 1 in der Fassung des Artikels 1 des Gesetzes vom 8. Dezember 2022 (BGBI. I S. 2230) ist beim Steuerabzug vom Arbeitslohn ab dem 1. Januar 2023 anzuwenden.</w:t>
      </w:r>
    </w:p>
    <w:p>
      <w:r>
        <w:t xml:space="preserve">(32a) </w:t>
      </w:r>
      <w:r>
        <w:rPr>
          <w:rStyle w:val="Satznummer"/>
        </w:rPr>
        <w:t>1</w:t>
      </w:r>
      <w:hyperlink w:anchor="b108" w:history="1">
        <w:r>
          <w:rPr>
            <w:color w:val="0A3A8C"/>
            <w:u w:val="single"/>
          </w:rPr>
          <w:t xml:space="preserve">§ 32a</w:t>
        </w:r>
      </w:hyperlink>
      <w:r>
        <w:t xml:space="preserve"> Absatz 1, </w:t>
      </w:r>
      <w:hyperlink w:anchor="b149" w:history="1">
        <w:r>
          <w:rPr>
            <w:color w:val="0A3A8C"/>
            <w:u w:val="single"/>
          </w:rPr>
          <w:t xml:space="preserve">§ 39b</w:t>
        </w:r>
      </w:hyperlink>
      <w:r>
        <w:t xml:space="preserve"> Absatz 2 Satz 7 zweiter Halbsatz und </w:t>
      </w:r>
      <w:hyperlink w:anchor="b205" w:history="1">
        <w:r>
          <w:rPr>
            <w:color w:val="0A3A8C"/>
            <w:u w:val="single"/>
          </w:rPr>
          <w:t xml:space="preserve">§ 51a</w:t>
        </w:r>
      </w:hyperlink>
      <w:r>
        <w:t xml:space="preserve"> Absatz 2a Satz 1 in Verbindung mit § 32 Absatz 6 Satz 1 in der am 6. Dezember 2024 geltenden Fassung sind beim Steuerabzug vom Arbeitslohn erstmals anzuwenden auf laufenden Arbeitslohn, der für einen nach dem 30. November 2024 endenden Lohnzahlungszeitraum gezahlt wird, und auf sonstige Bezüge, die nach dem 30. November 2024 zufließen. </w:t>
      </w:r>
      <w:r>
        <w:rPr>
          <w:rStyle w:val="Satznummer"/>
        </w:rPr>
        <w:t>2</w:t>
      </w:r>
      <w:r>
        <w:t xml:space="preserve">Bei der Lohnsteuerberechnung auf laufenden Arbeitslohn, der für einen nach dem 30. November 2024 aber vor dem 1. Januar 2025 endenden täglichen, wöchentlichen und monatlichen Lohnzahlungszeitraum gezahlt wird, ist zu berücksichtigen, dass </w:t>
      </w:r>
      <w:hyperlink w:anchor="b108" w:history="1">
        <w:r>
          <w:rPr>
            <w:color w:val="0A3A8C"/>
            <w:u w:val="single"/>
          </w:rPr>
          <w:t xml:space="preserve">§ 32a</w:t>
        </w:r>
      </w:hyperlink>
      <w:r>
        <w:t xml:space="preserve"> Absatz 1, </w:t>
      </w:r>
      <w:hyperlink w:anchor="b149" w:history="1">
        <w:r>
          <w:rPr>
            <w:color w:val="0A3A8C"/>
            <w:u w:val="single"/>
          </w:rPr>
          <w:t xml:space="preserve">§ 39b</w:t>
        </w:r>
      </w:hyperlink>
      <w:r>
        <w:t xml:space="preserve"> Absatz 2 Satz 7 zweiter Halbsatz und </w:t>
      </w:r>
      <w:hyperlink w:anchor="b205" w:history="1">
        <w:r>
          <w:rPr>
            <w:color w:val="0A3A8C"/>
            <w:u w:val="single"/>
          </w:rPr>
          <w:t xml:space="preserve">§ 51a</w:t>
        </w:r>
      </w:hyperlink>
      <w:r>
        <w:t xml:space="preserve"> Absatz 2a Satz 1 in Verbindung mit § 32 Absatz 6 Satz 1 in der am 6. Dezember 2024 geltenden Fassung bis zum 30. November 2024 nicht angewandt wurden (Nachholung). </w:t>
      </w:r>
      <w:r>
        <w:rPr>
          <w:rStyle w:val="Satznummer"/>
        </w:rPr>
        <w:t>3</w:t>
      </w:r>
      <w:r>
        <w:t>Das Bundesministerium der Finanzen hat im Einvernehmen mit den obersten Finanzbehörden der Länder entsprechende Programmablaufpläne aufzustellen und bekannt zu machen (</w:t>
      </w:r>
      <w:hyperlink w:anchor="b149" w:history="1">
        <w:r>
          <w:rPr>
            <w:color w:val="0A3A8C"/>
            <w:u w:val="single"/>
          </w:rPr>
          <w:t xml:space="preserve">§ 39b</w:t>
        </w:r>
      </w:hyperlink>
      <w:r>
        <w:t xml:space="preserve"> Absatz 6 und </w:t>
      </w:r>
      <w:hyperlink w:anchor="b204" w:history="1">
        <w:r>
          <w:rPr>
            <w:color w:val="0A3A8C"/>
            <w:u w:val="single"/>
          </w:rPr>
          <w:t xml:space="preserve">§ 51</w:t>
        </w:r>
      </w:hyperlink>
      <w:r>
        <w:t xml:space="preserve"> Absatz 4 Nummer 1a).</w:t>
      </w:r>
    </w:p>
    <w:p>
      <w:r>
        <w:t xml:space="preserve">(33) </w:t>
      </w:r>
      <w:r>
        <w:rPr>
          <w:rStyle w:val="Satznummer"/>
        </w:rPr>
        <w:t>1</w:t>
      </w:r>
      <w:r>
        <w:t xml:space="preserve">§ 32b Absatz 2 Satz 1 Nummer 2 Satz 2 Buchstabe c ist erstmals auf Wirtschaftsgüter des Umlaufvermögens anzuwenden, die nach dem 28. Februar 2013 angeschafft, hergestellt oder in das Betriebsvermögen eingelegt werden. </w:t>
      </w:r>
      <w:r>
        <w:rPr>
          <w:rStyle w:val="Satznummer"/>
        </w:rPr>
        <w:t>2</w:t>
      </w:r>
      <w:r>
        <w:t xml:space="preserve">§ 32b Absatz 1 Satz 3 in der Fassung des Artikels 11 des Gesetzes vom 18. Dezember 2013 (BGBl. I S. 4318) ist in allen offenen Fällen anzuwenden. </w:t>
      </w:r>
      <w:r>
        <w:rPr>
          <w:rStyle w:val="Satznummer"/>
        </w:rPr>
        <w:t>3</w:t>
      </w:r>
      <w:r>
        <w:t>§ 32b Absatz 3 bis 5 in der am 1. Januar 2017 geltenden Fassung ist erstmals für ab dem 1. Januar 2018 gewährte Leistungen anzuwenden.</w:t>
      </w:r>
    </w:p>
    <w:p>
      <w:r>
        <w:t xml:space="preserve">(33a) </w:t>
      </w:r>
      <w:r>
        <w:rPr>
          <w:rStyle w:val="Satznummer"/>
        </w:rPr>
        <w:t>1</w:t>
      </w:r>
      <w:r>
        <w:t xml:space="preserve">§ 32c in der Fassung des Artikels 4 des Gesetzes vom 12. Dezember 2019 (BGBl. I S. 2451) ist erstmals für den Veranlagungszeitraum 2016 anzuwenden. </w:t>
      </w:r>
      <w:r>
        <w:rPr>
          <w:rStyle w:val="Satznummer"/>
        </w:rPr>
        <w:t>2</w:t>
      </w:r>
      <w:hyperlink w:anchor="b110" w:history="1">
        <w:r>
          <w:rPr>
            <w:color w:val="0A3A8C"/>
            <w:u w:val="single"/>
          </w:rPr>
          <w:t xml:space="preserve">§ 32c</w:t>
        </w:r>
      </w:hyperlink>
      <w:r>
        <w:t xml:space="preserve"> ist im Veranlagungszeitraum 2016 mit der Maßgabe anzuwenden, dass der erste Betrachtungszeitraum die Veranlagungszeiträume 2014 bis 2016 umfasst. </w:t>
      </w:r>
      <w:r>
        <w:rPr>
          <w:rStyle w:val="Satznummer"/>
        </w:rPr>
        <w:t>3</w:t>
      </w:r>
      <w:r>
        <w:t xml:space="preserve">Die weiteren Betrachtungszeiträume umfassen die Veranlagungszeiträume 2017 bis 2019 und 2020 bis 2022. </w:t>
      </w:r>
      <w:r>
        <w:rPr>
          <w:rStyle w:val="Satznummer"/>
        </w:rPr>
        <w:t>4</w:t>
      </w:r>
      <w:r>
        <w:t xml:space="preserve">§ 32c in der Fassung des Artikels 4 des Gesetzes vom 12. Dezember 2019 (BGBl. I S. 2451) ist letztmalig für den Veranlagungszeitraum 2022 anzuwenden. </w:t>
      </w:r>
      <w:r>
        <w:rPr>
          <w:rStyle w:val="Satznummer"/>
        </w:rPr>
        <w:t>5</w:t>
      </w:r>
      <w:r>
        <w:t xml:space="preserve">§ 32c in der Fassung des Artikels 1 des Gesetzes vom 23. Oktober 2024 (BGBl. 2024 I Nr. 321) ist erstmals für den Veranlagungszeitraum 2023 mit der Maßgabe anzuwenden, dass der erste Betrachtungszeitraum 2023 bis 2025 und der letzte Betrachtungszeitraum 2026 bis 2028 ist. </w:t>
      </w:r>
      <w:r>
        <w:rPr>
          <w:rStyle w:val="Satznummer"/>
        </w:rPr>
        <w:t>6</w:t>
      </w:r>
      <w:hyperlink w:anchor="b110" w:history="1">
        <w:r>
          <w:rPr>
            <w:color w:val="0A3A8C"/>
            <w:u w:val="single"/>
          </w:rPr>
          <w:t xml:space="preserve">§ 32c</w:t>
        </w:r>
      </w:hyperlink>
      <w:r>
        <w:t xml:space="preserve"> findet auf die Veranlagungszeiträume 2023 bis 2028 vorbehaltlich des Satzes 7 nur auf Einkünfte als Landwirt im Sinne des Artikels 211 Absatz 3 der Verordnung (EU) Nr. 1308/2013 des Europäischen Parlaments und des Rates, die zuletzt durch die Verordnung (EU) 2024/1143 (ABl. L, 2024/1143, 23.4.2024) geändert worden ist, Anwendung. </w:t>
      </w:r>
      <w:r>
        <w:rPr>
          <w:rStyle w:val="Satznummer"/>
        </w:rPr>
        <w:t>7</w:t>
      </w:r>
      <w:r>
        <w:t xml:space="preserve">Nach einem Beschluss der Europäischen Kommission, der feststellt, dass die Regelungen des </w:t>
      </w:r>
      <w:hyperlink w:anchor="b110" w:history="1">
        <w:r>
          <w:rPr>
            <w:color w:val="0A3A8C"/>
            <w:u w:val="single"/>
          </w:rPr>
          <w:t xml:space="preserve">§ 32c</w:t>
        </w:r>
      </w:hyperlink>
      <w:r>
        <w:t xml:space="preserve">, soweit andere Einkünfte gemäß </w:t>
      </w:r>
      <w:hyperlink w:anchor="b69" w:history="1">
        <w:r>
          <w:rPr>
            <w:color w:val="0A3A8C"/>
            <w:u w:val="single"/>
          </w:rPr>
          <w:t xml:space="preserve">§ 13</w:t>
        </w:r>
      </w:hyperlink>
      <w:r>
        <w:t xml:space="preserve"> betroffen sind, entweder keine oder mit dem Binnenmarkt vereinbare Beihilfen darstellen, findet § 32c in der Fassung des Artikels 1 des Gesetzes vom 23. Oktober 2024 (BGBl. 2024 I Nr. 321) ab dem Folgetag ohne die Einschränkung nach Satz 6 Anwendung. </w:t>
      </w:r>
      <w:r>
        <w:rPr>
          <w:rStyle w:val="Satznummer"/>
        </w:rPr>
        <w:t>8</w:t>
      </w:r>
      <w:r>
        <w:t>Der Tag des Beschlusses der Europäischen Kommission wird vom Bundesministerium der Finanzen gesondert im Bundessteuerblatt bekannt gemacht.</w:t>
      </w:r>
    </w:p>
    <w:p>
      <w:r>
        <w:t xml:space="preserve">(33b) </w:t>
      </w:r>
      <w:r>
        <w:rPr>
          <w:rStyle w:val="Satznummer"/>
        </w:rPr>
        <w:t>1</w:t>
      </w:r>
      <w:r>
        <w:t xml:space="preserve">§ 32d Absatz 2 Nummer 1 Buchstabe b in der Fassung des Artikels 1 des Gesetzes vom 21. Dezember 2020 (BGBl. I S. 3096) ist auf Kapitalerträge anzuwenden, die nach dem 31. Dezember 2020 erzielt werden. </w:t>
      </w:r>
      <w:r>
        <w:rPr>
          <w:rStyle w:val="Satznummer"/>
        </w:rPr>
        <w:t>2</w:t>
      </w:r>
      <w:r>
        <w:t xml:space="preserve">Auf Kapitalerträge aus Darlehen an die Kapitalgesellschaft oder Genossenschaft, deren rechtliche Grundlage vor dem 1. Januar 2021 begründet wurde, ist § 32d Absatz 2 Nummer 1 Buchstabe b in der Fassung des Artikels 1 des Gesetzes vom 21. Dezember 2020 (BGBl. I S. 3096) ab dem Veranlagungszeitraum 2024 anzuwenden. </w:t>
      </w:r>
      <w:r>
        <w:rPr>
          <w:rStyle w:val="Satznummer"/>
        </w:rPr>
        <w:t>3</w:t>
      </w:r>
      <w:r>
        <w:t>§ 32d Absatz 2 Nummer 3 Buchstabe b in der Fassung des Artikels 7 des Gesetzes vom 20. Dezember 2016 (BGBl. I S. 3000) ist erstmals auf Anträge für den Veranlagungszeitraum 2017 anzuwenden.</w:t>
      </w:r>
    </w:p>
    <w:p>
      <w:r>
        <w:t>(33c) Die §§ 33 und 33b in der Fassung des Artikels 1 des Gesetzes vom 9. Dezember 2020 (BGBl. I S. 2770) sind erstmals für den Veranlagungszeitraum 2021 anzuwenden.</w:t>
      </w:r>
    </w:p>
    <w:p>
      <w:r>
        <w:t xml:space="preserve">(34) </w:t>
      </w:r>
      <w:r>
        <w:rPr>
          <w:rStyle w:val="Satznummer"/>
        </w:rPr>
        <w:t>1</w:t>
      </w:r>
      <w:r>
        <w:t xml:space="preserve">§ 34a in der Fassung des Artikels 1 des Gesetzes vom 19. Dezember 2008 (BGBl. I S. 2794) ist erstmals für den Veranlagungszeitraum 2008 anzuwenden. </w:t>
      </w:r>
      <w:r>
        <w:rPr>
          <w:rStyle w:val="Satznummer"/>
        </w:rPr>
        <w:t>2</w:t>
      </w:r>
      <w:r>
        <w:t xml:space="preserve">§ 34a Absatz 6 Satz 1 Nummer 3 und Satz 2 in der Fassung des Artikels 1 des Gesetzes vom 27. Juni 2017 (BGBl. I S. 2074) ist erstmals für unentgeltliche Übertragungen nach dem 5. Juli 2017 anzuwenden. </w:t>
      </w:r>
      <w:r>
        <w:rPr>
          <w:rStyle w:val="Satznummer"/>
        </w:rPr>
        <w:t>3</w:t>
      </w:r>
      <w:r>
        <w:t>§ 34a in der Fassung des Artikels 3 des Gesetzes vom 27. März 2024 (BGBl. 2024 I Nr. 108) ist erstmals für den Veranlagungszeitraum 2024 anzuwenden.</w:t>
      </w:r>
    </w:p>
    <w:p>
      <w:r>
        <w:t>(34a) Für Veranlagungszeiträume bis einschließlich 2014 ist § 34c Absatz 1 Satz 2 in der bis zum 31. Dezember 2014 geltenden Fassung in allen Fällen, in denen die Einkommensteuer noch nicht bestandskräftig festgesetzt ist, mit der Maßgabe anzuwenden, dass an die Stelle der Wörter „Summe der Einkünfte“ die Wörter „Summe der Einkünfte abzüglich des Altersentlastungsbetrages (</w:t>
      </w:r>
      <w:hyperlink w:anchor="b95" w:history="1">
        <w:r>
          <w:rPr>
            <w:color w:val="0A3A8C"/>
            <w:u w:val="single"/>
          </w:rPr>
          <w:t xml:space="preserve">§ 24a</w:t>
        </w:r>
      </w:hyperlink>
      <w:r>
        <w:t>), des Entlastungsbetrages für Alleinerziehende (</w:t>
      </w:r>
      <w:hyperlink w:anchor="b96" w:history="1">
        <w:r>
          <w:rPr>
            <w:color w:val="0A3A8C"/>
            <w:u w:val="single"/>
          </w:rPr>
          <w:t xml:space="preserve">§ 24b</w:t>
        </w:r>
      </w:hyperlink>
      <w:r>
        <w:t>), der Sonderausgaben (</w:t>
      </w:r>
      <w:hyperlink w:anchor="b51" w:history="1">
        <w:r>
          <w:rPr>
            <w:color w:val="0A3A8C"/>
            <w:u w:val="single"/>
          </w:rPr>
          <w:t xml:space="preserve">§§ 10</w:t>
        </w:r>
      </w:hyperlink>
      <w:r>
        <w:t xml:space="preserve">, </w:t>
      </w:r>
      <w:hyperlink w:anchor="b52" w:history="1">
        <w:r>
          <w:rPr>
            <w:color w:val="0A3A8C"/>
            <w:u w:val="single"/>
          </w:rPr>
          <w:t xml:space="preserve">10a</w:t>
        </w:r>
      </w:hyperlink>
      <w:r>
        <w:t xml:space="preserve">, </w:t>
      </w:r>
      <w:hyperlink w:anchor="b53" w:history="1">
        <w:r>
          <w:rPr>
            <w:color w:val="0A3A8C"/>
            <w:u w:val="single"/>
          </w:rPr>
          <w:t xml:space="preserve">10b</w:t>
        </w:r>
      </w:hyperlink>
      <w:r>
        <w:t xml:space="preserve">, </w:t>
      </w:r>
      <w:hyperlink w:anchor="b54" w:history="1">
        <w:r>
          <w:rPr>
            <w:color w:val="0A3A8C"/>
            <w:u w:val="single"/>
          </w:rPr>
          <w:t xml:space="preserve">10c</w:t>
        </w:r>
      </w:hyperlink>
      <w:r>
        <w:t>), der außergewöhnlichen Belastungen (</w:t>
      </w:r>
      <w:hyperlink w:anchor="b112" w:history="1">
        <w:r>
          <w:rPr>
            <w:color w:val="0A3A8C"/>
            <w:u w:val="single"/>
          </w:rPr>
          <w:t xml:space="preserve">§§ 33</w:t>
        </w:r>
      </w:hyperlink>
      <w:r>
        <w:t xml:space="preserve"> bis </w:t>
      </w:r>
      <w:hyperlink w:anchor="b114" w:history="1">
        <w:r>
          <w:rPr>
            <w:color w:val="0A3A8C"/>
            <w:u w:val="single"/>
          </w:rPr>
          <w:t xml:space="preserve">33b</w:t>
        </w:r>
      </w:hyperlink>
      <w:r>
        <w:t>), der berücksichtigten Freibeträge für Kinder (</w:t>
      </w:r>
      <w:hyperlink w:anchor="b106" w:history="1">
        <w:r>
          <w:rPr>
            <w:color w:val="0A3A8C"/>
            <w:u w:val="single"/>
          </w:rPr>
          <w:t xml:space="preserve">§§ 31</w:t>
        </w:r>
      </w:hyperlink>
      <w:r>
        <w:t xml:space="preserve">, </w:t>
      </w:r>
      <w:hyperlink w:anchor="b107" w:history="1">
        <w:r>
          <w:rPr>
            <w:color w:val="0A3A8C"/>
            <w:u w:val="single"/>
          </w:rPr>
          <w:t xml:space="preserve">32</w:t>
        </w:r>
      </w:hyperlink>
      <w:r>
        <w:t xml:space="preserve"> Absatz 6) und des Grundfreibetrages (</w:t>
      </w:r>
      <w:hyperlink w:anchor="b108" w:history="1">
        <w:r>
          <w:rPr>
            <w:color w:val="0A3A8C"/>
            <w:u w:val="single"/>
          </w:rPr>
          <w:t xml:space="preserve">§ 32a</w:t>
        </w:r>
      </w:hyperlink>
      <w:r>
        <w:t xml:space="preserve"> Absatz 1 Satz 2 Nummer 1)“ treten.</w:t>
      </w:r>
    </w:p>
    <w:p>
      <w:r>
        <w:t xml:space="preserve">(34b) </w:t>
      </w:r>
      <w:r>
        <w:rPr>
          <w:rStyle w:val="Satznummer"/>
        </w:rPr>
        <w:t>1</w:t>
      </w:r>
      <w:r>
        <w:t xml:space="preserve">§ 34d Nummer 4 Buchstabe b Doppelbuchstabe bb in der Fassung des Artikels 3 des Gesetzes vom 11. Dezember 2018 (BGBl. I S. 2338) ist erstmals auf Gewinne aus der Veräußerung von Anteilen anzuwenden, bei denen die Veräußerung nach dem 31. Dezember 2018 erfolgt, und nur soweit den Gewinnen nach dem 31. Dezember 2018 eingetretene Wertveränderungen zugrunde liegen. </w:t>
      </w:r>
      <w:r>
        <w:rPr>
          <w:rStyle w:val="Satznummer"/>
        </w:rPr>
        <w:t>2</w:t>
      </w:r>
      <w:r>
        <w:t>§ 34d Nummer 7 in der Fassung des Artikels 3 des Gesetzes vom 11. Dezember 2018 (BGBl. I S. 2338) ist erstmals auf Wertveränderungen anzuwenden, die nach dem 31. Dezember 2018 eintreten.</w:t>
      </w:r>
    </w:p>
    <w:p>
      <w:r>
        <w:t xml:space="preserve">(35) </w:t>
      </w:r>
      <w:r>
        <w:rPr>
          <w:rStyle w:val="Satznummer"/>
        </w:rPr>
        <w:t>1</w:t>
      </w:r>
      <w:r>
        <w:t xml:space="preserve">§ 34f Absatz 3 und 4 Satz 2 in der Fassung des Gesetzes vom 25. Februar 1992 (BGBl. I S. 297) ist erstmals anzuwenden bei Inanspruchnahme der Steuerbegünstigung nach § 10e Absatz 1 bis 5 in der Fassung des Gesetzes vom 25. Februar 1992 (BGBl. I S. 297). </w:t>
      </w:r>
      <w:r>
        <w:rPr>
          <w:rStyle w:val="Satznummer"/>
        </w:rPr>
        <w:t>2</w:t>
      </w:r>
      <w:hyperlink w:anchor="b125" w:history="1">
        <w:r>
          <w:rPr>
            <w:color w:val="0A3A8C"/>
            <w:u w:val="single"/>
          </w:rPr>
          <w:t xml:space="preserve">§ 34f</w:t>
        </w:r>
      </w:hyperlink>
      <w:r>
        <w:t xml:space="preserve"> Absatz 4 Satz 1 ist erstmals anzuwenden bei Inanspruchnahme der Steuerbegünstigung nach </w:t>
      </w:r>
      <w:hyperlink w:anchor="b56" w:history="1">
        <w:r>
          <w:rPr>
            <w:color w:val="0A3A8C"/>
            <w:u w:val="single"/>
          </w:rPr>
          <w:t xml:space="preserve">§ 10e</w:t>
        </w:r>
      </w:hyperlink>
      <w:r>
        <w:t xml:space="preserve"> Absatz 1 bis 5 oder nach § 15b des Berlinförderungsgesetzes für nach dem 31. Dezember 1991 hergestellte oder angeschaffte Objekte.</w:t>
      </w:r>
    </w:p>
    <w:p>
      <w:r>
        <w:t xml:space="preserve">(35a) </w:t>
      </w:r>
      <w:r>
        <w:rPr>
          <w:rStyle w:val="Satznummer"/>
        </w:rPr>
        <w:t>1</w:t>
      </w:r>
      <w:hyperlink w:anchor="b135" w:history="1">
        <w:r>
          <w:rPr>
            <w:color w:val="0A3A8C"/>
            <w:u w:val="single"/>
          </w:rPr>
          <w:t xml:space="preserve">§ 35c</w:t>
        </w:r>
      </w:hyperlink>
      <w:r>
        <w:t xml:space="preserve"> ist erstmals auf energetische Maßnahmen anzuwenden, mit deren Durchführung nach dem 31. Dezember 2019 begonnen wurde und die vor dem 1. Januar 2030 abgeschlossen sind. </w:t>
      </w:r>
      <w:r>
        <w:rPr>
          <w:rStyle w:val="Satznummer"/>
        </w:rPr>
        <w:t>2</w:t>
      </w:r>
      <w:r>
        <w:t xml:space="preserve">Als Beginn gilt bei energetischen Maßnahmen, für die eine Baugenehmigung erforderlich ist, der Zeitpunkt, in dem der Bauantrag gestellt wird. </w:t>
      </w:r>
      <w:r>
        <w:rPr>
          <w:rStyle w:val="Satznummer"/>
        </w:rPr>
        <w:t>3</w:t>
      </w:r>
      <w:r>
        <w:t>Bei nicht genehmigungsbedürftigen Vorhaben für solche Vorhaben, die nach Maßgabe des Bauordnungsrechts der zuständigen Behörde zur Kenntnis zu geben sind, gilt als Beginn der Zeitpunkt des Eingangs der Kenntnisgabe bei der zuständigen Behörde und für sonstige nicht genehmigungsbedürftige, insbesondere genehmigungs-, anzeige- und verfahrensfreie Vorhaben, der Zeitpunkt des Beginns der Bauausführung.</w:t>
      </w:r>
    </w:p>
    <w:p>
      <w:r>
        <w:t xml:space="preserve">(35b) </w:t>
      </w:r>
      <w:r>
        <w:rPr>
          <w:rStyle w:val="Satznummer"/>
        </w:rPr>
        <w:t>1</w:t>
      </w:r>
      <w:r>
        <w:t xml:space="preserve">§ 36 Absatz 2 Nummer 2 Satz 5 in der Fassung des Artikels 2 des Gesetzes vom 21. Dezember 2020 (BGBl. I S. 3096) ist erstmals auf Kapitalerträge anzuwenden, die nach dem 31. Dezember 2020 zufließen. </w:t>
      </w:r>
      <w:r>
        <w:rPr>
          <w:rStyle w:val="Satznummer"/>
        </w:rPr>
        <w:t>2</w:t>
      </w:r>
      <w:r>
        <w:t>§ 36 Absatz 2 Nummer 4 in der Fassung des Artikels 2 des Gesetzes vom 21. Dezember 2020 (BGBl. I S. 3096) ist erstmals für den Veranlagungszeitraum 2016 und letztmalig für den Veranlagungszeitraum 2028 anzuwenden.</w:t>
      </w:r>
    </w:p>
    <w:p>
      <w:r>
        <w:t xml:space="preserve">(35c) </w:t>
      </w:r>
      <w:r>
        <w:rPr>
          <w:rStyle w:val="Satznummer"/>
        </w:rPr>
        <w:t>1</w:t>
      </w:r>
      <w:r>
        <w:t xml:space="preserve">§ 36a in der am 27. Juli 2016 geltenden Fassung ist erstmals auf Kapitalerträge anzuwenden, die ab dem 1. Januar 2016 zufließen. </w:t>
      </w:r>
      <w:r>
        <w:rPr>
          <w:rStyle w:val="Satznummer"/>
        </w:rPr>
        <w:t>2</w:t>
      </w:r>
      <w:r>
        <w:t>§ 36a in der Fassung des Artikels 1 des Gesetzes vom 12. Dezember 2019 (BGBl. I S. 2451) ist erstmals auf Kapitalerträge anzuwenden, die ab dem 1. Januar 2019 zufließen.</w:t>
      </w:r>
    </w:p>
    <w:p>
      <w:r>
        <w:t xml:space="preserve">(35d) </w:t>
      </w:r>
      <w:hyperlink w:anchor="b140" w:history="1">
        <w:r>
          <w:rPr>
            <w:color w:val="0A3A8C"/>
            <w:u w:val="single"/>
          </w:rPr>
          <w:t xml:space="preserve">§ 37</w:t>
        </w:r>
      </w:hyperlink>
      <w:r>
        <w:t xml:space="preserve"> Absatz 3 Satz 3 ist auf Antrag des Steuerpflichtigen mit der Maßgabe anzuwenden, dass</w:t>
      </w:r>
    </w:p>
    <w:p>
      <w:pPr>
        <w:tabs>
          <w:tab w:pos="567" w:val="left"/>
        </w:tabs>
        <w:ind w:left="567" w:hanging="567"/>
      </w:pPr>
      <w:r>
        <w:t>1.</w:t>
      </w:r>
      <w:r>
        <w:tab/>
      </w:r>
      <w:r>
        <w:t>für den Veranlagungszeitraum 2019 an die Stelle des 15. Kalendermonats der 21. Kalendermonat und an die Stelle des 23. Kalendermonats der 28. Kalendermonat,</w:t>
      </w:r>
    </w:p>
    <w:p>
      <w:pPr>
        <w:tabs>
          <w:tab w:pos="567" w:val="left"/>
        </w:tabs>
        <w:ind w:left="567" w:hanging="567"/>
      </w:pPr>
      <w:r>
        <w:t>2.</w:t>
      </w:r>
      <w:r>
        <w:tab/>
      </w:r>
      <w:r>
        <w:t>für die Veranlagungszeiträume 2020 und 2021 an die Stelle des 15. Kalendermonats der 21. Kalendermonat und an die Stelle des 23. Kalendermonats der 29. Kalendermonat,</w:t>
      </w:r>
    </w:p>
    <w:p>
      <w:pPr>
        <w:tabs>
          <w:tab w:pos="567" w:val="left"/>
        </w:tabs>
        <w:ind w:left="567" w:hanging="567"/>
      </w:pPr>
      <w:r>
        <w:t>3.</w:t>
      </w:r>
      <w:r>
        <w:tab/>
      </w:r>
      <w:r>
        <w:t>für den Veranlagungszeitraum 2022 an die Stelle des 15. Kalendermonats der 20. Kalendermonat und an die Stelle des 23. Kalendermonats der 28. Kalendermonat,</w:t>
      </w:r>
    </w:p>
    <w:p>
      <w:pPr>
        <w:tabs>
          <w:tab w:pos="567" w:val="left"/>
        </w:tabs>
        <w:ind w:left="567" w:hanging="567"/>
      </w:pPr>
      <w:r>
        <w:t>4.</w:t>
      </w:r>
      <w:r>
        <w:tab/>
      </w:r>
      <w:r>
        <w:t>für den Veranlagungszeitraum 2023 an die Stelle des 15. Kalendermonats der 18. Kalendermonat und an die Stelle des 23. Kalendermonats der 26. Kalendermonat und</w:t>
      </w:r>
    </w:p>
    <w:p>
      <w:pPr>
        <w:tabs>
          <w:tab w:pos="567" w:val="left"/>
        </w:tabs>
        <w:ind w:left="567" w:hanging="567"/>
      </w:pPr>
      <w:r>
        <w:t>5.</w:t>
      </w:r>
      <w:r>
        <w:tab/>
      </w:r>
      <w:r>
        <w:t>für den Veranlagungszeitraum 2024 an die Stelle des 15. Kalendermonats der 17. Kalendermonat und an die Stelle des 23. Kalendermonats der 25. Kalendermonat</w:t>
      </w:r>
    </w:p>
    <w:p>
      <w:r>
        <w:t>tritt.</w:t>
      </w:r>
    </w:p>
    <w:p>
      <w:r>
        <w:t xml:space="preserve">(36) </w:t>
      </w:r>
      <w:r>
        <w:rPr>
          <w:rStyle w:val="Satznummer"/>
        </w:rPr>
        <w:t>1</w:t>
      </w:r>
      <w:r>
        <w:t xml:space="preserve">Das Bundesministerium der Finanzen kann im Einvernehmen mit den obersten Finanzbehörden der Länder in einem Schreiben mitteilen, wann das in </w:t>
      </w:r>
      <w:hyperlink w:anchor="b147" w:history="1">
        <w:r>
          <w:rPr>
            <w:color w:val="0A3A8C"/>
            <w:u w:val="single"/>
          </w:rPr>
          <w:t xml:space="preserve">§ 39</w:t>
        </w:r>
      </w:hyperlink>
      <w:r>
        <w:t xml:space="preserve"> Absatz 4 Nummer 5 genannte Lohnsteuerabzugsmerkmal erstmals abgerufen werden kann (</w:t>
      </w:r>
      <w:hyperlink w:anchor="b152" w:history="1">
        <w:r>
          <w:rPr>
            <w:color w:val="0A3A8C"/>
            <w:u w:val="single"/>
          </w:rPr>
          <w:t xml:space="preserve">§ 39e</w:t>
        </w:r>
      </w:hyperlink>
      <w:r>
        <w:t xml:space="preserve"> Absatz 3 Satz 1). </w:t>
      </w:r>
      <w:r>
        <w:rPr>
          <w:rStyle w:val="Satznummer"/>
        </w:rPr>
        <w:t>2</w:t>
      </w:r>
      <w:r>
        <w:t xml:space="preserve">Dieses Schreiben ist im Bundessteuerblatt zu veröffentlichen. </w:t>
      </w:r>
      <w:r>
        <w:rPr>
          <w:rStyle w:val="Satznummer"/>
        </w:rPr>
        <w:t>3</w:t>
      </w:r>
      <w:r>
        <w:t xml:space="preserve">§ 39 in der Fassung des Artikels 4 des Gesetzes vom 21. Dezember 2020 (BGBl. I S. 3096), geändert durch Artikel 4 des Gesetzes vom 16. Dezember 2022 (BGBl. I S. 2294), § 39a Absatz 1 Satz 1 Nummer 1a, Absatz 2 Satz 4, Absatz 3 Satz 2 und Absatz 4 Satz 1 Nummer 1a in der Fassung des Artikels 4 des Gesetzes vom 21. Dezember 2020 (BGBl. I S. 3096), geändert durch Artikel 6 des Gesetzes vom 16. Dezember 2022 (BGBl. I S. 2294), § 39b Absatz 2 Satz 5 Nummer 3, § 41b Absatz 1 Satz 2, § 41c Absatz 1 Satz 2, § 42b Absatz 1 Satz 3 Nummer 5 in der Fassung des Artikels 5 des Gesetzes vom 21. Dezember 2020 (BGBl. I S. 3096) und § 46 Absatz 2 Nummer 3 in der Fassung des Artikels 3 des Gesetzes vom 8. Dezember 2022 (BGBl. I S. 2230) sind erstmals ab dem 1. Januar 2026 anzuwenden. </w:t>
      </w:r>
      <w:r>
        <w:rPr>
          <w:rStyle w:val="Satznummer"/>
        </w:rPr>
        <w:t>4</w:t>
      </w:r>
      <w:r>
        <w:t>§ 39 in der Fassung des Artikels 4 des Gesetzes vom 21. Dezember 2020 (BGBl. I S. 3096), geändert durch Artikel 4 des Gesetzes vom 16. Dezember 2022 (BGBl. I S. 2294), kann im Rahmen eines Pilotprojekts mit Echtdaten bereits ab dem 1. Januar 2023 angewendet werden.</w:t>
      </w:r>
    </w:p>
    <w:p>
      <w:r>
        <w:t xml:space="preserve">(37) </w:t>
      </w:r>
      <w:r>
        <w:rPr>
          <w:rStyle w:val="Satznummer"/>
        </w:rPr>
        <w:t>1</w:t>
      </w:r>
      <w:r>
        <w:t xml:space="preserve">Das Bundesministerium der Finanzen kann im Einvernehmen mit den obersten Finanzbehörden der Länder in einem Schreiben mitteilen, ab wann die Regelungen in </w:t>
      </w:r>
      <w:hyperlink w:anchor="b148" w:history="1">
        <w:r>
          <w:rPr>
            <w:color w:val="0A3A8C"/>
            <w:u w:val="single"/>
          </w:rPr>
          <w:t xml:space="preserve">§ 39a</w:t>
        </w:r>
      </w:hyperlink>
      <w:r>
        <w:t xml:space="preserve"> Absatz 1 Satz 3 bis 5 erstmals anzuwenden sind. </w:t>
      </w:r>
      <w:r>
        <w:rPr>
          <w:rStyle w:val="Satznummer"/>
        </w:rPr>
        <w:t>2</w:t>
      </w:r>
      <w:r>
        <w:t>Dieses Schreiben ist im Bundessteuerblatt zu veröffentlichen.</w:t>
      </w:r>
    </w:p>
    <w:p>
      <w:r>
        <w:t xml:space="preserve">(37a) </w:t>
      </w:r>
      <w:hyperlink w:anchor="b153" w:history="1">
        <w:r>
          <w:rPr>
            <w:color w:val="0A3A8C"/>
            <w:u w:val="single"/>
          </w:rPr>
          <w:t xml:space="preserve">§ 39f</w:t>
        </w:r>
      </w:hyperlink>
      <w:r>
        <w:t xml:space="preserve"> Absatz 1 Satz 9 bis 11 und Absatz 3 Satz 1 ist erstmals für den Veranlagungszeitraum 2019 anzuwenden.</w:t>
      </w:r>
    </w:p>
    <w:p>
      <w:r>
        <w:t>(37b) (weggefallen)</w:t>
      </w:r>
    </w:p>
    <w:p>
      <w:r>
        <w:t xml:space="preserve">(37c) </w:t>
      </w:r>
      <w:r>
        <w:rPr>
          <w:rStyle w:val="Satznummer"/>
        </w:rPr>
        <w:t>1</w:t>
      </w:r>
      <w:r>
        <w:t xml:space="preserve">§ 40 Absatz 2 Satz 1 Nummer 6 in der am 17. November 2016 geltenden Fassung ist erstmals anzuwenden auf Vorteile, die in einem nach dem 31. Dezember 2016 endenden Lohnzahlungszeitraum oder als sonstige Bezüge nach dem 31. Dezember 2016 zugewendet werden, und letztmals anzuwenden auf Vorteile, die in einem vor dem 1. Januar 2031 endenden Lohnzahlungszeitraum oder als sonstige Bezüge vor dem 1. Januar 2031 zugewendet werden. </w:t>
      </w:r>
      <w:r>
        <w:rPr>
          <w:rStyle w:val="Satznummer"/>
        </w:rPr>
        <w:t>2</w:t>
      </w:r>
      <w:r>
        <w:t xml:space="preserve">§ 40 Absatz 2 Satz 2 Nummer 3 und Satz 4 in der Fassung des Artikels 2 des Gesetzes vom 21. Dezember 2020 (BGBl. I S. 3096) ist erstmals auf Freifahrtberechtigungen anzuwenden, die nach dem 31. Dezember 2020 gewährt werden. </w:t>
      </w:r>
      <w:r>
        <w:rPr>
          <w:rStyle w:val="Satznummer"/>
        </w:rPr>
        <w:t>3</w:t>
      </w:r>
      <w:r>
        <w:t>§ 37a Absatz 2 Satz 1, § 37b Absatz 3 Satz 2, § 40 Absatz 4, § 40a Absatz 5 Satz 2 und § 40b Absatz 5 Satz 1 in der Fassung des Artikels 3 des Gesetzes vom 2. Dezember 2024 (BGBl. 2024 I Nr. 387) sind in allen offenen Fällen anzuwenden.</w:t>
      </w:r>
    </w:p>
    <w:p>
      <w:r>
        <w:t>(38) § 40a Absatz 2, 2a und 6 in der am 31. Juli 2014 geltenden Fassung ist erstmals ab dem Kalenderjahr 2013 anzuwenden.</w:t>
      </w:r>
    </w:p>
    <w:p>
      <w:r>
        <w:t>(39) (weggefallen)</w:t>
      </w:r>
    </w:p>
    <w:p>
      <w:r>
        <w:t>(40) § 40b Absatz 1 und 2 in der am 31. Dezember 2004 geltenden Fassung ist weiter anzuwenden auf Beiträge für eine Direktversicherung des Arbeitnehmers und Zuwendungen an eine Pensionskasse, wenn vor dem 1. Januar 2018 mindestens ein Beitrag nach § 40b Absatz 1 und 2 in einer vor dem 1. Januar 2005 geltenden Fassung pauschal besteuert wurde.</w:t>
      </w:r>
    </w:p>
    <w:p>
      <w:r>
        <w:t xml:space="preserve">(40a) </w:t>
      </w:r>
      <w:r>
        <w:rPr>
          <w:rStyle w:val="Satznummer"/>
        </w:rPr>
        <w:t>1</w:t>
      </w:r>
      <w:r>
        <w:t xml:space="preserve">§ 41a Absatz 1 Satz 1 Nummer 1 in der Fassung des Artikels 2 des Gesetzes vom 12. Dezember 2019 (BGBl. I S. 2451) ist erstmals für Lohnzahlungszeiträume anzuwenden, die nach dem 31. Dezember 2020 enden. </w:t>
      </w:r>
      <w:r>
        <w:rPr>
          <w:rStyle w:val="Satznummer"/>
        </w:rPr>
        <w:t>2</w:t>
      </w:r>
      <w:r>
        <w:t xml:space="preserve">§ 41a Absatz 4 Satz 1 in der Fassung des Artikels 1 des Gesetzes vom 24. Februar 2016 (BGBl. I S. 310) gilt für eine Dauer von 60 Monaten und ist erstmals für laufenden Arbeitslohn anzuwenden, der für den Lohnzahlungszeitraum gezahlt wird, der nach dem Kalendermonat folgt, in dem die Europäische Kommission die Genehmigung zu diesem Änderungsgesetz erteilt hat; die Regelung ist erstmals für sonstige Bezüge anzuwenden, die nach dem Monat zufließen, in dem die Europäische Kommission die Genehmigung zu diesem Änderungsgesetz erteilt hat. </w:t>
      </w:r>
      <w:r>
        <w:rPr>
          <w:rStyle w:val="Satznummer"/>
        </w:rPr>
        <w:t>3</w:t>
      </w:r>
      <w:r>
        <w:t>§ 41a Absatz 4 in der Fassung des Artikels 3 des Gesetzes vom 19. Juni 2022 (BGBl. I S. 911) gilt für eine Dauer von 72 Monaten und ist erstmals für laufenden Arbeitslohn anzuwenden, der für einen ab dem 1. Juni 2021 endenden Lohnzahlungszeitraum gezahlt wird, und für sonstige Bezüge, die ab dem 1. Juni 2021 zufließen.</w:t>
      </w:r>
    </w:p>
    <w:p>
      <w:r>
        <w:t>(41) Bei der Veräußerung oder Einlösung von Wertpapieren und Kapitalforderungen, die von der das Bundesschuldbuch führenden Stelle oder einer Landesschuldenverwaltung verwahrt oder verwaltet werden können, bemisst sich der Steuerabzug nach den bis zum 31. Dezember 1993 geltenden Vorschriften, wenn die Wertpapier- und Kapitalforderungen vor dem 1. Januar 1994 emittiert worden sind; dies gilt nicht für besonders in Rechnung gestellte Stückzinsen.</w:t>
      </w:r>
    </w:p>
    <w:p>
      <w:r>
        <w:t xml:space="preserve">(42) </w:t>
      </w:r>
      <w:r>
        <w:rPr>
          <w:rStyle w:val="Satznummer"/>
        </w:rPr>
        <w:t>1</w:t>
      </w:r>
      <w:r>
        <w:t xml:space="preserve">§ 43 Absatz 1 Satz 1 Nummer 7 Buchstabe b Satz 2 in der Fassung des Artikels 1 des Gesetzes vom 13. Dezember 2006 (BGBl. I S. 2878) ist erstmals auf Verträge anzuwenden, die nach dem 31. Dezember 2006 abgeschlossen werden. </w:t>
      </w:r>
      <w:r>
        <w:rPr>
          <w:rStyle w:val="Satznummer"/>
        </w:rPr>
        <w:t>2</w:t>
      </w:r>
      <w:r>
        <w:t xml:space="preserve">§ 43 Absatz 1 Satz 1 Nummer 7 Buchstabe c in der Fassung des Artikels 2 des Gesetzes vom 12. Dezember 2019 (BGBl. I S. 2451) ist erstmals auf Kapitalerträge anzuwenden, die dem Gläubiger nach dem 31. Dezember 2020 zufließen. </w:t>
      </w:r>
      <w:r>
        <w:rPr>
          <w:rStyle w:val="Satznummer"/>
        </w:rPr>
        <w:t>3</w:t>
      </w:r>
      <w:r>
        <w:t xml:space="preserve">§ 43 Absatz 1 Satz 6 und Absatz 2 Satz 7 und 8 in der am 1. Januar 2017 geltenden Fassung ist erstmals anzuwenden auf Kapitalerträge, die dem Gläubiger nach dem 31. Dezember 2016 zufließen. </w:t>
      </w:r>
      <w:r>
        <w:rPr>
          <w:rStyle w:val="Satznummer"/>
        </w:rPr>
        <w:t>4</w:t>
      </w:r>
      <w:r>
        <w:t xml:space="preserve">§ 43 in der Fassung des Artikels 3 des Gesetzes vom 19. Juli 2016 (BGBl. I S. 1730) ist erstmals ab dem 1. Januar 2018 anzuwenden. </w:t>
      </w:r>
      <w:r>
        <w:rPr>
          <w:rStyle w:val="Satznummer"/>
        </w:rPr>
        <w:t>5</w:t>
      </w:r>
      <w:r>
        <w:t xml:space="preserve">§ 43 Absatz 1 Satz 6 Nummer 5 in der Fassung des Artikels 1 des Gesetzes vom 2. Juni 2021 (BGBl. I S. 1259) ist erstmals auf Kapitalerträge anzuwenden, die nach dem 31. Dezember 2019 zufließen. </w:t>
      </w:r>
      <w:r>
        <w:rPr>
          <w:rStyle w:val="Satznummer"/>
        </w:rPr>
        <w:t>6</w:t>
      </w:r>
      <w:r>
        <w:t>§ 43 Absatz 2 Satz 7 und 8 in der am 29. Oktober 2024 geltenden Fassung ist letztmals für Kapitalerträge anzuwenden, die vor dem 1. Januar 2025 zufließen.</w:t>
      </w:r>
    </w:p>
    <w:p>
      <w:r>
        <w:t>(42a) § 43a in der Fassung des Artikels 3 des Gesetzes vom 19. Juli 2016 (BGBl. I S. 1730) ist erstmals ab dem 1. Januar 2018 anzuwenden.</w:t>
      </w:r>
    </w:p>
    <w:p>
      <w:r>
        <w:t xml:space="preserve">(42b) </w:t>
      </w:r>
      <w:hyperlink w:anchor="b171" w:history="1">
        <w:r>
          <w:rPr>
            <w:color w:val="0A3A8C"/>
            <w:u w:val="single"/>
          </w:rPr>
          <w:t xml:space="preserve">§ 43b</w:t>
        </w:r>
      </w:hyperlink>
      <w:r>
        <w:t xml:space="preserve"> und Anlage 2 (zu </w:t>
      </w:r>
      <w:hyperlink w:anchor="b171" w:history="1">
        <w:r>
          <w:rPr>
            <w:color w:val="0A3A8C"/>
            <w:u w:val="single"/>
          </w:rPr>
          <w:t xml:space="preserve">§ 43b</w:t>
        </w:r>
      </w:hyperlink>
      <w:r>
        <w:t>) in der am 1. Januar 2016 geltenden Fassung sind erstmals auf Ausschüttungen anzuwenden, die nach dem 31. Dezember 2015 zufließen.</w:t>
      </w:r>
    </w:p>
    <w:p>
      <w:r>
        <w:t xml:space="preserve">(43) </w:t>
      </w:r>
      <w:r>
        <w:rPr>
          <w:rStyle w:val="Satznummer"/>
        </w:rPr>
        <w:t>1</w:t>
      </w:r>
      <w:r>
        <w:t xml:space="preserve">Ist ein Freistellungsauftrag im Sinne des </w:t>
      </w:r>
      <w:hyperlink w:anchor="b173" w:history="1">
        <w:r>
          <w:rPr>
            <w:color w:val="0A3A8C"/>
            <w:u w:val="single"/>
          </w:rPr>
          <w:t xml:space="preserve">§ 44a</w:t>
        </w:r>
      </w:hyperlink>
      <w:r>
        <w:t xml:space="preserve"> vor dem 1. Januar 2023 unter Beachtung des § 20 Absatz 9 in der bis dahin geltenden Fassung erteilt worden, hat der nach § 44 Absatz 1 zum Steuerabzug Verpflichtete den angegebenen Freistellungsbetrag um 24,844 Prozent zu erhöhen. </w:t>
      </w:r>
      <w:r>
        <w:rPr>
          <w:rStyle w:val="Satznummer"/>
        </w:rPr>
        <w:t>2</w:t>
      </w:r>
      <w:r>
        <w:t>Ist in dem Freistellungsauftrag der gesamte Sparer-Pauschbetrag angegeben, ist der Erhöhungsbetrag in voller Höhe zu berücksichtigen.</w:t>
      </w:r>
    </w:p>
    <w:p>
      <w:r>
        <w:t xml:space="preserve">(44) </w:t>
      </w:r>
      <w:r>
        <w:rPr>
          <w:rStyle w:val="Satznummer"/>
        </w:rPr>
        <w:t>1</w:t>
      </w:r>
      <w:r>
        <w:t xml:space="preserve">§ 44 Absatz 1 Satz 4 Nummer 2a in der Fassung des Artikels 2 des Gesetzes vom 12. Dezember 2019 (BGBl. I S. 2451) ist erstmals auf Kapitalerträge anzuwenden, die dem Gläubiger nach dem 31. Dezember 2020 zufließen. </w:t>
      </w:r>
      <w:r>
        <w:rPr>
          <w:rStyle w:val="Satznummer"/>
        </w:rPr>
        <w:t>2</w:t>
      </w:r>
      <w:r>
        <w:t xml:space="preserve">§ 44 Absatz 6 Satz 2 und 5 in der am 12. Dezember 2006 geltenden Fassung ist für Anteile, die einbringungsgeboren im Sinne des § 21 des Umwandlungssteuergesetzes in der am 12. Dezember 2006 geltenden Fassung sind, weiter anzuwenden. </w:t>
      </w:r>
      <w:r>
        <w:rPr>
          <w:rStyle w:val="Satznummer"/>
        </w:rPr>
        <w:t>3</w:t>
      </w:r>
      <w:r>
        <w:t xml:space="preserve">§ 44 in der Fassung des Artikels 3 des Gesetzes vom 19. Juli 2016 (BGBl. I S. 1730) ist erstmals ab dem 1. Januar 2018 anzuwenden. </w:t>
      </w:r>
      <w:r>
        <w:rPr>
          <w:rStyle w:val="Satznummer"/>
        </w:rPr>
        <w:t>4</w:t>
      </w:r>
      <w:r>
        <w:t xml:space="preserve">§ 44 Absatz 1 in der Fassung des Artikels 1 des Gesetzes vom 21. Dezember 2020 (BGBl. I S. 3096) ist erstmals auf Kapitalerträge anzuwenden, die dem Gläubiger nach dem 29. Dezember 2020 zufließen. </w:t>
      </w:r>
      <w:r>
        <w:rPr>
          <w:rStyle w:val="Satznummer"/>
        </w:rPr>
        <w:t>5</w:t>
      </w:r>
      <w:r>
        <w:t>§ 44 Absatz 1 Satz 10 und 11 in der Fassung des Artikels 6 des Gesetzes vom 16. Dezember 2022 (BGBl. I S. 2294) ist auf Kapitalerträge anzuwenden, die nach dem 31. Dezember 2024 zufließen oder als zugeflossen gelten.</w:t>
      </w:r>
    </w:p>
    <w:p>
      <w:r>
        <w:t xml:space="preserve">(44a) </w:t>
      </w:r>
      <w:r>
        <w:rPr>
          <w:rStyle w:val="Satznummer"/>
        </w:rPr>
        <w:t>1</w:t>
      </w:r>
      <w:r>
        <w:t xml:space="preserve">§ 45a Absatz 2 Satz 1 in der Fassung des Artikels 1 des Gesetzes vom 21. Dezember 2020 (BGBl. I S. 3096) ist erstmals auf Kapitalerträge anzuwenden, die dem Gläubiger nach dem 29. Dezember 2020 zufließen. </w:t>
      </w:r>
      <w:r>
        <w:rPr>
          <w:rStyle w:val="Satznummer"/>
        </w:rPr>
        <w:t>2</w:t>
      </w:r>
      <w:r>
        <w:t xml:space="preserve">§ 45a Absatz 6 in der Fassung des Artikels 2 des Gesetzes vom 21. Dezember 2020 (BGBl. I S. 3096) ist auf Kapitalerträge anzuwenden, die nach dem 31. Dezember 2022 zufließen. </w:t>
      </w:r>
      <w:r>
        <w:rPr>
          <w:rStyle w:val="Satznummer"/>
        </w:rPr>
        <w:t>3</w:t>
      </w:r>
      <w:r>
        <w:t xml:space="preserve">§ 45a Absatz 2a und 7 Satz 1 in der Fassung des Artikels 1 des Gesetzes vom 2. Juni 2021 (BGBl I S. 1259), das zuletzt durch Artikel 3 des Gesetzes vom 2. Dezember 2024 (BGBl. 2024 I Nr. 387) geändert worden ist, ist erstmals anzuwenden auf Kapitalerträge, die dem Gläubiger nach dem 31. Dezember 2026 zufließen. </w:t>
      </w:r>
      <w:r>
        <w:rPr>
          <w:rStyle w:val="Satznummer"/>
        </w:rPr>
        <w:t>4</w:t>
      </w:r>
      <w:r>
        <w:t xml:space="preserve">§ 45a Absatz 7 Satz 3 in der am 8. Juni 2021 geltenden Fassung ist letztmals anzuwenden für Kapitalerträge, die vor dem 1. Januar 2024 zufließen. </w:t>
      </w:r>
      <w:r>
        <w:rPr>
          <w:rStyle w:val="Satznummer"/>
        </w:rPr>
        <w:t>5</w:t>
      </w:r>
      <w:r>
        <w:t>§ 45a Absatz 5 in der am 29. Oktober 2024 geltenden Fassung ist letztmals für Ersatzbescheinigungen anzuwenden, die vor dem 1. Januar 2025 ausgestellt werden.</w:t>
      </w:r>
    </w:p>
    <w:p>
      <w:r>
        <w:t>(44b) § 45b Absatz 1 und 8 bis 10 in der Fassung des Artikels 1 des Gesetzes vom 2. Juni 2021 (BGBl. I S. 1259) und § 45b Absatz 2 bis 7 in der Fassung des Artikels 3 des Gesetzes vom 2. Dezember 2024 (BGBl. 2024 I Nr. 387) sind erstmals auf Kapitalerträge anzuwenden, die dem Gläubiger nach dem 31. Dezember 2026 zufließen.</w:t>
      </w:r>
    </w:p>
    <w:p>
      <w:r>
        <w:t>(44c) § 45c in der Fassung des Artikels 1 des Gesetzes vom 2. Juni 2021 (BGBl. I S. 1259) ist erstmals auf Kapitalerträge anzuwenden, die dem Gläubiger nach dem 31. Dezember 2026 zufließen.</w:t>
      </w:r>
    </w:p>
    <w:p>
      <w:r>
        <w:t xml:space="preserve">(45) </w:t>
      </w:r>
      <w:r>
        <w:rPr>
          <w:rStyle w:val="Satznummer"/>
        </w:rPr>
        <w:t>1</w:t>
      </w:r>
      <w:r>
        <w:t xml:space="preserve">§ 45d Absatz 1 in der am 14. Dezember 2010 geltenden Fassung ist erstmals für Kapitalerträge anzuwenden, die ab dem 1. Januar 2013 zufließen; eine Übermittlung der Identifikationsnummer hat für Kapitalerträge, die vor dem 1. Januar 2016 zufließen, nur zu erfolgen, wenn die Identifikationsnummer der Meldestelle vorliegt. </w:t>
      </w:r>
      <w:r>
        <w:rPr>
          <w:rStyle w:val="Satznummer"/>
        </w:rPr>
        <w:t>2</w:t>
      </w:r>
      <w:r>
        <w:t xml:space="preserve">§ 45d Absatz 1 in der am 1. Januar 2017 geltenden Fassung ist erstmals anzuwenden auf Kapitalerträge, die dem Gläubiger nach dem 31. Dezember 2016 zufließen. </w:t>
      </w:r>
      <w:r>
        <w:rPr>
          <w:rStyle w:val="Satznummer"/>
        </w:rPr>
        <w:t>3</w:t>
      </w:r>
      <w:r>
        <w:t>§ 45d Absatz 3 in der am 1. Januar 2017 geltenden Fassung ist letztmals für Versicherungsverträge anzuwenden, die nach dem 31. Dezember 2016 und vor dem 1. Januar 2025 abgeschlossen werden.</w:t>
      </w:r>
    </w:p>
    <w:p>
      <w:r>
        <w:t xml:space="preserve">(45a) </w:t>
      </w:r>
      <w:r>
        <w:rPr>
          <w:rStyle w:val="Satznummer"/>
        </w:rPr>
        <w:t>1</w:t>
      </w:r>
      <w:r>
        <w:t xml:space="preserve">§ 49 Absatz 1 Nummer 2 Buchstabe e Doppelbuchstabe cc in der Fassung des Artikels 3 des Gesetzes vom 11. Dezember 2018 (BGBl. I S. 2338) ist erstmals auf Gewinne aus der Veräußerung von Anteilen anzuwenden, bei denen die Veräußerung nach dem 31. Dezember 2018 erfolgt, und nur soweit den Gewinnen nach dem 31. Dezember 2018 eingetretene Wertveränderungen zugrunde liegen. </w:t>
      </w:r>
      <w:r>
        <w:rPr>
          <w:rStyle w:val="Satznummer"/>
        </w:rPr>
        <w:t>2</w:t>
      </w:r>
      <w:r>
        <w:t xml:space="preserve">§ 49 Absatz 1 Nummer 2 Buchstabe f in der Fassung des Artikels 3 des Gesetzes vom 11. Dezember 2018 (BGBl. I S. 2338) ist erstmals auf Wertveränderungen anzuwenden, die nach dem 31. Dezember 2018 eintreten. </w:t>
      </w:r>
      <w:r>
        <w:rPr>
          <w:rStyle w:val="Satznummer"/>
        </w:rPr>
        <w:t>3</w:t>
      </w:r>
      <w:r>
        <w:t xml:space="preserve">§ 49 Absatz 1 Nummer 2 Buchstabe f Satz 1 und 2 und Nummer 6 in der am 20. Dezember 2022 geltenden Fassung ist, soweit die Vermietung und Verpachtung oder die Veräußerung von sonstigen Rechten, bei denen Einkünfte nur auf Grund der Eintragung in ein inländisches öffentliches Buch oder Register vorliegen, nicht zwischen nahestehenden Personen im Sinne des § 1 Absatz 2 des Außensteuergesetzes erfolgt, auf alle offene Fälle anzuwenden; im Übrigen ist § 49 Absatz 1 Nummer 2 Buchstabe f Satz 1 und 2 und Nummer 6 in der am 20. Dezember 2022 geltenden Fassung auf Veräußerungen, die nach dem 31. Dezember 2022 erfolgen oder auf Vergütungen, die nach dem 31. Dezember 2022 zufließen, anzuwenden. </w:t>
      </w:r>
      <w:r>
        <w:rPr>
          <w:rStyle w:val="Satznummer"/>
        </w:rPr>
        <w:t>4</w:t>
      </w:r>
      <w:r>
        <w:t xml:space="preserve">§ 49 Absatz 1 Nummer 4 Buchstabe a in der Fassung des Artikels 2 des Gesetzes vom 27. März 2024 (BGBl. 2024 I Nr. 108) ist erstmals auf nichtselbständige Einkünfte anzuwenden, die nach dem 31. Dezember 2023 zufließen. </w:t>
      </w:r>
      <w:r>
        <w:rPr>
          <w:rStyle w:val="Satznummer"/>
        </w:rPr>
        <w:t>5</w:t>
      </w:r>
      <w:r>
        <w:t xml:space="preserve">§ 49 Absatz 1 Nummer 5 in der am 27. Juli 2016 geltenden Fassung ist erstmals auf Kapitalerträge anzuwenden, die ab dem 1. Januar 2018 zufließen. </w:t>
      </w:r>
      <w:r>
        <w:rPr>
          <w:rStyle w:val="Satznummer"/>
        </w:rPr>
        <w:t>6</w:t>
      </w:r>
      <w:r>
        <w:t>§ 49 Absatz 1 Nummer 11 in der am 1. Juli 2021 geltenden Fassung ist erstmals auf Einkünfte anzuwenden, die nach dem 31. Dezember 2021 zufließen.</w:t>
      </w:r>
    </w:p>
    <w:p>
      <w:r>
        <w:t xml:space="preserve">(46) </w:t>
      </w:r>
      <w:r>
        <w:rPr>
          <w:rStyle w:val="Satznummer"/>
        </w:rPr>
        <w:t>1</w:t>
      </w:r>
      <w:r>
        <w:t xml:space="preserve">§ 50 Absatz 1 Satz 3 in der Fassung des Artikels 1 des Gesetzes vom 21. Dezember 2020 (BGBl. I S. 3096) ist in allen offenen Fällen anzuwenden. </w:t>
      </w:r>
      <w:r>
        <w:rPr>
          <w:rStyle w:val="Satznummer"/>
        </w:rPr>
        <w:t>2</w:t>
      </w:r>
      <w:r>
        <w:t xml:space="preserve">§ 50 Absatz 1a in der Fassung des Artikels 2 des Gesetzes vom 21. Dezember 2020 (BGBl. I S. 3096) ist erstmals auf Beiträge an berufsständische Versorgungseinrichtungen anzuwenden, die nach dem 31. Dezember 2020 geleistet werden. </w:t>
      </w:r>
      <w:r>
        <w:rPr>
          <w:rStyle w:val="Satznummer"/>
        </w:rPr>
        <w:t>3</w:t>
      </w:r>
      <w:r>
        <w:t xml:space="preserve">§ 50 Absatz 2 Satz 2 Nummer 6 in der Fassung des Artikels 1 des Gesetzes vom 12. Dezember 2019 (BGBl. I S. 2451) ist erstmals auf Kapitalerträge anzuwenden, die nach dem 31. Dezember 2016 zufließen. </w:t>
      </w:r>
      <w:r>
        <w:rPr>
          <w:rStyle w:val="Satznummer"/>
        </w:rPr>
        <w:t>4</w:t>
      </w:r>
      <w:r>
        <w:t>§ 50 Absatz 2 Satz 8 in der Fassung des Artikels 3 des Gesetzes vom 2. Dezember 2024 (BGBl. 2024 I Nr. 387) ist in allen offenen Fällen anzuwenden.</w:t>
      </w:r>
      <w:r>
        <w:rPr>
          <w:rStyle w:val="Satznummer"/>
        </w:rPr>
        <w:t>5</w:t>
      </w:r>
      <w:r>
        <w:t xml:space="preserve">§ 50 Absatz 4 in der am 1. Januar 2016 geltenden Fassung ist in allen offenen Fällen anzuwenden. </w:t>
      </w:r>
      <w:r>
        <w:rPr>
          <w:rStyle w:val="Satznummer"/>
        </w:rPr>
        <w:t>6</w:t>
      </w:r>
      <w:r>
        <w:t>§ 50 Absatz 1 Satz 2 in der Fassung des Artikels 1 des Gesetzes vom 2. Juni 2021 (BGBl. I S. 1259) ist in allen offenen Fällen anzuwenden.</w:t>
      </w:r>
    </w:p>
    <w:p>
      <w:r>
        <w:t xml:space="preserve">(47) </w:t>
      </w:r>
      <w:r>
        <w:rPr>
          <w:rStyle w:val="Satznummer"/>
        </w:rPr>
        <w:t>1</w:t>
      </w:r>
      <w:r>
        <w:t xml:space="preserve">Der Zeitpunkt der erstmaligen Anwendung des § 50a Absatz 3 und 5 in der am 18. August 2009 geltenden Fassung wird durch eine Rechtsverordnung der Bundesregierung bestimmt, die der Zustimmung des Bundesrates bedarf; dieser Zeitpunkt darf nicht vor dem 31. Dezember 2011 liegen. </w:t>
      </w:r>
      <w:r>
        <w:rPr>
          <w:rStyle w:val="Satznummer"/>
        </w:rPr>
        <w:t>2</w:t>
      </w:r>
      <w:r>
        <w:t>§ 50a Absatz 7 in der am 31. Juli 2014 geltenden Fassung ist erstmals auf Vergütungen anzuwenden, für die der Steuerabzug nach dem 31. Dezember 2014 angeordnet worden ist.</w:t>
      </w:r>
    </w:p>
    <w:p>
      <w:r>
        <w:t xml:space="preserve">(47a) </w:t>
      </w:r>
      <w:r>
        <w:rPr>
          <w:rStyle w:val="Satznummer"/>
        </w:rPr>
        <w:t>1</w:t>
      </w:r>
      <w:r>
        <w:t xml:space="preserve">§ 50c Absatz 2 Satz 1 Nummer 2 in der Fassung des Artikels 1 des Gesetzes vom 2. Juni 2021 (BGBl. I S. 1259) ist erstmals auf Einkünfte anzuwenden, die dem beschränkt Steuerpflichtigen nach dem 31. Dezember 2021 zufließen; die Geltung von Ermächtigungen nach § 50d Absatz 5 und 6 des Gesetzes in der Fassung, die vor dem Inkrafttreten des Artikels 1 des Gesetzes vom 2. Juni 2021 (BGBl. I S. 1259) galt, endet spätestens zu diesem Zeitpunkt. </w:t>
      </w:r>
      <w:r>
        <w:rPr>
          <w:rStyle w:val="Satznummer"/>
        </w:rPr>
        <w:t>2</w:t>
      </w:r>
      <w:r>
        <w:t xml:space="preserve">§ 50c Absatz 2 Satz 1 Nummer 2 in der Fassung des Artikels 2 des Gesetzes vom 27. März 2024 (BGBl. 2024 I Nr. 108) ist erstmals auf Einkünfte anzuwenden, die dem beschränkt Steuerpflichtigen nach dem 31. Dezember 2023 zufließen. </w:t>
      </w:r>
      <w:r>
        <w:rPr>
          <w:rStyle w:val="Satznummer"/>
        </w:rPr>
        <w:t>3</w:t>
      </w:r>
      <w:r>
        <w:t xml:space="preserve">§ 50c Absatz 5 Satz 1, 3 und 4 in der Fassung des Artikels 1 des Gesetzes vom 2. Juni 2021 (BGBl. I S. 1259) ist erstmals auf Anträge anzuwenden, die nach dem 31. Dezember 2022 gestellt werden; für Anträge, die gemäß </w:t>
      </w:r>
      <w:hyperlink w:anchor="b196" w:history="1">
        <w:r>
          <w:rPr>
            <w:color w:val="0A3A8C"/>
            <w:u w:val="single"/>
          </w:rPr>
          <w:t xml:space="preserve">§ 50c</w:t>
        </w:r>
      </w:hyperlink>
      <w:r>
        <w:t xml:space="preserve"> Absatz 2 oder 3 bis zu diesem Zeitpunkt gestellt werden, ist der amtlich vorgeschriebene Vordruck zu verwenden. </w:t>
      </w:r>
      <w:r>
        <w:rPr>
          <w:rStyle w:val="Satznummer"/>
        </w:rPr>
        <w:t>4</w:t>
      </w:r>
      <w:r>
        <w:t>§ 50d Absatz 1 Satz 7 und 8 in der vor dem 9. Juni 2021 geltenden Fassung ist bis zum 31. Dezember 2024 anzuwenden.</w:t>
      </w:r>
    </w:p>
    <w:p>
      <w:r>
        <w:t>(47b) § 50d Absatz 3 in der Fassung des Artikels 1 des Gesetzes vom 2. Juni 2021 (BGBl. I S. 1259) ist in allen offenen Fällen anzuwenden, es sei denn, § 50d Absatz 3 in der Fassung, die zu dem Zeitpunkt galt, in dem die Einkünfte zugeflossen sind, steht dem Anspruch auf Entlastung nicht entgegen.</w:t>
      </w:r>
    </w:p>
    <w:p>
      <w:r>
        <w:t xml:space="preserve">(47c) </w:t>
      </w:r>
      <w:r>
        <w:rPr>
          <w:rStyle w:val="Satznummer"/>
        </w:rPr>
        <w:t>1</w:t>
      </w:r>
      <w:r>
        <w:t xml:space="preserve">§ 50e Absatz 1 und 4 bis 6 in der Fassung des Artikels 1 des Gesetzes vom 2. Juni 2021 (BGBl. I S. 1259) ist ab dem 1. Januar 2022 anzuwenden. </w:t>
      </w:r>
      <w:r>
        <w:rPr>
          <w:rStyle w:val="Satznummer"/>
        </w:rPr>
        <w:t>2</w:t>
      </w:r>
      <w:r>
        <w:t>§ 50e Absatz 2 und 3 in der Fassung des Artikels 1 des Gesetzes vom 2. Juni 2021 (BGBl. I S. 1259), das zuletzt durch Artikel 3 des Gesetzes vom 2. Dezember 2024 (BGBl. 2024 I Nr. 387) geändert worden ist, ist erstmals anzuwenden auf Kapitalerträge, die dem Gläubiger nach dem 31. Dezember 2026 zufließen.</w:t>
      </w:r>
    </w:p>
    <w:p>
      <w:r>
        <w:t xml:space="preserve">(48) </w:t>
      </w:r>
      <w:r>
        <w:rPr>
          <w:rStyle w:val="Satznummer"/>
        </w:rPr>
        <w:t>1</w:t>
      </w:r>
      <w:hyperlink w:anchor="b202" w:history="1">
        <w:r>
          <w:rPr>
            <w:color w:val="0A3A8C"/>
            <w:u w:val="single"/>
          </w:rPr>
          <w:t xml:space="preserve">§ 50i</w:t>
        </w:r>
      </w:hyperlink>
      <w:r>
        <w:t xml:space="preserve"> Absatz 1 Satz 1 und 2 ist auf die Veräußerung oder Entnahme von Wirtschaftsgütern oder Anteilen anzuwenden, die nach dem 29. Juni 2013 stattfindet. </w:t>
      </w:r>
      <w:r>
        <w:rPr>
          <w:rStyle w:val="Satznummer"/>
        </w:rPr>
        <w:t>2</w:t>
      </w:r>
      <w:r>
        <w:t xml:space="preserve">Hinsichtlich der laufenden Einkünfte aus der Beteiligung an der Personengesellschaft ist die Vorschrift in allen Fällen anzuwenden, in denen die Einkommensteuer noch nicht bestandskräftig festgesetzt worden ist. </w:t>
      </w:r>
      <w:r>
        <w:rPr>
          <w:rStyle w:val="Satznummer"/>
        </w:rPr>
        <w:t>3</w:t>
      </w:r>
      <w:r>
        <w:t xml:space="preserve">§ 50i Absatz 1 Satz 4 in der am 31. Juli 2014 geltenden Fassung ist erstmals auf die Veräußerung oder Entnahme von Wirtschaftsgütern oder Anteilen anzuwenden, die nach dem 31. Dezember 2013 stattfindet. </w:t>
      </w:r>
      <w:r>
        <w:rPr>
          <w:rStyle w:val="Satznummer"/>
        </w:rPr>
        <w:t>4</w:t>
      </w:r>
      <w:r>
        <w:t>§ 50i Absatz 2 in der Fassung des Artikels 7 des Gesetzes vom 20. Dezember 2016 (BGBl. I S. 3000) ist erstmals für Einbringungen anzuwenden, bei denen der Einbringungsvertrag nach dem 31. Dezember 2013 geschlossen worden ist.</w:t>
      </w:r>
    </w:p>
    <w:p>
      <w:r>
        <w:t>(48a) § 51 in der Fassung des Artikels 1 des Gesetzes vom 2. Juni 2021 (BGBl. I S. 1259) gilt erstmals für die Vergabe von Ordnungsnummern zu Steuerbescheinigungen für Kapitalerträge, die nach dem 31. Dezember 2023 zufließen.</w:t>
      </w:r>
    </w:p>
    <w:p>
      <w:r>
        <w:t>(49) § 51a Absatz 2c und 2e in der am 30. Juni 2013 geltenden Fassung ist erstmals auf nach dem 31. Dezember 2014 zufließende Kapitalerträge anzuwenden.</w:t>
      </w:r>
    </w:p>
    <w:p>
      <w:r>
        <w:t xml:space="preserve">(49a) </w:t>
      </w:r>
      <w:r>
        <w:rPr>
          <w:rStyle w:val="Satznummer"/>
        </w:rPr>
        <w:t>1</w:t>
      </w:r>
      <w:r>
        <w:t xml:space="preserve">§ 62 Absatz 1a in der am 18. Juli 2019 geltenden Fassung ist für Kindergeldfestsetzungen anzuwenden, die Zeiträume betreffen, die nach dem 31. Juli 2019 beginnen. </w:t>
      </w:r>
      <w:r>
        <w:rPr>
          <w:rStyle w:val="Satznummer"/>
        </w:rPr>
        <w:t>2</w:t>
      </w:r>
      <w:r>
        <w:t xml:space="preserve">§ 62 Absatz 2 Nummer 1 bis 4 in der Fassung des Artikels 3 des Gesetzes vom 12. Dezember 2019 (BGBl. I S. 2451) ist für Kindergeldfestsetzungen anzuwenden, die Zeiträume betreffen, die nach dem 29. Februar 2020 beginnen. </w:t>
      </w:r>
      <w:r>
        <w:rPr>
          <w:rStyle w:val="Satznummer"/>
        </w:rPr>
        <w:t>3</w:t>
      </w:r>
      <w:r>
        <w:t xml:space="preserve">§ 62 Absatz 2 Nummer 2 Buchstabe c in der Fassung des Artikels 11 Nummer 2 des Gesetzes vom 23. Mai 2022 (BGBl. I S. 760) ist für Kindergeldfestsetzungen anzuwenden, die Zeiträume betreffen, die nach dem 31. Mai 2022 beginnen. </w:t>
      </w:r>
      <w:r>
        <w:rPr>
          <w:rStyle w:val="Satznummer"/>
        </w:rPr>
        <w:t>4</w:t>
      </w:r>
      <w:r>
        <w:t xml:space="preserve">§ 62 Absatz 2 Nummer 2 Buchstabe a und b in der Fassung des Artikels 3 des Gesetzes vom 2. Dezember 2024 (BGBl. 2024 I Nr. 387) ist für Kindergeldfestsetzungen anzuwenden, die Zeiträume betreffen, die nach dem 31. Mai 2024 beginnen. </w:t>
      </w:r>
      <w:r>
        <w:rPr>
          <w:rStyle w:val="Satznummer"/>
        </w:rPr>
        <w:t>5</w:t>
      </w:r>
      <w:r>
        <w:t xml:space="preserve">§ 62 Absatz 2 Nummer 5 in der Fassung des Artikels 3 des Gesetzes vom 12. Dezember 2019 (BGBl. I S. 2451) ist für Kindergeldfestsetzungen anzuwenden, die Zeiträume betreffen, die nach dem 31. Dezember 2019 beginnen. </w:t>
      </w:r>
      <w:r>
        <w:rPr>
          <w:rStyle w:val="Satznummer"/>
        </w:rPr>
        <w:t>6</w:t>
      </w:r>
      <w:r>
        <w:t xml:space="preserve">Die §§ 62, 63 und 67 in der am 9. Dezember 2014 geltenden Fassung sind für Kindergeldfestsetzungen anzuwenden, die Zeiträume betreffen, die nach dem 31. Dezember 2015 beginnen. </w:t>
      </w:r>
      <w:r>
        <w:rPr>
          <w:rStyle w:val="Satznummer"/>
        </w:rPr>
        <w:t>7</w:t>
      </w:r>
      <w:r>
        <w:t xml:space="preserve">Die §§ 62, 63 und 67 in der am 9. Dezember 2014 geltenden Fassung sind auch für Kindergeldfestsetzungen anzuwenden, die Zeiträume betreffen, die vor dem 1. Januar 2016 liegen, der Antrag auf Kindergeld aber erst nach dem 31. Dezember 2015 gestellt wird. </w:t>
      </w:r>
      <w:r>
        <w:rPr>
          <w:rStyle w:val="Satznummer"/>
        </w:rPr>
        <w:t>8</w:t>
      </w:r>
      <w:r>
        <w:t xml:space="preserve">§ 66 Absatz 1 in der am 23. Juli 2015 geltenden Fassung ist für Kindergeldfestsetzungen anzuwenden, die Zeiträume betreffen, die nach dem 31. Dezember 2014 beginnen. </w:t>
      </w:r>
      <w:r>
        <w:rPr>
          <w:rStyle w:val="Satznummer"/>
        </w:rPr>
        <w:t>9</w:t>
      </w:r>
      <w:r>
        <w:t xml:space="preserve">§ 66 Absatz 1 in der am 1. Januar 2016 geltenden Fassung ist für Kindergeldfestsetzungen anzuwenden, die Zeiträume betreffen, die nach dem 31. Dezember 2015 beginnen. </w:t>
      </w:r>
      <w:r>
        <w:rPr>
          <w:rStyle w:val="Satznummer"/>
        </w:rPr>
        <w:t>10</w:t>
      </w:r>
      <w:r>
        <w:t xml:space="preserve">§ 66 Absatz 1 in der am 1. Januar 2017 geltenden Fassung ist für Kindergeldfestsetzungen anzuwenden, die Zeiträume betreffen, die nach dem 31. Dezember 2016 beginnen. </w:t>
      </w:r>
      <w:r>
        <w:rPr>
          <w:rStyle w:val="Satznummer"/>
        </w:rPr>
        <w:t>11</w:t>
      </w:r>
      <w:r>
        <w:t xml:space="preserve">§ 66 Absatz 1 in der am 1. Januar 2018 geltenden Fassung ist für Kindergeldfestsetzungen anzuwenden, die Zeiträume betreffen, die nach dem 31. Dezember 2017 beginnen. </w:t>
      </w:r>
      <w:r>
        <w:rPr>
          <w:rStyle w:val="Satznummer"/>
        </w:rPr>
        <w:t>12</w:t>
      </w:r>
      <w:hyperlink w:anchor="b221" w:history="1">
        <w:r>
          <w:rPr>
            <w:color w:val="0A3A8C"/>
            <w:u w:val="single"/>
          </w:rPr>
          <w:t xml:space="preserve">§ 66</w:t>
        </w:r>
      </w:hyperlink>
      <w:r>
        <w:t xml:space="preserve"> Absatz 3 ist auf Anträge anzuwenden, die nach dem 31. Dezember 2017 und vor dem 18. Juli 2019 eingehen. </w:t>
      </w:r>
      <w:r>
        <w:rPr>
          <w:rStyle w:val="Satznummer"/>
        </w:rPr>
        <w:t>13</w:t>
      </w:r>
      <w:r>
        <w:t xml:space="preserve">§ 69 in der am 1. Januar 2018 geltenden Fassung ist erstmals am 1. November 2019 anzuwenden. </w:t>
      </w:r>
      <w:r>
        <w:rPr>
          <w:rStyle w:val="Satznummer"/>
        </w:rPr>
        <w:t>14</w:t>
      </w:r>
      <w:r>
        <w:t xml:space="preserve">§ 66 Absatz 1 in der Fassung des Artikels 2 des Gesetzes vom 29. November 2018 (BGBl. I S. 2210) ist für Kindergeldfestsetzungen anzuwenden, die Zeiträume betreffen, die nach dem 30. Juni 2019 beginnen. </w:t>
      </w:r>
      <w:r>
        <w:rPr>
          <w:rStyle w:val="Satznummer"/>
        </w:rPr>
        <w:t>15</w:t>
      </w:r>
      <w:r>
        <w:t xml:space="preserve">§ 66 Absatz 1 in der Fassung des Artikels 1 des Gesetzes vom 1. Dezember 2020 (BGBl. I S. 2616) ist für Kindergeldfestsetzungen anzuwenden, die Zeiträume betreffen, die nach dem 31. Dezember 2020 beginnen. </w:t>
      </w:r>
      <w:r>
        <w:rPr>
          <w:rStyle w:val="Satznummer"/>
        </w:rPr>
        <w:t>16</w:t>
      </w:r>
      <w:r>
        <w:t xml:space="preserve">§ 69 Satz 1 in der Fassung des Artikels 4 des Gesetzes vom 16. Dezember 2022 (BGBl. I S. 2294) ist erstmals am 1. Januar 2024 anzuwenden. </w:t>
      </w:r>
      <w:r>
        <w:rPr>
          <w:rStyle w:val="Satznummer"/>
        </w:rPr>
        <w:t>17</w:t>
      </w:r>
      <w:r>
        <w:t xml:space="preserve">§ 69 Satz 2 in der Fassung des Artikels 4 des Gesetzes vom 16. Dezember 2022 (BGBl. I S. 2294) ist erstmals für den Veranlagungszeitraum 2024 anzuwenden. </w:t>
      </w:r>
      <w:r>
        <w:rPr>
          <w:rStyle w:val="Satznummer"/>
        </w:rPr>
        <w:t>18</w:t>
      </w:r>
      <w:r>
        <w:t xml:space="preserve">§ 69 Satz 3 in der Fassung des Artikels 4 des Gesetzes vom 16. Dezember 2022 (BGBl. I S. 2294) ist erstmals anzuwenden für Kinder, deren Geburt nach dem 31. Dezember 2023 erfolgt. </w:t>
      </w:r>
      <w:r>
        <w:rPr>
          <w:rStyle w:val="Satznummer"/>
        </w:rPr>
        <w:t>19</w:t>
      </w:r>
      <w:r>
        <w:t>§ 67 Satz 1 in der Fassung des Artikels 3 des Gesetzes vom 2. Dezember 2024 (BGBl. 2024 I Nr. 387) ist auf Anträge anzuwenden, die nach dem 5. Dezember 2024 eingehen.</w:t>
      </w:r>
    </w:p>
    <w:p>
      <w:r>
        <w:t xml:space="preserve">(50) </w:t>
      </w:r>
      <w:r>
        <w:rPr>
          <w:rStyle w:val="Satznummer"/>
        </w:rPr>
        <w:t>1</w:t>
      </w:r>
      <w:hyperlink w:anchor="b225" w:history="1">
        <w:r>
          <w:rPr>
            <w:color w:val="0A3A8C"/>
            <w:u w:val="single"/>
          </w:rPr>
          <w:t xml:space="preserve">§ 70</w:t>
        </w:r>
      </w:hyperlink>
      <w:r>
        <w:t xml:space="preserve"> Absatz 1 Satz 2 ist auf Anträge anzuwenden, die nach dem 18. Juli 2019 eingehen. </w:t>
      </w:r>
      <w:r>
        <w:rPr>
          <w:rStyle w:val="Satznummer"/>
        </w:rPr>
        <w:t>2</w:t>
      </w:r>
      <w:r>
        <w:t>§ 70 Absatz 4 in der am 31. Dezember 2011 geltenden Fassung ist weiter für Kindergeldfestsetzungen anzuwenden, die Zeiträume betreffen, die vor dem 1. Januar 2012 enden.</w:t>
      </w:r>
    </w:p>
    <w:p>
      <w:r>
        <w:t xml:space="preserve">(51) </w:t>
      </w:r>
      <w:r>
        <w:rPr>
          <w:rStyle w:val="Satznummer"/>
        </w:rPr>
        <w:t>1</w:t>
      </w:r>
      <w:r>
        <w:t xml:space="preserve">§ 89 Absatz 2 Satz 1 in der am 1. Januar 2017 geltenden Fassung ist erstmals für die Übermittlung von Daten ab dem 1. Januar 2017 anzuwenden. </w:t>
      </w:r>
      <w:r>
        <w:rPr>
          <w:rStyle w:val="Satznummer"/>
        </w:rPr>
        <w:t>2</w:t>
      </w:r>
      <w:r>
        <w:t>§ 89 Absatz 2 Satz 1 in der Fassung des Artikels 3 des Gesetzes vom 11. Dezember 2018 (BGBl. I S. 2338) ist erstmals für die Übermittlung von Daten ab dem 1. Januar 2020 anzuwenden.</w:t>
      </w:r>
    </w:p>
    <w:p>
      <w:r>
        <w:t xml:space="preserve">(51a) </w:t>
      </w:r>
      <w:r>
        <w:rPr>
          <w:rStyle w:val="Satznummer"/>
        </w:rPr>
        <w:t>1</w:t>
      </w:r>
      <w:r>
        <w:t xml:space="preserve">Auf Stundungsfälle, bei denen der Beginn der Auszahlungsphase vor dem 1. Januar 2023 liegt, findet § 95 Absatz 2 Satz 2 bis 5 in der bis zum 31. Dezember 2022 geltenden Fassung weiter Anwendung. </w:t>
      </w:r>
      <w:r>
        <w:rPr>
          <w:rStyle w:val="Satznummer"/>
        </w:rPr>
        <w:t>2</w:t>
      </w:r>
      <w:r>
        <w:t>Bei Stundungsfällen, bei denen der Rückzahlungsbetrag nach § 95 Absatz 2 Satz 1 in der bis zum 31. Dezember 2022 geltenden Fassung gestundet wurde und der Beginn der Auszahlungsphase nach dem 31. Dezember 2022 liegt, sind die Stundungszinsen zu erlassen und ist § 95 in der jeweils geltenden Fassung anzuwenden.</w:t>
      </w:r>
    </w:p>
    <w:p>
      <w:r>
        <w:t>(52) § 110 in der Fassung des Artikels 1 des Gesetzes vom 10. März 2021 (BGBl. I S. 330) ist für den Veranlagungszeitraum 2019 anzuwenden.</w:t>
      </w:r>
    </w:p>
    <w:p>
      <w:r>
        <w:t>(53) § 111 in der Fassung des Artikels 1 des Gesetzes vom 10. März 2021 (BGBl. I S. 330) ist für die Veranlagungszeiträume 2019 und 2020 anzuwenden.</w:t>
      </w:r>
    </w:p>
    <w:p>
      <w:r>
        <w:t>(54) (weggefallen)</w:t>
      </w:r>
    </w:p>
    <w:p>
      <w:pPr>
        <w:pStyle w:val="Heading2"/>
      </w:pPr>
      <w:bookmarkStart w:id="208" w:name="b207"/>
      <w:r>
        <w:t>§ 52a (weggefallen)</w:t>
      </w:r>
      <w:r>
        <w:t xml:space="preserve"> </w:t>
      </w:r>
      <w:r>
        <w:rPr>
          <w:rStyle w:val="Suchmarke"/>
        </w:rPr>
        <w:t>#52a#</w:t>
      </w:r>
      <w:bookmarkEnd w:id="208"/>
    </w:p>
    <w:p>
      <w:pPr>
        <w:pStyle w:val="Heading2"/>
      </w:pPr>
      <w:bookmarkStart w:id="209" w:name="b208"/>
      <w:r>
        <w:t>§ 52b (weggefallen)</w:t>
      </w:r>
      <w:r>
        <w:t xml:space="preserve"> </w:t>
      </w:r>
      <w:r>
        <w:rPr>
          <w:rStyle w:val="Suchmarke"/>
        </w:rPr>
        <w:t>#52b#</w:t>
      </w:r>
      <w:bookmarkEnd w:id="209"/>
    </w:p>
    <w:p>
      <w:pPr>
        <w:pStyle w:val="Heading2"/>
      </w:pPr>
      <w:bookmarkStart w:id="210" w:name="b209"/>
      <w:r>
        <w:t>§ 53 (weggefallen)</w:t>
      </w:r>
      <w:r>
        <w:t xml:space="preserve"> </w:t>
      </w:r>
      <w:r>
        <w:rPr>
          <w:rStyle w:val="Suchmarke"/>
        </w:rPr>
        <w:t>#53#</w:t>
      </w:r>
      <w:bookmarkEnd w:id="210"/>
    </w:p>
    <w:p>
      <w:pPr>
        <w:pStyle w:val="Heading2"/>
      </w:pPr>
      <w:bookmarkStart w:id="211" w:name="b210"/>
      <w:r>
        <w:t>§ 54 (weggefallen)</w:t>
      </w:r>
      <w:r>
        <w:t xml:space="preserve"> </w:t>
      </w:r>
      <w:r>
        <w:rPr>
          <w:rStyle w:val="Suchmarke"/>
        </w:rPr>
        <w:t>#54#</w:t>
      </w:r>
      <w:bookmarkEnd w:id="211"/>
    </w:p>
    <w:p>
      <w:r>
        <w:t>-</w:t>
      </w:r>
    </w:p>
    <w:p>
      <w:pPr>
        <w:pStyle w:val="Heading2"/>
      </w:pPr>
      <w:bookmarkStart w:id="212" w:name="b211"/>
      <w:r>
        <w:t>§ 55 Schlussvorschriften (Sondervorschriften für die Gewinnermittlung nach § 4 oder nach Durchschnittssätzen bei vor dem 1. Juli 1970 angeschafftem Grund und Boden)</w:t>
      </w:r>
      <w:r>
        <w:t xml:space="preserve"> </w:t>
      </w:r>
      <w:r>
        <w:rPr>
          <w:rStyle w:val="Suchmarke"/>
        </w:rPr>
        <w:t>#55#</w:t>
      </w:r>
      <w:bookmarkEnd w:id="212"/>
    </w:p>
    <w:p>
      <w:r>
        <w:t xml:space="preserve">(1) </w:t>
      </w:r>
      <w:r>
        <w:rPr>
          <w:rStyle w:val="Satznummer"/>
        </w:rPr>
        <w:t>1</w:t>
      </w:r>
      <w:r>
        <w:t xml:space="preserve">Bei Steuerpflichtigen, deren Gewinn für das Wirtschaftsjahr, in das der 30. Juni 1970 fällt, nicht nach </w:t>
      </w:r>
      <w:hyperlink w:anchor="b25" w:history="1">
        <w:r>
          <w:rPr>
            <w:color w:val="0A3A8C"/>
            <w:u w:val="single"/>
          </w:rPr>
          <w:t xml:space="preserve">§ 5</w:t>
        </w:r>
      </w:hyperlink>
      <w:r>
        <w:t xml:space="preserve"> zu ermitteln ist, gilt bei Grund und Boden, der mit Ablauf des 30. Juni 1970 zu ihrem Anlagevermögen gehört hat, als Anschaffungs- oder Herstellungskosten (</w:t>
      </w:r>
      <w:hyperlink w:anchor="b13" w:history="1">
        <w:r>
          <w:rPr>
            <w:color w:val="0A3A8C"/>
            <w:u w:val="single"/>
          </w:rPr>
          <w:t xml:space="preserve">§ 4</w:t>
        </w:r>
      </w:hyperlink>
      <w:r>
        <w:t xml:space="preserve"> Absatz 3 Satz 4 und </w:t>
      </w:r>
      <w:hyperlink w:anchor="b28" w:history="1">
        <w:r>
          <w:rPr>
            <w:color w:val="0A3A8C"/>
            <w:u w:val="single"/>
          </w:rPr>
          <w:t xml:space="preserve">§ 6</w:t>
        </w:r>
      </w:hyperlink>
      <w:r>
        <w:t xml:space="preserve"> Absatz 1 Nummer 2 Satz 1) das Zweifache des nach den Absätzen 2 bis 4 zu ermittelnden Ausgangsbetrags. </w:t>
      </w:r>
      <w:r>
        <w:rPr>
          <w:rStyle w:val="Satznummer"/>
        </w:rPr>
        <w:t>2</w:t>
      </w:r>
      <w:r>
        <w:t>Zum Grund und Boden im Sinne des Satzes 1 gehören nicht die mit ihm in Zusammenhang stehenden Wirtschaftsgüter und Nutzungsbefugnisse.</w:t>
      </w:r>
    </w:p>
    <w:p>
      <w:r>
        <w:t xml:space="preserve">(2) </w:t>
      </w:r>
      <w:r>
        <w:rPr>
          <w:rStyle w:val="Satznummer"/>
        </w:rPr>
        <w:t>1</w:t>
      </w:r>
      <w:r>
        <w:t xml:space="preserve">Bei der Ermittlung des Ausgangsbetrags des zum land- und forstwirtschaftlichen Vermögen (§ 33 Absatz 1 Satz 1 des Bewertungsgesetzes in der Fassung der Bekanntmachung vom 10. Dezember 1965 – BGBl. I S. 1861 –, zuletzt geändert durch das Bewertungsänderungsgesetz 1971 vom 27. Juli 1971 – BGBl. I S. 1157) gehörenden Grund und Bodens ist seine Zuordnung zu den Nutzungen und Wirtschaftsgütern (§ 34 Absatz 2 des Bewertungsgesetzes) am 1. Juli 1970 maßgebend; dabei sind die Hof- und Gebäudeflächen sowie die Hausgärten im Sinne des § 40 Absatz 3 des Bewertungsgesetzes nicht in die einzelne Nutzung einzubeziehen. </w:t>
      </w:r>
      <w:r>
        <w:rPr>
          <w:rStyle w:val="Satznummer"/>
        </w:rPr>
        <w:t>2</w:t>
      </w:r>
      <w:r>
        <w:t>Es sind anzusetzen:</w:t>
      </w:r>
    </w:p>
    <w:p>
      <w:pPr>
        <w:tabs>
          <w:tab w:pos="567" w:val="left"/>
        </w:tabs>
        <w:ind w:left="567" w:hanging="567"/>
      </w:pPr>
      <w:r>
        <w:t>1.</w:t>
      </w:r>
      <w:r>
        <w:tab/>
      </w:r>
      <w:r>
        <w:t xml:space="preserve">bei Flächen, die nach dem Bodenschätzungsgesetz vom 20. Dezember 2007 (BGBl. I S. 3150, 3176) in der jeweils geltenden Fassung zu schätzen sind, für jedes katastermäßig abgegrenzte Flurstück der Betrag in Deutsche Mark, der sich ergibt, wenn die für das Flurstück am 1. Juli 1970 im amtlichen Verzeichnis nach § 2 Absatz 2 der Grundbuchordnung (Liegenschaftskataster) ausgewiesene Ertragsmesszahl vervierfacht wird. </w:t>
      </w:r>
      <w:r>
        <w:rPr>
          <w:rStyle w:val="Satznummer"/>
        </w:rPr>
        <w:t>2</w:t>
      </w:r>
      <w:r>
        <w:t>Abweichend von Satz 1 sind für Flächen der Nutzungsteile</w:t>
      </w:r>
    </w:p>
    <w:p>
      <w:pPr>
        <w:tabs>
          <w:tab w:pos="1134" w:val="left"/>
        </w:tabs>
        <w:ind w:left="1134" w:hanging="567"/>
      </w:pPr>
      <w:r>
        <w:t>a)</w:t>
      </w:r>
      <w:r>
        <w:tab/>
      </w:r>
      <w:r>
        <w:t>Hopfen, Spargel, Gemüsebau und Obstbau</w:t>
      </w:r>
    </w:p>
    <w:p>
      <w:pPr>
        <w:ind w:left="1134"/>
      </w:pPr>
      <w:r>
        <w:t>2,05 Euro je Quadratmeter,</w:t>
      </w:r>
    </w:p>
    <w:p>
      <w:pPr>
        <w:tabs>
          <w:tab w:pos="1134" w:val="left"/>
        </w:tabs>
        <w:ind w:left="1134" w:hanging="567"/>
      </w:pPr>
      <w:r>
        <w:t>b)</w:t>
      </w:r>
      <w:r>
        <w:tab/>
      </w:r>
      <w:r>
        <w:t>Blumen- und Zierpflanzenbau sowie Baumschulen</w:t>
      </w:r>
    </w:p>
    <w:p>
      <w:pPr>
        <w:ind w:left="1134"/>
      </w:pPr>
      <w:r>
        <w:t>2,56 Euro je Quadratmeter</w:t>
      </w:r>
    </w:p>
    <w:p>
      <w:pPr>
        <w:ind w:left="567"/>
      </w:pPr>
      <w:r>
        <w:t>anzusetzen, wenn der Steuerpflichtige dem Finanzamt gegenüber bis zum 30. Juni 1972 eine Erklärung über die Größe, Lage und Nutzung der betreffenden Flächen abgibt,</w:t>
      </w:r>
    </w:p>
    <w:p>
      <w:pPr>
        <w:tabs>
          <w:tab w:pos="567" w:val="left"/>
        </w:tabs>
        <w:ind w:left="567" w:hanging="567"/>
      </w:pPr>
      <w:r>
        <w:t>2.</w:t>
      </w:r>
      <w:r>
        <w:tab/>
      </w:r>
      <w:r>
        <w:t>für Flächen der forstwirtschaftlichen Nutzung</w:t>
      </w:r>
    </w:p>
    <w:p>
      <w:pPr>
        <w:ind w:left="567"/>
      </w:pPr>
      <w:r>
        <w:t>je Quadratmeter 0,51 Euro,</w:t>
      </w:r>
    </w:p>
    <w:p>
      <w:pPr>
        <w:tabs>
          <w:tab w:pos="567" w:val="left"/>
        </w:tabs>
        <w:ind w:left="567" w:hanging="567"/>
      </w:pPr>
      <w:r>
        <w:t>3.</w:t>
      </w:r>
      <w:r>
        <w:tab/>
      </w:r>
      <w:r>
        <w:t>für Flächen der weinbaulichen Nutzung der Betrag, der sich unter Berücksichtigung der maßgebenden Lagenvergleichszahl (Vergleichszahl der einzelnen Weinbaulage, § 39 Absatz 1 Satz 3 und § 57 Bewertungsgesetz), die für ausbauende Betriebsweise mit Fassweinerzeugung anzusetzen ist, aus der nachstehenden Tabelle ergibt:</w:t>
      </w:r>
    </w:p>
    <w:tbl>
      <w:tblPr>
        <w:tblStyle w:val="TableGrid"/>
        <w:tblW w:type="pct" w:w="5000"/>
        <w:tblLook w:firstColumn="1" w:firstRow="1" w:lastColumn="0" w:lastRow="0" w:noHBand="0" w:noVBand="1" w:val="04A0"/>
        <w:tblCaption w:val="Tabelle 1 zu § 55"/>
      </w:tblPr>
      <w:tblGrid>
        <w:gridCol w:w="4703"/>
        <w:gridCol w:w="4703"/>
      </w:tblGrid>
      <w:tr>
        <w:trPr>
          <w:cantSplit/>
          <w:tblHeader/>
        </w:trPr>
        <w:tc>
          <w:tcPr>
            <w:tcW w:type="dxa" w:w="4703"/>
          </w:tcPr>
          <w:p>
            <w:r>
              <w:rPr>
                <w:b/>
              </w:rPr>
              <w:t>Lagenvergleichszahl</w:t>
            </w:r>
          </w:p>
        </w:tc>
        <w:tc>
          <w:tcPr>
            <w:tcW w:type="dxa" w:w="4703"/>
          </w:tcPr>
          <w:p>
            <w:r>
              <w:rPr>
                <w:b/>
              </w:rPr>
              <w:t>Ausgangsbetrag</w:t>
            </w:r>
            <w:r>
              <w:rPr>
                <w:b/>
              </w:rPr>
              <w:br/>
            </w:r>
            <w:r>
              <w:rPr>
                <w:b/>
              </w:rPr>
              <w:t>je Quadratmeter</w:t>
            </w:r>
            <w:r>
              <w:rPr>
                <w:b/>
              </w:rPr>
              <w:br/>
            </w:r>
            <w:r>
              <w:rPr>
                <w:b/>
              </w:rPr>
              <w:t>in Euro</w:t>
            </w:r>
          </w:p>
        </w:tc>
      </w:tr>
      <w:tr>
        <w:trPr>
          <w:cantSplit/>
        </w:trPr>
        <w:tc>
          <w:tcPr>
            <w:tcW w:type="dxa" w:w="4703"/>
          </w:tcPr>
          <w:p>
            <w:r>
              <w:t>bis 20</w:t>
            </w:r>
          </w:p>
        </w:tc>
        <w:tc>
          <w:tcPr>
            <w:tcW w:type="dxa" w:w="4703"/>
          </w:tcPr>
          <w:p>
            <w:r>
              <w:t>1,28</w:t>
            </w:r>
          </w:p>
        </w:tc>
      </w:tr>
      <w:tr>
        <w:trPr>
          <w:cantSplit/>
        </w:trPr>
        <w:tc>
          <w:tcPr>
            <w:tcW w:type="dxa" w:w="4703"/>
          </w:tcPr>
          <w:p>
            <w:r>
              <w:t>21 bis 30</w:t>
            </w:r>
          </w:p>
        </w:tc>
        <w:tc>
          <w:tcPr>
            <w:tcW w:type="dxa" w:w="4703"/>
          </w:tcPr>
          <w:p>
            <w:r>
              <w:t>1,79</w:t>
            </w:r>
          </w:p>
        </w:tc>
      </w:tr>
      <w:tr>
        <w:trPr>
          <w:cantSplit/>
        </w:trPr>
        <w:tc>
          <w:tcPr>
            <w:tcW w:type="dxa" w:w="4703"/>
          </w:tcPr>
          <w:p>
            <w:r>
              <w:t>31 bis 40</w:t>
            </w:r>
          </w:p>
        </w:tc>
        <w:tc>
          <w:tcPr>
            <w:tcW w:type="dxa" w:w="4703"/>
          </w:tcPr>
          <w:p>
            <w:r>
              <w:t>2,56</w:t>
            </w:r>
          </w:p>
        </w:tc>
      </w:tr>
      <w:tr>
        <w:trPr>
          <w:cantSplit/>
        </w:trPr>
        <w:tc>
          <w:tcPr>
            <w:tcW w:type="dxa" w:w="4703"/>
          </w:tcPr>
          <w:p>
            <w:r>
              <w:t>41 bis 50</w:t>
            </w:r>
          </w:p>
        </w:tc>
        <w:tc>
          <w:tcPr>
            <w:tcW w:type="dxa" w:w="4703"/>
          </w:tcPr>
          <w:p>
            <w:r>
              <w:t>3,58</w:t>
            </w:r>
          </w:p>
        </w:tc>
      </w:tr>
      <w:tr>
        <w:trPr>
          <w:cantSplit/>
        </w:trPr>
        <w:tc>
          <w:tcPr>
            <w:tcW w:type="dxa" w:w="4703"/>
          </w:tcPr>
          <w:p>
            <w:r>
              <w:t>51 bis 60</w:t>
            </w:r>
          </w:p>
        </w:tc>
        <w:tc>
          <w:tcPr>
            <w:tcW w:type="dxa" w:w="4703"/>
          </w:tcPr>
          <w:p>
            <w:r>
              <w:t>4,09</w:t>
            </w:r>
          </w:p>
        </w:tc>
      </w:tr>
      <w:tr>
        <w:trPr>
          <w:cantSplit/>
        </w:trPr>
        <w:tc>
          <w:tcPr>
            <w:tcW w:type="dxa" w:w="4703"/>
          </w:tcPr>
          <w:p>
            <w:r>
              <w:t>61 bis 70</w:t>
            </w:r>
          </w:p>
        </w:tc>
        <w:tc>
          <w:tcPr>
            <w:tcW w:type="dxa" w:w="4703"/>
          </w:tcPr>
          <w:p>
            <w:r>
              <w:t>4,60</w:t>
            </w:r>
          </w:p>
        </w:tc>
      </w:tr>
      <w:tr>
        <w:trPr>
          <w:cantSplit/>
        </w:trPr>
        <w:tc>
          <w:tcPr>
            <w:tcW w:type="dxa" w:w="4703"/>
          </w:tcPr>
          <w:p>
            <w:r>
              <w:t>71 bis 100</w:t>
            </w:r>
          </w:p>
        </w:tc>
        <w:tc>
          <w:tcPr>
            <w:tcW w:type="dxa" w:w="4703"/>
          </w:tcPr>
          <w:p>
            <w:r>
              <w:t>5,11</w:t>
            </w:r>
          </w:p>
        </w:tc>
      </w:tr>
      <w:tr>
        <w:trPr>
          <w:cantSplit/>
        </w:trPr>
        <w:tc>
          <w:tcPr>
            <w:tcW w:type="dxa" w:w="4703"/>
          </w:tcPr>
          <w:p>
            <w:r>
              <w:t>über 100</w:t>
            </w:r>
          </w:p>
        </w:tc>
        <w:tc>
          <w:tcPr>
            <w:tcW w:type="dxa" w:w="4703"/>
          </w:tcPr>
          <w:p>
            <w:r>
              <w:t>6,39</w:t>
            </w:r>
          </w:p>
        </w:tc>
      </w:tr>
    </w:tbl>
    <w:p>
      <w:pPr>
        <w:spacing w:after="0"/>
      </w:pPr>
    </w:p>
    <w:p>
      <w:pPr>
        <w:tabs>
          <w:tab w:pos="567" w:val="left"/>
        </w:tabs>
        <w:ind w:left="567" w:hanging="567"/>
      </w:pPr>
      <w:r>
        <w:t>4.</w:t>
      </w:r>
      <w:r>
        <w:tab/>
      </w:r>
      <w:r>
        <w:t>für Flächen der sonstigen land- und forstwirtschaftlichen Nutzung, auf die Nummer 1 keine Anwendung findet,</w:t>
      </w:r>
    </w:p>
    <w:p>
      <w:pPr>
        <w:ind w:left="567"/>
      </w:pPr>
      <w:r>
        <w:t>je Quadratmeter 0,51 Euro,</w:t>
      </w:r>
    </w:p>
    <w:p>
      <w:pPr>
        <w:tabs>
          <w:tab w:pos="567" w:val="left"/>
        </w:tabs>
        <w:ind w:left="567" w:hanging="567"/>
      </w:pPr>
      <w:r>
        <w:t>5.</w:t>
      </w:r>
      <w:r>
        <w:tab/>
      </w:r>
      <w:r>
        <w:t>für Hofflächen, Gebäudeflächen und Hausgärten im Sinne des § 40 Absatz 3 des Bewertungsgesetzes</w:t>
      </w:r>
    </w:p>
    <w:p>
      <w:pPr>
        <w:ind w:left="567"/>
      </w:pPr>
      <w:r>
        <w:t>je Quadratmeter 2,56 Euro,</w:t>
      </w:r>
    </w:p>
    <w:p>
      <w:pPr>
        <w:tabs>
          <w:tab w:pos="567" w:val="left"/>
        </w:tabs>
        <w:ind w:left="567" w:hanging="567"/>
      </w:pPr>
      <w:r>
        <w:t>6.</w:t>
      </w:r>
      <w:r>
        <w:tab/>
      </w:r>
      <w:r>
        <w:t>für Flächen des Geringstlandes</w:t>
      </w:r>
    </w:p>
    <w:p>
      <w:pPr>
        <w:ind w:left="567"/>
      </w:pPr>
      <w:r>
        <w:t>je Quadratmeter 0,13 Euro,</w:t>
      </w:r>
    </w:p>
    <w:p>
      <w:pPr>
        <w:tabs>
          <w:tab w:pos="567" w:val="left"/>
        </w:tabs>
        <w:ind w:left="567" w:hanging="567"/>
      </w:pPr>
      <w:r>
        <w:t>7.</w:t>
      </w:r>
      <w:r>
        <w:tab/>
      </w:r>
      <w:r>
        <w:t>für Flächen des Abbaulandes</w:t>
      </w:r>
    </w:p>
    <w:p>
      <w:pPr>
        <w:ind w:left="567"/>
      </w:pPr>
      <w:r>
        <w:t>je Quadratmeter 0,26 Euro,</w:t>
      </w:r>
    </w:p>
    <w:p>
      <w:pPr>
        <w:tabs>
          <w:tab w:pos="567" w:val="left"/>
        </w:tabs>
        <w:ind w:left="567" w:hanging="567"/>
      </w:pPr>
      <w:r>
        <w:t>8.</w:t>
      </w:r>
      <w:r>
        <w:tab/>
      </w:r>
      <w:r>
        <w:t>für Flächen des Unlandes</w:t>
      </w:r>
    </w:p>
    <w:p>
      <w:pPr>
        <w:ind w:left="567"/>
      </w:pPr>
      <w:r>
        <w:t>je Quadratmeter 0,05 Euro.</w:t>
      </w:r>
    </w:p>
    <w:p>
      <w:r>
        <w:t xml:space="preserve">(3) </w:t>
      </w:r>
      <w:r>
        <w:rPr>
          <w:rStyle w:val="Satznummer"/>
        </w:rPr>
        <w:t>1</w:t>
      </w:r>
      <w:r>
        <w:t xml:space="preserve">Lag am 1. Juli 1970 kein Liegenschaftskataster vor, in dem Ertragsmesszahlen ausgewiesen sind, so ist der Ausgangsbetrag in sinngemäßer Anwendung des Absatzes 2 Nummer 1 Satz 1 auf der Grundlage der durchschnittlichen Ertragsmesszahl der landwirtschaftlichen Nutzung eines Betriebs zu ermitteln, die die Grundlage für die Hauptfeststellung des Einheitswerts auf den 1. Januar 1964 bildet. </w:t>
      </w:r>
      <w:r>
        <w:rPr>
          <w:rStyle w:val="Satznummer"/>
        </w:rPr>
        <w:t>2</w:t>
      </w:r>
      <w:r>
        <w:t>Absatz 2 Satz 2 Nummer 1 Satz 2 bleibt unberührt.</w:t>
      </w:r>
    </w:p>
    <w:p>
      <w:r>
        <w:t>(4) Bei nicht zum land- und forstwirtschaftlichen Vermögen gehörendem Grund und Boden ist als Ausgangsbetrag anzusetzen:</w:t>
      </w:r>
    </w:p>
    <w:p>
      <w:pPr>
        <w:tabs>
          <w:tab w:pos="567" w:val="left"/>
        </w:tabs>
        <w:ind w:left="567" w:hanging="567"/>
      </w:pPr>
      <w:r>
        <w:t>1.</w:t>
      </w:r>
      <w:r>
        <w:tab/>
      </w:r>
      <w:r>
        <w:t xml:space="preserve">Für unbebaute Grundstücke der auf den 1. Januar 1964 festgestellte Einheitswert. </w:t>
      </w:r>
      <w:r>
        <w:rPr>
          <w:rStyle w:val="Satznummer"/>
        </w:rPr>
        <w:t>2</w:t>
      </w:r>
      <w:r>
        <w:t>Wird auf den 1. Januar 1964 kein Einheitswert festgestellt oder hat sich der Bestand des Grundstücks nach dem 1. Januar 1964 und vor dem 1. Juli 1970 verändert, so ist der Wert maßgebend, der sich ergeben würde, wenn das Grundstück nach seinem Bestand vom 1. Juli 1970 und nach den Wertverhältnissen vom 1. Januar 1964 zu bewerten wäre;</w:t>
      </w:r>
    </w:p>
    <w:p>
      <w:pPr>
        <w:tabs>
          <w:tab w:pos="567" w:val="left"/>
        </w:tabs>
        <w:ind w:left="567" w:hanging="567"/>
      </w:pPr>
      <w:r>
        <w:t>2.</w:t>
      </w:r>
      <w:r>
        <w:tab/>
      </w:r>
      <w:r>
        <w:t>für bebaute Grundstücke der Wert, der sich nach Nummer 1 ergeben würde, wenn das Grundstück unbebaut wäre.</w:t>
      </w:r>
    </w:p>
    <w:p>
      <w:r>
        <w:t xml:space="preserve">(5) </w:t>
      </w:r>
      <w:r>
        <w:rPr>
          <w:rStyle w:val="Satznummer"/>
        </w:rPr>
        <w:t>1</w:t>
      </w:r>
      <w:r>
        <w:t xml:space="preserve">Weist der Steuerpflichtige nach, dass der Teilwert für Grund und Boden im Sinne des Absatzes 1 am 1. Juli 1970 höher ist als das Zweifache des Ausgangsbetrags, so ist auf Antrag des Steuerpflichtigen der Teilwert als Anschaffungs- oder Herstellungskosten anzusetzen. </w:t>
      </w:r>
      <w:r>
        <w:rPr>
          <w:rStyle w:val="Satznummer"/>
        </w:rPr>
        <w:t>2</w:t>
      </w:r>
      <w:r>
        <w:t xml:space="preserve">Der Antrag ist bis zum 31. Dezember 1975 bei dem Finanzamt zu stellen, das für die Ermittlung des Gewinns aus dem Betrieb zuständig ist. </w:t>
      </w:r>
      <w:r>
        <w:rPr>
          <w:rStyle w:val="Satznummer"/>
        </w:rPr>
        <w:t>3</w:t>
      </w:r>
      <w:r>
        <w:t xml:space="preserve">Der Teilwert ist gesondert festzustellen. </w:t>
      </w:r>
      <w:r>
        <w:rPr>
          <w:rStyle w:val="Satznummer"/>
        </w:rPr>
        <w:t>4</w:t>
      </w:r>
      <w:r>
        <w:t xml:space="preserve">Vor dem 1. Januar 1974 braucht diese Feststellung nur zu erfolgen, wenn ein berechtigtes Interesse des Steuerpflichtigen gegeben ist. </w:t>
      </w:r>
      <w:r>
        <w:rPr>
          <w:rStyle w:val="Satznummer"/>
        </w:rPr>
        <w:t>5</w:t>
      </w:r>
      <w:r>
        <w:t>Die Vorschriften der Abgabenordnung und der Finanzgerichtsordnung über die gesonderte Feststellung von Besteuerungsgrundlagen gelten entsprechend.</w:t>
      </w:r>
    </w:p>
    <w:p>
      <w:r>
        <w:t xml:space="preserve">(6) </w:t>
      </w:r>
      <w:r>
        <w:rPr>
          <w:rStyle w:val="Satznummer"/>
        </w:rPr>
        <w:t>1</w:t>
      </w:r>
      <w:r>
        <w:t xml:space="preserve">Verluste, die bei der Veräußerung oder Entnahme von Grund und Boden im Sinne des Absatzes 1 entstehen, dürfen bei der Ermittlung des Gewinns in Höhe des Betrags nicht berücksichtigt werden, um den der ausschließlich auf den Grund und Boden entfallende Veräußerungspreis oder der an dessen Stelle tretende Wert nach Abzug der Veräußerungskosten unter dem Zweifachen des Ausgangsbetrags liegt. </w:t>
      </w:r>
      <w:r>
        <w:rPr>
          <w:rStyle w:val="Satznummer"/>
        </w:rPr>
        <w:t>2</w:t>
      </w:r>
      <w:r>
        <w:t xml:space="preserve">Entsprechendes gilt bei Anwendung des </w:t>
      </w:r>
      <w:hyperlink w:anchor="b28" w:history="1">
        <w:r>
          <w:rPr>
            <w:color w:val="0A3A8C"/>
            <w:u w:val="single"/>
          </w:rPr>
          <w:t xml:space="preserve">§ 6</w:t>
        </w:r>
      </w:hyperlink>
      <w:r>
        <w:t xml:space="preserve"> Absatz 1 Nummer 2 Satz 2.</w:t>
      </w:r>
    </w:p>
    <w:p>
      <w:r>
        <w:t>(7) Grund und Boden, der nach § 4 Absatz 1 Satz 5 des Einkommensteuergesetzes 1969 nicht anzusetzen war, ist wie eine Einlage zu behandeln; er ist dabei mit dem nach Absatz 1 oder Absatz 5 maßgebenden Wert anzusetzen.</w:t>
      </w:r>
    </w:p>
    <w:p>
      <w:pPr>
        <w:pStyle w:val="Heading2"/>
      </w:pPr>
      <w:bookmarkStart w:id="213" w:name="b212"/>
      <w:r>
        <w:t>§ 56 Sondervorschriften für Steuerpflichtige in dem in Artikel 3 des Einigungsvertrages genannten Gebiet</w:t>
      </w:r>
      <w:r>
        <w:t xml:space="preserve"> </w:t>
      </w:r>
      <w:r>
        <w:rPr>
          <w:rStyle w:val="Suchmarke"/>
        </w:rPr>
        <w:t>#56#</w:t>
      </w:r>
      <w:bookmarkEnd w:id="213"/>
    </w:p>
    <w:p>
      <w:r>
        <w:t>Bei Steuerpflichtigen, die am 31. Dezember 1990 einen Wohnsitz oder ihren gewöhnlichen Aufenthalt in dem in Artikel 3 des Einigungsvertrages genannten Gebiet und im Jahre 1990 keinen Wohnsitz oder gewöhnlichen Aufenthalt im bisherigen Geltungsbereich dieses Gesetzes hatten, gilt Folgendes:</w:t>
      </w:r>
      <w:r>
        <w:br/>
      </w:r>
      <w:hyperlink w:anchor="b34" w:history="1">
        <w:r>
          <w:rPr>
            <w:color w:val="0A3A8C"/>
            <w:u w:val="single"/>
          </w:rPr>
          <w:t xml:space="preserve">§ 7</w:t>
        </w:r>
      </w:hyperlink>
      <w:r>
        <w:t xml:space="preserve"> Absatz 5 ist auf Gebäude anzuwenden, die in dem Artikel 3 des Einigungsvertrages genannten Gebiet nach dem 31. Dezember 1990 angeschafft oder hergestellt worden sind.</w:t>
      </w:r>
    </w:p>
    <w:p>
      <w:pPr>
        <w:pStyle w:val="Heading2"/>
      </w:pPr>
      <w:bookmarkStart w:id="214" w:name="b213"/>
      <w:r>
        <w:t>§ 57 Besondere Anwendungsregeln aus Anlass der Herstellung der Einheit Deutschlands</w:t>
      </w:r>
      <w:r>
        <w:t xml:space="preserve"> </w:t>
      </w:r>
      <w:r>
        <w:rPr>
          <w:rStyle w:val="Suchmarke"/>
        </w:rPr>
        <w:t>#57#</w:t>
      </w:r>
      <w:bookmarkEnd w:id="214"/>
    </w:p>
    <w:p>
      <w:r>
        <w:t xml:space="preserve">(1) Die §§ 7c, </w:t>
      </w:r>
      <w:hyperlink w:anchor="b39" w:history="1">
        <w:r>
          <w:rPr>
            <w:color w:val="0A3A8C"/>
            <w:u w:val="single"/>
          </w:rPr>
          <w:t xml:space="preserve">7f</w:t>
        </w:r>
      </w:hyperlink>
      <w:r>
        <w:t xml:space="preserve">, </w:t>
      </w:r>
      <w:hyperlink w:anchor="b40" w:history="1">
        <w:r>
          <w:rPr>
            <w:color w:val="0A3A8C"/>
            <w:u w:val="single"/>
          </w:rPr>
          <w:t xml:space="preserve">7g</w:t>
        </w:r>
      </w:hyperlink>
      <w:r>
        <w:t xml:space="preserve">, </w:t>
      </w:r>
      <w:hyperlink w:anchor="b43" w:history="1">
        <w:r>
          <w:rPr>
            <w:color w:val="0A3A8C"/>
            <w:u w:val="single"/>
          </w:rPr>
          <w:t xml:space="preserve">7k</w:t>
        </w:r>
      </w:hyperlink>
      <w:r>
        <w:t xml:space="preserve"> und </w:t>
      </w:r>
      <w:hyperlink w:anchor="b56" w:history="1">
        <w:r>
          <w:rPr>
            <w:color w:val="0A3A8C"/>
            <w:u w:val="single"/>
          </w:rPr>
          <w:t xml:space="preserve">10e</w:t>
        </w:r>
      </w:hyperlink>
      <w:r>
        <w:t xml:space="preserve"> dieses Gesetzes, die §§ 76, 78, 82a und 82f der Einkommensteuer-Durchführungsverordnung sowie die §§ 7 und 12 Absatz 3 des Schutzbaugesetzes sind auf Tatbestände anzuwenden, die in dem in Artikel 3 des Einigungsvertrages genannten Gebiet nach dem 31. Dezember 1990 verwirklicht worden sind.</w:t>
      </w:r>
    </w:p>
    <w:p>
      <w:r>
        <w:t xml:space="preserve">(2) Die </w:t>
      </w:r>
      <w:hyperlink w:anchor="b36" w:history="1">
        <w:r>
          <w:rPr>
            <w:color w:val="0A3A8C"/>
            <w:u w:val="single"/>
          </w:rPr>
          <w:t xml:space="preserve">§§ 7b</w:t>
        </w:r>
      </w:hyperlink>
      <w:r>
        <w:t xml:space="preserve"> und 7d dieses Gesetzes sowie die §§ 81, 82d, 82g und 82i der Einkommensteuer-Durchführungsverordnung sind nicht auf Tatbestände anzuwenden, die in dem in Artikel 3 des Einigungsvertrages genannten Gebiet verwirklicht worden sind.</w:t>
      </w:r>
    </w:p>
    <w:p>
      <w:r>
        <w:t>(3) (weggefallen)</w:t>
      </w:r>
    </w:p>
    <w:p>
      <w:r>
        <w:t xml:space="preserve">(4) </w:t>
      </w:r>
      <w:r>
        <w:rPr>
          <w:rStyle w:val="Satznummer"/>
        </w:rPr>
        <w:t>1</w:t>
      </w:r>
      <w:hyperlink w:anchor="b55" w:history="1">
        <w:r>
          <w:rPr>
            <w:color w:val="0A3A8C"/>
            <w:u w:val="single"/>
          </w:rPr>
          <w:t xml:space="preserve">§ 10d</w:t>
        </w:r>
      </w:hyperlink>
      <w:r>
        <w:t xml:space="preserve"> Absatz 1 ist mit der Maßgabe anzuwenden, dass der Sonderausgabenabzug erstmals von dem für die zweite Hälfte des Veranlagungszeitraums 1990 ermittelten Gesamtbetrag der Einkünfte vorzunehmen ist. </w:t>
      </w:r>
      <w:r>
        <w:rPr>
          <w:rStyle w:val="Satznummer"/>
        </w:rPr>
        <w:t>2</w:t>
      </w:r>
      <w:hyperlink w:anchor="b55" w:history="1">
        <w:r>
          <w:rPr>
            <w:color w:val="0A3A8C"/>
            <w:u w:val="single"/>
          </w:rPr>
          <w:t xml:space="preserve">§ 10d</w:t>
        </w:r>
      </w:hyperlink>
      <w:r>
        <w:t xml:space="preserve"> Absatz 2 und 3 ist auch für Verluste anzuwenden, die in dem in Artikel 3 des Einigungsvertrages genannten Gebiet im Veranlagungszeitraum 1990 entstanden sind.</w:t>
      </w:r>
    </w:p>
    <w:p>
      <w:r>
        <w:t xml:space="preserve">(5) </w:t>
      </w:r>
      <w:hyperlink w:anchor="b90" w:history="1">
        <w:r>
          <w:rPr>
            <w:color w:val="0A3A8C"/>
            <w:u w:val="single"/>
          </w:rPr>
          <w:t xml:space="preserve">§ 22</w:t>
        </w:r>
      </w:hyperlink>
      <w:r>
        <w:t xml:space="preserve"> Nummer 4 ist auf vergleichbare Bezüge anzuwenden, die auf Grund des Gesetzes über Rechtsverhältnisse der Abgeordneten der Volkskammer der Deutschen Demokratischen Republik vom 31. Mai 1990 (GBl. I Nr. 30 S. 274) gezahlt worden sind.</w:t>
      </w:r>
    </w:p>
    <w:p>
      <w:r>
        <w:t xml:space="preserve">(6) </w:t>
      </w:r>
      <w:hyperlink w:anchor="b125" w:history="1">
        <w:r>
          <w:rPr>
            <w:color w:val="0A3A8C"/>
            <w:u w:val="single"/>
          </w:rPr>
          <w:t xml:space="preserve">§ 34f</w:t>
        </w:r>
      </w:hyperlink>
      <w:r>
        <w:t xml:space="preserve"> Absatz 3 Satz 3 ist erstmals auf die in dem in Artikel 3 des Einigungsvertrags genannten Gebiet für die zweite Hälfte des Veranlagungszeitraums 1990 festgesetzte Einkommensteuer anzuwenden.</w:t>
      </w:r>
    </w:p>
    <w:p>
      <w:pPr>
        <w:pStyle w:val="Heading2"/>
      </w:pPr>
      <w:bookmarkStart w:id="215" w:name="b214"/>
      <w:r>
        <w:t>§ 58 Weitere Anwendung von Rechtsvorschriften, die vor Herstellung der Einheit Deutschlands in dem in Artikel 3 des Einigungsvertrages genannten Gebiet gegolten haben</w:t>
      </w:r>
      <w:r>
        <w:t xml:space="preserve"> </w:t>
      </w:r>
      <w:r>
        <w:rPr>
          <w:rStyle w:val="Suchmarke"/>
        </w:rPr>
        <w:t>#58#</w:t>
      </w:r>
      <w:bookmarkEnd w:id="215"/>
    </w:p>
    <w:p>
      <w:r>
        <w:t>(1) Die Vorschriften über Sonderabschreibungen nach § 3 Absatz 1 des Steueränderungsgesetzes vom 6. März 1990 (GBl. I Nr. 17 S. 136) in Verbindung mit § 7 der Durchführungsbestimmung zum Gesetz zur Änderung der Rechtsvorschriften über die Einkommen-, Körperschaft- und Vermögensteuer – Steueränderungsgesetz – vom 16. März 1990 (GBl. I Nr. 21 S. 195) sind auf Wirtschaftsgüter weiter anzuwenden, die nach dem 31. Dezember 1989 und vor dem 1. Januar 1991 in dem in Artikel 3 des Einigungsvertrages genannten Gebiet angeschafft oder hergestellt worden sind.</w:t>
      </w:r>
    </w:p>
    <w:p>
      <w:r>
        <w:t xml:space="preserve">(2) </w:t>
      </w:r>
      <w:r>
        <w:rPr>
          <w:rStyle w:val="Satznummer"/>
        </w:rPr>
        <w:t>1</w:t>
      </w:r>
      <w:r>
        <w:t xml:space="preserve">Rücklagen nach § 3 Absatz 2 des Steueränderungsgesetzes vom 6. März 1990 (GBl. I Nr. 17 S. 136) in Verbindung mit § 8 der Durchführungsbestimmung zum Gesetz zur Änderung der Rechtsvorschriften über die Einkommen-, Körperschaft- und Vermögensteuer – Steueränderungsgesetz – vom 16. März 1990 (GBl. I Nr. 21 S. 195) dürfen, soweit sie zum 31. Dezember 1990 zulässigerweise gebildet worden sind, auch nach diesem Zeitpunkt fortgeführt werden. </w:t>
      </w:r>
      <w:r>
        <w:rPr>
          <w:rStyle w:val="Satznummer"/>
        </w:rPr>
        <w:t>2</w:t>
      </w:r>
      <w:r>
        <w:t xml:space="preserve">Sie sind spätestens im Veranlagungszeitraum 1995 gewinn- oder sonst einkünfteerhöhend aufzulösen. </w:t>
      </w:r>
      <w:r>
        <w:rPr>
          <w:rStyle w:val="Satznummer"/>
        </w:rPr>
        <w:t>3</w:t>
      </w:r>
      <w:r>
        <w:t>Sind vor dieser Auflösung begünstigte Wirtschaftsgüter angeschafft oder hergestellt worden, sind die in Rücklage eingestellten Beträge von den Anschaffungs- oder Herstellungskosten abzuziehen; die Rücklage ist in Höhe des abgezogenen Betrags im Veranlagungszeitraum der Anschaffung oder Herstellung gewinn- oder sonst einkünfteerhöhend aufzulösen.</w:t>
      </w:r>
    </w:p>
    <w:p>
      <w:r>
        <w:t>(3) Die Vorschrift über den Steuerabzugsbetrag nach § 9 Absatz 1 der Durchführungsbestimmung zum Gesetz zur Änderung der Rechtsvorschriften über die Einkommen-, Körperschaft- und Vermögensteuer – Steueränderungsgesetz – vom 16. März 1990 (GBl. I Nr. 21 S. 195) ist für Steuerpflichtige weiter anzuwenden, die vor dem 1. Januar 1991 in dem in Artikel 3 des Einigungsvertrages genannten Gebiet eine Betriebsstätte begründet haben, wenn sie von dem Tag der Begründung der Betriebsstätte an zwei Jahre lang die Tätigkeit ausüben, die Gegenstand der Betriebsstätte ist.</w:t>
      </w:r>
    </w:p>
    <w:p>
      <w:pPr>
        <w:pStyle w:val="Heading2"/>
      </w:pPr>
      <w:bookmarkStart w:id="216" w:name="b215"/>
      <w:r>
        <w:t>§§ 59 bis 61 (weggefallen)</w:t>
      </w:r>
      <w:bookmarkEnd w:id="216"/>
    </w:p>
    <w:p>
      <w:pPr>
        <w:pStyle w:val="Heading1"/>
      </w:pPr>
      <w:bookmarkStart w:id="217" w:name="b216"/>
      <w:r>
        <w:t>X. Kindergeld</w:t>
      </w:r>
      <w:bookmarkEnd w:id="217"/>
    </w:p>
    <w:p>
      <w:pPr>
        <w:pStyle w:val="Heading2"/>
      </w:pPr>
      <w:bookmarkStart w:id="218" w:name="b217"/>
      <w:r>
        <w:t>§ 62 Anspruchsberechtigte</w:t>
      </w:r>
      <w:r>
        <w:t xml:space="preserve"> </w:t>
      </w:r>
      <w:r>
        <w:rPr>
          <w:rStyle w:val="Suchmarke"/>
        </w:rPr>
        <w:t>#62#</w:t>
      </w:r>
      <w:bookmarkEnd w:id="218"/>
    </w:p>
    <w:p>
      <w:r>
        <w:t xml:space="preserve">(1) </w:t>
      </w:r>
      <w:r>
        <w:rPr>
          <w:rStyle w:val="Satznummer"/>
        </w:rPr>
        <w:t>1</w:t>
      </w:r>
      <w:r>
        <w:t xml:space="preserve">Für Kinder im Sinne des </w:t>
      </w:r>
      <w:hyperlink w:anchor="b218" w:history="1">
        <w:r>
          <w:rPr>
            <w:color w:val="0A3A8C"/>
            <w:u w:val="single"/>
          </w:rPr>
          <w:t xml:space="preserve">§ 63</w:t>
        </w:r>
      </w:hyperlink>
      <w:r>
        <w:t xml:space="preserve"> hat Anspruch auf Kindergeld nach diesem Gesetz, wer</w:t>
      </w:r>
    </w:p>
    <w:p>
      <w:pPr>
        <w:tabs>
          <w:tab w:pos="567" w:val="left"/>
        </w:tabs>
        <w:ind w:left="567" w:hanging="567"/>
      </w:pPr>
      <w:r>
        <w:t>1.</w:t>
      </w:r>
      <w:r>
        <w:tab/>
      </w:r>
      <w:r>
        <w:t>im Inland einen Wohnsitz oder seinen gewöhnlichen Aufenthalt hat oder</w:t>
      </w:r>
    </w:p>
    <w:p>
      <w:pPr>
        <w:tabs>
          <w:tab w:pos="567" w:val="left"/>
        </w:tabs>
        <w:ind w:left="567" w:hanging="567"/>
      </w:pPr>
      <w:r>
        <w:t>2.</w:t>
      </w:r>
      <w:r>
        <w:tab/>
      </w:r>
      <w:r>
        <w:t>ohne Wohnsitz oder gewöhnlichen Aufenthalt im Inland</w:t>
      </w:r>
    </w:p>
    <w:p>
      <w:pPr>
        <w:tabs>
          <w:tab w:pos="1134" w:val="left"/>
        </w:tabs>
        <w:ind w:left="1134" w:hanging="567"/>
      </w:pPr>
      <w:r>
        <w:t>a)</w:t>
      </w:r>
      <w:r>
        <w:tab/>
      </w:r>
      <w:r>
        <w:t xml:space="preserve">nach </w:t>
      </w:r>
      <w:hyperlink w:anchor="b1" w:history="1">
        <w:r>
          <w:rPr>
            <w:color w:val="0A3A8C"/>
            <w:u w:val="single"/>
          </w:rPr>
          <w:t xml:space="preserve">§ 1</w:t>
        </w:r>
      </w:hyperlink>
      <w:r>
        <w:t xml:space="preserve"> Absatz 2 unbeschränkt einkommensteuerpflichtig ist oder</w:t>
      </w:r>
    </w:p>
    <w:p>
      <w:pPr>
        <w:tabs>
          <w:tab w:pos="1134" w:val="left"/>
        </w:tabs>
        <w:ind w:left="1134" w:hanging="567"/>
      </w:pPr>
      <w:r>
        <w:t>b)</w:t>
      </w:r>
      <w:r>
        <w:tab/>
      </w:r>
      <w:r>
        <w:t xml:space="preserve">nach </w:t>
      </w:r>
      <w:hyperlink w:anchor="b1" w:history="1">
        <w:r>
          <w:rPr>
            <w:color w:val="0A3A8C"/>
            <w:u w:val="single"/>
          </w:rPr>
          <w:t xml:space="preserve">§ 1</w:t>
        </w:r>
      </w:hyperlink>
      <w:r>
        <w:t xml:space="preserve"> Absatz 3 als unbeschränkt einkommensteuerpflichtig behandelt wird.</w:t>
      </w:r>
    </w:p>
    <w:p>
      <w:r>
        <w:rPr>
          <w:rStyle w:val="Satznummer"/>
        </w:rPr>
        <w:t>2</w:t>
      </w:r>
      <w:r>
        <w:t xml:space="preserve">Voraussetzung für den Anspruch nach Satz 1 ist, dass der Berechtigte durch die an ihn vergebene Identifikationsnummer (§ 139b der Abgabenordnung) identifiziert wird. </w:t>
      </w:r>
      <w:r>
        <w:rPr>
          <w:rStyle w:val="Satznummer"/>
        </w:rPr>
        <w:t>3</w:t>
      </w:r>
      <w:r>
        <w:t>Die nachträgliche Vergabe der Identifikationsnummer wirkt auf Monate zurück, in denen die Voraussetzungen des Satzes 1 vorliegen.</w:t>
      </w:r>
    </w:p>
    <w:p>
      <w:r>
        <w:t xml:space="preserve">(1a) </w:t>
      </w:r>
      <w:r>
        <w:rPr>
          <w:rStyle w:val="Satznummer"/>
        </w:rPr>
        <w:t>1</w:t>
      </w:r>
      <w:r>
        <w:t xml:space="preserve">Begründet ein Staatsangehöriger eines anderen Mitgliedstaates der Europäischen Union oder eines Staates, auf den das Abkommen über den Europäischen Wirtschaftsraum Anwendung findet, im Inland einen Wohnsitz oder gewöhnlichen Aufenthalt, so hat er für die ersten drei Monate ab Begründung des Wohnsitzes oder des gewöhnlichen Aufenthalts keinen Anspruch auf Kindergeld. </w:t>
      </w:r>
      <w:r>
        <w:rPr>
          <w:rStyle w:val="Satznummer"/>
        </w:rPr>
        <w:t>2</w:t>
      </w:r>
      <w:r>
        <w:t xml:space="preserve">Dies gilt nicht, wenn er nachweist, dass er inländische Einkünfte im Sinne des </w:t>
      </w:r>
      <w:hyperlink w:anchor="b5" w:history="1">
        <w:r>
          <w:rPr>
            <w:color w:val="0A3A8C"/>
            <w:u w:val="single"/>
          </w:rPr>
          <w:t xml:space="preserve">§ 2</w:t>
        </w:r>
      </w:hyperlink>
      <w:r>
        <w:t xml:space="preserve"> Absatz 1 Satz 1 Nummer 1 bis 4 mit Ausnahme von Einkünften nach </w:t>
      </w:r>
      <w:hyperlink w:anchor="b83" w:history="1">
        <w:r>
          <w:rPr>
            <w:color w:val="0A3A8C"/>
            <w:u w:val="single"/>
          </w:rPr>
          <w:t xml:space="preserve">§ 19</w:t>
        </w:r>
      </w:hyperlink>
      <w:r>
        <w:t xml:space="preserve"> Absatz 1 Satz 1 Nummer 2 erzielt. </w:t>
      </w:r>
      <w:r>
        <w:rPr>
          <w:rStyle w:val="Satznummer"/>
        </w:rPr>
        <w:t>3</w:t>
      </w:r>
      <w:r>
        <w:t xml:space="preserve">Nach Ablauf des in Satz 1 genannten Zeitraums hat er Anspruch auf Kindergeld, es sei denn, die Voraussetzungen des § 2 Absatz 2 oder Absatz 3 des Freizügigkeitsgesetzes/EU liegen nicht vor oder es sind nur die Voraussetzungen des § 2 Absatz 2 Nummer 1a des Freizügigkeitsgesetzes/EU erfüllt, ohne dass vorher eine andere der in § 2 Absatz 2 des Freizügigkeitsgesetzes/EU genannten Voraussetzungen erfüllt war. </w:t>
      </w:r>
      <w:r>
        <w:rPr>
          <w:rStyle w:val="Satznummer"/>
        </w:rPr>
        <w:t>4</w:t>
      </w:r>
      <w:r>
        <w:t xml:space="preserve">Die Prüfung, ob die Voraussetzungen für einen Anspruch auf Kindergeld gemäß Satz 2 vorliegen oder gemäß Satz 3 nicht gegeben sind, führt die Familienkasse in eigener Zuständigkeit durch. </w:t>
      </w:r>
      <w:r>
        <w:rPr>
          <w:rStyle w:val="Satznummer"/>
        </w:rPr>
        <w:t>5</w:t>
      </w:r>
      <w:r>
        <w:t xml:space="preserve">Lehnt die Familienkasse eine Kindergeldfestsetzung in diesem Fall ab, hat sie ihre Entscheidung der zuständigen Ausländerbehörde mitzuteilen. </w:t>
      </w:r>
      <w:r>
        <w:rPr>
          <w:rStyle w:val="Satznummer"/>
        </w:rPr>
        <w:t>6</w:t>
      </w:r>
      <w:r>
        <w:t>Wurde das Vorliegen der Anspruchsvoraussetzungen durch die Verwendung gefälschter oder verfälschter Dokumente oder durch Vorspiegelung falscher Tatsachen vorgetäuscht, hat die Familienkasse die zuständige Ausländerbehörde unverzüglich zu unterrichten.</w:t>
      </w:r>
    </w:p>
    <w:p>
      <w:r>
        <w:t>(2) Ein nicht freizügigkeitsberechtigter Ausländer erhält Kindergeld nur, wenn er</w:t>
      </w:r>
    </w:p>
    <w:p>
      <w:pPr>
        <w:tabs>
          <w:tab w:pos="567" w:val="left"/>
        </w:tabs>
        <w:ind w:left="567" w:hanging="567"/>
      </w:pPr>
      <w:r>
        <w:t>1.</w:t>
      </w:r>
      <w:r>
        <w:tab/>
      </w:r>
      <w:r>
        <w:t>eine Niederlassungserlaubnis oder eine Erlaubnis zum Daueraufenthalt-EU besitzt,</w:t>
      </w:r>
    </w:p>
    <w:p>
      <w:pPr>
        <w:tabs>
          <w:tab w:pos="567" w:val="left"/>
        </w:tabs>
        <w:ind w:left="567" w:hanging="567"/>
      </w:pPr>
      <w:r>
        <w:t>2.</w:t>
      </w:r>
      <w:r>
        <w:tab/>
      </w:r>
      <w:r>
        <w:t>eine Blaue Karte EU, eine ICT-Karte, eine Mobiler-ICT-Karte oder eine Aufenthaltserlaubnis besitzt, die für einen Zeitraum von mindestens sechs Monaten zur Ausübung einer Erwerbstätigkeit berechtigen oder berechtigt haben oder diese erlauben, es sei denn, die Aufenthaltserlaubnis wurde</w:t>
      </w:r>
    </w:p>
    <w:p>
      <w:pPr>
        <w:tabs>
          <w:tab w:pos="1134" w:val="left"/>
        </w:tabs>
        <w:ind w:left="1134" w:hanging="567"/>
      </w:pPr>
      <w:r>
        <w:t>a)</w:t>
      </w:r>
      <w:r>
        <w:tab/>
      </w:r>
      <w:r>
        <w:t>nach § 16e des Aufenthaltsgesetzes zu Ausbildungszwecken, nach § 19c Absatz 1 des Aufenthaltsgesetzes zum Zweck der Beschäftigung als Au-Pair oder zum Zweck der Saisonbeschäftigung, nach § 19e des Aufenthaltsgesetzes zum Zweck der Teilnahme an einem Europäischen Freiwilligendienst oder nach § 20a Absatz 5 Satz 1 des Aufenthaltsgesetzes zur Suche nach einer Erwerbstätigkeit oder nach Maßnahmen zur Anerkennung ausländischer Berufsqualifikationen erteilt,</w:t>
      </w:r>
    </w:p>
    <w:p>
      <w:pPr>
        <w:tabs>
          <w:tab w:pos="1134" w:val="left"/>
        </w:tabs>
        <w:ind w:left="1134" w:hanging="567"/>
      </w:pPr>
      <w:r>
        <w:t>b)</w:t>
      </w:r>
      <w:r>
        <w:tab/>
      </w:r>
      <w:r>
        <w:t>nach § 16b des Aufenthaltsgesetzes zum Zweck eines Studiums, nach § 16d des Aufenthaltsgesetzes für Maßnahmen zur Anerkennung ausländischer Berufsqualifikationen, nach § 20 des Aufenthaltsgesetzes zur Suche nach einer Erwerbstätigkeit oder nach § 20a Absatz 5 Satz 2 des Aufenthaltsgesetzes zur Suche nach einer Erwerbstätigkeit oder nach Maßnahmen zur Anerkennung ausländischer Berufsqualifikationen erteilt und er ist weder erwerbstätig noch nimmt er Elternzeit nach § 15 des Bundeselterngeld- und Elternzeitgesetzes oder laufende Geldleistungen nach dem Dritten Buch Sozialgesetzbuch in Anspruch,</w:t>
      </w:r>
    </w:p>
    <w:p>
      <w:pPr>
        <w:tabs>
          <w:tab w:pos="1134" w:val="left"/>
        </w:tabs>
        <w:ind w:left="1134" w:hanging="567"/>
      </w:pPr>
      <w:r>
        <w:t>c)</w:t>
      </w:r>
      <w:r>
        <w:tab/>
      </w:r>
      <w:r>
        <w:t>nach § 23 Absatz 1 des Aufenthaltsgesetzes wegen eines Krieges in seinem Heimatland oder nach den § 23a oder § 25 Absatz 3 bis 5 des Aufenthaltsgesetzes erteilt,</w:t>
      </w:r>
    </w:p>
    <w:p>
      <w:pPr>
        <w:tabs>
          <w:tab w:pos="567" w:val="left"/>
        </w:tabs>
        <w:ind w:left="567" w:hanging="567"/>
      </w:pPr>
      <w:r>
        <w:t>3.</w:t>
      </w:r>
      <w:r>
        <w:tab/>
      </w:r>
      <w:r>
        <w:t>eine in Nummer 2 Buchstabe c genannte Aufenthaltserlaubnis besitzt und im Bundesgebiet berechtigt erwerbstätig ist oder Elternzeit nach § 15 des Bundeselterngeld- und Elternzeitgesetzes oder laufende Geldleistungen nach dem Dritten Buch Sozialgesetzbuch in Anspruch nimmt,</w:t>
      </w:r>
    </w:p>
    <w:p>
      <w:pPr>
        <w:tabs>
          <w:tab w:pos="567" w:val="left"/>
        </w:tabs>
        <w:ind w:left="567" w:hanging="567"/>
      </w:pPr>
      <w:r>
        <w:t>4.</w:t>
      </w:r>
      <w:r>
        <w:tab/>
      </w:r>
      <w:r>
        <w:t>eine in Nummer 2 Buchstabe c genannte Aufenthaltserlaubnis besitzt und sich seit mindestens 15 Monaten erlaubt, gestattet oder geduldet im Bundesgebiet aufhält oder</w:t>
      </w:r>
    </w:p>
    <w:p>
      <w:pPr>
        <w:tabs>
          <w:tab w:pos="567" w:val="left"/>
        </w:tabs>
        <w:ind w:left="567" w:hanging="567"/>
      </w:pPr>
      <w:r>
        <w:t>5.</w:t>
      </w:r>
      <w:r>
        <w:tab/>
      </w:r>
      <w:r>
        <w:t>eine Beschäftigungsduldung gemäß § 60d in Verbindung mit § 60a Absatz 2 Satz 3 des Aufenthaltsgesetzes besitzt.</w:t>
      </w:r>
    </w:p>
    <w:p>
      <w:pPr>
        <w:pStyle w:val="Heading2"/>
      </w:pPr>
      <w:bookmarkStart w:id="219" w:name="b218"/>
      <w:r>
        <w:t>§ 63 Kinder</w:t>
      </w:r>
      <w:r>
        <w:t xml:space="preserve"> </w:t>
      </w:r>
      <w:r>
        <w:rPr>
          <w:rStyle w:val="Suchmarke"/>
        </w:rPr>
        <w:t>#63#</w:t>
      </w:r>
      <w:bookmarkEnd w:id="219"/>
    </w:p>
    <w:p>
      <w:r>
        <w:t xml:space="preserve">(1) </w:t>
      </w:r>
      <w:r>
        <w:rPr>
          <w:rStyle w:val="Satznummer"/>
        </w:rPr>
        <w:t>1</w:t>
      </w:r>
      <w:r>
        <w:t>Als Kinder werden berücksichtigt</w:t>
      </w:r>
    </w:p>
    <w:p>
      <w:pPr>
        <w:tabs>
          <w:tab w:pos="567" w:val="left"/>
        </w:tabs>
        <w:ind w:left="567" w:hanging="567"/>
      </w:pPr>
      <w:r>
        <w:t>1.</w:t>
      </w:r>
      <w:r>
        <w:tab/>
      </w:r>
      <w:r>
        <w:t xml:space="preserve">Kinder im Sinne des </w:t>
      </w:r>
      <w:hyperlink w:anchor="b107" w:history="1">
        <w:r>
          <w:rPr>
            <w:color w:val="0A3A8C"/>
            <w:u w:val="single"/>
          </w:rPr>
          <w:t xml:space="preserve">§ 32</w:t>
        </w:r>
      </w:hyperlink>
      <w:r>
        <w:t xml:space="preserve"> Absatz 1,</w:t>
      </w:r>
    </w:p>
    <w:p>
      <w:pPr>
        <w:tabs>
          <w:tab w:pos="567" w:val="left"/>
        </w:tabs>
        <w:ind w:left="567" w:hanging="567"/>
      </w:pPr>
      <w:r>
        <w:t>2.</w:t>
      </w:r>
      <w:r>
        <w:tab/>
      </w:r>
      <w:r>
        <w:t>vom Berechtigten in seinen Haushalt aufgenommene Kinder seines Ehegatten,</w:t>
      </w:r>
    </w:p>
    <w:p>
      <w:pPr>
        <w:tabs>
          <w:tab w:pos="567" w:val="left"/>
        </w:tabs>
        <w:ind w:left="567" w:hanging="567"/>
      </w:pPr>
      <w:r>
        <w:t>3.</w:t>
      </w:r>
      <w:r>
        <w:tab/>
      </w:r>
      <w:r>
        <w:t>vom Berechtigten in seinen Haushalt aufgenommene Enkel.</w:t>
      </w:r>
    </w:p>
    <w:p>
      <w:r>
        <w:rPr>
          <w:rStyle w:val="Satznummer"/>
        </w:rPr>
        <w:t>2</w:t>
      </w:r>
      <w:hyperlink w:anchor="b107" w:history="1">
        <w:r>
          <w:rPr>
            <w:color w:val="0A3A8C"/>
            <w:u w:val="single"/>
          </w:rPr>
          <w:t xml:space="preserve">§ 32</w:t>
        </w:r>
      </w:hyperlink>
      <w:r>
        <w:t xml:space="preserve"> Absatz 3 bis 5 gilt entsprechend. </w:t>
      </w:r>
      <w:r>
        <w:rPr>
          <w:rStyle w:val="Satznummer"/>
        </w:rPr>
        <w:t>3</w:t>
      </w:r>
      <w:r>
        <w:t xml:space="preserve">Voraussetzung für die Berücksichtigung ist die Identifizierung des Kindes durch die an dieses Kind vergebene Identifikationsnummer (§ 139b der Abgabenordnung). </w:t>
      </w:r>
      <w:r>
        <w:rPr>
          <w:rStyle w:val="Satznummer"/>
        </w:rPr>
        <w:t>4</w:t>
      </w:r>
      <w:r>
        <w:t xml:space="preserve">Ist das Kind nicht nach einem Steuergesetz steuerpflichtig (§ 139a Absatz 2 der Abgabenordnung), ist es in anderer geeigneter Weise zu identifizieren. </w:t>
      </w:r>
      <w:r>
        <w:rPr>
          <w:rStyle w:val="Satznummer"/>
        </w:rPr>
        <w:t>5</w:t>
      </w:r>
      <w:r>
        <w:t xml:space="preserve">Die nachträgliche Identifizierung oder nachträgliche Vergabe der Identifikationsnummer wirkt auf Monate zurück, in denen die Voraussetzungen der Sätze 1 bis 4 vorliegen. </w:t>
      </w:r>
      <w:r>
        <w:rPr>
          <w:rStyle w:val="Satznummer"/>
        </w:rPr>
        <w:t>6</w:t>
      </w:r>
      <w:r>
        <w:t xml:space="preserve">Kinder, die weder einen Wohnsitz noch ihren gewöhnlichen Aufenthalt im Inland, in einem Mitgliedstaat der Europäischen Union oder in einem Staat, auf den das Abkommen über den Europäischen Wirtschaftsraum Anwendung findet, haben, werden nicht berücksichtigt, es sei denn, sie leben im Haushalt eines Berechtigten im Sinne des § 62 Absatz 1 Satz 1 Nummer 2 Buchstabe a. </w:t>
      </w:r>
      <w:r>
        <w:rPr>
          <w:rStyle w:val="Satznummer"/>
        </w:rPr>
        <w:t>7</w:t>
      </w:r>
      <w:r>
        <w:t>Kinder im Sinne von § 2 Absatz 4 Satz 2 des Bundeskindergeldgesetzes werden nicht berücksichtigt.</w:t>
      </w:r>
    </w:p>
    <w:p>
      <w:r>
        <w:t>(2) Die Bundesregierung wird ermächtigt, durch Rechtsverordnung, die nicht der Zustimmung des Bundesrates bedarf, zu bestimmen, dass einem Berechtigten, der im Inland erwerbstätig ist oder sonst seine hauptsächlichen Einkünfte erzielt, für seine in Absatz 1 Satz 3 erster Halbsatz bezeichneten Kinder Kindergeld ganz oder teilweise zu leisten ist, soweit dies mit Rücksicht auf die durchschnittlichen Lebenshaltungskosten für Kinder in deren Wohnsitzstaat und auf die dort gewährten dem Kindergeld vergleichbaren Leistungen geboten ist.</w:t>
      </w:r>
    </w:p>
    <w:p>
      <w:pPr>
        <w:pStyle w:val="Heading2"/>
      </w:pPr>
      <w:bookmarkStart w:id="220" w:name="b219"/>
      <w:r>
        <w:t>§ 64 Zusammentreffen mehrerer Ansprüche</w:t>
      </w:r>
      <w:r>
        <w:t xml:space="preserve"> </w:t>
      </w:r>
      <w:r>
        <w:rPr>
          <w:rStyle w:val="Suchmarke"/>
        </w:rPr>
        <w:t>#64#</w:t>
      </w:r>
      <w:bookmarkEnd w:id="220"/>
    </w:p>
    <w:p>
      <w:r>
        <w:t>(1) Für jedes Kind wird nur einem Berechtigten Kindergeld gezahlt.</w:t>
      </w:r>
    </w:p>
    <w:p>
      <w:r>
        <w:t xml:space="preserve">(2) </w:t>
      </w:r>
      <w:r>
        <w:rPr>
          <w:rStyle w:val="Satznummer"/>
        </w:rPr>
        <w:t>1</w:t>
      </w:r>
      <w:r>
        <w:t xml:space="preserve">Bei mehreren Berechtigten wird das Kindergeld demjenigen gezahlt, der das Kind in seinen Haushalt aufgenommen hat. </w:t>
      </w:r>
      <w:r>
        <w:rPr>
          <w:rStyle w:val="Satznummer"/>
        </w:rPr>
        <w:t>2</w:t>
      </w:r>
      <w:r>
        <w:t xml:space="preserve">Ist ein Kind in den gemeinsamen Haushalt von Eltern, einem Elternteil und dessen Ehegatten, Pflegeeltern oder Großeltern aufgenommen worden, so bestimmen diese untereinander den Berechtigten. </w:t>
      </w:r>
      <w:r>
        <w:rPr>
          <w:rStyle w:val="Satznummer"/>
        </w:rPr>
        <w:t>3</w:t>
      </w:r>
      <w:r>
        <w:t xml:space="preserve">Wird eine Bestimmung nicht getroffen, so bestimmt das Familiengericht auf Antrag den Berechtigten. </w:t>
      </w:r>
      <w:r>
        <w:rPr>
          <w:rStyle w:val="Satznummer"/>
        </w:rPr>
        <w:t>4</w:t>
      </w:r>
      <w:r>
        <w:t xml:space="preserve">Den Antrag kann stellen, wer ein berechtigtes Interesse an der Zahlung des Kindergeldes hat. </w:t>
      </w:r>
      <w:r>
        <w:rPr>
          <w:rStyle w:val="Satznummer"/>
        </w:rPr>
        <w:t>5</w:t>
      </w:r>
      <w:r>
        <w:t>Lebt ein Kind im gemeinsamen Haushalt von Eltern und Großeltern, so wird das Kindergeld vorrangig einem Elternteil gezahlt; es wird an einen Großelternteil gezahlt, wenn der Elternteil gegenüber der zuständigen Stelle auf seinen Vorrang schriftlich verzichtet hat.</w:t>
      </w:r>
    </w:p>
    <w:p>
      <w:r>
        <w:t xml:space="preserve">(3) </w:t>
      </w:r>
      <w:r>
        <w:rPr>
          <w:rStyle w:val="Satznummer"/>
        </w:rPr>
        <w:t>1</w:t>
      </w:r>
      <w:r>
        <w:t xml:space="preserve">Ist das Kind nicht in den Haushalt eines Berechtigten aufgenommen, so erhält das Kindergeld derjenige, der dem Kind eine Unterhaltsrente zahlt. </w:t>
      </w:r>
      <w:r>
        <w:rPr>
          <w:rStyle w:val="Satznummer"/>
        </w:rPr>
        <w:t>2</w:t>
      </w:r>
      <w:r>
        <w:t xml:space="preserve">Zahlen mehrere Berechtigte dem Kind Unterhaltsrenten, so erhält das Kindergeld derjenige, der dem Kind die höchste Unterhaltsrente zahlt. </w:t>
      </w:r>
      <w:r>
        <w:rPr>
          <w:rStyle w:val="Satznummer"/>
        </w:rPr>
        <w:t>3</w:t>
      </w:r>
      <w:r>
        <w:t xml:space="preserve">Werden gleich hohe Unterhaltsrenten gezahlt oder zahlt keiner der Berechtigten dem Kind Unterhalt, so bestimmen die Berechtigten untereinander, wer das Kindergeld erhalten soll. </w:t>
      </w:r>
      <w:r>
        <w:rPr>
          <w:rStyle w:val="Satznummer"/>
        </w:rPr>
        <w:t>4</w:t>
      </w:r>
      <w:r>
        <w:t>Wird eine Bestimmung nicht getroffen, so gilt Absatz 2 Satz 3 und 4 entsprechend.</w:t>
      </w:r>
    </w:p>
    <w:p>
      <w:pPr>
        <w:pStyle w:val="Heading2"/>
      </w:pPr>
      <w:bookmarkStart w:id="221" w:name="b220"/>
      <w:r>
        <w:t>§ 65 Andere Leistungen für Kinder</w:t>
      </w:r>
      <w:r>
        <w:t xml:space="preserve"> </w:t>
      </w:r>
      <w:r>
        <w:rPr>
          <w:rStyle w:val="Suchmarke"/>
        </w:rPr>
        <w:t>#65#</w:t>
      </w:r>
      <w:bookmarkEnd w:id="221"/>
    </w:p>
    <w:p>
      <w:r>
        <w:rPr>
          <w:rStyle w:val="Satznummer"/>
        </w:rPr>
        <w:t>1</w:t>
      </w:r>
      <w:r>
        <w:t>Kindergeld wird nicht für ein Kind gezahlt, für das eine der folgenden Leistungen zu zahlen ist oder bei entsprechender Antragstellung zu zahlen wäre:</w:t>
      </w:r>
    </w:p>
    <w:p>
      <w:pPr>
        <w:tabs>
          <w:tab w:pos="567" w:val="left"/>
        </w:tabs>
        <w:ind w:left="567" w:hanging="567"/>
      </w:pPr>
      <w:r>
        <w:t>1.</w:t>
      </w:r>
      <w:r>
        <w:tab/>
      </w:r>
      <w:r>
        <w:t>Leistungen für Kinder, die im Ausland gewährt werden und dem Kindergeld oder der Kinderzulage aus der gesetzlichen Unfallversicherung nach § 217 Absatz 3 des Siebten Buches Sozialgesetzbuch in der bis zum 30. Juni 2020 geltenden Fassung oder dem Kinderzuschuss aus der gesetzlichen Rentenversicherung nach § 270 des Sechsten Buches Sozialgesetzbuch in der bis zum 16. November 2016 geltenden Fassung vergleichbar sind,</w:t>
      </w:r>
    </w:p>
    <w:p>
      <w:pPr>
        <w:tabs>
          <w:tab w:pos="567" w:val="left"/>
        </w:tabs>
        <w:ind w:left="567" w:hanging="567"/>
      </w:pPr>
      <w:r>
        <w:t>2.</w:t>
      </w:r>
      <w:r>
        <w:tab/>
      </w:r>
      <w:r>
        <w:t>Leistungen für Kinder, die von einer zwischen- oder überstaatlichen Einrichtung gewährt werden und dem Kindergeld vergleichbar sind.</w:t>
      </w:r>
    </w:p>
    <w:p>
      <w:r>
        <w:rPr>
          <w:rStyle w:val="Satznummer"/>
        </w:rPr>
        <w:t>2</w:t>
      </w:r>
      <w:r>
        <w:t xml:space="preserve">Soweit es für die Anwendung von Vorschriften dieses Gesetzes auf den Erhalt von Kindergeld ankommt, stehen die Leistungen nach Satz 1 dem Kindergeld gleich. </w:t>
      </w:r>
      <w:r>
        <w:rPr>
          <w:rStyle w:val="Satznummer"/>
        </w:rPr>
        <w:t>3</w:t>
      </w:r>
      <w:r>
        <w:t>Steht ein Berechtigter in einem Versicherungspflichtverhältnis zur Bundesagentur für Arbeit nach § 24 des Dritten Buches Sozialgesetzbuch oder ist er versicherungsfrei nach § 28 Absatz 1 Nummer 1 des Dritten Buches Sozialgesetzbuch oder steht er im Inland in einem öffentlich-rechtlichen Dienst- oder Amtsverhältnis, so wird sein Anspruch auf Kindergeld für ein Kind nicht nach Satz 1 Nummer 2 mit Rücksicht darauf ausgeschlossen, dass sein Ehegatte als Beamter, Ruhestandsbeamter oder sonstiger Bediensteter der Europäischen Union für das Kind Anspruch auf Kinderzulage hat.</w:t>
      </w:r>
    </w:p>
    <w:p>
      <w:pPr>
        <w:pStyle w:val="Heading2"/>
      </w:pPr>
      <w:bookmarkStart w:id="222" w:name="b221"/>
      <w:r>
        <w:t>§ 66 Höhe des Kindergeldes, Zahlungszeitraum</w:t>
      </w:r>
      <w:r>
        <w:t xml:space="preserve"> </w:t>
      </w:r>
      <w:r>
        <w:rPr>
          <w:rStyle w:val="Suchmarke"/>
        </w:rPr>
        <w:t>#66#</w:t>
      </w:r>
      <w:bookmarkEnd w:id="222"/>
    </w:p>
    <w:p>
      <w:r>
        <w:t>(1) Das Kindergeld beträgt monatlich für jedes Kind 259 Euro.</w:t>
      </w:r>
    </w:p>
    <w:p>
      <w:r>
        <w:t>(2) Das Kindergeld wird monatlich vom Beginn des Monats an gezahlt, in dem die Anspruchsvoraussetzungen erfüllt sind, bis zum Ende des Monats, in dem die Anspruchsvoraussetzungen wegfallen.</w:t>
      </w:r>
    </w:p>
    <w:p>
      <w:r>
        <w:t xml:space="preserve">(3) </w:t>
      </w:r>
      <w:r>
        <w:rPr>
          <w:rStyle w:val="Satznummer"/>
        </w:rPr>
        <w:t>1</w:t>
      </w:r>
      <w:r>
        <w:t xml:space="preserve">Werden die Freibeträge für Kinder nach </w:t>
      </w:r>
      <w:hyperlink w:anchor="b106" w:history="1">
        <w:r>
          <w:rPr>
            <w:color w:val="0A3A8C"/>
            <w:u w:val="single"/>
          </w:rPr>
          <w:t xml:space="preserve">§ 31</w:t>
        </w:r>
      </w:hyperlink>
      <w:r>
        <w:t xml:space="preserve"> Satz 1 in Verbindung mit </w:t>
      </w:r>
      <w:hyperlink w:anchor="b107" w:history="1">
        <w:r>
          <w:rPr>
            <w:color w:val="0A3A8C"/>
            <w:u w:val="single"/>
          </w:rPr>
          <w:t xml:space="preserve">§ 32</w:t>
        </w:r>
      </w:hyperlink>
      <w:r>
        <w:t xml:space="preserve"> Absatz 6 Satz 1 angehoben, wird das Kindergeld entsprechend erhöht. </w:t>
      </w:r>
      <w:r>
        <w:rPr>
          <w:rStyle w:val="Satznummer"/>
        </w:rPr>
        <w:t>2</w:t>
      </w:r>
      <w:r>
        <w:t>Das Kindergeld ist dabei auf volle Euro kaufmännisch zu runden.</w:t>
      </w:r>
    </w:p>
    <w:p>
      <w:pPr>
        <w:pStyle w:val="Heading2"/>
      </w:pPr>
      <w:bookmarkStart w:id="223" w:name="b222"/>
      <w:r>
        <w:t>§ 67 Antrag</w:t>
      </w:r>
      <w:r>
        <w:t xml:space="preserve"> </w:t>
      </w:r>
      <w:r>
        <w:rPr>
          <w:rStyle w:val="Suchmarke"/>
        </w:rPr>
        <w:t>#67#</w:t>
      </w:r>
      <w:bookmarkEnd w:id="223"/>
    </w:p>
    <w:p>
      <w:r>
        <w:rPr>
          <w:rStyle w:val="Satznummer"/>
        </w:rPr>
        <w:t>1</w:t>
      </w:r>
      <w:r>
        <w:t xml:space="preserve">Das Kindergeld ist bei der zuständigen Familienkasse elektronisch nach amtlich vorgeschriebenem Datensatz über die amtlich vorgeschriebene Schnittstelle zu beantragen; die Familienkasse kann auf die elektronische Antragstellung verzichten, wenn das Kindergeld schriftlich beantragt und der Antrag vom Berechtigten eigenhändig unterschrieben wird. </w:t>
      </w:r>
      <w:r>
        <w:rPr>
          <w:rStyle w:val="Satznummer"/>
        </w:rPr>
        <w:t>2</w:t>
      </w:r>
      <w:r>
        <w:t xml:space="preserve">Den Antrag kann außer dem Berechtigten auch stellen, wer ein berechtigtes Interesse an der Leistung des Kindergeldes hat. </w:t>
      </w:r>
      <w:r>
        <w:rPr>
          <w:rStyle w:val="Satznummer"/>
        </w:rPr>
        <w:t>3</w:t>
      </w:r>
      <w:r>
        <w:t xml:space="preserve">In Fällen des Satzes 2 ist </w:t>
      </w:r>
      <w:hyperlink w:anchor="b217" w:history="1">
        <w:r>
          <w:rPr>
            <w:color w:val="0A3A8C"/>
            <w:u w:val="single"/>
          </w:rPr>
          <w:t xml:space="preserve">§ 62</w:t>
        </w:r>
      </w:hyperlink>
      <w:r>
        <w:t xml:space="preserve"> Absatz 1 Satz 2 bis 3 anzuwenden. </w:t>
      </w:r>
      <w:r>
        <w:rPr>
          <w:rStyle w:val="Satznummer"/>
        </w:rPr>
        <w:t>4</w:t>
      </w:r>
      <w:r>
        <w:t xml:space="preserve">Der Berechtigte ist zu diesem Zweck verpflichtet, demjenigen, der ein berechtigtes Interesse an der Leistung des Kindergeldes hat, seine an ihn vergebene Identifikationsnummer (§ 139b der Abgabenordnung) mitzuteilen. </w:t>
      </w:r>
      <w:r>
        <w:rPr>
          <w:rStyle w:val="Satznummer"/>
        </w:rPr>
        <w:t>5</w:t>
      </w:r>
      <w:r>
        <w:t>Kommt der Berechtigte dieser Verpflichtung nicht nach, teilt die zuständige Familienkasse demjenigen, der ein berechtigtes Interesse an der Leistung des Kindergeldes hat, auf seine Anfrage die Identifikationsnummer des Berechtigten mit.</w:t>
      </w:r>
    </w:p>
    <w:p>
      <w:pPr>
        <w:pStyle w:val="Heading2"/>
      </w:pPr>
      <w:bookmarkStart w:id="224" w:name="b223"/>
      <w:r>
        <w:t>§ 68 Besondere Mitwirkungspflichten und Offenbarungsbefugnis</w:t>
      </w:r>
      <w:r>
        <w:t xml:space="preserve"> </w:t>
      </w:r>
      <w:r>
        <w:rPr>
          <w:rStyle w:val="Suchmarke"/>
        </w:rPr>
        <w:t>#68#</w:t>
      </w:r>
      <w:bookmarkEnd w:id="224"/>
    </w:p>
    <w:p>
      <w:r>
        <w:t xml:space="preserve">(1) </w:t>
      </w:r>
      <w:r>
        <w:rPr>
          <w:rStyle w:val="Satznummer"/>
        </w:rPr>
        <w:t>1</w:t>
      </w:r>
      <w:r>
        <w:t xml:space="preserve">Wer Kindergeld beantragt oder erhält, hat Änderungen in den Verhältnissen, die für die Leistung erheblich sind oder über die im Zusammenhang mit der Leistung Erklärungen abgegeben worden sind, unverzüglich der zuständigen Familienkasse mitzuteilen. </w:t>
      </w:r>
      <w:r>
        <w:rPr>
          <w:rStyle w:val="Satznummer"/>
        </w:rPr>
        <w:t>2</w:t>
      </w:r>
      <w:r>
        <w:t>Ein Kind, das das 18. Lebensjahr vollendet hat, ist auf Verlangen der Familienkasse verpflichtet, an der Aufklärung des für die Kindergeldzahlung maßgebenden Sachverhalts mitzuwirken; § 101 der Abgabenordnung findet insoweit keine Anwendung.</w:t>
      </w:r>
    </w:p>
    <w:p>
      <w:r>
        <w:t>(2) (weggefallen)</w:t>
      </w:r>
    </w:p>
    <w:p>
      <w:r>
        <w:t>(3) Auf Antrag des Berechtigten erteilt die das Kindergeld auszahlende Stelle eine Bescheinigung über das für das Kalenderjahr ausgezahlte Kindergeld.</w:t>
      </w:r>
    </w:p>
    <w:p>
      <w:r>
        <w:t xml:space="preserve">(4) </w:t>
      </w:r>
      <w:r>
        <w:rPr>
          <w:rStyle w:val="Satznummer"/>
        </w:rPr>
        <w:t>1</w:t>
      </w:r>
      <w:r>
        <w:t xml:space="preserve">Die Familienkassen dürfen den Stellen, die die Bezüge im öffentlichen Dienst anweisen, den für die jeweilige Kindergeldzahlung maßgebenden Sachverhalt durch automatisierte Abrufverfahren bereitstellen oder Auskunft über diesen Sachverhalt erteilen. </w:t>
      </w:r>
      <w:r>
        <w:rPr>
          <w:rStyle w:val="Satznummer"/>
        </w:rPr>
        <w:t>2</w:t>
      </w:r>
      <w:r>
        <w:t>Das Bundesministerium der Finanzen wird ermächtigt, durch Rechtsverordnung ohne Zustimmung des Bundesrates zur Durchführung von automatisierten Abrufen nach Satz 1 die Voraussetzungen, unter denen ein Datenabruf erfolgen darf, festzulegen.</w:t>
      </w:r>
    </w:p>
    <w:p>
      <w:r>
        <w:t xml:space="preserve">(5) </w:t>
      </w:r>
      <w:r>
        <w:rPr>
          <w:rStyle w:val="Satznummer"/>
        </w:rPr>
        <w:t>1</w:t>
      </w:r>
      <w:r>
        <w:t xml:space="preserve">Zur Erfüllung der in § 31a Absatz 2 der Abgabenordnung genannten Mitteilungspflichten und zur Prüfung der jeweiligen Anspruchsvoraussetzungen und zur Bemessung der jeweiligen Leistung dürfen die Familienkassen den Leistungsträgern, die für Leistungen der Arbeitsförderung nach </w:t>
      </w:r>
      <w:hyperlink w:anchor="b83" w:history="1">
        <w:r>
          <w:rPr>
            <w:color w:val="0A3A8C"/>
            <w:u w:val="single"/>
          </w:rPr>
          <w:t xml:space="preserve">§ 19</w:t>
        </w:r>
      </w:hyperlink>
      <w:r>
        <w:t xml:space="preserve"> Absatz 2, für Leistungen der Grundsicherung für Arbeitsuchende nach </w:t>
      </w:r>
      <w:hyperlink w:anchor="b84" w:history="1">
        <w:r>
          <w:rPr>
            <w:color w:val="0A3A8C"/>
            <w:u w:val="single"/>
          </w:rPr>
          <w:t xml:space="preserve">§ 19a</w:t>
        </w:r>
      </w:hyperlink>
      <w:r>
        <w:t xml:space="preserve"> Absatz 2, für Kindergeld, Kinderzuschlag, Leistungen für Bildung und Teilhabe und Elterngeld nach </w:t>
      </w:r>
      <w:hyperlink w:anchor="b98" w:history="1">
        <w:r>
          <w:rPr>
            <w:color w:val="0A3A8C"/>
            <w:u w:val="single"/>
          </w:rPr>
          <w:t xml:space="preserve">§ 25</w:t>
        </w:r>
      </w:hyperlink>
      <w:r>
        <w:t xml:space="preserve"> Absatz 3 oder für Leistungen der Sozialhilfe nach § 28 Absatz 2 des Ersten Buches Sozialgesetzbuch zuständig sind, und den nach § 9 Absatz 1 Satz 2 des Unterhaltsvorschussgesetzes zuständigen Stellen den für die jeweilige Kindergeldzahlung maßgebenden Sachverhalt in einem automatisierten Abrufverfahren übermitteln. </w:t>
      </w:r>
      <w:r>
        <w:rPr>
          <w:rStyle w:val="Satznummer"/>
        </w:rPr>
        <w:t>2</w:t>
      </w:r>
      <w:r>
        <w:t>Das Bundesministerium der Finanzen wird ermächtigt, durch Rechtsverordnung mit Zustimmung des Bundesrates zur Durchführung von automatisierten Abrufen nach Satz 1 die Voraussetzungen, unter denen ein Datenabruf erfolgen darf, festzulegen.</w:t>
      </w:r>
    </w:p>
    <w:p>
      <w:r>
        <w:t xml:space="preserve">(6) </w:t>
      </w:r>
      <w:r>
        <w:rPr>
          <w:rStyle w:val="Satznummer"/>
        </w:rPr>
        <w:t>1</w:t>
      </w:r>
      <w:r>
        <w:t xml:space="preserve">Zur Prüfung und Bemessung der in Artikel 3 Absatz 1 Buchstabe j in Verbindung mit Artikel 1 Buchstabe z der Verordnung (EG) Nr. 883/2004 des Europäischen Parlaments und des Rates vom 29. April 2004 zur Koordinierung der Systeme der sozialen Sicherheit (ABl. L 166 vom 30.4.2004, S. 1), die zuletzt durch die Verordnung (EU) 2017/492 (ABI. L 76 vom 22.3.2017, S. 13) geändert worden ist, genannten Familienleistungen dürfen die Familienkassen den zuständigen öffentlichen Stellen eines Mitgliedstaates der Europäischen Union den für die jeweilige Kindergeldzahlung maßgebenden Sachverhalt durch automatisierte Abrufverfahren bereitstellen. </w:t>
      </w:r>
      <w:r>
        <w:rPr>
          <w:rStyle w:val="Satznummer"/>
        </w:rPr>
        <w:t>2</w:t>
      </w:r>
      <w:r>
        <w:t>Das Bundesministerium der Finanzen wird ermächtigt, durch Rechtsverordnung ohne Zustimmung des Bundesrates zur Durchführung von automatisierten Abrufen nach Satz 1 die Voraussetzungen, unter denen ein Datenabruf erfolgen darf, festzulegen.</w:t>
      </w:r>
    </w:p>
    <w:p>
      <w:r>
        <w:t xml:space="preserve">(7) </w:t>
      </w:r>
      <w:r>
        <w:rPr>
          <w:rStyle w:val="Satznummer"/>
        </w:rPr>
        <w:t>1</w:t>
      </w:r>
      <w:r>
        <w:t xml:space="preserve">Die Datenstelle der Rentenversicherung darf den Familienkassen in einem automatisierten Abrufverfahren die zur Überprüfung des Anspruchs auf Kindergeld nach </w:t>
      </w:r>
      <w:hyperlink w:anchor="b217" w:history="1">
        <w:r>
          <w:rPr>
            <w:color w:val="0A3A8C"/>
            <w:u w:val="single"/>
          </w:rPr>
          <w:t xml:space="preserve">§ 62</w:t>
        </w:r>
      </w:hyperlink>
      <w:r>
        <w:t xml:space="preserve"> Absatz 1a und 2 erforderlichen Daten übermitteln; § 79 Absatz 2 bis 4 des Zehnten Buches Sozialgesetzbuch gilt entsprechend. </w:t>
      </w:r>
      <w:r>
        <w:rPr>
          <w:rStyle w:val="Satznummer"/>
        </w:rPr>
        <w:t>2</w:t>
      </w:r>
      <w:r>
        <w:t xml:space="preserve">Die Träger der Leistungen nach dem Zweiten und Dritten Buch Sozialgesetzbuch dürfen den Familienkassen in einem automatisierten Abrufverfahren die zur Überprüfung des Anspruchs auf Kindergeld nach </w:t>
      </w:r>
      <w:hyperlink w:anchor="b217" w:history="1">
        <w:r>
          <w:rPr>
            <w:color w:val="0A3A8C"/>
            <w:u w:val="single"/>
          </w:rPr>
          <w:t xml:space="preserve">§ 62</w:t>
        </w:r>
      </w:hyperlink>
      <w:r>
        <w:t xml:space="preserve"> erforderlichen Daten übermitteln. </w:t>
      </w:r>
      <w:r>
        <w:rPr>
          <w:rStyle w:val="Satznummer"/>
        </w:rPr>
        <w:t>3</w:t>
      </w:r>
      <w:r>
        <w:t>Das Bundesministerium für Arbeit und Soziales wird ermächtigt, durch Rechtsverordnung mit Zustimmung des Bundesrates die Voraussetzungen für das Abrufverfahren und Regelungen zu den Kosten des Verfahrens nach Satz 2 festzulegen.</w:t>
      </w:r>
    </w:p>
    <w:p>
      <w:pPr>
        <w:pStyle w:val="Heading2"/>
      </w:pPr>
      <w:bookmarkStart w:id="225" w:name="b224"/>
      <w:r>
        <w:t>§ 69 Datenübermittlung an die Familienkassen</w:t>
      </w:r>
      <w:r>
        <w:t xml:space="preserve"> </w:t>
      </w:r>
      <w:r>
        <w:rPr>
          <w:rStyle w:val="Suchmarke"/>
        </w:rPr>
        <w:t>#69#</w:t>
      </w:r>
      <w:bookmarkEnd w:id="225"/>
    </w:p>
    <w:p>
      <w:r>
        <w:rPr>
          <w:rStyle w:val="Satznummer"/>
        </w:rPr>
        <w:t>1</w:t>
      </w:r>
      <w:r>
        <w:t xml:space="preserve">Erfährt das Bundeszentralamt für Steuern, dass ein Kind, für das Kindergeld gezahlt wird, verzogen ist oder von Amts wegen von der Meldebehörde abgemeldet wurde, hat es der zuständigen Familienkasse unverzüglich die in § 139b Absatz 3 Nummer 1, 3, 5, 8 und 14 der Abgabenordnung genannten Daten zum Zweck der Prüfung der Rechtmäßigkeit des Bezugs von Kindergeld zu übermitteln. </w:t>
      </w:r>
      <w:r>
        <w:rPr>
          <w:rStyle w:val="Satznummer"/>
        </w:rPr>
        <w:t>2</w:t>
      </w:r>
      <w:r>
        <w:t xml:space="preserve">Die beim Bundeszentralamt für Steuern gespeicherten Daten für ein Kind, für das Kindergeld gezahlt wird, werden auf Anfrage auch den Finanzämtern zur Prüfung der Rechtmäßigkeit der Berücksichtigung der Freibeträge nach § 32 Absatz 6 zur Verfügung gestellt. </w:t>
      </w:r>
      <w:r>
        <w:rPr>
          <w:rStyle w:val="Satznummer"/>
        </w:rPr>
        <w:t>3</w:t>
      </w:r>
      <w:r>
        <w:t>Erteilt das Bundeszentralamt für Steuern auf Grund der Geburt eines Kindes eine neue Identifikationsnummer nach § 139b der Abgabenordnung, übermittelt es der zuständigen Familienkasse zum Zweck der Prüfung des Bezugs von Kindergeld unverzüglich</w:t>
      </w:r>
    </w:p>
    <w:p>
      <w:pPr>
        <w:tabs>
          <w:tab w:pos="567" w:val="left"/>
        </w:tabs>
        <w:ind w:left="567" w:hanging="567"/>
      </w:pPr>
      <w:r>
        <w:t>1.</w:t>
      </w:r>
      <w:r>
        <w:tab/>
      </w:r>
      <w:r>
        <w:t>die in § 139b Absatz 3 Nummer 1, 3, 5, 8 und 10 der Abgabenordnung genannten Daten des Kindes sowie</w:t>
      </w:r>
    </w:p>
    <w:p>
      <w:pPr>
        <w:tabs>
          <w:tab w:pos="567" w:val="left"/>
        </w:tabs>
        <w:ind w:left="567" w:hanging="567"/>
      </w:pPr>
      <w:r>
        <w:t>2.</w:t>
      </w:r>
      <w:r>
        <w:tab/>
      </w:r>
      <w:r>
        <w:t xml:space="preserve">soweit vorhanden, die in § 139b Absatz 3 Nummer 1, 3, 5, 8 und 10 und Absatz 3a der Abgabenordnung genannten Daten der Personen, bei denen für dieses Kind nach </w:t>
      </w:r>
      <w:hyperlink w:anchor="b152" w:history="1">
        <w:r>
          <w:rPr>
            <w:color w:val="0A3A8C"/>
            <w:u w:val="single"/>
          </w:rPr>
          <w:t xml:space="preserve">§ 39e</w:t>
        </w:r>
      </w:hyperlink>
      <w:r>
        <w:t xml:space="preserve"> Absatz 1 ein Kinderfreibetrag berücksichtigt wird.</w:t>
      </w:r>
    </w:p>
    <w:p>
      <w:pPr>
        <w:pStyle w:val="Heading2"/>
      </w:pPr>
      <w:bookmarkStart w:id="226" w:name="b225"/>
      <w:r>
        <w:t>§ 70 Festsetzung und Zahlung des Kindergeldes</w:t>
      </w:r>
      <w:r>
        <w:t xml:space="preserve"> </w:t>
      </w:r>
      <w:r>
        <w:rPr>
          <w:rStyle w:val="Suchmarke"/>
        </w:rPr>
        <w:t>#70#</w:t>
      </w:r>
      <w:bookmarkEnd w:id="226"/>
    </w:p>
    <w:p>
      <w:r>
        <w:t xml:space="preserve">(1) </w:t>
      </w:r>
      <w:r>
        <w:rPr>
          <w:rStyle w:val="Satznummer"/>
        </w:rPr>
        <w:t>1</w:t>
      </w:r>
      <w:r>
        <w:t xml:space="preserve">Das Kindergeld nach </w:t>
      </w:r>
      <w:hyperlink w:anchor="b217" w:history="1">
        <w:r>
          <w:rPr>
            <w:color w:val="0A3A8C"/>
            <w:u w:val="single"/>
          </w:rPr>
          <w:t xml:space="preserve">§ 62</w:t>
        </w:r>
      </w:hyperlink>
      <w:r>
        <w:t xml:space="preserve"> wird von den Familienkassen durch Bescheid festgesetzt und ausgezahlt. </w:t>
      </w:r>
      <w:r>
        <w:rPr>
          <w:rStyle w:val="Satznummer"/>
        </w:rPr>
        <w:t>2</w:t>
      </w:r>
      <w:r>
        <w:t xml:space="preserve">Die Auszahlung von festgesetztem Kindergeld erfolgt rückwirkend nur für die letzten sechs Monate vor Beginn des Monats, in dem der Antrag auf Kindergeld eingegangen ist. </w:t>
      </w:r>
      <w:r>
        <w:rPr>
          <w:rStyle w:val="Satznummer"/>
        </w:rPr>
        <w:t>3</w:t>
      </w:r>
      <w:r>
        <w:t xml:space="preserve">Der Anspruch auf Kindergeld nach </w:t>
      </w:r>
      <w:hyperlink w:anchor="b217" w:history="1">
        <w:r>
          <w:rPr>
            <w:color w:val="0A3A8C"/>
            <w:u w:val="single"/>
          </w:rPr>
          <w:t xml:space="preserve">§ 62</w:t>
        </w:r>
      </w:hyperlink>
      <w:r>
        <w:t xml:space="preserve"> bleibt von dieser Auszahlungsbeschränkung unberührt.</w:t>
      </w:r>
    </w:p>
    <w:p>
      <w:r>
        <w:t xml:space="preserve">(2) </w:t>
      </w:r>
      <w:r>
        <w:rPr>
          <w:rStyle w:val="Satznummer"/>
        </w:rPr>
        <w:t>1</w:t>
      </w:r>
      <w:r>
        <w:t xml:space="preserve">Soweit in den Verhältnissen, die für den Anspruch auf Kindergeld erheblich sind, Änderungen eintreten, ist die Festsetzung des Kindergeldes mit Wirkung vom Zeitpunkt der Änderung der Verhältnisse aufzuheben oder zu ändern. </w:t>
      </w:r>
      <w:r>
        <w:rPr>
          <w:rStyle w:val="Satznummer"/>
        </w:rPr>
        <w:t>2</w:t>
      </w:r>
      <w:r>
        <w:t xml:space="preserve">Ist die Änderung einer Kindergeldfestsetzung nur wegen einer Anhebung der in </w:t>
      </w:r>
      <w:hyperlink w:anchor="b221" w:history="1">
        <w:r>
          <w:rPr>
            <w:color w:val="0A3A8C"/>
            <w:u w:val="single"/>
          </w:rPr>
          <w:t xml:space="preserve">§ 66</w:t>
        </w:r>
      </w:hyperlink>
      <w:r>
        <w:t xml:space="preserve"> Absatz 1 genannten Kindergeldbeträge erforderlich, kann von der Erteilung eines schriftlichen Änderungsbescheides abgesehen werden.</w:t>
      </w:r>
    </w:p>
    <w:p>
      <w:r>
        <w:t xml:space="preserve">(3) </w:t>
      </w:r>
      <w:r>
        <w:rPr>
          <w:rStyle w:val="Satznummer"/>
        </w:rPr>
        <w:t>1</w:t>
      </w:r>
      <w:r>
        <w:t xml:space="preserve">Materielle Fehler der letzten Festsetzung können durch Aufhebung oder Änderung der Festsetzung mit Wirkung ab dem auf die Bekanntgabe der Aufhebung oder Änderung der Festsetzung folgenden Monat beseitigt werden. </w:t>
      </w:r>
      <w:r>
        <w:rPr>
          <w:rStyle w:val="Satznummer"/>
        </w:rPr>
        <w:t>2</w:t>
      </w:r>
      <w:r>
        <w:t>Bei der Aufhebung oder Änderung der Festsetzung nach Satz 1 ist § 176 der Abgabenordnung entsprechend anzuwenden; dies gilt nicht für Monate, die nach der Verkündung der maßgeblichen Entscheidung eines obersten Bundesgerichts beginnen.</w:t>
      </w:r>
    </w:p>
    <w:p>
      <w:r>
        <w:t>(4) (weggefallen)</w:t>
      </w:r>
    </w:p>
    <w:p>
      <w:pPr>
        <w:pStyle w:val="Heading2"/>
      </w:pPr>
      <w:bookmarkStart w:id="227" w:name="b226"/>
      <w:r>
        <w:t>§ 71 Vorläufige Einstellung der Zahlung des Kindergeldes</w:t>
      </w:r>
      <w:r>
        <w:t xml:space="preserve"> </w:t>
      </w:r>
      <w:r>
        <w:rPr>
          <w:rStyle w:val="Suchmarke"/>
        </w:rPr>
        <w:t>#71#</w:t>
      </w:r>
      <w:bookmarkEnd w:id="227"/>
    </w:p>
    <w:p>
      <w:r>
        <w:t>(1) Die Familienkasse kann die Zahlung des Kindergeldes ohne Erteilung eines Bescheides vorläufig einstellen, wenn</w:t>
      </w:r>
    </w:p>
    <w:p>
      <w:pPr>
        <w:tabs>
          <w:tab w:pos="567" w:val="left"/>
        </w:tabs>
        <w:ind w:left="567" w:hanging="567"/>
      </w:pPr>
      <w:r>
        <w:t>1.</w:t>
      </w:r>
      <w:r>
        <w:tab/>
      </w:r>
      <w:r>
        <w:t>sie Kenntnis von Tatsachen erhält, die kraft Gesetzes zum Ruhen oder zum Wegfall des Anspruchs führen, und</w:t>
      </w:r>
    </w:p>
    <w:p>
      <w:pPr>
        <w:tabs>
          <w:tab w:pos="567" w:val="left"/>
        </w:tabs>
        <w:ind w:left="567" w:hanging="567"/>
      </w:pPr>
      <w:r>
        <w:t>2.</w:t>
      </w:r>
      <w:r>
        <w:tab/>
      </w:r>
      <w:r>
        <w:t>die Festsetzung, aus der sich der Anspruch ergibt, deshalb mit Wirkung für die Vergangenheit aufzuheben ist.</w:t>
      </w:r>
    </w:p>
    <w:p>
      <w:r>
        <w:t xml:space="preserve">(2) </w:t>
      </w:r>
      <w:r>
        <w:rPr>
          <w:rStyle w:val="Satznummer"/>
        </w:rPr>
        <w:t>1</w:t>
      </w:r>
      <w:r>
        <w:t xml:space="preserve">Soweit die Kenntnis der Familienkasse nicht auf Angaben des Berechtigten beruht, der das Kindergeld erhält, sind dem Berechtigten unverzüglich die vorläufige Einstellung der Zahlung des Kindergeldes sowie die dafür maßgeblichen Gründe mitzuteilen. </w:t>
      </w:r>
      <w:r>
        <w:rPr>
          <w:rStyle w:val="Satznummer"/>
        </w:rPr>
        <w:t>2</w:t>
      </w:r>
      <w:r>
        <w:t>Ihm ist Gelegenheit zu geben, sich zu äußern.</w:t>
      </w:r>
    </w:p>
    <w:p>
      <w:r>
        <w:t>(3) Die Familienkasse hat die vorläufig eingestellte Zahlung des Kindergeldes unverzüglich nachzuholen, soweit die Festsetzung, aus der sich der Anspruch ergibt, zwei Monate nach der vorläufigen Einstellung der Zahlung nicht mit Wirkung für die Vergangenheit aufgehoben oder geändert wird.</w:t>
      </w:r>
    </w:p>
    <w:p>
      <w:pPr>
        <w:pStyle w:val="Heading2"/>
      </w:pPr>
      <w:bookmarkStart w:id="228" w:name="b227"/>
      <w:r>
        <w:t>§ 72 (weggefallen)</w:t>
      </w:r>
      <w:r>
        <w:t xml:space="preserve"> </w:t>
      </w:r>
      <w:r>
        <w:rPr>
          <w:rStyle w:val="Suchmarke"/>
        </w:rPr>
        <w:t>#72#</w:t>
      </w:r>
      <w:bookmarkEnd w:id="228"/>
    </w:p>
    <w:p>
      <w:pPr>
        <w:pStyle w:val="Heading2"/>
      </w:pPr>
      <w:bookmarkStart w:id="229" w:name="b228"/>
      <w:r>
        <w:t>§ 73 (weggefallen)</w:t>
      </w:r>
      <w:r>
        <w:t xml:space="preserve"> </w:t>
      </w:r>
      <w:r>
        <w:rPr>
          <w:rStyle w:val="Suchmarke"/>
        </w:rPr>
        <w:t>#73#</w:t>
      </w:r>
      <w:bookmarkEnd w:id="229"/>
    </w:p>
    <w:p>
      <w:r>
        <w:t>-</w:t>
      </w:r>
    </w:p>
    <w:p>
      <w:pPr>
        <w:pStyle w:val="Heading2"/>
      </w:pPr>
      <w:bookmarkStart w:id="230" w:name="b229"/>
      <w:r>
        <w:t>§ 74 Zahlung des Kindergeldes in Sonderfällen</w:t>
      </w:r>
      <w:r>
        <w:t xml:space="preserve"> </w:t>
      </w:r>
      <w:r>
        <w:rPr>
          <w:rStyle w:val="Suchmarke"/>
        </w:rPr>
        <w:t>#74#</w:t>
      </w:r>
      <w:bookmarkEnd w:id="230"/>
    </w:p>
    <w:p>
      <w:r>
        <w:t xml:space="preserve">(1) </w:t>
      </w:r>
      <w:r>
        <w:rPr>
          <w:rStyle w:val="Satznummer"/>
        </w:rPr>
        <w:t>1</w:t>
      </w:r>
      <w:r>
        <w:t xml:space="preserve">Das für ein Kind festgesetzte Kindergeld nach </w:t>
      </w:r>
      <w:hyperlink w:anchor="b221" w:history="1">
        <w:r>
          <w:rPr>
            <w:color w:val="0A3A8C"/>
            <w:u w:val="single"/>
          </w:rPr>
          <w:t xml:space="preserve">§ 66</w:t>
        </w:r>
      </w:hyperlink>
      <w:r>
        <w:t xml:space="preserve"> Absatz 1 kann an das Kind ausgezahlt werden, wenn der Kindergeldberechtigte ihm gegenüber seiner gesetzlichen Unterhaltspflicht nicht nachkommt. </w:t>
      </w:r>
      <w:r>
        <w:rPr>
          <w:rStyle w:val="Satznummer"/>
        </w:rPr>
        <w:t>2</w:t>
      </w:r>
      <w:r>
        <w:t xml:space="preserve">Dies gilt auch, wenn der Kindergeldberechtigte mangels Leistungsfähigkeit nicht unterhaltspflichtig ist oder nur Unterhalt in Höhe eines Betrags zu leisten braucht, der geringer ist als das für die Auszahlung in Betracht kommende Kindergeld. </w:t>
      </w:r>
      <w:r>
        <w:rPr>
          <w:rStyle w:val="Satznummer"/>
        </w:rPr>
        <w:t>3</w:t>
      </w:r>
      <w:r>
        <w:t>Die Auszahlung kann auch an die Person oder Stelle erfolgen, die dem Kind Unterhalt gewährt.</w:t>
      </w:r>
    </w:p>
    <w:p>
      <w:r>
        <w:t>(2) Für Erstattungsansprüche der Träger von Sozialleistungen gegen die Familienkasse gelten die §§ 102 bis 109 und 111 bis 113 des Zehnten Buches Sozialgesetzbuch entsprechend.</w:t>
      </w:r>
    </w:p>
    <w:p>
      <w:pPr>
        <w:pStyle w:val="Heading2"/>
      </w:pPr>
      <w:bookmarkStart w:id="231" w:name="b230"/>
      <w:r>
        <w:t>§ 75 Aufrechnung</w:t>
      </w:r>
      <w:r>
        <w:t xml:space="preserve"> </w:t>
      </w:r>
      <w:r>
        <w:rPr>
          <w:rStyle w:val="Suchmarke"/>
        </w:rPr>
        <w:t>#75#</w:t>
      </w:r>
      <w:bookmarkEnd w:id="231"/>
    </w:p>
    <w:p>
      <w:r>
        <w:t>(1) Mit Ansprüchen auf Erstattung von Kindergeld kann die Familienkasse gegen Ansprüche auf Kindergeld bis zu deren Hälfte aufrechnen, wenn der Leistungsberechtigte nicht nachweist, dass er dadurch hilfebedürftig im Sinne der Vorschriften des Zwölften Buches Sozialgesetzbuch über die Hilfe zum Lebensunterhalt oder im Sinne der Vorschriften des Zweiten Buches Sozialgesetzbuch über die Leistungen zur Sicherung des Lebensunterhalts wird.</w:t>
      </w:r>
    </w:p>
    <w:p>
      <w:r>
        <w:t>(2) Absatz 1 gilt für die Aufrechnung eines Anspruchs auf Erstattung von Kindergeld gegen einen späteren Kindergeldanspruch eines mit dem Erstattungspflichtigen in Haushaltsgemeinschaft lebenden Berechtigten entsprechend, soweit es sich um laufendes Kindergeld für ein Kind handelt, das bei beiden berücksichtigt werden kann oder konnte.</w:t>
      </w:r>
    </w:p>
    <w:p>
      <w:pPr>
        <w:pStyle w:val="Heading2"/>
      </w:pPr>
      <w:bookmarkStart w:id="232" w:name="b231"/>
      <w:r>
        <w:t>§ 76 Pfändung</w:t>
      </w:r>
      <w:r>
        <w:t xml:space="preserve"> </w:t>
      </w:r>
      <w:r>
        <w:rPr>
          <w:rStyle w:val="Suchmarke"/>
        </w:rPr>
        <w:t>#76#</w:t>
      </w:r>
      <w:bookmarkEnd w:id="232"/>
    </w:p>
    <w:p>
      <w:r>
        <w:t>Der Anspruch auf Kindergeld kann nur wegen gesetzlicher Unterhaltsansprüche eines Kindes, für das Kindergeld festgesetzt und dem Berechtigten ausgezahlt wird, gepfändet werden.</w:t>
      </w:r>
    </w:p>
    <w:p>
      <w:pPr>
        <w:pStyle w:val="Heading2"/>
      </w:pPr>
      <w:bookmarkStart w:id="233" w:name="b232"/>
      <w:r>
        <w:t>§ 76a (weggefallen)</w:t>
      </w:r>
      <w:r>
        <w:t xml:space="preserve"> </w:t>
      </w:r>
      <w:r>
        <w:rPr>
          <w:rStyle w:val="Suchmarke"/>
        </w:rPr>
        <w:t>#76a#</w:t>
      </w:r>
      <w:bookmarkEnd w:id="233"/>
    </w:p>
    <w:p>
      <w:r>
        <w:t>-</w:t>
      </w:r>
    </w:p>
    <w:p>
      <w:pPr>
        <w:pStyle w:val="Heading2"/>
      </w:pPr>
      <w:bookmarkStart w:id="234" w:name="b233"/>
      <w:r>
        <w:t>§ 77 Erstattung von Kosten im Vorverfahren</w:t>
      </w:r>
      <w:r>
        <w:t xml:space="preserve"> </w:t>
      </w:r>
      <w:r>
        <w:rPr>
          <w:rStyle w:val="Suchmarke"/>
        </w:rPr>
        <w:t>#77#</w:t>
      </w:r>
      <w:bookmarkEnd w:id="234"/>
    </w:p>
    <w:p>
      <w:r>
        <w:t xml:space="preserve">(1) </w:t>
      </w:r>
      <w:r>
        <w:rPr>
          <w:rStyle w:val="Satznummer"/>
        </w:rPr>
        <w:t>1</w:t>
      </w:r>
      <w:r>
        <w:t xml:space="preserve">Soweit der Einspruch gegen die Kindergeldfestsetzung erfolgreich ist, hat die Familienkasse demjenigen, der den Einspruch erhoben hat, die zur zweckentsprechenden Rechtsverfolgung oder Rechtsverteidigung notwendigen Aufwendungen zu erstatten. </w:t>
      </w:r>
      <w:r>
        <w:rPr>
          <w:rStyle w:val="Satznummer"/>
        </w:rPr>
        <w:t>2</w:t>
      </w:r>
      <w:r>
        <w:t xml:space="preserve">Dies gilt auch, wenn der Einspruch nur deshalb keinen Erfolg hat, weil die Verletzung einer Verfahrens- oder Formvorschrift nach § 126 der Abgabenordnung unbeachtlich ist. </w:t>
      </w:r>
      <w:r>
        <w:rPr>
          <w:rStyle w:val="Satznummer"/>
        </w:rPr>
        <w:t>3</w:t>
      </w:r>
      <w:r>
        <w:t>Aufwendungen, die durch das Verschulden eines Erstattungsberechtigten entstanden sind, hat dieser selbst zu tragen; das Verschulden eines Vertreters ist dem Vertretenen zuzurechnen.</w:t>
      </w:r>
    </w:p>
    <w:p>
      <w:r>
        <w:t>(2) Die Gebühren und Auslagen eines Bevollmächtigten oder Beistandes, der nach den Vorschriften des Steuerberatungsgesetzes zur geschäftsmäßigen Hilfeleistung in Steuersachen befugt ist, sind erstattungsfähig, wenn dessen Zuziehung notwendig war.</w:t>
      </w:r>
    </w:p>
    <w:p>
      <w:r>
        <w:t xml:space="preserve">(3) </w:t>
      </w:r>
      <w:r>
        <w:rPr>
          <w:rStyle w:val="Satznummer"/>
        </w:rPr>
        <w:t>1</w:t>
      </w:r>
      <w:r>
        <w:t xml:space="preserve">Die Familienkasse setzt auf Antrag den Betrag der zu erstattenden Aufwendungen fest. </w:t>
      </w:r>
      <w:r>
        <w:rPr>
          <w:rStyle w:val="Satznummer"/>
        </w:rPr>
        <w:t>2</w:t>
      </w:r>
      <w:r>
        <w:t>Die Kostenentscheidung bestimmt auch, ob die Zuziehung eines Bevollmächtigten oder Beistandes im Sinne des Absatzes 2 notwendig war.</w:t>
      </w:r>
    </w:p>
    <w:p>
      <w:pPr>
        <w:pStyle w:val="Heading2"/>
      </w:pPr>
      <w:bookmarkStart w:id="235" w:name="b234"/>
      <w:r>
        <w:t>§ 78 Übergangsregelungen</w:t>
      </w:r>
      <w:r>
        <w:t xml:space="preserve"> </w:t>
      </w:r>
      <w:r>
        <w:rPr>
          <w:rStyle w:val="Suchmarke"/>
        </w:rPr>
        <w:t>#78#</w:t>
      </w:r>
      <w:bookmarkEnd w:id="235"/>
    </w:p>
    <w:p>
      <w:r>
        <w:t>(1) bis (4) (weggefallen)</w:t>
      </w:r>
    </w:p>
    <w:p>
      <w:r>
        <w:t xml:space="preserve">(5) </w:t>
      </w:r>
      <w:r>
        <w:rPr>
          <w:rStyle w:val="Satznummer"/>
        </w:rPr>
        <w:t>1</w:t>
      </w:r>
      <w:r>
        <w:t xml:space="preserve">Abweichend von </w:t>
      </w:r>
      <w:hyperlink w:anchor="b219" w:history="1">
        <w:r>
          <w:rPr>
            <w:color w:val="0A3A8C"/>
            <w:u w:val="single"/>
          </w:rPr>
          <w:t xml:space="preserve">§ 64</w:t>
        </w:r>
      </w:hyperlink>
      <w:r>
        <w:t xml:space="preserve"> Absatz 2 und 3 steht Berechtigten, die für Dezember 1990 für ihre Kinder Kindergeld in dem in Artikel 3 des Einigungsvertrages genannten Gebiet bezogen haben, das Kindergeld für diese Kinder auch für die folgende Zeit zu, solange sie ihren Wohnsitz oder gewöhnlichen Aufenthalt in diesem Gebiet beibehalten und die Kinder die Voraussetzungen ihrer Berücksichtigung weiterhin erfüllen. </w:t>
      </w:r>
      <w:r>
        <w:rPr>
          <w:rStyle w:val="Satznummer"/>
        </w:rPr>
        <w:t>2</w:t>
      </w:r>
      <w:hyperlink w:anchor="b219" w:history="1">
        <w:r>
          <w:rPr>
            <w:color w:val="0A3A8C"/>
            <w:u w:val="single"/>
          </w:rPr>
          <w:t xml:space="preserve">§ 64</w:t>
        </w:r>
      </w:hyperlink>
      <w:r>
        <w:t xml:space="preserve"> Absatz 2 und 3 ist insoweit erst für die Zeit vom Beginn des Monats an anzuwenden, in dem ein hierauf gerichteter Antrag bei der zuständigen Stelle eingegangen ist; der hiernach Berechtigte muss die nach Satz 1 geleisteten Zahlungen gegen sich gelten lassen.</w:t>
      </w:r>
    </w:p>
    <w:p>
      <w:pPr>
        <w:pStyle w:val="Heading1"/>
      </w:pPr>
      <w:bookmarkStart w:id="236" w:name="b235"/>
      <w:r>
        <w:t>XI. Altersvorsorgezulage</w:t>
      </w:r>
      <w:bookmarkEnd w:id="236"/>
    </w:p>
    <w:p>
      <w:pPr>
        <w:pStyle w:val="Heading2"/>
      </w:pPr>
      <w:bookmarkStart w:id="237" w:name="b236"/>
      <w:r>
        <w:t>§ 79 Zulageberechtigte</w:t>
      </w:r>
      <w:r>
        <w:t xml:space="preserve"> </w:t>
      </w:r>
      <w:r>
        <w:rPr>
          <w:rStyle w:val="Suchmarke"/>
        </w:rPr>
        <w:t>#79#</w:t>
      </w:r>
      <w:bookmarkEnd w:id="237"/>
    </w:p>
    <w:p>
      <w:r>
        <w:rPr>
          <w:rStyle w:val="Satznummer"/>
        </w:rPr>
        <w:t>1</w:t>
      </w:r>
      <w:r>
        <w:t xml:space="preserve">Die in </w:t>
      </w:r>
      <w:hyperlink w:anchor="b52" w:history="1">
        <w:r>
          <w:rPr>
            <w:color w:val="0A3A8C"/>
            <w:u w:val="single"/>
          </w:rPr>
          <w:t xml:space="preserve">§ 10a</w:t>
        </w:r>
      </w:hyperlink>
      <w:r>
        <w:t xml:space="preserve"> Absatz 1 genannten Personen haben Anspruch auf eine Altersvorsorgezulage (Zulage). </w:t>
      </w:r>
      <w:r>
        <w:rPr>
          <w:rStyle w:val="Satznummer"/>
        </w:rPr>
        <w:t>2</w:t>
      </w:r>
      <w:r>
        <w:t>Ist nur ein Ehegatte nach Satz 1 begünstigt, so ist auch der andere Ehegatte zulageberechtigt, wenn</w:t>
      </w:r>
    </w:p>
    <w:p>
      <w:pPr>
        <w:tabs>
          <w:tab w:pos="567" w:val="left"/>
        </w:tabs>
        <w:ind w:left="567" w:hanging="567"/>
      </w:pPr>
      <w:r>
        <w:t>1.</w:t>
      </w:r>
      <w:r>
        <w:tab/>
      </w:r>
      <w:r>
        <w:t>beide Ehegatten nicht dauernd getrennt leben (</w:t>
      </w:r>
      <w:hyperlink w:anchor="b99" w:history="1">
        <w:r>
          <w:rPr>
            <w:color w:val="0A3A8C"/>
            <w:u w:val="single"/>
          </w:rPr>
          <w:t xml:space="preserve">§ 26</w:t>
        </w:r>
      </w:hyperlink>
      <w:r>
        <w:t xml:space="preserve"> Absatz 1),</w:t>
      </w:r>
    </w:p>
    <w:p>
      <w:pPr>
        <w:tabs>
          <w:tab w:pos="567" w:val="left"/>
        </w:tabs>
        <w:ind w:left="567" w:hanging="567"/>
      </w:pPr>
      <w:r>
        <w:t>2.</w:t>
      </w:r>
      <w:r>
        <w:tab/>
      </w:r>
      <w:r>
        <w:t>beide Ehegatten ihren Wohnsitz oder gewöhnlichen Aufenthalt in einem Mitgliedstaat der Europäischen Union oder einem Staat haben, auf den das Abkommen über den Europäischen Wirtschaftsraum anwendbar ist,</w:t>
      </w:r>
    </w:p>
    <w:p>
      <w:pPr>
        <w:tabs>
          <w:tab w:pos="567" w:val="left"/>
        </w:tabs>
        <w:ind w:left="567" w:hanging="567"/>
      </w:pPr>
      <w:r>
        <w:t>3.</w:t>
      </w:r>
      <w:r>
        <w:tab/>
      </w:r>
      <w:r>
        <w:t>ein auf den Namen des anderen Ehegatten lautender Altersvorsorgevertrag besteht,</w:t>
      </w:r>
    </w:p>
    <w:p>
      <w:pPr>
        <w:tabs>
          <w:tab w:pos="567" w:val="left"/>
        </w:tabs>
        <w:ind w:left="567" w:hanging="567"/>
      </w:pPr>
      <w:r>
        <w:t>4.</w:t>
      </w:r>
      <w:r>
        <w:tab/>
      </w:r>
      <w:r>
        <w:t>der andere Ehegatte zugunsten des Altersvorsorgevertrags nach Nummer 3 im jeweiligen Beitragsjahr mindestens 60 Euro geleistet hat und</w:t>
      </w:r>
    </w:p>
    <w:p>
      <w:pPr>
        <w:tabs>
          <w:tab w:pos="567" w:val="left"/>
        </w:tabs>
        <w:ind w:left="567" w:hanging="567"/>
      </w:pPr>
      <w:r>
        <w:t>5.</w:t>
      </w:r>
      <w:r>
        <w:tab/>
      </w:r>
      <w:r>
        <w:t>die Auszahlungsphase des Altersvorsorgevertrags nach Nummer 3 noch nicht begonnen hat.</w:t>
      </w:r>
    </w:p>
    <w:p>
      <w:r>
        <w:rPr>
          <w:rStyle w:val="Satznummer"/>
        </w:rPr>
        <w:t>3</w:t>
      </w:r>
      <w:r>
        <w:t xml:space="preserve">Satz 1 gilt entsprechend für die in </w:t>
      </w:r>
      <w:hyperlink w:anchor="b52" w:history="1">
        <w:r>
          <w:rPr>
            <w:color w:val="0A3A8C"/>
            <w:u w:val="single"/>
          </w:rPr>
          <w:t xml:space="preserve">§ 10a</w:t>
        </w:r>
      </w:hyperlink>
      <w:r>
        <w:t xml:space="preserve"> Absatz 6 Satz 1 und 2 genannten Personen, sofern sie unbeschränkt steuerpflichtig sind oder für das Beitragsjahr nach </w:t>
      </w:r>
      <w:hyperlink w:anchor="b1" w:history="1">
        <w:r>
          <w:rPr>
            <w:color w:val="0A3A8C"/>
            <w:u w:val="single"/>
          </w:rPr>
          <w:t xml:space="preserve">§ 1</w:t>
        </w:r>
      </w:hyperlink>
      <w:r>
        <w:t xml:space="preserve"> Absatz 3 als unbeschränkt steuerpflichtig behandelt werden.</w:t>
      </w:r>
    </w:p>
    <w:p>
      <w:pPr>
        <w:pStyle w:val="Heading2"/>
      </w:pPr>
      <w:bookmarkStart w:id="238" w:name="b237"/>
      <w:r>
        <w:t>§ 80 Anbieter</w:t>
      </w:r>
      <w:r>
        <w:t xml:space="preserve"> </w:t>
      </w:r>
      <w:r>
        <w:rPr>
          <w:rStyle w:val="Suchmarke"/>
        </w:rPr>
        <w:t>#80#</w:t>
      </w:r>
      <w:bookmarkEnd w:id="238"/>
    </w:p>
    <w:p>
      <w:r>
        <w:t xml:space="preserve">Anbieter im Sinne dieses Gesetzes sind Anbieter von Altersvorsorgeverträgen gemäß § 1 Absatz 2 des Altersvorsorgeverträge-Zertifizierungsgesetzes sowie die in </w:t>
      </w:r>
      <w:hyperlink w:anchor="b240" w:history="1">
        <w:r>
          <w:rPr>
            <w:color w:val="0A3A8C"/>
            <w:u w:val="single"/>
          </w:rPr>
          <w:t xml:space="preserve">§ 82</w:t>
        </w:r>
      </w:hyperlink>
      <w:r>
        <w:t xml:space="preserve"> Absatz 2 genannten Versorgungseinrichtungen.</w:t>
      </w:r>
    </w:p>
    <w:p>
      <w:pPr>
        <w:pStyle w:val="Heading2"/>
      </w:pPr>
      <w:bookmarkStart w:id="239" w:name="b238"/>
      <w:r>
        <w:t>§ 81 Zentrale Stelle</w:t>
      </w:r>
      <w:r>
        <w:t xml:space="preserve"> </w:t>
      </w:r>
      <w:r>
        <w:rPr>
          <w:rStyle w:val="Suchmarke"/>
        </w:rPr>
        <w:t>#81#</w:t>
      </w:r>
      <w:bookmarkEnd w:id="239"/>
    </w:p>
    <w:p>
      <w:r>
        <w:t>Zentrale Stelle im Sinne dieses Gesetzes ist die Deutsche Rentenversicherung Bund.</w:t>
      </w:r>
    </w:p>
    <w:p>
      <w:pPr>
        <w:pStyle w:val="Heading2"/>
      </w:pPr>
      <w:bookmarkStart w:id="240" w:name="b239"/>
      <w:r>
        <w:t>§ 81a Zuständige Stelle</w:t>
      </w:r>
      <w:r>
        <w:t xml:space="preserve"> </w:t>
      </w:r>
      <w:r>
        <w:rPr>
          <w:rStyle w:val="Suchmarke"/>
        </w:rPr>
        <w:t>#81a#</w:t>
      </w:r>
      <w:bookmarkEnd w:id="240"/>
    </w:p>
    <w:p>
      <w:r>
        <w:rPr>
          <w:rStyle w:val="Satznummer"/>
        </w:rPr>
        <w:t>1</w:t>
      </w:r>
      <w:r>
        <w:t>Zuständige Stelle ist bei einem</w:t>
      </w:r>
    </w:p>
    <w:p>
      <w:pPr>
        <w:tabs>
          <w:tab w:pos="567" w:val="left"/>
        </w:tabs>
        <w:ind w:left="567" w:hanging="567"/>
      </w:pPr>
      <w:r>
        <w:t>1.</w:t>
      </w:r>
      <w:r>
        <w:tab/>
      </w:r>
      <w:r>
        <w:t>Empfänger von Besoldung nach dem Bundesbesoldungsgesetz oder einem Landesbesoldungsgesetz die die Besoldung anordnende Stelle,</w:t>
      </w:r>
    </w:p>
    <w:p>
      <w:pPr>
        <w:tabs>
          <w:tab w:pos="567" w:val="left"/>
        </w:tabs>
        <w:ind w:left="567" w:hanging="567"/>
      </w:pPr>
      <w:r>
        <w:t>2.</w:t>
      </w:r>
      <w:r>
        <w:tab/>
      </w:r>
      <w:r>
        <w:t xml:space="preserve">Empfänger von Amtsbezügen im Sinne des </w:t>
      </w:r>
      <w:hyperlink w:anchor="b52" w:history="1">
        <w:r>
          <w:rPr>
            <w:color w:val="0A3A8C"/>
            <w:u w:val="single"/>
          </w:rPr>
          <w:t xml:space="preserve">§ 10a</w:t>
        </w:r>
      </w:hyperlink>
      <w:r>
        <w:t xml:space="preserve"> Absatz 1 Satz 1 Nummer 2 die die Amtsbezüge anordnende Stelle,</w:t>
      </w:r>
    </w:p>
    <w:p>
      <w:pPr>
        <w:tabs>
          <w:tab w:pos="567" w:val="left"/>
        </w:tabs>
        <w:ind w:left="567" w:hanging="567"/>
      </w:pPr>
      <w:r>
        <w:t>3.</w:t>
      </w:r>
      <w:r>
        <w:tab/>
      </w:r>
      <w:r>
        <w:t>versicherungsfrei Beschäftigten sowie bei einem von der Versicherungspflicht befreiten Beschäftigten im Sinne des § 10a Absatz 1 Satz 1 Nummer 3 der die Versorgung gewährleistende Arbeitgeber der rentenversicherungsfreien Beschäftigung,</w:t>
      </w:r>
    </w:p>
    <w:p>
      <w:pPr>
        <w:tabs>
          <w:tab w:pos="567" w:val="left"/>
        </w:tabs>
        <w:ind w:left="567" w:hanging="567"/>
      </w:pPr>
      <w:r>
        <w:t>4.</w:t>
      </w:r>
      <w:r>
        <w:tab/>
      </w:r>
      <w:r>
        <w:t>Beamten, Richter, Berufssoldaten und Soldaten auf Zeit im Sinne des § 10a Absatz 1 Satz 1 Nummer 4 der zur Zahlung des Arbeitsentgelts verpflichtete Arbeitgeber und</w:t>
      </w:r>
    </w:p>
    <w:p>
      <w:pPr>
        <w:tabs>
          <w:tab w:pos="567" w:val="left"/>
        </w:tabs>
        <w:ind w:left="567" w:hanging="567"/>
      </w:pPr>
      <w:r>
        <w:t>5.</w:t>
      </w:r>
      <w:r>
        <w:tab/>
      </w:r>
      <w:r>
        <w:t xml:space="preserve">Empfänger einer Versorgung im Sinne des </w:t>
      </w:r>
      <w:hyperlink w:anchor="b52" w:history="1">
        <w:r>
          <w:rPr>
            <w:color w:val="0A3A8C"/>
            <w:u w:val="single"/>
          </w:rPr>
          <w:t xml:space="preserve">§ 10a</w:t>
        </w:r>
      </w:hyperlink>
      <w:r>
        <w:t xml:space="preserve"> Absatz 1 Satz 4 die die Versorgung anordnende Stelle.</w:t>
      </w:r>
    </w:p>
    <w:p>
      <w:r>
        <w:rPr>
          <w:rStyle w:val="Satznummer"/>
        </w:rPr>
        <w:t>2</w:t>
      </w:r>
      <w:r>
        <w:t xml:space="preserve">Für die in </w:t>
      </w:r>
      <w:hyperlink w:anchor="b52" w:history="1">
        <w:r>
          <w:rPr>
            <w:color w:val="0A3A8C"/>
            <w:u w:val="single"/>
          </w:rPr>
          <w:t xml:space="preserve">§ 10a</w:t>
        </w:r>
      </w:hyperlink>
      <w:r>
        <w:t xml:space="preserve"> Absatz 1 Satz 1 Nummer 5 genannten Steuerpflichtigen gilt Satz 1 entsprechend.</w:t>
      </w:r>
    </w:p>
    <w:p>
      <w:pPr>
        <w:pStyle w:val="Heading2"/>
      </w:pPr>
      <w:bookmarkStart w:id="241" w:name="b240"/>
      <w:r>
        <w:t>§ 82 Altersvorsorgebeiträge</w:t>
      </w:r>
      <w:r>
        <w:t xml:space="preserve"> </w:t>
      </w:r>
      <w:r>
        <w:rPr>
          <w:rStyle w:val="Suchmarke"/>
        </w:rPr>
        <w:t>#82#</w:t>
      </w:r>
      <w:bookmarkEnd w:id="241"/>
    </w:p>
    <w:p>
      <w:r>
        <w:t xml:space="preserve">(1) </w:t>
      </w:r>
      <w:r>
        <w:rPr>
          <w:rStyle w:val="Satznummer"/>
        </w:rPr>
        <w:t>1</w:t>
      </w:r>
      <w:r>
        <w:t xml:space="preserve">Geförderte Altersvorsorgebeiträge sind im Rahmen des in </w:t>
      </w:r>
      <w:hyperlink w:anchor="b52" w:history="1">
        <w:r>
          <w:rPr>
            <w:color w:val="0A3A8C"/>
            <w:u w:val="single"/>
          </w:rPr>
          <w:t xml:space="preserve">§ 10a</w:t>
        </w:r>
      </w:hyperlink>
      <w:r>
        <w:t xml:space="preserve"> Absatz 1 Satz 1 genannten Höchstbetrags</w:t>
      </w:r>
    </w:p>
    <w:p>
      <w:pPr>
        <w:tabs>
          <w:tab w:pos="567" w:val="left"/>
        </w:tabs>
        <w:ind w:left="567" w:hanging="567"/>
      </w:pPr>
      <w:r>
        <w:t>1.</w:t>
      </w:r>
      <w:r>
        <w:tab/>
      </w:r>
      <w:r>
        <w:t>Beiträge,</w:t>
      </w:r>
    </w:p>
    <w:p>
      <w:pPr>
        <w:tabs>
          <w:tab w:pos="567" w:val="left"/>
        </w:tabs>
        <w:ind w:left="567" w:hanging="567"/>
      </w:pPr>
      <w:r>
        <w:t>2.</w:t>
      </w:r>
      <w:r>
        <w:tab/>
      </w:r>
      <w:r>
        <w:t>Tilgungsleistungen,</w:t>
      </w:r>
    </w:p>
    <w:p>
      <w:r>
        <w:t>die der Zulageberechtigte (</w:t>
      </w:r>
      <w:hyperlink w:anchor="b236" w:history="1">
        <w:r>
          <w:rPr>
            <w:color w:val="0A3A8C"/>
            <w:u w:val="single"/>
          </w:rPr>
          <w:t xml:space="preserve">§ 79</w:t>
        </w:r>
      </w:hyperlink>
      <w:r>
        <w:t xml:space="preserve">) bis zum Beginn der Auszahlungsphase zugunsten eines auf seinen Namen lautenden Vertrags leistet, der nach § 5 des Altersvorsorgeverträge-Zertifizierungsgesetzes zertifiziert ist (Altersvorsorgevertrag). </w:t>
      </w:r>
      <w:r>
        <w:rPr>
          <w:rStyle w:val="Satznummer"/>
        </w:rPr>
        <w:t>2</w:t>
      </w:r>
      <w:r>
        <w:t xml:space="preserve">Die Zertifizierung ist Grundlagenbescheid im Sinne des § 171 Absatz 10 der Abgabenordnung. </w:t>
      </w:r>
      <w:r>
        <w:rPr>
          <w:rStyle w:val="Satznummer"/>
        </w:rPr>
        <w:t>3</w:t>
      </w:r>
      <w:r>
        <w:t xml:space="preserve">Als Tilgungsleistungen gelten auch Beiträge, die vom Zulageberechtigten zugunsten eines auf seinen Namen lautenden Altersvorsorgevertrags im Sinne des § 1 Absatz 1a Satz 1 Nummer 3 des Altersvorsorgeverträge-Zertifizierungsgesetzes erbracht wurden und die zur Tilgung eines im Rahmen des Altersvorsorgevertrags abgeschlossenen Darlehens abgetreten wurden. </w:t>
      </w:r>
      <w:r>
        <w:rPr>
          <w:rStyle w:val="Satznummer"/>
        </w:rPr>
        <w:t>4</w:t>
      </w:r>
      <w:r>
        <w:t xml:space="preserve">Im Fall der Übertragung von gefördertem Altersvorsorgevermögen nach § 1 Absatz 1 Satz 1 Nummer 10 Buchstabe b des Altersvorsorgeverträge-Zertifizierungsgesetzes in einen Altersvorsorgevertrag im Sinne des § 1 Absatz 1a Satz 1 Nummer 3 des Altersvorsorgeverträge-Zertifizierungsgesetzes gelten die Beiträge nach Satz 1 Nummer 1 ab dem Zeitpunkt der Übertragung als Tilgungsleistungen nach Satz 3; eine erneute Förderung nach </w:t>
      </w:r>
      <w:hyperlink w:anchor="b52" w:history="1">
        <w:r>
          <w:rPr>
            <w:color w:val="0A3A8C"/>
            <w:u w:val="single"/>
          </w:rPr>
          <w:t xml:space="preserve">§ 10a</w:t>
        </w:r>
      </w:hyperlink>
      <w:r>
        <w:t xml:space="preserve"> oder Abschnitt XI erfolgt insoweit nicht. </w:t>
      </w:r>
      <w:r>
        <w:rPr>
          <w:rStyle w:val="Satznummer"/>
        </w:rPr>
        <w:t>5</w:t>
      </w:r>
      <w:r>
        <w:t xml:space="preserve">Tilgungsleistungen nach den Sätzen 1 und 3 werden nur berücksichtigt, wenn das zugrunde liegende Darlehen für eine nach dem 31. Dezember 2007 vorgenommene wohnungswirtschaftliche Verwendung im Sinne des </w:t>
      </w:r>
      <w:hyperlink w:anchor="b251" w:history="1">
        <w:r>
          <w:rPr>
            <w:color w:val="0A3A8C"/>
            <w:u w:val="single"/>
          </w:rPr>
          <w:t xml:space="preserve">§ 92a</w:t>
        </w:r>
      </w:hyperlink>
      <w:r>
        <w:t xml:space="preserve"> Absatz 1 Satz 1 eingesetzt wurde. </w:t>
      </w:r>
      <w:r>
        <w:rPr>
          <w:rStyle w:val="Satznummer"/>
        </w:rPr>
        <w:t>6</w:t>
      </w:r>
      <w:r>
        <w:t xml:space="preserve">Bei einer Aufgabe der Selbstnutzung nach </w:t>
      </w:r>
      <w:hyperlink w:anchor="b251" w:history="1">
        <w:r>
          <w:rPr>
            <w:color w:val="0A3A8C"/>
            <w:u w:val="single"/>
          </w:rPr>
          <w:t xml:space="preserve">§ 92a</w:t>
        </w:r>
      </w:hyperlink>
      <w:r>
        <w:t xml:space="preserve"> Absatz 3 Satz 1 gelten im Beitragsjahr der Aufgabe der Selbstnutzung auch die nach der Aufgabe der Selbstnutzung geleisteten Beiträge oder Tilgungsleistungen als Altersvorsorgebeiträge nach Satz 1. </w:t>
      </w:r>
      <w:r>
        <w:rPr>
          <w:rStyle w:val="Satznummer"/>
        </w:rPr>
        <w:t>7</w:t>
      </w:r>
      <w:r>
        <w:t xml:space="preserve">Bei einer Reinvestition nach </w:t>
      </w:r>
      <w:hyperlink w:anchor="b251" w:history="1">
        <w:r>
          <w:rPr>
            <w:color w:val="0A3A8C"/>
            <w:u w:val="single"/>
          </w:rPr>
          <w:t xml:space="preserve">§ 92a</w:t>
        </w:r>
      </w:hyperlink>
      <w:r>
        <w:t xml:space="preserve"> Absatz 3 Satz 9 Nummer 1 gelten im Beitragsjahr der Reinvestition auch die davor geleisteten Beiträge oder Tilgungsleistungen als Altersvorsorgebeiträge nach Satz 1. </w:t>
      </w:r>
      <w:r>
        <w:rPr>
          <w:rStyle w:val="Satznummer"/>
        </w:rPr>
        <w:t>8</w:t>
      </w:r>
      <w:r>
        <w:t xml:space="preserve">Bei einer Wiederaufnahme der Selbstnutzung nach </w:t>
      </w:r>
      <w:hyperlink w:anchor="b251" w:history="1">
        <w:r>
          <w:rPr>
            <w:color w:val="0A3A8C"/>
            <w:u w:val="single"/>
          </w:rPr>
          <w:t xml:space="preserve">§ 92a</w:t>
        </w:r>
      </w:hyperlink>
      <w:r>
        <w:t xml:space="preserve"> Absatz 3 Satz 9 Nummer 5 oder bei einem beruflich bedingten Umzug nach </w:t>
      </w:r>
      <w:hyperlink w:anchor="b251" w:history="1">
        <w:r>
          <w:rPr>
            <w:color w:val="0A3A8C"/>
            <w:u w:val="single"/>
          </w:rPr>
          <w:t xml:space="preserve">§ 92a</w:t>
        </w:r>
      </w:hyperlink>
      <w:r>
        <w:t xml:space="preserve"> Absatz 4 gelten</w:t>
      </w:r>
    </w:p>
    <w:p>
      <w:pPr>
        <w:tabs>
          <w:tab w:pos="567" w:val="left"/>
        </w:tabs>
        <w:ind w:left="567" w:hanging="567"/>
      </w:pPr>
      <w:r>
        <w:t>1.</w:t>
      </w:r>
      <w:r>
        <w:tab/>
      </w:r>
      <w:r>
        <w:t>im Beitragsjahr des Wegzugs auch die nach dem Wegzug und</w:t>
      </w:r>
    </w:p>
    <w:p>
      <w:pPr>
        <w:tabs>
          <w:tab w:pos="567" w:val="left"/>
        </w:tabs>
        <w:ind w:left="567" w:hanging="567"/>
      </w:pPr>
      <w:r>
        <w:t>2.</w:t>
      </w:r>
      <w:r>
        <w:tab/>
      </w:r>
      <w:r>
        <w:t>im Beitragsjahr des Wiedereinzugs auch die vor dem Wiedereinzug</w:t>
      </w:r>
    </w:p>
    <w:p>
      <w:r>
        <w:t>geleisteten Beiträge und Tilgungsleistungen als Altersvorsorgebeiträge nach Satz 1.</w:t>
      </w:r>
    </w:p>
    <w:p>
      <w:r>
        <w:t xml:space="preserve">(2) </w:t>
      </w:r>
      <w:r>
        <w:rPr>
          <w:rStyle w:val="Satznummer"/>
        </w:rPr>
        <w:t>1</w:t>
      </w:r>
      <w:r>
        <w:t>Zu den Altersvorsorgebeiträgen gehören auch</w:t>
      </w:r>
    </w:p>
    <w:p>
      <w:pPr>
        <w:tabs>
          <w:tab w:pos="567" w:val="left"/>
        </w:tabs>
        <w:ind w:left="567" w:hanging="567"/>
      </w:pPr>
      <w:r>
        <w:t>a)</w:t>
      </w:r>
      <w:r>
        <w:tab/>
      </w:r>
      <w:r>
        <w:t>die aus dem individuell versteuerten Arbeitslohn des Arbeitnehmers geleisteten Beiträge an einen Pensionsfonds, eine Pensionskasse oder eine Direktversicherung zum Aufbau einer kapitalgedeckten betrieblichen Altersversorgung und</w:t>
      </w:r>
    </w:p>
    <w:p>
      <w:pPr>
        <w:tabs>
          <w:tab w:pos="567" w:val="left"/>
        </w:tabs>
        <w:ind w:left="567" w:hanging="567"/>
      </w:pPr>
      <w:r>
        <w:t>b)</w:t>
      </w:r>
      <w:r>
        <w:tab/>
      </w:r>
      <w:r>
        <w:t xml:space="preserve">Beiträge des Arbeitnehmers und des ausgeschiedenen Arbeitnehmers, die dieser im Fall der zunächst durch Entgeltumwandlung (§ 1a des Betriebsrentengesetzes) finanzierten und nach </w:t>
      </w:r>
      <w:hyperlink w:anchor="b8" w:history="1">
        <w:r>
          <w:rPr>
            <w:color w:val="0A3A8C"/>
            <w:u w:val="single"/>
          </w:rPr>
          <w:t xml:space="preserve">§ 3</w:t>
        </w:r>
      </w:hyperlink>
      <w:r>
        <w:t xml:space="preserve"> Nummer 63 oder </w:t>
      </w:r>
      <w:hyperlink w:anchor="b52" w:history="1">
        <w:r>
          <w:rPr>
            <w:color w:val="0A3A8C"/>
            <w:u w:val="single"/>
          </w:rPr>
          <w:t xml:space="preserve">§ 10a</w:t>
        </w:r>
      </w:hyperlink>
      <w:r>
        <w:t xml:space="preserve"> und diesem Abschnitt geförderten kapitalgedeckten betrieblichen Altersversorgung nach Maßgabe des </w:t>
      </w:r>
      <w:hyperlink w:anchor="b2" w:history="1">
        <w:r>
          <w:rPr>
            <w:color w:val="0A3A8C"/>
            <w:u w:val="single"/>
          </w:rPr>
          <w:t xml:space="preserve">§ 1a</w:t>
        </w:r>
      </w:hyperlink>
      <w:r>
        <w:t xml:space="preserve"> Absatz 4, des § 1b Absatz 5 Satz 1 Nummer 2 und des § 22 Absatz 3 Nummer 1 Buchstabe a des Betriebsrentengesetzes selbst erbringt.</w:t>
      </w:r>
    </w:p>
    <w:p>
      <w:r>
        <w:rPr>
          <w:rStyle w:val="Satznummer"/>
        </w:rPr>
        <w:t>2</w:t>
      </w:r>
      <w:r>
        <w:t>Satz 1 gilt nur, wenn</w:t>
      </w:r>
    </w:p>
    <w:p>
      <w:pPr>
        <w:tabs>
          <w:tab w:pos="567" w:val="left"/>
        </w:tabs>
        <w:ind w:left="567" w:hanging="567"/>
      </w:pPr>
      <w:r>
        <w:t>1.</w:t>
      </w:r>
      <w:r>
        <w:tab/>
      </w:r>
    </w:p>
    <w:p>
      <w:pPr>
        <w:tabs>
          <w:tab w:pos="1134" w:val="left"/>
        </w:tabs>
        <w:ind w:left="1134" w:hanging="567"/>
      </w:pPr>
      <w:r>
        <w:t>a)</w:t>
      </w:r>
      <w:r>
        <w:tab/>
      </w:r>
      <w:r>
        <w:t>vereinbart ist, dass die zugesagten Altersversorgungsleistungen als monatliche Leistungen in Form einer lebenslangen Leibrente oder als Ratenzahlungen im Rahmen eines Auszahlungsplans mit einer anschließenden Teilkapitalverrentung ab spätestens dem 85. Lebensjahr ausgezahlt werden und die Leistungen während der gesamten Auszahlungsphase gleich bleiben oder steigen; dabei können bis zu zwölf Monatsleistungen in einer Auszahlung zusammengefasst und bis zu 30 Prozent des zu Beginn der Auszahlungsphase zur Verfügung stehenden Kapitals außerhalb der monatlichen Leistungen ausgezahlt werden, und</w:t>
      </w:r>
    </w:p>
    <w:p>
      <w:pPr>
        <w:tabs>
          <w:tab w:pos="1134" w:val="left"/>
        </w:tabs>
        <w:ind w:left="1134" w:hanging="567"/>
      </w:pPr>
      <w:r>
        <w:t>b)</w:t>
      </w:r>
      <w:r>
        <w:tab/>
      </w:r>
      <w:r>
        <w:t>ein vereinbartes Kapitalwahlrecht nicht oder nicht außerhalb des letzten Jahres vor dem vertraglich vorgesehenen Beginn der Altersversorgungsleistung ausgeübt wurde, oder</w:t>
      </w:r>
    </w:p>
    <w:p>
      <w:pPr>
        <w:tabs>
          <w:tab w:pos="567" w:val="left"/>
        </w:tabs>
        <w:ind w:left="567" w:hanging="567"/>
      </w:pPr>
      <w:r>
        <w:t>2.</w:t>
      </w:r>
      <w:r>
        <w:tab/>
      </w:r>
      <w:r>
        <w:t>bei einer reinen Beitragszusage nach § 1 Absatz 2 Nummer 2a des Betriebsrentengesetzes der Pensionsfonds, die Pensionskasse oder die Direktversicherung eine lebenslange Zahlung als Altersversorgungsleistung zu erbringen hat.</w:t>
      </w:r>
    </w:p>
    <w:p>
      <w:r>
        <w:rPr>
          <w:rStyle w:val="Satznummer"/>
        </w:rPr>
        <w:t>3</w:t>
      </w:r>
      <w:r>
        <w:t xml:space="preserve">Die §§ 3 und 4 des Betriebsrentengesetzes stehen dem vorbehaltlich des </w:t>
      </w:r>
      <w:hyperlink w:anchor="b253" w:history="1">
        <w:r>
          <w:rPr>
            <w:color w:val="0A3A8C"/>
            <w:u w:val="single"/>
          </w:rPr>
          <w:t xml:space="preserve">§ 93</w:t>
        </w:r>
      </w:hyperlink>
      <w:r>
        <w:t xml:space="preserve"> nicht entgegen.</w:t>
      </w:r>
    </w:p>
    <w:p>
      <w:r>
        <w:t>(3) Zu den Altersvorsorgebeiträgen gehören auch die Beitragsanteile, die zur Absicherung der verminderten Erwerbsfähigkeit des Zulageberechtigten und zur Hinterbliebenenversorgung verwendet werden, wenn in der Leistungsphase die Auszahlung in Form einer Rente erfolgt.</w:t>
      </w:r>
    </w:p>
    <w:p>
      <w:r>
        <w:t>(4) Nicht zu den Altersvorsorgebeiträgen zählen</w:t>
      </w:r>
    </w:p>
    <w:p>
      <w:pPr>
        <w:tabs>
          <w:tab w:pos="567" w:val="left"/>
        </w:tabs>
        <w:ind w:left="567" w:hanging="567"/>
      </w:pPr>
      <w:r>
        <w:t>1.</w:t>
      </w:r>
      <w:r>
        <w:tab/>
      </w:r>
      <w:r>
        <w:t>Aufwendungen, die vermögenswirksame Leistungen nach dem Fünften Vermögensbildungsgesetz in der jeweils geltenden Fassung darstellen,</w:t>
      </w:r>
    </w:p>
    <w:p>
      <w:pPr>
        <w:tabs>
          <w:tab w:pos="567" w:val="left"/>
        </w:tabs>
        <w:ind w:left="567" w:hanging="567"/>
      </w:pPr>
      <w:r>
        <w:t>2.</w:t>
      </w:r>
      <w:r>
        <w:tab/>
      </w:r>
      <w:r>
        <w:t>prämienbegünstigte Aufwendungen nach dem Wohnungsbau-Prämiengesetz in der Fassung der Bekanntmachung vom 30. Oktober 1997 (BGBl. I S. 2678), zuletzt geändert durch Artikel 5 des Gesetzes vom 29. Juli 2008 (BGBl. I S. 1509), in der jeweils geltenden Fassung,</w:t>
      </w:r>
    </w:p>
    <w:p>
      <w:pPr>
        <w:tabs>
          <w:tab w:pos="567" w:val="left"/>
        </w:tabs>
        <w:ind w:left="567" w:hanging="567"/>
      </w:pPr>
      <w:r>
        <w:t>3.</w:t>
      </w:r>
      <w:r>
        <w:tab/>
      </w:r>
      <w:r>
        <w:t xml:space="preserve">Aufwendungen, die im Rahmen des </w:t>
      </w:r>
      <w:hyperlink w:anchor="b51" w:history="1">
        <w:r>
          <w:rPr>
            <w:color w:val="0A3A8C"/>
            <w:u w:val="single"/>
          </w:rPr>
          <w:t xml:space="preserve">§ 10</w:t>
        </w:r>
      </w:hyperlink>
      <w:r>
        <w:t xml:space="preserve"> als Sonderausgaben geltend gemacht werden,</w:t>
      </w:r>
    </w:p>
    <w:p>
      <w:pPr>
        <w:tabs>
          <w:tab w:pos="567" w:val="left"/>
        </w:tabs>
        <w:ind w:left="567" w:hanging="567"/>
      </w:pPr>
      <w:r>
        <w:t>4.</w:t>
      </w:r>
      <w:r>
        <w:tab/>
      </w:r>
      <w:r>
        <w:t xml:space="preserve">Zahlungen nach </w:t>
      </w:r>
      <w:hyperlink w:anchor="b251" w:history="1">
        <w:r>
          <w:rPr>
            <w:color w:val="0A3A8C"/>
            <w:u w:val="single"/>
          </w:rPr>
          <w:t xml:space="preserve">§ 92a</w:t>
        </w:r>
      </w:hyperlink>
      <w:r>
        <w:t xml:space="preserve"> Absatz 2 Satz 4 Nummer 1 und Absatz 3 Satz 9 Nummer 2 oder</w:t>
      </w:r>
    </w:p>
    <w:p>
      <w:pPr>
        <w:tabs>
          <w:tab w:pos="567" w:val="left"/>
        </w:tabs>
        <w:ind w:left="567" w:hanging="567"/>
      </w:pPr>
      <w:r>
        <w:t>5.</w:t>
      </w:r>
      <w:r>
        <w:tab/>
      </w:r>
      <w:r>
        <w:t xml:space="preserve">Übertragungen im Sinne des </w:t>
      </w:r>
      <w:hyperlink w:anchor="b8" w:history="1">
        <w:r>
          <w:rPr>
            <w:color w:val="0A3A8C"/>
            <w:u w:val="single"/>
          </w:rPr>
          <w:t xml:space="preserve">§ 3</w:t>
        </w:r>
      </w:hyperlink>
      <w:r>
        <w:t xml:space="preserve"> Nummer 55 bis 55c.</w:t>
      </w:r>
    </w:p>
    <w:p>
      <w:r>
        <w:t>(5) (weggefallen)</w:t>
      </w:r>
    </w:p>
    <w:p>
      <w:pPr>
        <w:pStyle w:val="Heading2"/>
      </w:pPr>
      <w:bookmarkStart w:id="242" w:name="b241"/>
      <w:r>
        <w:t>§ 83 Altersvorsorgezulage</w:t>
      </w:r>
      <w:r>
        <w:t xml:space="preserve"> </w:t>
      </w:r>
      <w:r>
        <w:rPr>
          <w:rStyle w:val="Suchmarke"/>
        </w:rPr>
        <w:t>#83#</w:t>
      </w:r>
      <w:bookmarkEnd w:id="242"/>
    </w:p>
    <w:p>
      <w:r>
        <w:t>In Abhängigkeit von den geleisteten Altersvorsorgebeiträgen wird eine Zulage gezahlt, die sich aus einer Grundzulage (</w:t>
      </w:r>
      <w:hyperlink w:anchor="b242" w:history="1">
        <w:r>
          <w:rPr>
            <w:color w:val="0A3A8C"/>
            <w:u w:val="single"/>
          </w:rPr>
          <w:t xml:space="preserve">§ 84</w:t>
        </w:r>
      </w:hyperlink>
      <w:r>
        <w:t>) und einer Kinderzulage (</w:t>
      </w:r>
      <w:hyperlink w:anchor="b243" w:history="1">
        <w:r>
          <w:rPr>
            <w:color w:val="0A3A8C"/>
            <w:u w:val="single"/>
          </w:rPr>
          <w:t xml:space="preserve">§ 85</w:t>
        </w:r>
      </w:hyperlink>
      <w:r>
        <w:t>) zusammensetzt.</w:t>
      </w:r>
    </w:p>
    <w:p>
      <w:pPr>
        <w:pStyle w:val="Heading2"/>
      </w:pPr>
      <w:bookmarkStart w:id="243" w:name="b242"/>
      <w:r>
        <w:t>§ 84 Grundzulage</w:t>
      </w:r>
      <w:r>
        <w:t xml:space="preserve"> </w:t>
      </w:r>
      <w:r>
        <w:rPr>
          <w:rStyle w:val="Suchmarke"/>
        </w:rPr>
        <w:t>#84#</w:t>
      </w:r>
      <w:bookmarkEnd w:id="243"/>
    </w:p>
    <w:p>
      <w:r>
        <w:rPr>
          <w:rStyle w:val="Satznummer"/>
        </w:rPr>
        <w:t>1</w:t>
      </w:r>
      <w:r>
        <w:t xml:space="preserve">Jeder Zulageberechtigte erhält eine Grundzulage; diese beträgt ab dem Beitragsjahr 2018 jährlich 175 Euro. </w:t>
      </w:r>
      <w:r>
        <w:rPr>
          <w:rStyle w:val="Satznummer"/>
        </w:rPr>
        <w:t>2</w:t>
      </w:r>
      <w:r>
        <w:t xml:space="preserve">Für Zulageberechtigte nach </w:t>
      </w:r>
      <w:hyperlink w:anchor="b236" w:history="1">
        <w:r>
          <w:rPr>
            <w:color w:val="0A3A8C"/>
            <w:u w:val="single"/>
          </w:rPr>
          <w:t xml:space="preserve">§ 79</w:t>
        </w:r>
      </w:hyperlink>
      <w:r>
        <w:t xml:space="preserve"> Satz 1, die zu Beginn des Beitragsjahres (</w:t>
      </w:r>
      <w:hyperlink w:anchor="b246" w:history="1">
        <w:r>
          <w:rPr>
            <w:color w:val="0A3A8C"/>
            <w:u w:val="single"/>
          </w:rPr>
          <w:t xml:space="preserve">§ 88</w:t>
        </w:r>
      </w:hyperlink>
      <w:r>
        <w:t xml:space="preserve">) das 25. Lebensjahr noch nicht vollendet haben, erhöht sich die Grundzulage nach Satz 1 um einmalig 200 Euro. </w:t>
      </w:r>
      <w:r>
        <w:rPr>
          <w:rStyle w:val="Satznummer"/>
        </w:rPr>
        <w:t>3</w:t>
      </w:r>
      <w:r>
        <w:t>Die Erhöhung nach Satz 2 ist für das erste nach dem 31. Dezember 2007 beginnende Beitragsjahr zu gewähren, für das eine Altersvorsorgezulage beantragt wird.</w:t>
      </w:r>
    </w:p>
    <w:p>
      <w:pPr>
        <w:pStyle w:val="Heading2"/>
      </w:pPr>
      <w:bookmarkStart w:id="244" w:name="b243"/>
      <w:r>
        <w:t>§ 85 Kinderzulage</w:t>
      </w:r>
      <w:r>
        <w:t xml:space="preserve"> </w:t>
      </w:r>
      <w:r>
        <w:rPr>
          <w:rStyle w:val="Suchmarke"/>
        </w:rPr>
        <w:t>#85#</w:t>
      </w:r>
      <w:bookmarkEnd w:id="244"/>
    </w:p>
    <w:p>
      <w:r>
        <w:t xml:space="preserve">(1) </w:t>
      </w:r>
      <w:r>
        <w:rPr>
          <w:rStyle w:val="Satznummer"/>
        </w:rPr>
        <w:t>1</w:t>
      </w:r>
      <w:r>
        <w:t xml:space="preserve">Die Kinderzulage beträgt für jedes Kind, für das gegenüber dem Zulageberechtigten Kindergeld festgesetzt wird, jährlich 185 Euro. </w:t>
      </w:r>
      <w:r>
        <w:rPr>
          <w:rStyle w:val="Satznummer"/>
        </w:rPr>
        <w:t>2</w:t>
      </w:r>
      <w:r>
        <w:t xml:space="preserve">Für ein nach dem 31. Dezember 2007 geborenes Kind erhöht sich die Kinderzulage nach Satz 1 auf 300 Euro. </w:t>
      </w:r>
      <w:r>
        <w:rPr>
          <w:rStyle w:val="Satznummer"/>
        </w:rPr>
        <w:t>3</w:t>
      </w:r>
      <w:r>
        <w:t xml:space="preserve">Der Anspruch auf Kinderzulage entfällt für den Veranlagungszeitraum, für den das Kindergeld insgesamt zurückgefordert wird. </w:t>
      </w:r>
      <w:r>
        <w:rPr>
          <w:rStyle w:val="Satznummer"/>
        </w:rPr>
        <w:t>4</w:t>
      </w:r>
      <w:r>
        <w:t>Erhalten mehrere Zulageberechtigte für dasselbe Kind Kindergeld, steht die Kinderzulage demjenigen zu, dem gegenüber für den ersten Anspruchszeitraum (</w:t>
      </w:r>
      <w:hyperlink w:anchor="b221" w:history="1">
        <w:r>
          <w:rPr>
            <w:color w:val="0A3A8C"/>
            <w:u w:val="single"/>
          </w:rPr>
          <w:t xml:space="preserve">§ 66</w:t>
        </w:r>
      </w:hyperlink>
      <w:r>
        <w:t xml:space="preserve"> Absatz 2) im Kalenderjahr Kindergeld festgesetzt worden ist.</w:t>
      </w:r>
    </w:p>
    <w:p>
      <w:r>
        <w:t xml:space="preserve">(2) </w:t>
      </w:r>
      <w:r>
        <w:rPr>
          <w:rStyle w:val="Satznummer"/>
        </w:rPr>
        <w:t>1</w:t>
      </w:r>
      <w:r>
        <w:t>Bei Eltern verschiedenen Geschlechts, die miteinander verheiratet sind, nicht dauernd getrennt leben (</w:t>
      </w:r>
      <w:hyperlink w:anchor="b99" w:history="1">
        <w:r>
          <w:rPr>
            <w:color w:val="0A3A8C"/>
            <w:u w:val="single"/>
          </w:rPr>
          <w:t xml:space="preserve">§ 26</w:t>
        </w:r>
      </w:hyperlink>
      <w:r>
        <w:t xml:space="preserve"> Absatz 1) und ihren Wohnsitz oder gewöhnlichen Aufenthalt in einem Mitgliedstaat der Europäischen Union oder einem Staat haben, auf den das Abkommen über den Europäischen Wirtschaftsraum (EWR-Abkommen) anwendbar ist, wird die Kinderzulage der Mutter zugeordnet, auf Antrag beider Eltern dem Vater. </w:t>
      </w:r>
      <w:r>
        <w:rPr>
          <w:rStyle w:val="Satznummer"/>
        </w:rPr>
        <w:t>2</w:t>
      </w:r>
      <w:r>
        <w:t>Bei Eltern gleichen Geschlechts, die miteinander verheiratet sind oder eine Lebenspartnerschaft führen, nicht dauernd getrennt leben (</w:t>
      </w:r>
      <w:hyperlink w:anchor="b99" w:history="1">
        <w:r>
          <w:rPr>
            <w:color w:val="0A3A8C"/>
            <w:u w:val="single"/>
          </w:rPr>
          <w:t xml:space="preserve">§ 26</w:t>
        </w:r>
      </w:hyperlink>
      <w:r>
        <w:t xml:space="preserve"> Absatz 1) und ihren Wohnsitz oder gewöhnlichen Aufenthalt in einem Mitgliedstaat der Europäischen Union oder einem Staat haben, auf den das EWR-Abkommen anwendbar ist, ist die Kinderzulage dem Elternteil zuzuordnen, dem gegenüber das Kindergeld festgesetzt wird, auf Antrag beider Eltern dem anderen Elternteil. </w:t>
      </w:r>
      <w:r>
        <w:rPr>
          <w:rStyle w:val="Satznummer"/>
        </w:rPr>
        <w:t>3</w:t>
      </w:r>
      <w:r>
        <w:t>Der Antrag kann für ein abgelaufenes Beitragsjahr nicht zurückgenommen werden.</w:t>
      </w:r>
    </w:p>
    <w:p>
      <w:pPr>
        <w:pStyle w:val="Heading2"/>
      </w:pPr>
      <w:bookmarkStart w:id="245" w:name="b244"/>
      <w:r>
        <w:t>§ 86 Mindesteigenbeitrag</w:t>
      </w:r>
      <w:r>
        <w:t xml:space="preserve"> </w:t>
      </w:r>
      <w:r>
        <w:rPr>
          <w:rStyle w:val="Suchmarke"/>
        </w:rPr>
        <w:t>#86#</w:t>
      </w:r>
      <w:bookmarkEnd w:id="245"/>
    </w:p>
    <w:p>
      <w:r>
        <w:t xml:space="preserve">(1) </w:t>
      </w:r>
      <w:r>
        <w:rPr>
          <w:rStyle w:val="Satznummer"/>
        </w:rPr>
        <w:t>1</w:t>
      </w:r>
      <w:r>
        <w:t xml:space="preserve">Die Zulage nach den </w:t>
      </w:r>
      <w:hyperlink w:anchor="b242" w:history="1">
        <w:r>
          <w:rPr>
            <w:color w:val="0A3A8C"/>
            <w:u w:val="single"/>
          </w:rPr>
          <w:t xml:space="preserve">§§ 84</w:t>
        </w:r>
      </w:hyperlink>
      <w:r>
        <w:t xml:space="preserve"> und </w:t>
      </w:r>
      <w:hyperlink w:anchor="b243" w:history="1">
        <w:r>
          <w:rPr>
            <w:color w:val="0A3A8C"/>
            <w:u w:val="single"/>
          </w:rPr>
          <w:t xml:space="preserve">85</w:t>
        </w:r>
      </w:hyperlink>
      <w:r>
        <w:t xml:space="preserve"> wird gekürzt, wenn der Zulageberechtigte nicht den Mindesteigenbeitrag leistet. </w:t>
      </w:r>
      <w:r>
        <w:rPr>
          <w:rStyle w:val="Satznummer"/>
        </w:rPr>
        <w:t>2</w:t>
      </w:r>
      <w:r>
        <w:t>Dieser beträgt jährlich 4 Prozent der Summe der in dem dem Kalenderjahr vorangegangenen Kalenderjahr</w:t>
      </w:r>
    </w:p>
    <w:p>
      <w:pPr>
        <w:tabs>
          <w:tab w:pos="567" w:val="left"/>
        </w:tabs>
        <w:ind w:left="567" w:hanging="567"/>
      </w:pPr>
      <w:r>
        <w:t>1.</w:t>
      </w:r>
      <w:r>
        <w:tab/>
      </w:r>
      <w:r>
        <w:t>erzielten beitragspflichtigen Einnahmen im Sinne des Sechsten Buches Sozialgesetzbuch,</w:t>
      </w:r>
    </w:p>
    <w:p>
      <w:pPr>
        <w:tabs>
          <w:tab w:pos="567" w:val="left"/>
        </w:tabs>
        <w:ind w:left="567" w:hanging="567"/>
      </w:pPr>
      <w:r>
        <w:t>2.</w:t>
      </w:r>
      <w:r>
        <w:tab/>
      </w:r>
      <w:r>
        <w:t>bezogenen Besoldung und Amtsbezüge,</w:t>
      </w:r>
    </w:p>
    <w:p>
      <w:pPr>
        <w:tabs>
          <w:tab w:pos="567" w:val="left"/>
        </w:tabs>
        <w:ind w:left="567" w:hanging="567"/>
      </w:pPr>
      <w:r>
        <w:t>3.</w:t>
      </w:r>
      <w:r>
        <w:tab/>
      </w:r>
      <w:r>
        <w:t xml:space="preserve">in den Fällen des </w:t>
      </w:r>
      <w:hyperlink w:anchor="b52" w:history="1">
        <w:r>
          <w:rPr>
            <w:color w:val="0A3A8C"/>
            <w:u w:val="single"/>
          </w:rPr>
          <w:t xml:space="preserve">§ 10a</w:t>
        </w:r>
      </w:hyperlink>
      <w:r>
        <w:t xml:space="preserve"> Absatz 1 Satz 1 Nummer 3 und Nummer 4 erzielten Einnahmen, die beitragspflichtig wären, wenn die Versicherungsfreiheit in der gesetzlichen Rentenversicherung nicht bestehen würde und</w:t>
      </w:r>
    </w:p>
    <w:p>
      <w:pPr>
        <w:tabs>
          <w:tab w:pos="567" w:val="left"/>
        </w:tabs>
        <w:ind w:left="567" w:hanging="567"/>
      </w:pPr>
      <w:r>
        <w:t>4.</w:t>
      </w:r>
      <w:r>
        <w:tab/>
      </w:r>
      <w:r>
        <w:t xml:space="preserve">bezogenen Rente wegen voller Erwerbsminderung oder Erwerbsunfähigkeit oder bezogenen Versorgungsbezüge wegen Dienstunfähigkeit in den Fällen des </w:t>
      </w:r>
      <w:hyperlink w:anchor="b52" w:history="1">
        <w:r>
          <w:rPr>
            <w:color w:val="0A3A8C"/>
            <w:u w:val="single"/>
          </w:rPr>
          <w:t xml:space="preserve">§ 10a</w:t>
        </w:r>
      </w:hyperlink>
      <w:r>
        <w:t xml:space="preserve"> Absatz 1 Satz 4,</w:t>
      </w:r>
    </w:p>
    <w:p>
      <w:r>
        <w:t xml:space="preserve">jedoch nicht mehr als der in </w:t>
      </w:r>
      <w:hyperlink w:anchor="b52" w:history="1">
        <w:r>
          <w:rPr>
            <w:color w:val="0A3A8C"/>
            <w:u w:val="single"/>
          </w:rPr>
          <w:t xml:space="preserve">§ 10a</w:t>
        </w:r>
      </w:hyperlink>
      <w:r>
        <w:t xml:space="preserve"> Absatz 1 Satz 1 genannte Höchstbetrag, vermindert um die Zulage nach den </w:t>
      </w:r>
      <w:hyperlink w:anchor="b242" w:history="1">
        <w:r>
          <w:rPr>
            <w:color w:val="0A3A8C"/>
            <w:u w:val="single"/>
          </w:rPr>
          <w:t xml:space="preserve">§§ 84</w:t>
        </w:r>
      </w:hyperlink>
      <w:r>
        <w:t xml:space="preserve"> und </w:t>
      </w:r>
      <w:hyperlink w:anchor="b243" w:history="1">
        <w:r>
          <w:rPr>
            <w:color w:val="0A3A8C"/>
            <w:u w:val="single"/>
          </w:rPr>
          <w:t xml:space="preserve">85</w:t>
        </w:r>
      </w:hyperlink>
      <w:r>
        <w:t xml:space="preserve">; gehört der Ehegatte zum Personenkreis nach </w:t>
      </w:r>
      <w:hyperlink w:anchor="b236" w:history="1">
        <w:r>
          <w:rPr>
            <w:color w:val="0A3A8C"/>
            <w:u w:val="single"/>
          </w:rPr>
          <w:t xml:space="preserve">§ 79</w:t>
        </w:r>
      </w:hyperlink>
      <w:r>
        <w:t xml:space="preserve"> Satz 2, berechnet sich der Mindesteigenbeitrag des nach § 79 Satz 1 Begünstigten unter Berücksichtigung der den Ehegatten insgesamt zustehenden Zulagen. </w:t>
      </w:r>
      <w:r>
        <w:rPr>
          <w:rStyle w:val="Satznummer"/>
        </w:rPr>
        <w:t>3</w:t>
      </w:r>
      <w:r>
        <w:t xml:space="preserve">Auslandsbezogene Bestandteile nach den </w:t>
      </w:r>
      <w:hyperlink w:anchor="b206" w:history="1">
        <w:r>
          <w:rPr>
            <w:color w:val="0A3A8C"/>
            <w:u w:val="single"/>
          </w:rPr>
          <w:t xml:space="preserve">§§ 52</w:t>
        </w:r>
      </w:hyperlink>
      <w:r>
        <w:t xml:space="preserve"> ff. des Bundesbesoldungsgesetzes oder entsprechender Regelungen eines Landesbesoldungsgesetzes bleiben unberücksichtigt. </w:t>
      </w:r>
      <w:r>
        <w:rPr>
          <w:rStyle w:val="Satznummer"/>
        </w:rPr>
        <w:t>4</w:t>
      </w:r>
      <w:r>
        <w:t xml:space="preserve">Als Sockelbetrag sind ab dem Jahr 2005 jährlich 60 Euro zu leisten. </w:t>
      </w:r>
      <w:r>
        <w:rPr>
          <w:rStyle w:val="Satznummer"/>
        </w:rPr>
        <w:t>5</w:t>
      </w:r>
      <w:r>
        <w:t xml:space="preserve">Ist der Sockelbetrag höher als der Mindesteigenbeitrag nach Satz 2, so ist der Sockelbetrag als Mindesteigenbeitrag zu leisten. </w:t>
      </w:r>
      <w:r>
        <w:rPr>
          <w:rStyle w:val="Satznummer"/>
        </w:rPr>
        <w:t>6</w:t>
      </w:r>
      <w:r>
        <w:t>Die Kürzung der Zulage ermittelt sich nach dem Verhältnis der Altersvorsorgebeiträge zum Mindesteigenbeitrag.</w:t>
      </w:r>
    </w:p>
    <w:p>
      <w:r>
        <w:t xml:space="preserve">(2) </w:t>
      </w:r>
      <w:r>
        <w:rPr>
          <w:rStyle w:val="Satznummer"/>
        </w:rPr>
        <w:t>1</w:t>
      </w:r>
      <w:r>
        <w:t xml:space="preserve">Ein nach </w:t>
      </w:r>
      <w:hyperlink w:anchor="b236" w:history="1">
        <w:r>
          <w:rPr>
            <w:color w:val="0A3A8C"/>
            <w:u w:val="single"/>
          </w:rPr>
          <w:t xml:space="preserve">§ 79</w:t>
        </w:r>
      </w:hyperlink>
      <w:r>
        <w:t xml:space="preserve"> Satz 2 begünstigter Ehegatte hat Anspruch auf eine ungekürzte Zulage, wenn der zum begünstigten Personenkreis nach </w:t>
      </w:r>
      <w:hyperlink w:anchor="b236" w:history="1">
        <w:r>
          <w:rPr>
            <w:color w:val="0A3A8C"/>
            <w:u w:val="single"/>
          </w:rPr>
          <w:t xml:space="preserve">§ 79</w:t>
        </w:r>
      </w:hyperlink>
      <w:r>
        <w:t xml:space="preserve"> Satz 1 gehörende Ehegatte seinen geförderten Mindesteigenbeitrag unter Berücksichtigung der den Ehegatten insgesamt zustehenden Zulagen erbracht hat. </w:t>
      </w:r>
      <w:r>
        <w:rPr>
          <w:rStyle w:val="Satznummer"/>
        </w:rPr>
        <w:t>2</w:t>
      </w:r>
      <w:r>
        <w:t xml:space="preserve">Werden bei einer in der gesetzlichen Rentenversicherung pflichtversicherten Person beitragspflichtige Einnahmen zu Grunde gelegt, die höher sind als das tatsächlich erzielte Entgelt oder die Entgeltersatzleistung, ist das tatsächlich erzielte Entgelt oder der Zahlbetrag der Entgeltersatzleistung für die Berechnung des Mindesteigenbeitrags zu berücksichtigen. </w:t>
      </w:r>
      <w:r>
        <w:rPr>
          <w:rStyle w:val="Satznummer"/>
        </w:rPr>
        <w:t>3</w:t>
      </w:r>
      <w:r>
        <w:t>Für die nicht erwerbsmäßig ausgeübte Pflegetätigkeit einer nach § 3 Satz 1 Nummer 1a des Sechsten Buches Sozialgesetzbuch rentenversicherungspflichtigen Person ist für die Berechnung des Mindesteigenbeitrags ein tatsächlich erzieltes Entgelt von 0 Euro zu berücksichtigen.</w:t>
      </w:r>
    </w:p>
    <w:p>
      <w:r>
        <w:t xml:space="preserve">(3) </w:t>
      </w:r>
      <w:r>
        <w:rPr>
          <w:rStyle w:val="Satznummer"/>
        </w:rPr>
        <w:t>1</w:t>
      </w:r>
      <w:r>
        <w:t xml:space="preserve">Für Versicherungspflichtige nach dem Gesetz über die Alterssicherung der Landwirte ist Absatz 1 mit der Maßgabe anzuwenden, dass auch die Einkünfte aus Land- und Forstwirtschaft im Sinne des § 13 des zweiten dem Beitragsjahr vorangegangenen Veranlagungszeitraums als beitragspflichtige Einnahmen des vorangegangenen Kalenderjahres gelten. </w:t>
      </w:r>
      <w:r>
        <w:rPr>
          <w:rStyle w:val="Satznummer"/>
        </w:rPr>
        <w:t>2</w:t>
      </w:r>
      <w:r>
        <w:t>Negative Einkünfte im Sinne des Satzes 1 bleiben unberücksichtigt, wenn weitere nach Absatz 1 oder Absatz 2 zu berücksichtigende Einnahmen erzielt werden.</w:t>
      </w:r>
    </w:p>
    <w:p>
      <w:r>
        <w:t>(4) Wird nach Ablauf des Beitragsjahres festgestellt, dass die Voraussetzungen für die Gewährung einer Kinderzulage nicht vorgelegen haben, ändert sich dadurch die Berechnung des Mindesteigenbeitrags für dieses Beitragsjahr nicht.</w:t>
      </w:r>
    </w:p>
    <w:p>
      <w:r>
        <w:t xml:space="preserve">(5) Bei den in </w:t>
      </w:r>
      <w:hyperlink w:anchor="b52" w:history="1">
        <w:r>
          <w:rPr>
            <w:color w:val="0A3A8C"/>
            <w:u w:val="single"/>
          </w:rPr>
          <w:t xml:space="preserve">§ 10a</w:t>
        </w:r>
      </w:hyperlink>
      <w:r>
        <w:t xml:space="preserve"> Absatz 6 Satz 1 und 2 genannten Personen ist der Summe nach Absatz 1 Satz 2 die Summe folgender Einnahmen und Leistungen aus dem dem Kalenderjahr vorangegangenen Kalenderjahr hinzuzurechnen:</w:t>
      </w:r>
    </w:p>
    <w:p>
      <w:pPr>
        <w:tabs>
          <w:tab w:pos="567" w:val="left"/>
        </w:tabs>
        <w:ind w:left="567" w:hanging="567"/>
      </w:pPr>
      <w:r>
        <w:t>1.</w:t>
      </w:r>
      <w:r>
        <w:tab/>
      </w:r>
      <w:r>
        <w:t xml:space="preserve">die erzielten Einnahmen aus der Tätigkeit, die die Zugehörigkeit zum Personenkreis des </w:t>
      </w:r>
      <w:hyperlink w:anchor="b52" w:history="1">
        <w:r>
          <w:rPr>
            <w:color w:val="0A3A8C"/>
            <w:u w:val="single"/>
          </w:rPr>
          <w:t xml:space="preserve">§ 10a</w:t>
        </w:r>
      </w:hyperlink>
      <w:r>
        <w:t xml:space="preserve"> Absatz 6 Satz 1 begründet, und</w:t>
      </w:r>
    </w:p>
    <w:p>
      <w:pPr>
        <w:tabs>
          <w:tab w:pos="567" w:val="left"/>
        </w:tabs>
        <w:ind w:left="567" w:hanging="567"/>
      </w:pPr>
      <w:r>
        <w:t>2.</w:t>
      </w:r>
      <w:r>
        <w:tab/>
      </w:r>
      <w:r>
        <w:t xml:space="preserve">die bezogenen Leistungen im Sinne des </w:t>
      </w:r>
      <w:hyperlink w:anchor="b52" w:history="1">
        <w:r>
          <w:rPr>
            <w:color w:val="0A3A8C"/>
            <w:u w:val="single"/>
          </w:rPr>
          <w:t xml:space="preserve">§ 10a</w:t>
        </w:r>
      </w:hyperlink>
      <w:r>
        <w:t xml:space="preserve"> Absatz 6 Satz 2 Nummer 1.</w:t>
      </w:r>
    </w:p>
    <w:p>
      <w:pPr>
        <w:pStyle w:val="Heading2"/>
      </w:pPr>
      <w:bookmarkStart w:id="246" w:name="b245"/>
      <w:r>
        <w:t>§ 87 Zusammentreffen mehrerer Verträge</w:t>
      </w:r>
      <w:r>
        <w:t xml:space="preserve"> </w:t>
      </w:r>
      <w:r>
        <w:rPr>
          <w:rStyle w:val="Suchmarke"/>
        </w:rPr>
        <w:t>#87#</w:t>
      </w:r>
      <w:bookmarkEnd w:id="246"/>
    </w:p>
    <w:p>
      <w:r>
        <w:t xml:space="preserve">(1) </w:t>
      </w:r>
      <w:r>
        <w:rPr>
          <w:rStyle w:val="Satznummer"/>
        </w:rPr>
        <w:t>1</w:t>
      </w:r>
      <w:r>
        <w:t xml:space="preserve">Zahlt der nach § 79 Satz 1 Zulageberechtigte Altersvorsorgebeiträge zugunsten mehrerer Verträge, so wird die Zulage nur für zwei dieser Verträge gewährt. </w:t>
      </w:r>
      <w:r>
        <w:rPr>
          <w:rStyle w:val="Satznummer"/>
        </w:rPr>
        <w:t>2</w:t>
      </w:r>
      <w:r>
        <w:t xml:space="preserve">Der insgesamt nach </w:t>
      </w:r>
      <w:hyperlink w:anchor="b244" w:history="1">
        <w:r>
          <w:rPr>
            <w:color w:val="0A3A8C"/>
            <w:u w:val="single"/>
          </w:rPr>
          <w:t xml:space="preserve">§ 86</w:t>
        </w:r>
      </w:hyperlink>
      <w:r>
        <w:t xml:space="preserve"> zu leistende Mindesteigenbeitrag muss zugunsten dieser Verträge geleistet worden sein. </w:t>
      </w:r>
      <w:r>
        <w:rPr>
          <w:rStyle w:val="Satznummer"/>
        </w:rPr>
        <w:t>3</w:t>
      </w:r>
      <w:r>
        <w:t>Die Zulage ist entsprechend dem Verhältnis der auf diese Verträge geleisteten Beiträge zu verteilen.</w:t>
      </w:r>
    </w:p>
    <w:p>
      <w:r>
        <w:t xml:space="preserve">(2) </w:t>
      </w:r>
      <w:r>
        <w:rPr>
          <w:rStyle w:val="Satznummer"/>
        </w:rPr>
        <w:t>1</w:t>
      </w:r>
      <w:r>
        <w:t xml:space="preserve">Der nach § 79 Satz 2 Zulageberechtigte kann die Zulage für das jeweilige Beitragsjahr nicht auf mehrere Altersvorsorgeverträge verteilen. </w:t>
      </w:r>
      <w:r>
        <w:rPr>
          <w:rStyle w:val="Satznummer"/>
        </w:rPr>
        <w:t>2</w:t>
      </w:r>
      <w:r>
        <w:t>Es ist nur der Altersvorsorgevertrag begünstigt, für den zuerst die Zulage beantragt wird.</w:t>
      </w:r>
    </w:p>
    <w:p>
      <w:pPr>
        <w:pStyle w:val="Heading2"/>
      </w:pPr>
      <w:bookmarkStart w:id="247" w:name="b246"/>
      <w:r>
        <w:t>§ 88 Entstehung des Anspruchs auf Zulage</w:t>
      </w:r>
      <w:r>
        <w:t xml:space="preserve"> </w:t>
      </w:r>
      <w:r>
        <w:rPr>
          <w:rStyle w:val="Suchmarke"/>
        </w:rPr>
        <w:t>#88#</w:t>
      </w:r>
      <w:bookmarkEnd w:id="247"/>
    </w:p>
    <w:p>
      <w:r>
        <w:t>Der Anspruch auf die Zulage entsteht mit Ablauf des Kalenderjahres, in dem die Altersvorsorgebeiträge geleistet worden sind (Beitragsjahr).</w:t>
      </w:r>
    </w:p>
    <w:p>
      <w:pPr>
        <w:pStyle w:val="Heading2"/>
      </w:pPr>
      <w:bookmarkStart w:id="248" w:name="b247"/>
      <w:r>
        <w:t>§ 89 Antrag</w:t>
      </w:r>
      <w:r>
        <w:t xml:space="preserve"> </w:t>
      </w:r>
      <w:r>
        <w:rPr>
          <w:rStyle w:val="Suchmarke"/>
        </w:rPr>
        <w:t>#89#</w:t>
      </w:r>
      <w:bookmarkEnd w:id="248"/>
    </w:p>
    <w:p>
      <w:r>
        <w:t xml:space="preserve">(1) </w:t>
      </w:r>
      <w:r>
        <w:rPr>
          <w:rStyle w:val="Satznummer"/>
        </w:rPr>
        <w:t>1</w:t>
      </w:r>
      <w:r>
        <w:t>Der Zulageberechtigte hat den Antrag auf Zulage nach amtlich vorgeschriebenem Vordruck bis zum Ablauf des zweiten Kalenderjahres, das auf das Beitragsjahr (</w:t>
      </w:r>
      <w:hyperlink w:anchor="b246" w:history="1">
        <w:r>
          <w:rPr>
            <w:color w:val="0A3A8C"/>
            <w:u w:val="single"/>
          </w:rPr>
          <w:t xml:space="preserve">§ 88</w:t>
        </w:r>
      </w:hyperlink>
      <w:r>
        <w:t xml:space="preserve">) folgt, bei dem Anbieter seines Vertrages einzureichen; dies kann auch elektronisch unter Angabe der erforderlichen Antragsdaten erfolgen, wenn sowohl der Anbieter als auch der Zulageberechtigte mit diesem Verfahren einverstanden sind. </w:t>
      </w:r>
      <w:r>
        <w:rPr>
          <w:rStyle w:val="Satznummer"/>
        </w:rPr>
        <w:t>2</w:t>
      </w:r>
      <w:r>
        <w:t xml:space="preserve">Hat der Zulageberechtigte im Beitragsjahr Altersvorsorgebeiträge für mehrere Verträge gezahlt, so hat er mit dem Zulageantrag zu bestimmen, auf welche Verträge die Zulage überwiesen werden soll. </w:t>
      </w:r>
      <w:r>
        <w:rPr>
          <w:rStyle w:val="Satznummer"/>
        </w:rPr>
        <w:t>3</w:t>
      </w:r>
      <w:r>
        <w:t xml:space="preserve">Beantragt der Zulageberechtigte die Zulage für mehr als zwei Verträge, so wird die Zulage nur für die zwei Verträge mit den höchsten Altersvorsorgebeiträgen gewährt. </w:t>
      </w:r>
      <w:r>
        <w:rPr>
          <w:rStyle w:val="Satznummer"/>
        </w:rPr>
        <w:t>4</w:t>
      </w:r>
      <w:r>
        <w:t>Sofern eine Zulagenummer (</w:t>
      </w:r>
      <w:hyperlink w:anchor="b248" w:history="1">
        <w:r>
          <w:rPr>
            <w:color w:val="0A3A8C"/>
            <w:u w:val="single"/>
          </w:rPr>
          <w:t xml:space="preserve">§ 90</w:t>
        </w:r>
      </w:hyperlink>
      <w:r>
        <w:t xml:space="preserve"> Absatz 1 Satz 2) durch die zentrale Stelle (</w:t>
      </w:r>
      <w:hyperlink w:anchor="b238" w:history="1">
        <w:r>
          <w:rPr>
            <w:color w:val="0A3A8C"/>
            <w:u w:val="single"/>
          </w:rPr>
          <w:t xml:space="preserve">§ 81</w:t>
        </w:r>
      </w:hyperlink>
      <w:r>
        <w:t xml:space="preserve">) oder eine Versicherungsnummer nach § 147 des Sechsten Buches Sozialgesetzbuch für den nach </w:t>
      </w:r>
      <w:hyperlink w:anchor="b236" w:history="1">
        <w:r>
          <w:rPr>
            <w:color w:val="0A3A8C"/>
            <w:u w:val="single"/>
          </w:rPr>
          <w:t xml:space="preserve">§ 79</w:t>
        </w:r>
      </w:hyperlink>
      <w:r>
        <w:t xml:space="preserve"> Satz 2 berechtigten Ehegatten noch nicht vergeben ist, hat dieser über seinen Anbieter eine Zulagenummer bei der zentralen Stelle zu beantragen. </w:t>
      </w:r>
      <w:r>
        <w:rPr>
          <w:rStyle w:val="Satznummer"/>
        </w:rPr>
        <w:t>5</w:t>
      </w:r>
      <w:r>
        <w:t>Der Antragsteller ist verpflichtet, dem Anbieter unverzüglich eine Änderung der Verhältnisse mitzuteilen, die zu einer Minderung oder zum Wegfall des Zulageanspruchs führt; dies kann auch elektronisch erfolgen, wenn sowohl der Anbieter als auch der Zulageberechtigte mit diesem Verfahren einverstanden sind.</w:t>
      </w:r>
    </w:p>
    <w:p>
      <w:r>
        <w:t xml:space="preserve">(1a) </w:t>
      </w:r>
      <w:r>
        <w:rPr>
          <w:rStyle w:val="Satznummer"/>
        </w:rPr>
        <w:t>1</w:t>
      </w:r>
      <w:r>
        <w:t xml:space="preserve">Der Zulageberechtigte kann den Anbieter seines Vertrages unter Angabe der erforderlichen Antragsdaten schriftlich bevollmächtigen, für ihn abweichend von Absatz 1 die Zulage für jedes Beitragsjahr zu beantragen; dies kann auch elektronisch erfolgen, wenn sowohl der Anbieter als auch der Zulageberechtigte mit diesem Verfahren einverstanden sind. </w:t>
      </w:r>
      <w:r>
        <w:rPr>
          <w:rStyle w:val="Satznummer"/>
        </w:rPr>
        <w:t>2</w:t>
      </w:r>
      <w:r>
        <w:t xml:space="preserve">Absatz 1 Satz 5 gilt mit Ausnahme der Mitteilung geänderter beitragspflichtiger Einnahmen im Sinne des Sechsten Buches Sozialgesetzbuch entsprechend; erlangt der Anbieter von einer Änderung der Verhältnisse Kenntnis, hat dieser die zentrale Stelle zu unterrichten. </w:t>
      </w:r>
      <w:r>
        <w:rPr>
          <w:rStyle w:val="Satznummer"/>
        </w:rPr>
        <w:t>3</w:t>
      </w:r>
      <w:r>
        <w:t>Ein Widerruf der Vollmacht ist bis zum Ablauf des Beitragsjahres, für das der Anbieter keinen Antrag auf Zulage stellen soll, gegenüber dem Anbieter zu erklären.</w:t>
      </w:r>
    </w:p>
    <w:p>
      <w:r>
        <w:t xml:space="preserve">(2) </w:t>
      </w:r>
      <w:r>
        <w:rPr>
          <w:rStyle w:val="Satznummer"/>
        </w:rPr>
        <w:t>1</w:t>
      </w:r>
      <w:r>
        <w:t>Der Anbieter ist verpflichtet,</w:t>
      </w:r>
    </w:p>
    <w:p>
      <w:pPr>
        <w:tabs>
          <w:tab w:pos="567" w:val="left"/>
        </w:tabs>
        <w:ind w:left="567" w:hanging="567"/>
      </w:pPr>
      <w:r>
        <w:t>a)</w:t>
      </w:r>
      <w:r>
        <w:tab/>
      </w:r>
      <w:r>
        <w:t>die Vertragsdaten,</w:t>
      </w:r>
    </w:p>
    <w:p>
      <w:pPr>
        <w:tabs>
          <w:tab w:pos="567" w:val="left"/>
        </w:tabs>
        <w:ind w:left="567" w:hanging="567"/>
      </w:pPr>
      <w:r>
        <w:t>b)</w:t>
      </w:r>
      <w:r>
        <w:tab/>
      </w:r>
      <w:r>
        <w:t xml:space="preserve">die Identifikationsnummer, die Versicherungsnummer nach § 147 des Sechsten Buches Sozialgesetzbuch, die Zulagenummer des Zulageberechtigten und dessen Ehegatten oder einen Antrag auf Vergabe einer Zulagenummer eines nach </w:t>
      </w:r>
      <w:hyperlink w:anchor="b236" w:history="1">
        <w:r>
          <w:rPr>
            <w:color w:val="0A3A8C"/>
            <w:u w:val="single"/>
          </w:rPr>
          <w:t xml:space="preserve">§ 79</w:t>
        </w:r>
      </w:hyperlink>
      <w:r>
        <w:t xml:space="preserve"> Satz 2 berechtigten Ehegatten,</w:t>
      </w:r>
    </w:p>
    <w:p>
      <w:pPr>
        <w:tabs>
          <w:tab w:pos="567" w:val="left"/>
        </w:tabs>
        <w:ind w:left="567" w:hanging="567"/>
      </w:pPr>
      <w:r>
        <w:t>c)</w:t>
      </w:r>
      <w:r>
        <w:tab/>
      </w:r>
      <w:r>
        <w:t>die vom Zulageberechtigten mitgeteilten Angaben zur Ermittlung des Mindesteigenbeitrags (</w:t>
      </w:r>
      <w:hyperlink w:anchor="b244" w:history="1">
        <w:r>
          <w:rPr>
            <w:color w:val="0A3A8C"/>
            <w:u w:val="single"/>
          </w:rPr>
          <w:t xml:space="preserve">§ 86</w:t>
        </w:r>
      </w:hyperlink>
      <w:r>
        <w:t>),</w:t>
      </w:r>
    </w:p>
    <w:p>
      <w:pPr>
        <w:tabs>
          <w:tab w:pos="567" w:val="left"/>
        </w:tabs>
        <w:ind w:left="567" w:hanging="567"/>
      </w:pPr>
      <w:r>
        <w:t>d)</w:t>
      </w:r>
      <w:r>
        <w:tab/>
      </w:r>
      <w:r>
        <w:t>die Identifikationsnummer des Kindes sowie die weiteren für die Gewährung der Kinderzulage erforderlichen Daten,</w:t>
      </w:r>
    </w:p>
    <w:p>
      <w:pPr>
        <w:tabs>
          <w:tab w:pos="567" w:val="left"/>
        </w:tabs>
        <w:ind w:left="567" w:hanging="567"/>
      </w:pPr>
      <w:r>
        <w:t>e)</w:t>
      </w:r>
      <w:r>
        <w:tab/>
      </w:r>
      <w:r>
        <w:t>die Höhe der geleisteten Altersvorsorgebeiträge und</w:t>
      </w:r>
    </w:p>
    <w:p>
      <w:pPr>
        <w:tabs>
          <w:tab w:pos="567" w:val="left"/>
        </w:tabs>
        <w:ind w:left="567" w:hanging="567"/>
      </w:pPr>
      <w:r>
        <w:t>f)</w:t>
      </w:r>
      <w:r>
        <w:tab/>
      </w:r>
      <w:r>
        <w:t>das Vorliegen einer nach Absatz 1a erteilten Vollmacht</w:t>
      </w:r>
    </w:p>
    <w:p>
      <w:r>
        <w:t xml:space="preserve">als die für die Ermittlung und Überprüfung des Zulageanspruchs und Durchführung des Zulageverfahrens erforderlichen Daten zu erfassen. </w:t>
      </w:r>
      <w:r>
        <w:rPr>
          <w:rStyle w:val="Satznummer"/>
        </w:rPr>
        <w:t>2</w:t>
      </w:r>
      <w:r>
        <w:t xml:space="preserve">Er hat die Daten der bei ihm im Laufe eines Kalendervierteljahres eingegangenen Anträge bis zum Ende des folgenden Monats nach amtlich vorgeschriebenem Datensatz durch amtlich bestimmte Datenfernübertragung an die zentrale Stelle zu übermitteln. </w:t>
      </w:r>
      <w:r>
        <w:rPr>
          <w:rStyle w:val="Satznummer"/>
        </w:rPr>
        <w:t>3</w:t>
      </w:r>
      <w:r>
        <w:t xml:space="preserve">Dies gilt auch im Fall des Absatzes 1 Satz 5. </w:t>
      </w:r>
      <w:r>
        <w:rPr>
          <w:rStyle w:val="Satznummer"/>
        </w:rPr>
        <w:t>4</w:t>
      </w:r>
      <w:hyperlink w:anchor="b91" w:history="1">
        <w:r>
          <w:rPr>
            <w:color w:val="0A3A8C"/>
            <w:u w:val="single"/>
          </w:rPr>
          <w:t xml:space="preserve">§ 22a</w:t>
        </w:r>
      </w:hyperlink>
      <w:r>
        <w:t xml:space="preserve"> Absatz 2 gilt entsprechend.</w:t>
      </w:r>
    </w:p>
    <w:p>
      <w:r>
        <w:t xml:space="preserve">(3) </w:t>
      </w:r>
      <w:r>
        <w:rPr>
          <w:rStyle w:val="Satznummer"/>
        </w:rPr>
        <w:t>1</w:t>
      </w:r>
      <w:r>
        <w:t xml:space="preserve">Ist der Anbieter nach Absatz 1a Satz 1 bevollmächtigt worden, hat er der zentralen Stelle die nach Absatz 2 Satz 1 erforderlichen Angaben für jedes Kalenderjahr bis zum Ablauf des auf das Beitragsjahr folgenden Kalenderjahres zu übermitteln. </w:t>
      </w:r>
      <w:r>
        <w:rPr>
          <w:rStyle w:val="Satznummer"/>
        </w:rPr>
        <w:t>2</w:t>
      </w:r>
      <w:r>
        <w:t xml:space="preserve">Liegt die Bevollmächtigung erst nach dem im Satz 1 genannten Meldetermin vor, hat der Anbieter die Angaben bis zum Ende des folgenden Kalendervierteljahres nach der Bevollmächtigung, spätestens jedoch bis zum Ablauf der in Absatz 1 Satz 1 genannten Antragsfrist, zu übermitteln. </w:t>
      </w:r>
      <w:r>
        <w:rPr>
          <w:rStyle w:val="Satznummer"/>
        </w:rPr>
        <w:t>3</w:t>
      </w:r>
      <w:r>
        <w:t>Absatz 2 Satz 2 und 3 gilt sinngemäß.</w:t>
      </w:r>
    </w:p>
    <w:p>
      <w:pPr>
        <w:pStyle w:val="Heading2"/>
      </w:pPr>
      <w:bookmarkStart w:id="249" w:name="b248"/>
      <w:r>
        <w:t>§ 90 Verfahren</w:t>
      </w:r>
      <w:r>
        <w:t xml:space="preserve"> </w:t>
      </w:r>
      <w:r>
        <w:rPr>
          <w:rStyle w:val="Suchmarke"/>
        </w:rPr>
        <w:t>#90#</w:t>
      </w:r>
      <w:bookmarkEnd w:id="249"/>
    </w:p>
    <w:p>
      <w:r>
        <w:t xml:space="preserve">(1) </w:t>
      </w:r>
      <w:r>
        <w:rPr>
          <w:rStyle w:val="Satznummer"/>
        </w:rPr>
        <w:t>1</w:t>
      </w:r>
      <w:r>
        <w:t xml:space="preserve">Die zentrale Stelle ermittelt auf Grund der von ihr erhobenen oder der ihr übermittelten Daten, ob und in welcher Höhe ein Zulageanspruch besteht. </w:t>
      </w:r>
      <w:r>
        <w:rPr>
          <w:rStyle w:val="Satznummer"/>
        </w:rPr>
        <w:t>2</w:t>
      </w:r>
      <w:r>
        <w:t xml:space="preserve">Soweit der zuständige Träger der Rentenversicherung keine Versicherungsnummer vergeben hat, vergibt die zentrale Stelle zur Erfüllung der ihr nach diesem Abschnitt zugewiesenen Aufgaben eine Zulagenummer. </w:t>
      </w:r>
      <w:r>
        <w:rPr>
          <w:rStyle w:val="Satznummer"/>
        </w:rPr>
        <w:t>3</w:t>
      </w:r>
      <w:r>
        <w:t>Die zentrale Stelle teilt im Fall eines Antrags nach § 10a Absatz 1b der zuständigen Stelle, im Fall eines Antrags nach § 89 Absatz 1 Satz 4 dem Anbieter die Zulagenummer mit; von dort wird sie an den Antragsteller weitergeleitet.</w:t>
      </w:r>
    </w:p>
    <w:p>
      <w:r>
        <w:t xml:space="preserve">(2) </w:t>
      </w:r>
      <w:r>
        <w:rPr>
          <w:rStyle w:val="Satznummer"/>
        </w:rPr>
        <w:t>1</w:t>
      </w:r>
      <w:r>
        <w:t xml:space="preserve">Die zentrale Stelle veranlasst die Auszahlung an den Anbieter zugunsten der Zulageberechtigten durch die zuständige Kasse nach erfolgter Berechnung nach Absatz 1 und Überprüfung nach </w:t>
      </w:r>
      <w:hyperlink w:anchor="b249" w:history="1">
        <w:r>
          <w:rPr>
            <w:color w:val="0A3A8C"/>
            <w:u w:val="single"/>
          </w:rPr>
          <w:t xml:space="preserve">§ 91</w:t>
        </w:r>
      </w:hyperlink>
      <w:r>
        <w:t xml:space="preserve">. </w:t>
      </w:r>
      <w:r>
        <w:rPr>
          <w:rStyle w:val="Satznummer"/>
        </w:rPr>
        <w:t>2</w:t>
      </w:r>
      <w:r>
        <w:t xml:space="preserve">Ein gesonderter Bescheid ergeht vorbehaltlich des Absatzes 4 nicht. </w:t>
      </w:r>
      <w:r>
        <w:rPr>
          <w:rStyle w:val="Satznummer"/>
        </w:rPr>
        <w:t>3</w:t>
      </w:r>
      <w:r>
        <w:t xml:space="preserve">Der Anbieter hat die erhaltenen Zulagen unverzüglich den begünstigten Verträgen gutzuschreiben. </w:t>
      </w:r>
      <w:r>
        <w:rPr>
          <w:rStyle w:val="Satznummer"/>
        </w:rPr>
        <w:t>4</w:t>
      </w:r>
      <w:r>
        <w:t xml:space="preserve">Zulagen, die nach Beginn der Auszahlungsphase für das Altersvorsorgevermögen von der zentralen Stelle an den Anbieter überwiesen werden, können vom Anbieter an den Anleger ausgezahlt werden. </w:t>
      </w:r>
      <w:r>
        <w:rPr>
          <w:rStyle w:val="Satznummer"/>
        </w:rPr>
        <w:t>5</w:t>
      </w:r>
      <w:r>
        <w:t xml:space="preserve">Besteht kein Zulageanspruch, so teilt die zentrale Stelle dies dem Anbieter durch Datensatz mit. </w:t>
      </w:r>
      <w:r>
        <w:rPr>
          <w:rStyle w:val="Satznummer"/>
        </w:rPr>
        <w:t>6</w:t>
      </w:r>
      <w:r>
        <w:t xml:space="preserve">Die zentrale Stelle teilt dem Anbieter die Altersvorsorgebeiträge im Sinne des </w:t>
      </w:r>
      <w:hyperlink w:anchor="b240" w:history="1">
        <w:r>
          <w:rPr>
            <w:color w:val="0A3A8C"/>
            <w:u w:val="single"/>
          </w:rPr>
          <w:t xml:space="preserve">§ 82</w:t>
        </w:r>
      </w:hyperlink>
      <w:r>
        <w:t xml:space="preserve">, auf die </w:t>
      </w:r>
      <w:hyperlink w:anchor="b52" w:history="1">
        <w:r>
          <w:rPr>
            <w:color w:val="0A3A8C"/>
            <w:u w:val="single"/>
          </w:rPr>
          <w:t xml:space="preserve">§ 10a</w:t>
        </w:r>
      </w:hyperlink>
      <w:r>
        <w:t xml:space="preserve"> oder dieser Abschnitt angewendet wurde, durch Datensatz mit.</w:t>
      </w:r>
    </w:p>
    <w:p>
      <w:r>
        <w:t xml:space="preserve">(3) </w:t>
      </w:r>
      <w:r>
        <w:rPr>
          <w:rStyle w:val="Satznummer"/>
        </w:rPr>
        <w:t>1</w:t>
      </w:r>
      <w:r>
        <w:t xml:space="preserve">Erkennt die zentrale Stelle bis zum Ende des zweiten auf die Ermittlung der Zulage folgenden Jahres nachträglich auf Grund neuer, berichtigter oder stornierter Daten, dass der Zulageanspruch ganz oder teilweise nicht besteht oder weggefallen ist, so hat sie zu Unrecht gutgeschriebene oder ausgezahlte Zulagen bis zum Ablauf eines Jahres nach der Erkenntnis zurückzufordern und dies dem Zulageberechtigten durch Bescheid nach Absatz 4 Satz 1 Nummer 2 und dem Anbieter durch Datensatz mitzuteilen. </w:t>
      </w:r>
      <w:r>
        <w:rPr>
          <w:rStyle w:val="Satznummer"/>
        </w:rPr>
        <w:t>2</w:t>
      </w:r>
      <w:r>
        <w:t xml:space="preserve">Bei bestehendem Vertragsverhältnis hat der Anbieter das Konto zu belasten. </w:t>
      </w:r>
      <w:r>
        <w:rPr>
          <w:rStyle w:val="Satznummer"/>
        </w:rPr>
        <w:t>3</w:t>
      </w:r>
      <w:r>
        <w:t xml:space="preserve">Die ihm im Kalendervierteljahr mitgeteilten Rückforderungsbeträge hat er bis zum zehnten Tag des dem Kalendervierteljahr folgenden Monats in einem Betrag bei der zentralen Stelle anzumelden und an diese abzuführen. </w:t>
      </w:r>
      <w:r>
        <w:rPr>
          <w:rStyle w:val="Satznummer"/>
        </w:rPr>
        <w:t>4</w:t>
      </w:r>
      <w:r>
        <w:t xml:space="preserve">Die Anmeldung nach Satz 3 ist nach amtlich vorgeschriebenem Vordruck abzugeben. </w:t>
      </w:r>
      <w:r>
        <w:rPr>
          <w:rStyle w:val="Satznummer"/>
        </w:rPr>
        <w:t>5</w:t>
      </w:r>
      <w:r>
        <w:t xml:space="preserve">Sie gilt als Steueranmeldung im Sinne der Abgabenordnung. </w:t>
      </w:r>
      <w:r>
        <w:rPr>
          <w:rStyle w:val="Satznummer"/>
        </w:rPr>
        <w:t>6</w:t>
      </w:r>
      <w:r>
        <w:t xml:space="preserve">Abweichend von Satz 1 gilt die Ausschlussfrist für den Personenkreis der Kindererziehenden nach </w:t>
      </w:r>
      <w:hyperlink w:anchor="b52" w:history="1">
        <w:r>
          <w:rPr>
            <w:color w:val="0A3A8C"/>
            <w:u w:val="single"/>
          </w:rPr>
          <w:t xml:space="preserve">§ 10a</w:t>
        </w:r>
      </w:hyperlink>
      <w:r>
        <w:t xml:space="preserve"> Absatz 1a und deren nach </w:t>
      </w:r>
      <w:hyperlink w:anchor="b236" w:history="1">
        <w:r>
          <w:rPr>
            <w:color w:val="0A3A8C"/>
            <w:u w:val="single"/>
          </w:rPr>
          <w:t xml:space="preserve">§ 79</w:t>
        </w:r>
      </w:hyperlink>
      <w:r>
        <w:t xml:space="preserve"> Satz 2 förderberechtigten Ehegatten nicht; die zentrale Stelle hat die Zulage des Zulageberechtigten als auch des nach </w:t>
      </w:r>
      <w:hyperlink w:anchor="b236" w:history="1">
        <w:r>
          <w:rPr>
            <w:color w:val="0A3A8C"/>
            <w:u w:val="single"/>
          </w:rPr>
          <w:t xml:space="preserve">§ 79</w:t>
        </w:r>
      </w:hyperlink>
      <w:r>
        <w:t xml:space="preserve"> Satz 2 förderberechtigten Ehegatten bis zur Vollendung des fünften Lebensjahres des Kindes, das für die Anerkennung der Förderberechtigung nach </w:t>
      </w:r>
      <w:hyperlink w:anchor="b52" w:history="1">
        <w:r>
          <w:rPr>
            <w:color w:val="0A3A8C"/>
            <w:u w:val="single"/>
          </w:rPr>
          <w:t xml:space="preserve">§ 10a</w:t>
        </w:r>
      </w:hyperlink>
      <w:r>
        <w:t xml:space="preserve"> Absatz 1a maßgebend war, zurückzufordern, wenn die Kindererziehungszeiten bis zu diesem Zeitpunkt in der gesetzlichen Rentenversicherung nicht angerechnet wurden. </w:t>
      </w:r>
      <w:r>
        <w:rPr>
          <w:rStyle w:val="Satznummer"/>
        </w:rPr>
        <w:t>7</w:t>
      </w:r>
      <w:r>
        <w:t xml:space="preserve">Hat der Zulageberechtigte die Kindererziehungszeiten innerhalb der in </w:t>
      </w:r>
      <w:hyperlink w:anchor="b52" w:history="1">
        <w:r>
          <w:rPr>
            <w:color w:val="0A3A8C"/>
            <w:u w:val="single"/>
          </w:rPr>
          <w:t xml:space="preserve">§ 10a</w:t>
        </w:r>
      </w:hyperlink>
      <w:r>
        <w:t xml:space="preserve"> Absatz 1a genannten Frist beantragt, der zuständige Träger der gesetzlichen Rentenversicherung aber nicht innerhalb der Ausschlussfrist von Satz 6 darüber abschließend beschieden, verlängert sich die Ausschlussfrist um drei Monate nach Kenntniserlangung der zentralen Stelle vom Erlass des Bescheides.</w:t>
      </w:r>
    </w:p>
    <w:p>
      <w:r>
        <w:t xml:space="preserve">(3a) </w:t>
      </w:r>
      <w:r>
        <w:rPr>
          <w:rStyle w:val="Satznummer"/>
        </w:rPr>
        <w:t>1</w:t>
      </w:r>
      <w:r>
        <w:t>Erfolgt nach der Durchführung einer versorgungsrechtlichen Teilung eine Rückforderung von zu Unrecht gezahlten Zulagen, setzt die zentrale Stelle den Rückforderungsbetrag nach Absatz 3 unter Anrechnung bereits vom Anbieter einbehaltener und abgeführter Beträge gegenüber dem Zulageberechtigten fest, soweit</w:t>
      </w:r>
    </w:p>
    <w:p>
      <w:pPr>
        <w:tabs>
          <w:tab w:pos="567" w:val="left"/>
        </w:tabs>
        <w:ind w:left="567" w:hanging="567"/>
      </w:pPr>
      <w:r>
        <w:t>1.</w:t>
      </w:r>
      <w:r>
        <w:tab/>
      </w:r>
      <w:r>
        <w:t xml:space="preserve">das Guthaben auf dem Vertrag des Zulageberechtigten zur Zahlung des Rückforderungsbetrags nach </w:t>
      </w:r>
      <w:hyperlink w:anchor="b248" w:history="1">
        <w:r>
          <w:rPr>
            <w:color w:val="0A3A8C"/>
            <w:u w:val="single"/>
          </w:rPr>
          <w:t xml:space="preserve">§ 90</w:t>
        </w:r>
      </w:hyperlink>
      <w:r>
        <w:t xml:space="preserve"> Absatz 3 Satz 1 nicht ausreicht und</w:t>
      </w:r>
    </w:p>
    <w:p>
      <w:pPr>
        <w:tabs>
          <w:tab w:pos="567" w:val="left"/>
        </w:tabs>
        <w:ind w:left="567" w:hanging="567"/>
      </w:pPr>
      <w:r>
        <w:t>2.</w:t>
      </w:r>
      <w:r>
        <w:tab/>
      </w:r>
      <w:r>
        <w:t>im Rückforderungsbetrag ein Zulagebetrag enthalten ist, der in der Ehe- oder Lebenspartnerschaftszeit ausgezahlt wurde.</w:t>
      </w:r>
    </w:p>
    <w:p>
      <w:r>
        <w:rPr>
          <w:rStyle w:val="Satznummer"/>
        </w:rPr>
        <w:t>2</w:t>
      </w:r>
      <w:r>
        <w:t xml:space="preserve">Erfolgt nach einer Inanspruchnahme eines Altersvorsorge-Eigenheimbetrags im Sinne des </w:t>
      </w:r>
      <w:hyperlink w:anchor="b251" w:history="1">
        <w:r>
          <w:rPr>
            <w:color w:val="0A3A8C"/>
            <w:u w:val="single"/>
          </w:rPr>
          <w:t xml:space="preserve">§ 92a</w:t>
        </w:r>
      </w:hyperlink>
      <w:r>
        <w:t xml:space="preserve"> Absatz 1 oder während einer Darlehenstilgung bei Altersvorsorgeverträgen nach § 1 Absatz 1a des Altersvorsorgeverträge-Zertifizierungsgesetzes eine Rückforderung zu Unrecht gezahlter Zulagen, setzt die zentrale Stelle den Rückforderungsbetrag nach Absatz 3 unter Anrechnung bereits vom Anbieter einbehaltener und abgeführter Beträge gegenüber dem Zulageberechtigten fest, soweit das Guthaben auf dem Altersvorsorgevertrag des Zulageberechtigten zur Zahlung des Rückforderungsbetrags nicht ausreicht. </w:t>
      </w:r>
      <w:r>
        <w:rPr>
          <w:rStyle w:val="Satznummer"/>
        </w:rPr>
        <w:t>3</w:t>
      </w:r>
      <w:r>
        <w:t>Der Anbieter hat in diesen Fällen der zentralen Stelle die nach Absatz 3 einbehaltenen und abgeführten Beträge nach amtlich vorgeschriebenem Datensatz durch amtlich bestimmte Datenfernübertragung mitzuteilen.</w:t>
      </w:r>
    </w:p>
    <w:p>
      <w:r>
        <w:t xml:space="preserve">(4) </w:t>
      </w:r>
      <w:r>
        <w:rPr>
          <w:rStyle w:val="Satznummer"/>
        </w:rPr>
        <w:t>1</w:t>
      </w:r>
      <w:r>
        <w:t>Eine Festsetzung der Zulage erfolgt</w:t>
      </w:r>
    </w:p>
    <w:p>
      <w:pPr>
        <w:tabs>
          <w:tab w:pos="567" w:val="left"/>
        </w:tabs>
        <w:ind w:left="567" w:hanging="567"/>
      </w:pPr>
      <w:r>
        <w:t>1.</w:t>
      </w:r>
      <w:r>
        <w:tab/>
      </w:r>
      <w:r>
        <w:t>von Amts wegen, wenn die nach den vorliegenden Daten abschließend berechnete Zulage von der beantragten Zulage abweicht,</w:t>
      </w:r>
    </w:p>
    <w:p>
      <w:pPr>
        <w:tabs>
          <w:tab w:pos="567" w:val="left"/>
        </w:tabs>
        <w:ind w:left="567" w:hanging="567"/>
      </w:pPr>
      <w:r>
        <w:t>2.</w:t>
      </w:r>
      <w:r>
        <w:tab/>
      </w:r>
      <w:r>
        <w:t>im Falle des Absatzes 3 von Amts wegen,</w:t>
      </w:r>
    </w:p>
    <w:p>
      <w:pPr>
        <w:tabs>
          <w:tab w:pos="567" w:val="left"/>
        </w:tabs>
        <w:ind w:left="567" w:hanging="567"/>
      </w:pPr>
      <w:r>
        <w:t>3.</w:t>
      </w:r>
      <w:r>
        <w:tab/>
      </w:r>
      <w:r>
        <w:t>auf besonderen Antrag des Zulageberechtigten, sofern nicht bereits eine Festsetzung nach Nummer 1, 2 oder 4 erfolgt ist, oder</w:t>
      </w:r>
    </w:p>
    <w:p>
      <w:pPr>
        <w:tabs>
          <w:tab w:pos="567" w:val="left"/>
        </w:tabs>
        <w:ind w:left="567" w:hanging="567"/>
      </w:pPr>
      <w:r>
        <w:t>4.</w:t>
      </w:r>
      <w:r>
        <w:tab/>
      </w:r>
      <w:r>
        <w:t>auf Anforderung des zuständigen Finanzamtes, wenn dessen Daten von den Daten der zentralen Stelle abweichen; eine gesonderte Festsetzung unterbleibt, wenn eine Festsetzung nach den Nummern 1 bis 3 bereits erfolgt ist, für das Beitragsjahr keine Zulage beantragt wurde oder die Frist nach Absatz 3 Satz 1 abgelaufen ist.</w:t>
      </w:r>
    </w:p>
    <w:p>
      <w:r>
        <w:rPr>
          <w:rStyle w:val="Satznummer"/>
        </w:rPr>
        <w:t>2</w:t>
      </w:r>
      <w:r>
        <w:t xml:space="preserve">Der Antrag nach Satz 1 Nummer 3 ist schriftlich oder elektronisch innerhalb eines Jahres vom Zulageberechtigten an die zentrale Stelle zu richten; die Frist beginnt mit der Erteilung der Bescheinigung nach </w:t>
      </w:r>
      <w:hyperlink w:anchor="b250" w:history="1">
        <w:r>
          <w:rPr>
            <w:color w:val="0A3A8C"/>
            <w:u w:val="single"/>
          </w:rPr>
          <w:t xml:space="preserve">§ 92</w:t>
        </w:r>
      </w:hyperlink>
      <w:r>
        <w:t xml:space="preserve">, die die Ermittlungsergebnisse für das Beitragsjahr enthält, für das eine Festsetzung der Zulage erfolgen soll. </w:t>
      </w:r>
      <w:r>
        <w:rPr>
          <w:rStyle w:val="Satznummer"/>
        </w:rPr>
        <w:t>3</w:t>
      </w:r>
      <w:r>
        <w:t xml:space="preserve">Der Anbieter teilt auf Anforderung der zentralen Stelle nach amtlich vorgeschriebenem Datensatz durch amtlich bestimmte Datenfernübertragung das Datum der Erteilung der nach Satz 2 maßgebenden Bescheinigung nach </w:t>
      </w:r>
      <w:hyperlink w:anchor="b250" w:history="1">
        <w:r>
          <w:rPr>
            <w:color w:val="0A3A8C"/>
            <w:u w:val="single"/>
          </w:rPr>
          <w:t xml:space="preserve">§ 92</w:t>
        </w:r>
      </w:hyperlink>
      <w:r>
        <w:t xml:space="preserve"> mit. </w:t>
      </w:r>
      <w:r>
        <w:rPr>
          <w:rStyle w:val="Satznummer"/>
        </w:rPr>
        <w:t>4</w:t>
      </w:r>
      <w:r>
        <w:t xml:space="preserve">Er hat auf Anforderung weitere ihm vorliegende, für die Festsetzung erforderliche Unterlagen beizufügen; eine ergänzende Stellungnahme kann beigefügt werden; dies kann auch elektronisch erfolgen, wenn sowohl der Anbieter als auch die zentrale Stelle mit diesem Verfahren einverstanden sind. </w:t>
      </w:r>
      <w:r>
        <w:rPr>
          <w:rStyle w:val="Satznummer"/>
        </w:rPr>
        <w:t>5</w:t>
      </w:r>
      <w:r>
        <w:t xml:space="preserve">Die zentrale Stelle teilt die Festsetzung auch dem Anbieter und die Festsetzung nach Satz 1 Nummer 4 auch dem Finanzamt mit; erfolgt keine Festsetzung nach Satz 1 Nummer 4, teilt dies die zentrale Stelle dem Finanzamt ebenfalls mit. </w:t>
      </w:r>
      <w:r>
        <w:rPr>
          <w:rStyle w:val="Satznummer"/>
        </w:rPr>
        <w:t>6</w:t>
      </w:r>
      <w:r>
        <w:t xml:space="preserve">Im Übrigen gilt Absatz 3 entsprechend. </w:t>
      </w:r>
      <w:r>
        <w:rPr>
          <w:rStyle w:val="Satznummer"/>
        </w:rPr>
        <w:t>7</w:t>
      </w:r>
      <w:r>
        <w:t xml:space="preserve">Satz 1 Nummer 1 gilt nicht, wenn der Datensatz nach </w:t>
      </w:r>
      <w:hyperlink w:anchor="b247" w:history="1">
        <w:r>
          <w:rPr>
            <w:color w:val="0A3A8C"/>
            <w:u w:val="single"/>
          </w:rPr>
          <w:t xml:space="preserve">§ 89</w:t>
        </w:r>
      </w:hyperlink>
      <w:r>
        <w:t xml:space="preserve"> Absatz 2 auf Grund von unzureichenden oder fehlerhaften Angaben des Zulageberechtigten abgewiesen sowie um eine Fehlermeldung ergänzt worden ist und die Angaben nicht innerhalb der Antragsfrist des § 89 Absatz 1 Satz 1 von dem Zulageberechtigten an den Anbieter nachgereicht werden.</w:t>
      </w:r>
    </w:p>
    <w:p>
      <w:r>
        <w:t xml:space="preserve">(5) </w:t>
      </w:r>
      <w:r>
        <w:rPr>
          <w:rStyle w:val="Satznummer"/>
        </w:rPr>
        <w:t>1</w:t>
      </w:r>
      <w:r>
        <w:t xml:space="preserve">Im Rahmen des Festsetzungsverfahrens oder Einspruchsverfahrens kann der Zulageberechtigte bis zum rechtskräftigen Abschluss des Festsetzungsverfahrens oder Einspruchsverfahrens eine nicht fristgerecht abgegebene Einwilligung nach </w:t>
      </w:r>
      <w:hyperlink w:anchor="b52" w:history="1">
        <w:r>
          <w:rPr>
            <w:color w:val="0A3A8C"/>
            <w:u w:val="single"/>
          </w:rPr>
          <w:t xml:space="preserve">§ 10a</w:t>
        </w:r>
      </w:hyperlink>
      <w:r>
        <w:t xml:space="preserve"> Absatz 1 Satz 1 Halbsatz 2 gegenüber der zuständigen Stelle nachholen. </w:t>
      </w:r>
      <w:r>
        <w:rPr>
          <w:rStyle w:val="Satznummer"/>
        </w:rPr>
        <w:t>2</w:t>
      </w:r>
      <w:r>
        <w:t xml:space="preserve">Über die Nachholung hat er die zentrale Stelle unter Angabe des Datums der Erteilung der Einwilligung unmittelbar zu informieren. </w:t>
      </w:r>
      <w:r>
        <w:rPr>
          <w:rStyle w:val="Satznummer"/>
        </w:rPr>
        <w:t>3</w:t>
      </w:r>
      <w:r>
        <w:t xml:space="preserve">Hat der Zulageberechtigte im Rahmen des Festsetzungsverfahrens oder Einspruchsverfahrens eine wirksame Einwilligung gegenüber der zuständigen Stelle erteilt, wird er so gestellt, als hätte er die Einwilligung innerhalb der Frist nach </w:t>
      </w:r>
      <w:hyperlink w:anchor="b52" w:history="1">
        <w:r>
          <w:rPr>
            <w:color w:val="0A3A8C"/>
            <w:u w:val="single"/>
          </w:rPr>
          <w:t xml:space="preserve">§ 10a</w:t>
        </w:r>
      </w:hyperlink>
      <w:r>
        <w:t xml:space="preserve"> Absatz 1 Satz 1 Halbsatz 2 wirksam gestellt.</w:t>
      </w:r>
    </w:p>
    <w:p>
      <w:pPr>
        <w:pStyle w:val="Heading2"/>
      </w:pPr>
      <w:bookmarkStart w:id="250" w:name="b249"/>
      <w:r>
        <w:t>§ 91 Datenerhebung und Datenabgleich</w:t>
      </w:r>
      <w:r>
        <w:t xml:space="preserve"> </w:t>
      </w:r>
      <w:r>
        <w:rPr>
          <w:rStyle w:val="Suchmarke"/>
        </w:rPr>
        <w:t>#91#</w:t>
      </w:r>
      <w:bookmarkEnd w:id="250"/>
    </w:p>
    <w:p>
      <w:r>
        <w:t xml:space="preserve">(1) </w:t>
      </w:r>
      <w:r>
        <w:rPr>
          <w:rStyle w:val="Satznummer"/>
        </w:rPr>
        <w:t>1</w:t>
      </w:r>
      <w:r>
        <w:t xml:space="preserve">Für die Berechnung und Überprüfung der Zulage sowie die Überprüfung des Vorliegens der Voraussetzungen des Sonderausgabenabzugs nach </w:t>
      </w:r>
      <w:hyperlink w:anchor="b52" w:history="1">
        <w:r>
          <w:rPr>
            <w:color w:val="0A3A8C"/>
            <w:u w:val="single"/>
          </w:rPr>
          <w:t xml:space="preserve">§ 10a</w:t>
        </w:r>
      </w:hyperlink>
      <w:r>
        <w:t xml:space="preserve"> übermitteln die Träger der gesetzlichen Rentenversicherung, die landwirtschaftliche Alterskasse, die Bundesagentur für Arbeit, die Meldebehörden, die Familienkassen und die Finanzämter der zentralen Stelle auf Anforderung unter Angabe der Identifikationsnummer (§ 139b der Abgabenordnung) des Steuerpflichtigen die bei ihnen vorhandenen Daten nach </w:t>
      </w:r>
      <w:hyperlink w:anchor="b247" w:history="1">
        <w:r>
          <w:rPr>
            <w:color w:val="0A3A8C"/>
            <w:u w:val="single"/>
          </w:rPr>
          <w:t xml:space="preserve">§ 89</w:t>
        </w:r>
      </w:hyperlink>
      <w:r>
        <w:t xml:space="preserve"> Absatz 2 durch Datenfernübertragung; für Zwecke der Berechnung des Mindesteigenbeitrags für ein Beitragsjahr darf die zentrale Stelle bei den Trägern der gesetzlichen Rentenversicherung und der landwirtschaftlichen Alterskasse die bei ihnen vorhandenen Daten zu den beitragspflichtigen Einnahmen sowie in den Fällen des § 10a Absatz 1 Satz 4 zur Höhe der bezogenen Rente wegen voller Erwerbsminderung oder Erwerbsunfähigkeit erheben, sofern diese nicht vom Anbieter nach </w:t>
      </w:r>
      <w:hyperlink w:anchor="b247" w:history="1">
        <w:r>
          <w:rPr>
            <w:color w:val="0A3A8C"/>
            <w:u w:val="single"/>
          </w:rPr>
          <w:t xml:space="preserve">§ 89</w:t>
        </w:r>
      </w:hyperlink>
      <w:r>
        <w:t xml:space="preserve"> übermittelt worden sind; im Datenabgleich mit den Familienkassen sind auch die Identifikationsnummern des Kindergeldberechtigten und des Kindes anzugeben. </w:t>
      </w:r>
      <w:r>
        <w:rPr>
          <w:rStyle w:val="Satznummer"/>
        </w:rPr>
        <w:t>2</w:t>
      </w:r>
      <w:r>
        <w:t xml:space="preserve">Für Zwecke der Überprüfung nach Satz 1 darf die zentrale Stelle die ihr übermittelten Daten mit den ihr nach </w:t>
      </w:r>
      <w:hyperlink w:anchor="b247" w:history="1">
        <w:r>
          <w:rPr>
            <w:color w:val="0A3A8C"/>
            <w:u w:val="single"/>
          </w:rPr>
          <w:t xml:space="preserve">§ 89</w:t>
        </w:r>
      </w:hyperlink>
      <w:r>
        <w:t xml:space="preserve"> Absatz 2 übermittelten Daten automatisiert abgleichen. </w:t>
      </w:r>
      <w:r>
        <w:rPr>
          <w:rStyle w:val="Satznummer"/>
        </w:rPr>
        <w:t>3</w:t>
      </w:r>
      <w:r>
        <w:t xml:space="preserve">Ergibt die Überprüfung eine Abweichung von dem in der Steuerfestsetzung berücksichtigten Sonderausgabenabzug nach </w:t>
      </w:r>
      <w:hyperlink w:anchor="b52" w:history="1">
        <w:r>
          <w:rPr>
            <w:color w:val="0A3A8C"/>
            <w:u w:val="single"/>
          </w:rPr>
          <w:t xml:space="preserve">§ 10a</w:t>
        </w:r>
      </w:hyperlink>
      <w:r>
        <w:t xml:space="preserve"> oder der gesonderten Feststellung nach </w:t>
      </w:r>
      <w:hyperlink w:anchor="b52" w:history="1">
        <w:r>
          <w:rPr>
            <w:color w:val="0A3A8C"/>
            <w:u w:val="single"/>
          </w:rPr>
          <w:t xml:space="preserve">§ 10a</w:t>
        </w:r>
      </w:hyperlink>
      <w:r>
        <w:t xml:space="preserve"> Absatz 4, ist dies dem Finanzamt mitzuteilen; die Steuerfestsetzung oder die gesonderte Feststellung ist insoweit zu ändern. </w:t>
      </w:r>
      <w:r>
        <w:rPr>
          <w:rStyle w:val="Satznummer"/>
        </w:rPr>
        <w:t>4</w:t>
      </w:r>
      <w:r>
        <w:t xml:space="preserve">Ist die Zulage nach § 90 Absatz 4 von der zentralen Stelle unanfechtbar festgesetzt worden, sind diese gesondert festgesetzten Besteuerungsgrundlagen für das Finanzamt bindend und auch der gesonderten Feststellung nach </w:t>
      </w:r>
      <w:hyperlink w:anchor="b52" w:history="1">
        <w:r>
          <w:rPr>
            <w:color w:val="0A3A8C"/>
            <w:u w:val="single"/>
          </w:rPr>
          <w:t xml:space="preserve">§ 10a</w:t>
        </w:r>
      </w:hyperlink>
      <w:r>
        <w:t xml:space="preserve"> Absatz 4 zu Grunde zu legen.</w:t>
      </w:r>
    </w:p>
    <w:p>
      <w:r>
        <w:t xml:space="preserve">(2) </w:t>
      </w:r>
      <w:r>
        <w:rPr>
          <w:rStyle w:val="Satznummer"/>
        </w:rPr>
        <w:t>1</w:t>
      </w:r>
      <w:r>
        <w:t xml:space="preserve">Die zuständige Stelle hat der zentralen Stelle die Daten nach </w:t>
      </w:r>
      <w:hyperlink w:anchor="b52" w:history="1">
        <w:r>
          <w:rPr>
            <w:color w:val="0A3A8C"/>
            <w:u w:val="single"/>
          </w:rPr>
          <w:t xml:space="preserve">§ 10a</w:t>
        </w:r>
      </w:hyperlink>
      <w:r>
        <w:t xml:space="preserve"> Absatz 1 Satz 1 zweiter Halbsatz bis zum 31. März des dem Beitragsjahr folgenden Kalenderjahres durch Datenfernübertragung zu übermitteln. </w:t>
      </w:r>
      <w:r>
        <w:rPr>
          <w:rStyle w:val="Satznummer"/>
        </w:rPr>
        <w:t>2</w:t>
      </w:r>
      <w:r>
        <w:t xml:space="preserve">Liegt die Einwilligung nach </w:t>
      </w:r>
      <w:hyperlink w:anchor="b52" w:history="1">
        <w:r>
          <w:rPr>
            <w:color w:val="0A3A8C"/>
            <w:u w:val="single"/>
          </w:rPr>
          <w:t xml:space="preserve">§ 10a</w:t>
        </w:r>
      </w:hyperlink>
      <w:r>
        <w:t xml:space="preserve"> Absatz 1 Satz 1 zweiter Halbsatz erst nach dem im Satz 1 genannten Meldetermin vor, hat die zuständige Stelle die Daten spätestens bis zum Ende des folgenden Kalendervierteljahres nach Erteilung der Einwilligung nach Maßgabe von Satz 1 zu übermitteln.</w:t>
      </w:r>
    </w:p>
    <w:p>
      <w:pPr>
        <w:pStyle w:val="Heading2"/>
      </w:pPr>
      <w:bookmarkStart w:id="251" w:name="b250"/>
      <w:r>
        <w:t>§ 92 Bescheinigung</w:t>
      </w:r>
      <w:r>
        <w:t xml:space="preserve"> </w:t>
      </w:r>
      <w:r>
        <w:rPr>
          <w:rStyle w:val="Suchmarke"/>
        </w:rPr>
        <w:t>#92#</w:t>
      </w:r>
      <w:bookmarkEnd w:id="251"/>
    </w:p>
    <w:p>
      <w:r>
        <w:rPr>
          <w:rStyle w:val="Satznummer"/>
        </w:rPr>
        <w:t>1</w:t>
      </w:r>
      <w:r>
        <w:t>Der Anbieter hat dem Zulageberechtigten jährlich bis zum Ablauf des auf das Beitragsjahr folgenden Jahres eine Bescheinigung nach amtlich vorgeschriebenem Muster zu erteilen über</w:t>
      </w:r>
    </w:p>
    <w:p>
      <w:pPr>
        <w:tabs>
          <w:tab w:pos="567" w:val="left"/>
        </w:tabs>
        <w:ind w:left="567" w:hanging="567"/>
      </w:pPr>
      <w:r>
        <w:t>1.</w:t>
      </w:r>
      <w:r>
        <w:tab/>
      </w:r>
      <w:r>
        <w:t>die Höhe der im abgelaufenen Beitragsjahr geleisteten Altersvorsorgebeiträge (Beiträge und Tilgungsleistungen),</w:t>
      </w:r>
    </w:p>
    <w:p>
      <w:pPr>
        <w:tabs>
          <w:tab w:pos="567" w:val="left"/>
        </w:tabs>
        <w:ind w:left="567" w:hanging="567"/>
      </w:pPr>
      <w:r>
        <w:t>2.</w:t>
      </w:r>
      <w:r>
        <w:tab/>
      </w:r>
      <w:r>
        <w:t>die Ermittlungsergebnisse (</w:t>
      </w:r>
      <w:hyperlink w:anchor="b248" w:history="1">
        <w:r>
          <w:rPr>
            <w:color w:val="0A3A8C"/>
            <w:u w:val="single"/>
          </w:rPr>
          <w:t xml:space="preserve">§ 90</w:t>
        </w:r>
      </w:hyperlink>
      <w:r>
        <w:t>) im abgelaufenen Beitragsjahr,</w:t>
      </w:r>
    </w:p>
    <w:p>
      <w:pPr>
        <w:tabs>
          <w:tab w:pos="567" w:val="left"/>
        </w:tabs>
        <w:ind w:left="567" w:hanging="567"/>
      </w:pPr>
      <w:r>
        <w:t>3.</w:t>
      </w:r>
      <w:r>
        <w:tab/>
      </w:r>
      <w:r>
        <w:t>die Summe der bis zum Ende des abgelaufenen Beitragsjahres dem Vertrag gutgeschriebenen Zulagen,</w:t>
      </w:r>
    </w:p>
    <w:p>
      <w:pPr>
        <w:tabs>
          <w:tab w:pos="567" w:val="left"/>
        </w:tabs>
        <w:ind w:left="567" w:hanging="567"/>
      </w:pPr>
      <w:r>
        <w:t>4.</w:t>
      </w:r>
      <w:r>
        <w:tab/>
      </w:r>
      <w:r>
        <w:t>die Summe der bis zum Ende des abgelaufenen Beitragsjahres geleisteten Altersvorsorgebeiträge (Beiträge und Tilgungsleistungen),</w:t>
      </w:r>
    </w:p>
    <w:p>
      <w:pPr>
        <w:tabs>
          <w:tab w:pos="567" w:val="left"/>
        </w:tabs>
        <w:ind w:left="567" w:hanging="567"/>
      </w:pPr>
      <w:r>
        <w:t>5.</w:t>
      </w:r>
      <w:r>
        <w:tab/>
      </w:r>
      <w:r>
        <w:t>den Stand des Altersvorsorgevermögens,</w:t>
      </w:r>
    </w:p>
    <w:p>
      <w:pPr>
        <w:tabs>
          <w:tab w:pos="567" w:val="left"/>
        </w:tabs>
        <w:ind w:left="567" w:hanging="567"/>
      </w:pPr>
      <w:r>
        <w:t>6.</w:t>
      </w:r>
      <w:r>
        <w:tab/>
      </w:r>
      <w:r>
        <w:t>den Stand des Wohnförderkontos (</w:t>
      </w:r>
      <w:hyperlink w:anchor="b251" w:history="1">
        <w:r>
          <w:rPr>
            <w:color w:val="0A3A8C"/>
            <w:u w:val="single"/>
          </w:rPr>
          <w:t xml:space="preserve">§ 92a</w:t>
        </w:r>
      </w:hyperlink>
      <w:r>
        <w:t xml:space="preserve"> Absatz 2 Satz 1), sofern er diesen von der zentralen Stelle mitgeteilt bekommen hat, und</w:t>
      </w:r>
    </w:p>
    <w:p>
      <w:pPr>
        <w:tabs>
          <w:tab w:pos="567" w:val="left"/>
        </w:tabs>
        <w:ind w:left="567" w:hanging="567"/>
      </w:pPr>
      <w:r>
        <w:t>7.</w:t>
      </w:r>
      <w:r>
        <w:tab/>
      </w:r>
      <w:r>
        <w:t xml:space="preserve">die Bestätigung der durch den Anbieter erfolgten Datenübermittlung an die zentrale Stelle im Fall des </w:t>
      </w:r>
      <w:hyperlink w:anchor="b52" w:history="1">
        <w:r>
          <w:rPr>
            <w:color w:val="0A3A8C"/>
            <w:u w:val="single"/>
          </w:rPr>
          <w:t xml:space="preserve">§ 10a</w:t>
        </w:r>
      </w:hyperlink>
      <w:r>
        <w:t xml:space="preserve"> Absatz 5 Satz 1.</w:t>
      </w:r>
    </w:p>
    <w:p>
      <w:r>
        <w:rPr>
          <w:rStyle w:val="Satznummer"/>
        </w:rPr>
        <w:t>2</w:t>
      </w:r>
      <w:r>
        <w:t xml:space="preserve">Einer jährlichen Bescheinigung bedarf es nicht, wenn zu Satz 1 Nummer 1, 2, 6 und 7 keine Angaben erforderlich sind und sich zu Satz 1 Nummer 3 bis 5 keine Änderungen gegenüber der zuletzt erteilten Bescheinigung ergeben. </w:t>
      </w:r>
      <w:r>
        <w:rPr>
          <w:rStyle w:val="Satznummer"/>
        </w:rPr>
        <w:t>3</w:t>
      </w:r>
      <w:r>
        <w:t>Liegen die Voraussetzungen des Satzes 2 nur hinsichtlich der Angabe nach Satz 1 Nummer 6 nicht vor und wurde die Geschäftsbeziehung im Hinblick auf den jeweiligen Altersvorsorgevertrag zwischen Zulageberechtigtem und Anbieter beendet, weil</w:t>
      </w:r>
    </w:p>
    <w:p>
      <w:pPr>
        <w:tabs>
          <w:tab w:pos="567" w:val="left"/>
        </w:tabs>
        <w:ind w:left="567" w:hanging="567"/>
      </w:pPr>
      <w:r>
        <w:t>1.</w:t>
      </w:r>
      <w:r>
        <w:tab/>
      </w:r>
      <w:r>
        <w:t>das angesparte Kapital vollständig aus dem Altersvorsorgevertrag entnommen wurde oder</w:t>
      </w:r>
    </w:p>
    <w:p>
      <w:pPr>
        <w:tabs>
          <w:tab w:pos="567" w:val="left"/>
        </w:tabs>
        <w:ind w:left="567" w:hanging="567"/>
      </w:pPr>
      <w:r>
        <w:t>2.</w:t>
      </w:r>
      <w:r>
        <w:tab/>
      </w:r>
      <w:r>
        <w:t>das gewährte Darlehen vollständig getilgt wurde,</w:t>
      </w:r>
    </w:p>
    <w:p>
      <w:r>
        <w:t xml:space="preserve">bedarf es keiner jährlichen Bescheinigung, wenn der Anbieter dem Zulageberechtigten in einer Bescheinigung im Sinne dieser Vorschrift Folgendes mitteilt: „Das Wohnförderkonto erhöht sich bis zum Beginn der Auszahlungsphase jährlich um 2 Prozent, solange Sie keine Zahlungen zur Minderung des Wohnförderkontos leisten.“ </w:t>
      </w:r>
      <w:r>
        <w:rPr>
          <w:rStyle w:val="Satznummer"/>
        </w:rPr>
        <w:t>4</w:t>
      </w:r>
      <w:r>
        <w:t>Der Anbieter kann dem Zulageberechtigten mit dessen Einverständnis die Bescheinigung auch elektronisch bereitstellen.</w:t>
      </w:r>
    </w:p>
    <w:p>
      <w:pPr>
        <w:pStyle w:val="Heading2"/>
      </w:pPr>
      <w:bookmarkStart w:id="252" w:name="b251"/>
      <w:r>
        <w:t>§ 92a Verwendung für eine selbst genutzte Wohnung</w:t>
      </w:r>
      <w:r>
        <w:t xml:space="preserve"> </w:t>
      </w:r>
      <w:r>
        <w:rPr>
          <w:rStyle w:val="Suchmarke"/>
        </w:rPr>
        <w:t>#92a#</w:t>
      </w:r>
      <w:bookmarkEnd w:id="252"/>
    </w:p>
    <w:p>
      <w:r>
        <w:t xml:space="preserve">(1) </w:t>
      </w:r>
      <w:r>
        <w:rPr>
          <w:rStyle w:val="Satznummer"/>
        </w:rPr>
        <w:t>1</w:t>
      </w:r>
      <w:r>
        <w:t xml:space="preserve">Der Zulageberechtigte kann das in einem Altersvorsorgevertrag gebildete und nach </w:t>
      </w:r>
      <w:hyperlink w:anchor="b52" w:history="1">
        <w:r>
          <w:rPr>
            <w:color w:val="0A3A8C"/>
            <w:u w:val="single"/>
          </w:rPr>
          <w:t xml:space="preserve">§ 10a</w:t>
        </w:r>
      </w:hyperlink>
      <w:r>
        <w:t xml:space="preserve"> oder nach diesem Abschnitt geförderte Kapital in vollem Umfang oder, wenn das verbleibende geförderte Restkapital mindestens 3 000 Euro beträgt, teilweise wie folgt verwenden (Altersvorsorge-Eigenheimbetrag):</w:t>
      </w:r>
    </w:p>
    <w:p>
      <w:pPr>
        <w:tabs>
          <w:tab w:pos="567" w:val="left"/>
        </w:tabs>
        <w:ind w:left="567" w:hanging="567"/>
      </w:pPr>
      <w:r>
        <w:t>1.</w:t>
      </w:r>
      <w:r>
        <w:tab/>
      </w:r>
      <w:r>
        <w:t>bis zum Beginn der Auszahlungsphase unmittelbar für die Anschaffung oder Herstellung einer Wohnung oder zur Tilgung eines zu diesem Zweck aufgenommenen Darlehens, wenn das dafür entnommene Kapital mindestens 3 000 Euro beträgt, oder</w:t>
      </w:r>
    </w:p>
    <w:p>
      <w:pPr>
        <w:tabs>
          <w:tab w:pos="567" w:val="left"/>
        </w:tabs>
        <w:ind w:left="567" w:hanging="567"/>
      </w:pPr>
      <w:r>
        <w:t>2.</w:t>
      </w:r>
      <w:r>
        <w:tab/>
      </w:r>
      <w:r>
        <w:t>bis zum Beginn der Auszahlungsphase unmittelbar für den Erwerb von Pflicht-Geschäftsanteilen an einer eingetragenen Genossenschaft für die Selbstnutzung einer Genossenschaftswohnung oder zur Tilgung eines zu diesem Zweck aufgenommenen Darlehens, wenn das dafür entnommene Kapital mindestens 3 000 Euro beträgt, oder</w:t>
      </w:r>
    </w:p>
    <w:p>
      <w:pPr>
        <w:tabs>
          <w:tab w:pos="567" w:val="left"/>
        </w:tabs>
        <w:ind w:left="567" w:hanging="567"/>
      </w:pPr>
      <w:r>
        <w:t>3.</w:t>
      </w:r>
      <w:r>
        <w:tab/>
      </w:r>
      <w:r>
        <w:t>bis zum Beginn der Auszahlungsphase unmittelbar für die Finanzierung eines Umbaus oder der energetischen Sanierung einer Wohnung, wenn</w:t>
      </w:r>
    </w:p>
    <w:p>
      <w:pPr>
        <w:tabs>
          <w:tab w:pos="1134" w:val="left"/>
        </w:tabs>
        <w:ind w:left="1134" w:hanging="567"/>
      </w:pPr>
      <w:r>
        <w:t>a)</w:t>
      </w:r>
      <w:r>
        <w:tab/>
      </w:r>
      <w:r>
        <w:t>das dafür entnommene Kapital</w:t>
      </w:r>
    </w:p>
    <w:p>
      <w:pPr>
        <w:tabs>
          <w:tab w:pos="1701" w:val="left"/>
        </w:tabs>
        <w:ind w:left="1701" w:hanging="567"/>
      </w:pPr>
      <w:r>
        <w:t>aa)</w:t>
      </w:r>
      <w:r>
        <w:tab/>
      </w:r>
      <w:r>
        <w:t>mindestens 6 000 Euro beträgt und für einen innerhalb eines Zeitraums von drei Jahren nach der Anschaffung oder Herstellung der Wohnung vorgenommenen Umbau verwendet wird oder</w:t>
      </w:r>
    </w:p>
    <w:p>
      <w:pPr>
        <w:tabs>
          <w:tab w:pos="1701" w:val="left"/>
        </w:tabs>
        <w:ind w:left="1701" w:hanging="567"/>
      </w:pPr>
      <w:r>
        <w:t>bb)</w:t>
      </w:r>
      <w:r>
        <w:tab/>
      </w:r>
      <w:r>
        <w:t>mindestens 20 000 Euro beträgt,</w:t>
      </w:r>
    </w:p>
    <w:p>
      <w:pPr>
        <w:tabs>
          <w:tab w:pos="1134" w:val="left"/>
        </w:tabs>
        <w:ind w:left="1134" w:hanging="567"/>
      </w:pPr>
      <w:r>
        <w:t>b)</w:t>
      </w:r>
      <w:r>
        <w:tab/>
      </w:r>
      <w:r>
        <w:t>das dafür entnommene Kapital</w:t>
      </w:r>
    </w:p>
    <w:p>
      <w:pPr>
        <w:tabs>
          <w:tab w:pos="1701" w:val="left"/>
        </w:tabs>
        <w:ind w:left="1701" w:hanging="567"/>
      </w:pPr>
      <w:r>
        <w:t>aa)</w:t>
      </w:r>
      <w:r>
        <w:tab/>
      </w:r>
      <w:r>
        <w:t>zu mindestens 50 Prozent auf Maßnahmen entfällt, die die Vorgaben der DIN 18040 Teil 2, Ausgabe September 2011, soweit baustrukturell möglich, erfüllen, und der verbleibende Teil der Kosten der Reduzierung von Barrieren in oder an der Wohnung dient; die zweckgerechte Verwendung ist durch einen Sachverständigen zu bestätigen; oder</w:t>
      </w:r>
    </w:p>
    <w:p>
      <w:pPr>
        <w:tabs>
          <w:tab w:pos="1701" w:val="left"/>
        </w:tabs>
        <w:ind w:left="1701" w:hanging="567"/>
      </w:pPr>
      <w:r>
        <w:t>bb)</w:t>
      </w:r>
      <w:r>
        <w:tab/>
      </w:r>
      <w:r>
        <w:t xml:space="preserve">auf energetische Maßnahmen im Sinne des </w:t>
      </w:r>
      <w:hyperlink w:anchor="b135" w:history="1">
        <w:r>
          <w:rPr>
            <w:color w:val="0A3A8C"/>
            <w:u w:val="single"/>
          </w:rPr>
          <w:t xml:space="preserve">§ 35c</w:t>
        </w:r>
      </w:hyperlink>
      <w:r>
        <w:t xml:space="preserve"> Absatz 1 Satz 3 und 4 entfällt, die von einem Fachunternehmen ausgeführt werden; </w:t>
      </w:r>
      <w:hyperlink w:anchor="b135" w:history="1">
        <w:r>
          <w:rPr>
            <w:color w:val="0A3A8C"/>
            <w:u w:val="single"/>
          </w:rPr>
          <w:t xml:space="preserve">§ 35c</w:t>
        </w:r>
      </w:hyperlink>
      <w:r>
        <w:t xml:space="preserve"> Absatz 1 Satz 6 und 7 gilt entsprechend; und</w:t>
      </w:r>
    </w:p>
    <w:p>
      <w:pPr>
        <w:tabs>
          <w:tab w:pos="1134" w:val="left"/>
        </w:tabs>
        <w:ind w:left="1134" w:hanging="567"/>
      </w:pPr>
      <w:r>
        <w:t>c)</w:t>
      </w:r>
      <w:r>
        <w:tab/>
      </w:r>
      <w:r>
        <w:t xml:space="preserve">der Zulageberechtigte oder ein Mitnutzer der Wohnung für die Umbaukosten weder eine Förderung durch Zuschüsse noch eine Steuerermäßigung nach den §§ 35a oder 35c in Anspruch nimmt oder nehmen wird noch die Berücksichtigung als Betriebsausgaben, Werbungskosten, Sonderausgaben oder außergewöhnliche Belastung nach </w:t>
      </w:r>
      <w:hyperlink w:anchor="b112" w:history="1">
        <w:r>
          <w:rPr>
            <w:color w:val="0A3A8C"/>
            <w:u w:val="single"/>
          </w:rPr>
          <w:t xml:space="preserve">§ 33</w:t>
        </w:r>
      </w:hyperlink>
      <w:r>
        <w:t xml:space="preserve"> beantragt hat oder beantragen wird und dies schriftlich oder elektronisch bestätigt. </w:t>
      </w:r>
      <w:r>
        <w:rPr>
          <w:rStyle w:val="Satznummer"/>
        </w:rPr>
        <w:t>2</w:t>
      </w:r>
      <w:r>
        <w:t xml:space="preserve">Diese Bestätigung ist bei der Antragstellung nach </w:t>
      </w:r>
      <w:hyperlink w:anchor="b252" w:history="1">
        <w:r>
          <w:rPr>
            <w:color w:val="0A3A8C"/>
            <w:u w:val="single"/>
          </w:rPr>
          <w:t xml:space="preserve">§ 92b</w:t>
        </w:r>
      </w:hyperlink>
      <w:r>
        <w:t xml:space="preserve"> Absatz 1 Satz 1 gegenüber der zentralen Stelle abzugeben. </w:t>
      </w:r>
      <w:r>
        <w:rPr>
          <w:rStyle w:val="Satznummer"/>
        </w:rPr>
        <w:t>3</w:t>
      </w:r>
      <w:r>
        <w:t>Bei der Inanspruchnahme eines Darlehens im Rahmen eines Altersvorsorgevertrags nach § 1 Absatz 1a des Altersvorsorgeverträge-Zertifizierungsgesetzes hat der Zulageberechtigte die Bestätigung gegenüber seinem Anbieter abzugeben; dies kann auch elektronisch erfolgen, wenn sowohl der Anbieter als auch der Zulageberechtigte mit diesem Verfahren einverstanden sind.</w:t>
      </w:r>
    </w:p>
    <w:p>
      <w:r>
        <w:rPr>
          <w:rStyle w:val="Satznummer"/>
        </w:rPr>
        <w:t>2</w:t>
      </w:r>
      <w:r>
        <w:t xml:space="preserve">Die DIN 18040 ist im Beuth-Verlag GmbH, Berlin und Köln, erschienen und beim Deutschen Patent- und Markenamt in München archivmäßig gesichert niedergelegt. </w:t>
      </w:r>
      <w:r>
        <w:rPr>
          <w:rStyle w:val="Satznummer"/>
        </w:rPr>
        <w:t>3</w:t>
      </w:r>
      <w:r>
        <w:t xml:space="preserve">Die technischen Mindestanforderungen für die Reduzierung von Barrieren in oder an der Wohnung nach Satz 1 Nummer 3 Buchstabe b werden durch das Bundesministerium des Innern, für Bau und Heimat im Einvernehmen mit dem Bundesministerium der Finanzen festgelegt und im Bundesbaublatt veröffentlicht. </w:t>
      </w:r>
      <w:r>
        <w:rPr>
          <w:rStyle w:val="Satznummer"/>
        </w:rPr>
        <w:t>4</w:t>
      </w:r>
      <w:r>
        <w:t xml:space="preserve">Sachverständige im Sinne dieser Vorschrift sind nach Landesrecht Bauvorlageberechtigte sowie nach § 91 Absatz 1 Nummer 8 der Handwerksordnung öffentlich bestellte und vereidigte Sachverständige, die für ein Sachgebiet bestellt sind, das die Barrierefreiheit und Barrierereduzierung in Wohngebäuden umfasst, und die eine besondere Sachkunde oder ergänzende Fortbildung auf diesem Gebiet nachweisen. </w:t>
      </w:r>
      <w:r>
        <w:rPr>
          <w:rStyle w:val="Satznummer"/>
        </w:rPr>
        <w:t>5</w:t>
      </w:r>
      <w:r>
        <w:t>Eine nach Satz 1 begünstigte Wohnung ist</w:t>
      </w:r>
    </w:p>
    <w:p>
      <w:pPr>
        <w:tabs>
          <w:tab w:pos="567" w:val="left"/>
        </w:tabs>
        <w:ind w:left="567" w:hanging="567"/>
      </w:pPr>
      <w:r>
        <w:t>1.</w:t>
      </w:r>
      <w:r>
        <w:tab/>
      </w:r>
      <w:r>
        <w:t>eine Wohnung in einem eigenen Haus oder</w:t>
      </w:r>
    </w:p>
    <w:p>
      <w:pPr>
        <w:tabs>
          <w:tab w:pos="567" w:val="left"/>
        </w:tabs>
        <w:ind w:left="567" w:hanging="567"/>
      </w:pPr>
      <w:r>
        <w:t>2.</w:t>
      </w:r>
      <w:r>
        <w:tab/>
      </w:r>
      <w:r>
        <w:t>eine eigene Eigentumswohnung oder</w:t>
      </w:r>
    </w:p>
    <w:p>
      <w:pPr>
        <w:tabs>
          <w:tab w:pos="567" w:val="left"/>
        </w:tabs>
        <w:ind w:left="567" w:hanging="567"/>
      </w:pPr>
      <w:r>
        <w:t>3.</w:t>
      </w:r>
      <w:r>
        <w:tab/>
      </w:r>
      <w:r>
        <w:t>eine Genossenschaftswohnung einer eingetragenen Genossenschaft,</w:t>
      </w:r>
    </w:p>
    <w:p>
      <w:r>
        <w:t xml:space="preserve">wenn diese Wohnung in einem Mitgliedstaat der Europäischen Union oder in einem Staat, auf den das Abkommen über den Europäischen Wirtschaftsraum (EWR-Abkommen) anwendbar ist, belegen ist und die Hauptwohnung oder den Mittelpunkt der Lebensinteressen des Zulageberechtigten darstellt; dies gilt auch für eine im Vereinigten Königreich Großbritannien und Nordirland belegene Wohnung, die vor dem Zeitpunkt, ab dem das Vereinigte Königreich Großbritannien und Nordirland nicht mehr Mitgliedstaat der Europäischen Union ist und auch nicht wie ein solcher zu behandeln ist, bereits begünstigt war, soweit für diese Wohnung bereits vor diesem Zeitpunkt eine Verwendung nach Satz 1 erfolgt ist und keine erneute beantragt wird. </w:t>
      </w:r>
      <w:r>
        <w:rPr>
          <w:rStyle w:val="Satznummer"/>
        </w:rPr>
        <w:t>6</w:t>
      </w:r>
      <w:r>
        <w:t xml:space="preserve">Einer Wohnung im Sinne des Satzes 5 steht ein eigentumsähnliches oder lebenslanges Dauerwohnrecht nach § 33 des Wohnungseigentumsgesetzes gleich, soweit Vereinbarungen nach § 39 des Wohnungseigentumsgesetzes getroffen werden. </w:t>
      </w:r>
      <w:r>
        <w:rPr>
          <w:rStyle w:val="Satznummer"/>
        </w:rPr>
        <w:t>7</w:t>
      </w:r>
      <w:r>
        <w:t xml:space="preserve">Bei der Ermittlung des Restkapitals nach Satz 1 ist auf den Stand des geförderten Altersvorsorgevermögens zum Ablauf des Tages abzustellen, an dem die zentrale Stelle den Bescheid nach </w:t>
      </w:r>
      <w:hyperlink w:anchor="b252" w:history="1">
        <w:r>
          <w:rPr>
            <w:color w:val="0A3A8C"/>
            <w:u w:val="single"/>
          </w:rPr>
          <w:t xml:space="preserve">§ 92b</w:t>
        </w:r>
      </w:hyperlink>
      <w:r>
        <w:t xml:space="preserve"> ausgestellt hat. </w:t>
      </w:r>
      <w:r>
        <w:rPr>
          <w:rStyle w:val="Satznummer"/>
        </w:rPr>
        <w:t>8</w:t>
      </w:r>
      <w:r>
        <w:t>Der Altersvorsorge-Eigenheimbetrag gilt nicht als Leistung aus einem Altersvorsorgevertrag, die dem Zulageberechtigten im Zeitpunkt der Auszahlung zufließt.</w:t>
      </w:r>
    </w:p>
    <w:p>
      <w:r>
        <w:t xml:space="preserve">(2) </w:t>
      </w:r>
      <w:r>
        <w:rPr>
          <w:rStyle w:val="Satznummer"/>
        </w:rPr>
        <w:t>1</w:t>
      </w:r>
      <w:r>
        <w:t xml:space="preserve">Der Altersvorsorge-Eigenheimbetrag, die Tilgungsleistungen im Sinne des </w:t>
      </w:r>
      <w:hyperlink w:anchor="b240" w:history="1">
        <w:r>
          <w:rPr>
            <w:color w:val="0A3A8C"/>
            <w:u w:val="single"/>
          </w:rPr>
          <w:t xml:space="preserve">§ 82</w:t>
        </w:r>
      </w:hyperlink>
      <w:r>
        <w:t xml:space="preserve"> Absatz 1 Satz 1 Nummer 2 und die hierfür gewährten Zulagen sind durch die zentrale Stelle in Bezug auf den zugrunde liegenden Altersvorsorgevertrag gesondert zu erfassen (Wohnförderkonto); die zentrale Stelle teilt für jeden Altersvorsorgevertrag, für den sie ein Wohnförderkonto (Altersvorsorgevertrag mit Wohnförderkonto) führt, dem Anbieter jährlich den Stand des Wohnförderkontos nach amtlich vorgeschriebenem Datensatz durch Datenfernübertragung mit. </w:t>
      </w:r>
      <w:r>
        <w:rPr>
          <w:rStyle w:val="Satznummer"/>
        </w:rPr>
        <w:t>2</w:t>
      </w:r>
      <w:r>
        <w:t xml:space="preserve">Beiträge, die nach </w:t>
      </w:r>
      <w:hyperlink w:anchor="b240" w:history="1">
        <w:r>
          <w:rPr>
            <w:color w:val="0A3A8C"/>
            <w:u w:val="single"/>
          </w:rPr>
          <w:t xml:space="preserve">§ 82</w:t>
        </w:r>
      </w:hyperlink>
      <w:r>
        <w:t xml:space="preserve"> Absatz 1 Satz 3 wie Tilgungsleistungen behandelt wurden, sind im Zeitpunkt der unmittelbaren Darlehenstilgung einschließlich der zur Tilgung eingesetzten Zulagen und Erträge in das Wohnförderkonto aufzunehmen; zur Tilgung eingesetzte ungeförderte Beiträge einschließlich der darauf entfallenden Erträge fließen dem Zulageberechtigten in diesem Zeitpunkt zu. </w:t>
      </w:r>
      <w:r>
        <w:rPr>
          <w:rStyle w:val="Satznummer"/>
        </w:rPr>
        <w:t>3</w:t>
      </w:r>
      <w:r>
        <w:t xml:space="preserve">Nach Ablauf eines Beitragsjahres, letztmals für das Beitragsjahr des Beginns der Auszahlungsphase, ist der sich aus dem Wohnförderkonto ergebende Gesamtbetrag um 2 Prozent zu erhöhen. </w:t>
      </w:r>
      <w:r>
        <w:rPr>
          <w:rStyle w:val="Satznummer"/>
        </w:rPr>
        <w:t>4</w:t>
      </w:r>
      <w:r>
        <w:t>Das Wohnförderkonto ist zu vermindern um</w:t>
      </w:r>
    </w:p>
    <w:p>
      <w:pPr>
        <w:tabs>
          <w:tab w:pos="567" w:val="left"/>
        </w:tabs>
        <w:ind w:left="567" w:hanging="567"/>
      </w:pPr>
      <w:r>
        <w:t>1.</w:t>
      </w:r>
      <w:r>
        <w:tab/>
      </w:r>
      <w:r>
        <w:t>Zahlungen des Zulageberechtigten auf einen auf seinen Namen lautenden zertifizierten Altersvorsorgevertrag nach § 1 Absatz 1 des Altersvorsorgeverträge-Zertifizierungsgesetzes bis zum Beginn der Auszahlungsphase zur Minderung der in das Wohnförderkonto eingestellten Beträge; der Anbieter, bei dem die Einzahlung erfolgt, hat die Einzahlung der zentralen Stelle nach amtlich vorgeschriebenem Datensatz durch Datenfernübertragung mitzuteilen; erfolgt die Einzahlung nicht auf den Altersvorsorgevertrag mit Wohnförderkonto, hat der Zulageberechtigte dem Anbieter, bei dem die Einzahlung erfolgt, die Vertragsdaten des Altersvorsorgevertrags mit Wohnförderkonto mitzuteilen; diese hat der Anbieter der zentralen Stelle zusätzlich mitzuteilen;</w:t>
      </w:r>
    </w:p>
    <w:p>
      <w:pPr>
        <w:tabs>
          <w:tab w:pos="567" w:val="left"/>
        </w:tabs>
        <w:ind w:left="567" w:hanging="567"/>
      </w:pPr>
      <w:r>
        <w:t>2.</w:t>
      </w:r>
      <w:r>
        <w:tab/>
      </w:r>
      <w:r>
        <w:t>den Verminderungsbetrag nach Satz 5.</w:t>
      </w:r>
    </w:p>
    <w:p>
      <w:r>
        <w:rPr>
          <w:rStyle w:val="Satznummer"/>
        </w:rPr>
        <w:t>5</w:t>
      </w:r>
      <w:r>
        <w:t xml:space="preserve">Verminderungsbetrag ist der sich mit Ablauf des Kalenderjahres des Beginns der Auszahlungsphase ergebende Stand des Wohnförderkontos dividiert durch die Anzahl der Jahre bis zur Vollendung des 85. Lebensjahres des Zulageberechtigten; als Beginn der Auszahlungsphase gilt der vom Zulageberechtigten und Anbieter vereinbarte Zeitpunkt, der zwischen der Vollendung des 60. Lebensjahres und des 68. Lebensjahres des Zulageberechtigten liegen muss; ist ein Auszahlungszeitpunkt nicht vereinbart, so gilt die Vollendung des 67. Lebensjahres als Beginn der Auszahlungsphase; die Verschiebung des Beginns der Auszahlungsphase über das 68. Lebensjahr des Zulageberechtigten hinaus ist unschädlich, sofern es sich um eine Verschiebung im Zusammenhang mit der Abfindung einer Kleinbetragsrente auf Grund des § 1 Absatz 1 Satz 1 Nummer 4 Buchstabe a des Altersvorsorgeverträge-Zertifizierungsgesetzes handelt. </w:t>
      </w:r>
      <w:r>
        <w:rPr>
          <w:rStyle w:val="Satznummer"/>
        </w:rPr>
        <w:t>6</w:t>
      </w:r>
      <w:r>
        <w:t xml:space="preserve">Anstelle einer Verminderung nach Satz 5 kann der Zulageberechtigte jederzeit in der Auszahlungsphase von der zentralen Stelle die Auflösung des Wohnförderkontos verlangen (Auflösungsbetrag). </w:t>
      </w:r>
      <w:r>
        <w:rPr>
          <w:rStyle w:val="Satznummer"/>
        </w:rPr>
        <w:t>7</w:t>
      </w:r>
      <w:r>
        <w:t xml:space="preserve">Der Anbieter hat im Zeitpunkt der unmittelbaren Darlehenstilgung die Beträge nach Satz 2 erster Halbsatz und der Anbieter eines Altersvorsorgevertrags mit Wohnförderkonto hat zu Beginn der Auszahlungsphase den Zeitpunkt des Beginns der Auszahlungsphase der zentralen Stelle nach amtlich vorgeschriebenem Datensatz durch Datenfernübertragung spätestens bis zum Ablauf des zweiten Monats, der auf den Monat der unmittelbaren Darlehenstilgung oder des Beginns der Auszahlungsphase folgt, mitzuteilen. </w:t>
      </w:r>
      <w:r>
        <w:rPr>
          <w:rStyle w:val="Satznummer"/>
        </w:rPr>
        <w:t>8</w:t>
      </w:r>
      <w:r>
        <w:t xml:space="preserve">Wird gefördertes Altersvorsorgevermögen nach § 93 Absatz 2 Satz 1 von einem Anbieter auf einen anderen auf den Namen des Zulageberechtigten lautenden Altersvorsorgevertrag vollständig übertragen und hat die zentrale Stelle für den bisherigen Altersvorsorgevertrag ein Wohnförderkonto geführt, so schließt sie das Wohnförderkonto des bisherigen Vertrags und führt es zu dem neuen Altersvorsorgevertrag fort. </w:t>
      </w:r>
      <w:r>
        <w:rPr>
          <w:rStyle w:val="Satznummer"/>
        </w:rPr>
        <w:t>9</w:t>
      </w:r>
      <w:r>
        <w:t xml:space="preserve">Erfolgt eine Zahlung nach Satz 4 Nummer 1 oder nach Absatz 3 Satz 9 Nummer 2 auf einen anderen Altersvorsorgevertrag als auf den Altersvorsorgevertrag mit Wohnförderkonto, schließt die zentrale Stelle das Wohnförderkonto des bisherigen Vertrags und führt es ab dem Zeitpunkt der Einzahlung für den Altersvorsorgevertrag fort, auf den die Einzahlung erfolgt ist. </w:t>
      </w:r>
      <w:r>
        <w:rPr>
          <w:rStyle w:val="Satznummer"/>
        </w:rPr>
        <w:t>10</w:t>
      </w:r>
      <w:r>
        <w:t>Die zentrale Stelle teilt die Schließung des Wohnförderkontos dem Anbieter des bisherigen Altersvorsorgevertrags mit Wohnförderkonto mit.</w:t>
      </w:r>
    </w:p>
    <w:p>
      <w:r>
        <w:t xml:space="preserve">(2a) </w:t>
      </w:r>
      <w:r>
        <w:rPr>
          <w:rStyle w:val="Satznummer"/>
        </w:rPr>
        <w:t>1</w:t>
      </w:r>
      <w:r>
        <w:t xml:space="preserve">Geht im Rahmen der Regelung von Scheidungsfolgen der Eigentumsanteil des Zulageberechtigten an der Wohnung im Sinne des Absatzes 1 Satz 5 ganz oder teilweise auf den anderen Ehegatten über, geht das Wohnförderkonto in Höhe des Anteils, der dem Verhältnis des übergegangenen Eigentumsanteils zum ursprünglichen Eigentumsanteil entspricht, mit allen Rechten und Pflichten auf den anderen Ehegatten über; dabei ist auf das Lebensalter des anderen Ehegatten abzustellen. </w:t>
      </w:r>
      <w:r>
        <w:rPr>
          <w:rStyle w:val="Satznummer"/>
        </w:rPr>
        <w:t>2</w:t>
      </w:r>
      <w:r>
        <w:t xml:space="preserve">Hat der andere Ehegatte das Lebensalter für den vertraglich vereinbarten Beginn der Auszahlungsphase oder, soweit kein Beginn der Auszahlungsphase vereinbart wurde, das 67. Lebensjahr im Zeitpunkt des Übergangs des Wohnförderkontos bereits überschritten, so gilt als Beginn der Auszahlungsphase der Zeitpunkt des Übergangs des Wohnförderkontos. </w:t>
      </w:r>
      <w:r>
        <w:rPr>
          <w:rStyle w:val="Satznummer"/>
        </w:rPr>
        <w:t>3</w:t>
      </w:r>
      <w:r>
        <w:t xml:space="preserve">Der Zulageberechtigte hat den Übergang des Eigentumsanteils der zentralen Stelle nachzuweisen. </w:t>
      </w:r>
      <w:r>
        <w:rPr>
          <w:rStyle w:val="Satznummer"/>
        </w:rPr>
        <w:t>4</w:t>
      </w:r>
      <w:r>
        <w:t xml:space="preserve">Dazu hat er die für die Anlage eines Wohnförderkontos erforderlichen Daten des anderen Ehegatten mitzuteilen. </w:t>
      </w:r>
      <w:r>
        <w:rPr>
          <w:rStyle w:val="Satznummer"/>
        </w:rPr>
        <w:t>5</w:t>
      </w:r>
      <w:r>
        <w:t>Die Sätze 1 bis 4 gelten entsprechend für Ehegatten, die im Zeitpunkt des Todes des Zulageberechtigten</w:t>
      </w:r>
    </w:p>
    <w:p>
      <w:pPr>
        <w:tabs>
          <w:tab w:pos="567" w:val="left"/>
        </w:tabs>
        <w:ind w:left="567" w:hanging="567"/>
      </w:pPr>
      <w:r>
        <w:t>1.</w:t>
      </w:r>
      <w:r>
        <w:tab/>
      </w:r>
      <w:r>
        <w:t>nicht dauernd getrennt gelebt haben (</w:t>
      </w:r>
      <w:hyperlink w:anchor="b99" w:history="1">
        <w:r>
          <w:rPr>
            <w:color w:val="0A3A8C"/>
            <w:u w:val="single"/>
          </w:rPr>
          <w:t xml:space="preserve">§ 26</w:t>
        </w:r>
      </w:hyperlink>
      <w:r>
        <w:t xml:space="preserve"> Absatz 1) und</w:t>
      </w:r>
    </w:p>
    <w:p>
      <w:pPr>
        <w:tabs>
          <w:tab w:pos="567" w:val="left"/>
        </w:tabs>
        <w:ind w:left="567" w:hanging="567"/>
      </w:pPr>
      <w:r>
        <w:t>2.</w:t>
      </w:r>
      <w:r>
        <w:tab/>
      </w:r>
      <w:r>
        <w:t>ihren Wohnsitz oder gewöhnlichen Aufenthalt in einem Mitgliedstaat der Europäischen Union oder einem Staat hatten, auf den das Abkommen über den Europäischen Wirtschaftsraum anwendbar ist; dies gilt auch, wenn die Ehegatten ihren vor dem Zeitpunkt, ab dem das Vereinigte Königreich Großbritannien und Nordirland nicht mehr Mitgliedstaat der Europäischen Union ist und auch nicht wie ein solcher zu behandeln ist, begründeten Wohnsitz oder gewöhnlichen Aufenthalt im Vereinigten Königreich Großbritannien und Nordirland hatten und der Altersvorsorgevertrag vor dem 23. Juni 2016 abgeschlossen worden ist.</w:t>
      </w:r>
    </w:p>
    <w:p>
      <w:r>
        <w:t xml:space="preserve">(3) </w:t>
      </w:r>
      <w:r>
        <w:rPr>
          <w:rStyle w:val="Satznummer"/>
        </w:rPr>
        <w:t>1</w:t>
      </w:r>
      <w:r>
        <w:t xml:space="preserve">Nutzt der Zulageberechtigte die Wohnung im Sinne des Absatzes 1 Satz 5, für die ein Altersvorsorge-Eigenheimbetrag verwendet oder für die eine Tilgungsförderung im Sinne des § 82 Absatz 1 in Anspruch genommen worden ist, nicht nur vorübergehend nicht mehr zu eigenen Wohnzwecken, hat er dies dem Anbieter, in der Auszahlungsphase der zentralen Stelle, unter Angabe des Zeitpunkts der Aufgabe der Selbstnutzung anzuzeigen. </w:t>
      </w:r>
      <w:r>
        <w:rPr>
          <w:rStyle w:val="Satznummer"/>
        </w:rPr>
        <w:t>2</w:t>
      </w:r>
      <w:r>
        <w:t xml:space="preserve">Eine Aufgabe der Selbstnutzung liegt auch vor, soweit der Zulageberechtigte das Eigentum an der Wohnung aufgibt. </w:t>
      </w:r>
      <w:r>
        <w:rPr>
          <w:rStyle w:val="Satznummer"/>
        </w:rPr>
        <w:t>3</w:t>
      </w:r>
      <w:r>
        <w:t xml:space="preserve">Die Anzeigepflicht gilt entsprechend für den Rechtsnachfolger der begünstigten Wohnung, wenn der Zulageberechtigte stirbt. </w:t>
      </w:r>
      <w:r>
        <w:rPr>
          <w:rStyle w:val="Satznummer"/>
        </w:rPr>
        <w:t>4</w:t>
      </w:r>
      <w:r>
        <w:t xml:space="preserve">Die Anzeigepflicht entfällt, wenn das Wohnförderkonto vollständig zurückgeführt worden ist, es sei denn, es liegt ein Fall des </w:t>
      </w:r>
      <w:hyperlink w:anchor="b90" w:history="1">
        <w:r>
          <w:rPr>
            <w:color w:val="0A3A8C"/>
            <w:u w:val="single"/>
          </w:rPr>
          <w:t xml:space="preserve">§ 22</w:t>
        </w:r>
      </w:hyperlink>
      <w:r>
        <w:t xml:space="preserve"> Nummer 5 Satz 6 vor. </w:t>
      </w:r>
      <w:r>
        <w:rPr>
          <w:rStyle w:val="Satznummer"/>
        </w:rPr>
        <w:t>5</w:t>
      </w:r>
      <w:r>
        <w:t xml:space="preserve">Im Fall des Satzes 1 gelten die im Wohnförderkonto erfassten Beträge als Leistungen aus einem Altersvorsorgevertrag, die dem Zulageberechtigten nach letztmaliger Erhöhung des Wohnförderkontos nach Absatz 2 Satz 3 zum Ende des Veranlagungszeitraums, in dem die Selbstnutzung aufgegeben wurde, zufließen; das Wohnförderkonto ist aufzulösen (Auflösungsbetrag). </w:t>
      </w:r>
      <w:r>
        <w:rPr>
          <w:rStyle w:val="Satznummer"/>
        </w:rPr>
        <w:t>6</w:t>
      </w:r>
      <w:r>
        <w:t xml:space="preserve">Verstirbt der Zulageberechtigte, ist der Auflösungsbetrag ihm noch zuzurechnen. </w:t>
      </w:r>
      <w:r>
        <w:rPr>
          <w:rStyle w:val="Satznummer"/>
        </w:rPr>
        <w:t>7</w:t>
      </w:r>
      <w:r>
        <w:t xml:space="preserve">Der Anbieter hat der zentralen Stelle den Zeitpunkt der Aufgabe nach amtlich vorgeschriebenem Datensatz durch Datenfernübertragung spätestens bis zum Ablauf des zweiten Monats, der auf den Monat der Anzeige des Zulageberechtigten folgt, mitzuteilen. </w:t>
      </w:r>
      <w:r>
        <w:rPr>
          <w:rStyle w:val="Satznummer"/>
        </w:rPr>
        <w:t>8</w:t>
      </w:r>
      <w:r>
        <w:t xml:space="preserve">Wurde im Fall des Satzes 1 eine Tilgungsförderung nach § 82 Absatz 1 Satz 3 in Anspruch genommen und erfolgte keine Einstellung in das Wohnförderkonto nach Absatz 2 Satz 2, sind die Beiträge, die nach </w:t>
      </w:r>
      <w:hyperlink w:anchor="b240" w:history="1">
        <w:r>
          <w:rPr>
            <w:color w:val="0A3A8C"/>
            <w:u w:val="single"/>
          </w:rPr>
          <w:t xml:space="preserve">§ 82</w:t>
        </w:r>
      </w:hyperlink>
      <w:r>
        <w:t xml:space="preserve"> Absatz 1 Satz 3 wie Tilgungsleistungen behandelt wurden, sowie die darauf entfallenden Zulagen und Erträge in ein Wohnförderkonto aufzunehmen und anschließend die weiteren Regelungen dieses Absatzes anzuwenden; Absatz 2 Satz 2 zweiter Halbsatz und Satz 7 gilt entsprechend. </w:t>
      </w:r>
      <w:r>
        <w:rPr>
          <w:rStyle w:val="Satznummer"/>
        </w:rPr>
        <w:t>9</w:t>
      </w:r>
      <w:r>
        <w:t xml:space="preserve">Die Sätze 5 bis 7 sowie </w:t>
      </w:r>
      <w:hyperlink w:anchor="b86" w:history="1">
        <w:r>
          <w:rPr>
            <w:color w:val="0A3A8C"/>
            <w:u w:val="single"/>
          </w:rPr>
          <w:t xml:space="preserve">§ 20</w:t>
        </w:r>
      </w:hyperlink>
      <w:r>
        <w:t xml:space="preserve"> sind nicht anzuwenden, wenn</w:t>
      </w:r>
    </w:p>
    <w:p>
      <w:pPr>
        <w:tabs>
          <w:tab w:pos="567" w:val="left"/>
        </w:tabs>
        <w:ind w:left="567" w:hanging="567"/>
      </w:pPr>
      <w:r>
        <w:t>1.</w:t>
      </w:r>
      <w:r>
        <w:tab/>
      </w:r>
      <w:r>
        <w:t>der Zulageberechtigte einen Betrag in Höhe des noch nicht zurückgeführten Betrags im Wohnförderkonto innerhalb von zwei Jahren vor dem Veranlagungszeitraum und von fünf Jahren nach Ablauf des Veranlagungszeitraums, in dem er die Wohnung letztmals zu eigenen Wohnzwecken genutzt hat, für eine weitere Wohnung im Sinne des Absatzes 1 Satz 5 verwendet,</w:t>
      </w:r>
    </w:p>
    <w:p>
      <w:pPr>
        <w:tabs>
          <w:tab w:pos="567" w:val="left"/>
        </w:tabs>
        <w:ind w:left="567" w:hanging="567"/>
      </w:pPr>
      <w:r>
        <w:t>2.</w:t>
      </w:r>
      <w:r>
        <w:tab/>
      </w:r>
      <w:r>
        <w:t>der Zulageberechtigte einen Betrag in Höhe des noch nicht zurückgeführten Betrags im Wohnförderkonto innerhalb eines Jahres nach Ablauf des Veranlagungszeitraums, in dem er die Wohnung letztmals zu eigenen Wohnzwecken genutzt hat, auf einen auf seinen Namen lautenden zertifizierten Altersvorsorgevertrag zahlt; Absatz 2 Satz 4 Nummer 1 ist entsprechend anzuwenden,</w:t>
      </w:r>
    </w:p>
    <w:p>
      <w:pPr>
        <w:tabs>
          <w:tab w:pos="567" w:val="left"/>
        </w:tabs>
        <w:ind w:left="567" w:hanging="567"/>
      </w:pPr>
      <w:r>
        <w:t>3.</w:t>
      </w:r>
      <w:r>
        <w:tab/>
      </w:r>
      <w:r>
        <w:t>die Ehewohnung auf Grund einer richterlichen Entscheidung nach § 1361b des Bürgerlichen Gesetzbuchs oder nach der Verordnung über die Behandlung der Ehewohnung und des Hausrats dem anderen Ehegatten zugewiesen wird,</w:t>
      </w:r>
    </w:p>
    <w:p>
      <w:pPr>
        <w:tabs>
          <w:tab w:pos="567" w:val="left"/>
        </w:tabs>
        <w:ind w:left="567" w:hanging="567"/>
      </w:pPr>
      <w:r>
        <w:t>4.</w:t>
      </w:r>
      <w:r>
        <w:tab/>
      </w:r>
      <w:r>
        <w:t>der Zulageberechtigte krankheits- oder pflegebedingt die Wohnung nicht mehr bewohnt, sofern er Eigentümer dieser Wohnung bleibt, sie ihm weiterhin zur Selbstnutzung zur Verfügung steht und sie nicht von Dritten, mit Ausnahme seines Ehegatten, genutzt wird oder</w:t>
      </w:r>
    </w:p>
    <w:p>
      <w:pPr>
        <w:tabs>
          <w:tab w:pos="567" w:val="left"/>
        </w:tabs>
        <w:ind w:left="567" w:hanging="567"/>
      </w:pPr>
      <w:r>
        <w:t>5.</w:t>
      </w:r>
      <w:r>
        <w:tab/>
      </w:r>
      <w:r>
        <w:t>der Zulageberechtigte innerhalb von fünf Jahren nach Ablauf des Veranlagungszeitraums, in dem er die Wohnung letztmals zu eigenen Wohnzwecken genutzt hat, die Selbstnutzung dieser Wohnung wieder aufnimmt.</w:t>
      </w:r>
    </w:p>
    <w:p>
      <w:r>
        <w:rPr>
          <w:rStyle w:val="Satznummer"/>
        </w:rPr>
        <w:t>10</w:t>
      </w:r>
      <w:r>
        <w:t xml:space="preserve">Satz 9 Nummer 1 und 2 setzt voraus, dass der Zulageberechtigte dem Anbieter, in der Auszahlungsphase der zentralen Stelle, die fristgemäße Reinvestitionsabsicht im Rahmen der Anzeige nach Satz 1 und den Zeitpunkt der Reinvestition oder die Aufgabe der Reinvestitionsabsicht anzeigt; in den Fällen des Absatzes 2a und des Satzes 9 Nummer 3 gelten die Sätze 1 bis 9 entsprechend für den anderen, geschiedenen oder überlebenden Ehegatten, wenn er die Wohnung nicht nur vorübergehend nicht mehr zu eigenen Wohnzwecken nutzt. </w:t>
      </w:r>
      <w:r>
        <w:rPr>
          <w:rStyle w:val="Satznummer"/>
        </w:rPr>
        <w:t>11</w:t>
      </w:r>
      <w:r>
        <w:t>Satz 5 ist mit der Maßgabe anzuwenden, dass der Eingang der Anzeige der aufgegebenen Reinvestitionsabsicht, spätestens jedoch der 1. Januar</w:t>
      </w:r>
    </w:p>
    <w:p>
      <w:pPr>
        <w:tabs>
          <w:tab w:pos="567" w:val="left"/>
        </w:tabs>
        <w:ind w:left="567" w:hanging="567"/>
      </w:pPr>
      <w:r>
        <w:t>1.</w:t>
      </w:r>
      <w:r>
        <w:tab/>
      </w:r>
      <w:r>
        <w:t>des sechsten Jahres nach dem Jahr der Aufgabe der Selbstnutzung bei einer Reinvestitionsabsicht nach Satz 9 Nummer 1 oder</w:t>
      </w:r>
    </w:p>
    <w:p>
      <w:pPr>
        <w:tabs>
          <w:tab w:pos="567" w:val="left"/>
        </w:tabs>
        <w:ind w:left="567" w:hanging="567"/>
      </w:pPr>
      <w:r>
        <w:t>2.</w:t>
      </w:r>
      <w:r>
        <w:tab/>
      </w:r>
      <w:r>
        <w:t>des zweiten Jahres nach dem Jahr der Aufgabe der Selbstnutzung bei einer Reinvestitionsabsicht nach Satz 9 Nummer 2</w:t>
      </w:r>
    </w:p>
    <w:p>
      <w:r>
        <w:t xml:space="preserve">als Zeitpunkt der Aufgabe gilt. </w:t>
      </w:r>
      <w:r>
        <w:rPr>
          <w:rStyle w:val="Satznummer"/>
        </w:rPr>
        <w:t>12</w:t>
      </w:r>
      <w:r>
        <w:t xml:space="preserve">Satz 9 Nummer 5 setzt voraus, dass bei einer beabsichtigten Wiederaufnahme der Selbstnutzung der Zulageberechtigte dem Anbieter, in der Auszahlungsphase der zentralen Stelle, die Absicht der fristgemäßen Wiederaufnahme der Selbstnutzung im Rahmen der Anzeige nach Satz 1 und den Zeitpunkt oder die Aufgabe der Reinvestitionsabsicht nach Satz 10 anzeigt. </w:t>
      </w:r>
      <w:r>
        <w:rPr>
          <w:rStyle w:val="Satznummer"/>
        </w:rPr>
        <w:t>13</w:t>
      </w:r>
      <w:r>
        <w:t>Satz 10 zweiter Halbsatz und Satz 11 gelten für die Anzeige der Absicht der fristgemäßen Wiederaufnahme der Selbstnutzung entsprechend.</w:t>
      </w:r>
    </w:p>
    <w:p>
      <w:r>
        <w:t xml:space="preserve">(4) </w:t>
      </w:r>
      <w:r>
        <w:rPr>
          <w:rStyle w:val="Satznummer"/>
        </w:rPr>
        <w:t>1</w:t>
      </w:r>
      <w:r>
        <w:t xml:space="preserve">Absatz 3 sowie </w:t>
      </w:r>
      <w:hyperlink w:anchor="b86" w:history="1">
        <w:r>
          <w:rPr>
            <w:color w:val="0A3A8C"/>
            <w:u w:val="single"/>
          </w:rPr>
          <w:t xml:space="preserve">§ 20</w:t>
        </w:r>
      </w:hyperlink>
      <w:r>
        <w:t xml:space="preserve"> sind auf Antrag des Steuerpflichtigen nicht anzuwenden, wenn er</w:t>
      </w:r>
    </w:p>
    <w:p>
      <w:pPr>
        <w:tabs>
          <w:tab w:pos="567" w:val="left"/>
        </w:tabs>
        <w:ind w:left="567" w:hanging="567"/>
      </w:pPr>
      <w:r>
        <w:t>1.</w:t>
      </w:r>
      <w:r>
        <w:tab/>
      </w:r>
      <w:r>
        <w:t>die Wohnung im Sinne des Absatzes 1 Satz 5 auf Grund eines beruflich bedingten Umzugs für die Dauer der beruflich bedingten Abwesenheit nicht selbst nutzt; wird während dieser Zeit mit einer anderen Person ein Nutzungsrecht für diese Wohnung vereinbart, ist diese Vereinbarung von vorneherein entsprechend zu befristen,</w:t>
      </w:r>
    </w:p>
    <w:p>
      <w:pPr>
        <w:tabs>
          <w:tab w:pos="567" w:val="left"/>
        </w:tabs>
        <w:ind w:left="567" w:hanging="567"/>
      </w:pPr>
      <w:r>
        <w:t>2.</w:t>
      </w:r>
      <w:r>
        <w:tab/>
      </w:r>
      <w:r>
        <w:t>beabsichtigt, die Selbstnutzung wieder aufzunehmen und</w:t>
      </w:r>
    </w:p>
    <w:p>
      <w:pPr>
        <w:tabs>
          <w:tab w:pos="567" w:val="left"/>
        </w:tabs>
        <w:ind w:left="567" w:hanging="567"/>
      </w:pPr>
      <w:r>
        <w:t>3.</w:t>
      </w:r>
      <w:r>
        <w:tab/>
      </w:r>
      <w:r>
        <w:t>die Selbstnutzung spätestens mit der Vollendung seines 67. Lebensjahres aufnimmt.</w:t>
      </w:r>
    </w:p>
    <w:p>
      <w:r>
        <w:rPr>
          <w:rStyle w:val="Satznummer"/>
        </w:rPr>
        <w:t>2</w:t>
      </w:r>
      <w:r>
        <w:t xml:space="preserve">Der Steuerpflichtige hat den Antrag bei der zentralen Stelle zu stellen und dabei die notwendigen Nachweise zu erbringen. </w:t>
      </w:r>
      <w:r>
        <w:rPr>
          <w:rStyle w:val="Satznummer"/>
        </w:rPr>
        <w:t>3</w:t>
      </w:r>
      <w:r>
        <w:t xml:space="preserve">Die zentrale Stelle erteilt dem Steuerpflichtigen einen Bescheid über die Bewilligung des Antrags und informiert den Anbieter des Altersvorsorgevertrags mit Wohnförderkonto des Zulageberechtigten über die Bewilligung, eine Wiederaufnahme der Selbstnutzung nach einem beruflich bedingten Umzug und den Wegfall der Voraussetzungen nach diesem Absatz; die Information hat nach amtlich vorgeschriebenem Datensatz durch Datenfernübertragung zu erfolgen. </w:t>
      </w:r>
      <w:r>
        <w:rPr>
          <w:rStyle w:val="Satznummer"/>
        </w:rPr>
        <w:t>4</w:t>
      </w:r>
      <w:r>
        <w:t>Entfällt eine der in Satz 1 genannten Voraussetzungen, ist Absatz 3 mit der Maßgabe anzuwenden, dass bei einem Wegfall der Voraussetzung nach Satz 1 Nummer 1 als Zeitpunkt der Aufgabe der Zeitpunkt des Wegfalls der Voraussetzung und bei einem Wegfall der Voraussetzung nach Satz 1 Nummer 2 oder Nummer 3 der Eingang der Mitteilung des Steuerpflichtigen nach Absatz 3 als Zeitpunkt der Aufgabe gilt, spätestens jedoch die Vollendung des 67. Lebensjahres des Steuerpflichtigen.</w:t>
      </w:r>
    </w:p>
    <w:p>
      <w:pPr>
        <w:pStyle w:val="Heading2"/>
      </w:pPr>
      <w:bookmarkStart w:id="253" w:name="b252"/>
      <w:r>
        <w:t>§ 92b Verfahren bei Verwendung für eine selbst genutzte Wohnung</w:t>
      </w:r>
      <w:r>
        <w:t xml:space="preserve"> </w:t>
      </w:r>
      <w:r>
        <w:rPr>
          <w:rStyle w:val="Suchmarke"/>
        </w:rPr>
        <w:t>#92b#</w:t>
      </w:r>
      <w:bookmarkEnd w:id="253"/>
    </w:p>
    <w:p>
      <w:r>
        <w:t xml:space="preserve">(1) </w:t>
      </w:r>
      <w:r>
        <w:rPr>
          <w:rStyle w:val="Satznummer"/>
        </w:rPr>
        <w:t>1</w:t>
      </w:r>
      <w:r>
        <w:t xml:space="preserve">Der Zulageberechtigte hat die Verwendung des Kapitals nach </w:t>
      </w:r>
      <w:hyperlink w:anchor="b251" w:history="1">
        <w:r>
          <w:rPr>
            <w:color w:val="0A3A8C"/>
            <w:u w:val="single"/>
          </w:rPr>
          <w:t xml:space="preserve">§ 92a</w:t>
        </w:r>
      </w:hyperlink>
      <w:r>
        <w:t xml:space="preserve"> Absatz 1 Satz 1 spätestens zehn Monate vor dem Beginn der Auszahlungsphase des Altersvorsorgevertrags im Sinne des § 1 Absatz 1 Nummer 2 des Altersvorsorgeverträge-Zertifizierungsgesetzes bei der zentralen Stelle zu beantragen und dabei die notwendigen Nachweise zu erbringen. </w:t>
      </w:r>
      <w:r>
        <w:rPr>
          <w:rStyle w:val="Satznummer"/>
        </w:rPr>
        <w:t>2</w:t>
      </w:r>
      <w:r>
        <w:t xml:space="preserve">Er hat zu bestimmen, aus welchen Altersvorsorgeverträgen der Altersvorsorge-Eigenheimbetrag ausgezahlt werden soll. </w:t>
      </w:r>
      <w:r>
        <w:rPr>
          <w:rStyle w:val="Satznummer"/>
        </w:rPr>
        <w:t>3</w:t>
      </w:r>
      <w:r>
        <w:t xml:space="preserve">Die zentrale Stelle teilt dem Zulageberechtigten durch Bescheid und den Anbietern der in Satz 2 genannten Altersvorsorgeverträge nach amtlich vorgeschriebenem Datensatz durch Datenfernübertragung mit, bis zu welcher Höhe eine wohnungswirtschaftliche Verwendung im Sinne des </w:t>
      </w:r>
      <w:hyperlink w:anchor="b251" w:history="1">
        <w:r>
          <w:rPr>
            <w:color w:val="0A3A8C"/>
            <w:u w:val="single"/>
          </w:rPr>
          <w:t xml:space="preserve">§ 92a</w:t>
        </w:r>
      </w:hyperlink>
      <w:r>
        <w:t xml:space="preserve"> Absatz 1 Satz 1 vorliegen kann.</w:t>
      </w:r>
    </w:p>
    <w:p>
      <w:r>
        <w:t xml:space="preserve">(2) </w:t>
      </w:r>
      <w:r>
        <w:rPr>
          <w:rStyle w:val="Satznummer"/>
        </w:rPr>
        <w:t>1</w:t>
      </w:r>
      <w:r>
        <w:t xml:space="preserve">Die Anbieter der in Absatz 1 Satz 2 genannten Altersvorsorgeverträge dürfen den Altersvorsorge-Eigenheimbetrag auszahlen, sobald sie die Mitteilung nach Absatz 1 Satz 3 erhalten haben. </w:t>
      </w:r>
      <w:r>
        <w:rPr>
          <w:rStyle w:val="Satznummer"/>
        </w:rPr>
        <w:t>2</w:t>
      </w:r>
      <w:r>
        <w:t>Sie haben der zentralen Stelle nach amtlich vorgeschriebenem Datensatz durch Datenfernübertragung Folgendes spätestens bis zum Ablauf des zweiten Monats, der auf den Monat der Auszahlung folgt, anzuzeigen:</w:t>
      </w:r>
    </w:p>
    <w:p>
      <w:pPr>
        <w:tabs>
          <w:tab w:pos="567" w:val="left"/>
        </w:tabs>
        <w:ind w:left="567" w:hanging="567"/>
      </w:pPr>
      <w:r>
        <w:t>1.</w:t>
      </w:r>
      <w:r>
        <w:tab/>
      </w:r>
      <w:r>
        <w:t>den Auszahlungszeitpunkt und den Auszahlungsbetrag,</w:t>
      </w:r>
    </w:p>
    <w:p>
      <w:pPr>
        <w:tabs>
          <w:tab w:pos="567" w:val="left"/>
        </w:tabs>
        <w:ind w:left="567" w:hanging="567"/>
      </w:pPr>
      <w:r>
        <w:t>2.</w:t>
      </w:r>
      <w:r>
        <w:tab/>
      </w:r>
      <w:r>
        <w:t>die Summe der bis zum Auszahlungszeitpunkt dem Altersvorsorgevertrag gutgeschriebenen Zulagen,</w:t>
      </w:r>
    </w:p>
    <w:p>
      <w:pPr>
        <w:tabs>
          <w:tab w:pos="567" w:val="left"/>
        </w:tabs>
        <w:ind w:left="567" w:hanging="567"/>
      </w:pPr>
      <w:r>
        <w:t>3.</w:t>
      </w:r>
      <w:r>
        <w:tab/>
      </w:r>
      <w:r>
        <w:t>die Summe der bis zum Auszahlungszeitpunkt geleisteten Altersvorsorgebeiträge und</w:t>
      </w:r>
    </w:p>
    <w:p>
      <w:pPr>
        <w:tabs>
          <w:tab w:pos="567" w:val="left"/>
        </w:tabs>
        <w:ind w:left="567" w:hanging="567"/>
      </w:pPr>
      <w:r>
        <w:t>4.</w:t>
      </w:r>
      <w:r>
        <w:tab/>
      </w:r>
      <w:r>
        <w:t>den Stand des geförderten Altersvorsorgevermögens im Zeitpunkt der Auszahlung.</w:t>
      </w:r>
    </w:p>
    <w:p>
      <w:r>
        <w:t xml:space="preserve">(3) </w:t>
      </w:r>
      <w:r>
        <w:rPr>
          <w:rStyle w:val="Satznummer"/>
        </w:rPr>
        <w:t>1</w:t>
      </w:r>
      <w:r>
        <w:t xml:space="preserve">Die zentrale Stelle stellt zu Beginn der Auszahlungsphase und in den Fällen des § 92a Absatz 2a und 3 Satz 5 den Stand des Wohnförderkontos, soweit für die Besteuerung erforderlich, den Verminderungsbetrag und den Auflösungsbetrag von Amts wegen gesondert fest. </w:t>
      </w:r>
      <w:r>
        <w:rPr>
          <w:rStyle w:val="Satznummer"/>
        </w:rPr>
        <w:t>2</w:t>
      </w:r>
      <w:r>
        <w:t xml:space="preserve">Die zentrale Stelle teilt die Feststellung dem Zulageberechtigten, in den Fällen des </w:t>
      </w:r>
      <w:hyperlink w:anchor="b251" w:history="1">
        <w:r>
          <w:rPr>
            <w:color w:val="0A3A8C"/>
            <w:u w:val="single"/>
          </w:rPr>
          <w:t xml:space="preserve">§ 92a</w:t>
        </w:r>
      </w:hyperlink>
      <w:r>
        <w:t xml:space="preserve"> Absatz 2a Satz 1 auch dem anderen Ehegatten, durch Bescheid und dem Anbieter nach amtlich vorgeschriebenem Datensatz durch Datenfernübertragung mit. </w:t>
      </w:r>
      <w:r>
        <w:rPr>
          <w:rStyle w:val="Satznummer"/>
        </w:rPr>
        <w:t>3</w:t>
      </w:r>
      <w:r>
        <w:t xml:space="preserve">Der Anbieter hat auf Anforderung der zentralen Stelle die zur Feststellung erforderlichen Unterlagen vorzulegen. </w:t>
      </w:r>
      <w:r>
        <w:rPr>
          <w:rStyle w:val="Satznummer"/>
        </w:rPr>
        <w:t>4</w:t>
      </w:r>
      <w:r>
        <w:t xml:space="preserve">Auf Antrag des Zulageberechtigten stellt die zentrale Stelle den Stand des Wohnförderkontos gesondert fest. </w:t>
      </w:r>
      <w:r>
        <w:rPr>
          <w:rStyle w:val="Satznummer"/>
        </w:rPr>
        <w:t>5</w:t>
      </w:r>
      <w:hyperlink w:anchor="b248" w:history="1">
        <w:r>
          <w:rPr>
            <w:color w:val="0A3A8C"/>
            <w:u w:val="single"/>
          </w:rPr>
          <w:t xml:space="preserve">§ 90</w:t>
        </w:r>
      </w:hyperlink>
      <w:r>
        <w:t xml:space="preserve"> Absatz 4 Satz 2 bis 5 gilt entsprechend.</w:t>
      </w:r>
    </w:p>
    <w:p>
      <w:pPr>
        <w:pStyle w:val="Heading2"/>
      </w:pPr>
      <w:bookmarkStart w:id="254" w:name="b253"/>
      <w:r>
        <w:t>§ 93 Schädliche Verwendung</w:t>
      </w:r>
      <w:r>
        <w:t xml:space="preserve"> </w:t>
      </w:r>
      <w:r>
        <w:rPr>
          <w:rStyle w:val="Suchmarke"/>
        </w:rPr>
        <w:t>#93#</w:t>
      </w:r>
      <w:bookmarkEnd w:id="254"/>
    </w:p>
    <w:p>
      <w:r>
        <w:t xml:space="preserve">(1) </w:t>
      </w:r>
      <w:r>
        <w:rPr>
          <w:rStyle w:val="Satznummer"/>
        </w:rPr>
        <w:t>1</w:t>
      </w:r>
      <w:r>
        <w:t xml:space="preserve">Wird gefördertes Altersvorsorgevermögen nicht unter den in § 1 Absatz 1 Satz 1 Nummer 4 und 10 Buchstabe c des Altersvorsorgeverträge-Zertifizierungsgesetzes oder § 1 Absatz 1 Satz 1 Nummer 4, 5 und 10 Buchstabe c des Altersvorsorgeverträge-Zertifizierungsgesetzes in der bis zum 31. Dezember 2004 geltenden Fassung genannten Voraussetzungen an den Zulageberechtigten ausgezahlt (schädliche Verwendung), sind die auf das ausgezahlte geförderte Altersvorsorgevermögen entfallenden Zulagen und die nach </w:t>
      </w:r>
      <w:hyperlink w:anchor="b52" w:history="1">
        <w:r>
          <w:rPr>
            <w:color w:val="0A3A8C"/>
            <w:u w:val="single"/>
          </w:rPr>
          <w:t xml:space="preserve">§ 10a</w:t>
        </w:r>
      </w:hyperlink>
      <w:r>
        <w:t xml:space="preserve"> Absatz 4 gesondert festgestellten Beträge (Rückzahlungsbetrag) zurückzuzahlen. </w:t>
      </w:r>
      <w:r>
        <w:rPr>
          <w:rStyle w:val="Satznummer"/>
        </w:rPr>
        <w:t>2</w:t>
      </w:r>
      <w:r>
        <w:t xml:space="preserve">Dies gilt auch bei einer Auszahlung nach Beginn der Auszahlungsphase (§ 1 Absatz 1 Satz 1 Nummer 2 des Altersvorsorgeverträge-Zertifizierungsgesetzes) und bei Auszahlungen im Fall des Todes des Zulageberechtigten. </w:t>
      </w:r>
      <w:r>
        <w:rPr>
          <w:rStyle w:val="Satznummer"/>
        </w:rPr>
        <w:t>3</w:t>
      </w:r>
      <w:r>
        <w:t xml:space="preserve">Hat der Zulageberechtigte Zahlungen im Sinne des </w:t>
      </w:r>
      <w:hyperlink w:anchor="b251" w:history="1">
        <w:r>
          <w:rPr>
            <w:color w:val="0A3A8C"/>
            <w:u w:val="single"/>
          </w:rPr>
          <w:t xml:space="preserve">§ 92a</w:t>
        </w:r>
      </w:hyperlink>
      <w:r>
        <w:t xml:space="preserve"> Absatz 2 Satz 4 Nummer 1 oder </w:t>
      </w:r>
      <w:hyperlink w:anchor="b251" w:history="1">
        <w:r>
          <w:rPr>
            <w:color w:val="0A3A8C"/>
            <w:u w:val="single"/>
          </w:rPr>
          <w:t xml:space="preserve">§ 92a</w:t>
        </w:r>
      </w:hyperlink>
      <w:r>
        <w:t xml:space="preserve"> Absatz 3 Satz 9 Nummer 2 geleistet, dann handelt es sich bei dem hierauf beruhenden Altersvorsorgevermögen um gefördertes Altersvorsorgevermögen im Sinne des Satzes 1; der Rückzahlungsbetrag bestimmt sich insoweit nach der für die in das Wohnförderkonto eingestellten Beträge gewährten Förderung. </w:t>
      </w:r>
      <w:r>
        <w:rPr>
          <w:rStyle w:val="Satznummer"/>
        </w:rPr>
        <w:t>4</w:t>
      </w:r>
      <w:r>
        <w:t>Eine Rückzahlungsverpflichtung besteht nicht für den Teil der Zulagen und der Steuerermäßigung,</w:t>
      </w:r>
    </w:p>
    <w:p>
      <w:pPr>
        <w:tabs>
          <w:tab w:pos="567" w:val="left"/>
        </w:tabs>
        <w:ind w:left="567" w:hanging="567"/>
      </w:pPr>
      <w:r>
        <w:t>a)</w:t>
      </w:r>
      <w:r>
        <w:tab/>
      </w:r>
      <w:r>
        <w:t xml:space="preserve">der auf nach § 1 Absatz 1 Satz 1 Nummer 2 des Altersvorsorgeverträge-Zertifizierungsgesetzes angespartes gefördertes Altersvorsorgevermögen entfällt, wenn es in Form einer Hinterbliebenenrente an die dort genannten Hinterbliebenen ausgezahlt wird; dies gilt auch für Leistungen im Sinne des </w:t>
      </w:r>
      <w:hyperlink w:anchor="b240" w:history="1">
        <w:r>
          <w:rPr>
            <w:color w:val="0A3A8C"/>
            <w:u w:val="single"/>
          </w:rPr>
          <w:t xml:space="preserve">§ 82</w:t>
        </w:r>
      </w:hyperlink>
      <w:r>
        <w:t xml:space="preserve"> Absatz 3 an Hinterbliebene des Steuerpflichtigen;</w:t>
      </w:r>
    </w:p>
    <w:p>
      <w:pPr>
        <w:tabs>
          <w:tab w:pos="567" w:val="left"/>
        </w:tabs>
        <w:ind w:left="567" w:hanging="567"/>
      </w:pPr>
      <w:r>
        <w:t>b)</w:t>
      </w:r>
      <w:r>
        <w:tab/>
      </w:r>
      <w:r>
        <w:t>der den Beitragsanteilen zuzuordnen ist, die für die zusätzliche Absicherung der verminderten Erwerbsfähigkeit und eine zusätzliche Hinterbliebenenabsicherung ohne Kapitalbildung verwendet worden sind;</w:t>
      </w:r>
    </w:p>
    <w:p>
      <w:pPr>
        <w:tabs>
          <w:tab w:pos="567" w:val="left"/>
        </w:tabs>
        <w:ind w:left="567" w:hanging="567"/>
      </w:pPr>
      <w:r>
        <w:t>c)</w:t>
      </w:r>
      <w:r>
        <w:tab/>
      </w:r>
      <w:r>
        <w:t>der auf gefördertes Altersvorsorgevermögen entfällt, das im Fall des Todes des Zulageberechtigten auf einen auf den Namen des Ehegatten lautenden Altersvorsorgevertrag übertragen wird, wenn die Ehegatten im Zeitpunkt des Todes des Zulageberechtigten nicht dauernd getrennt gelebt haben (</w:t>
      </w:r>
      <w:hyperlink w:anchor="b99" w:history="1">
        <w:r>
          <w:rPr>
            <w:color w:val="0A3A8C"/>
            <w:u w:val="single"/>
          </w:rPr>
          <w:t xml:space="preserve">§ 26</w:t>
        </w:r>
      </w:hyperlink>
      <w:r>
        <w:t xml:space="preserve"> Absatz 1) und ihren Wohnsitz oder gewöhnlichen Aufenthalt in einem Mitgliedstaat der Europäischen Union oder einem Staat hatten, auf den das Abkommen über den Europäischen Wirtschaftsraum (EWR-Abkommen) anwendbar ist; dies gilt auch, wenn die Ehegatten ihren vor dem Zeitpunkt, ab dem das Vereinigte Königreich Großbritannien und Nordirland nicht mehr Mitgliedstaat der Europäischen Union ist und auch nicht wie ein solcher zu behandeln ist, begründeten Wohnsitz oder gewöhnlichen Aufenthalt im Vereinigten Königreich Großbritannien und Nordirland hatten und der Vertrag vor dem 23. Juni 2016 abgeschlossen worden ist;</w:t>
      </w:r>
    </w:p>
    <w:p>
      <w:pPr>
        <w:tabs>
          <w:tab w:pos="567" w:val="left"/>
        </w:tabs>
        <w:ind w:left="567" w:hanging="567"/>
      </w:pPr>
      <w:r>
        <w:t>d)</w:t>
      </w:r>
      <w:r>
        <w:tab/>
      </w:r>
      <w:r>
        <w:t>der auf den Altersvorsorge-Eigenheimbetrag entfällt.</w:t>
      </w:r>
    </w:p>
    <w:p>
      <w:r>
        <w:t xml:space="preserve">(1a) </w:t>
      </w:r>
      <w:r>
        <w:rPr>
          <w:rStyle w:val="Satznummer"/>
        </w:rPr>
        <w:t>1</w:t>
      </w:r>
      <w:r>
        <w:t xml:space="preserve">Eine schädliche Verwendung liegt nicht vor, wenn gefördertes Altersvorsorgevermögen auf Grund einer internen Teilung nach § 10 des Versorgungsausgleichsgesetzes oder auf Grund einer externen Teilung nach § 14 des Versorgungsausgleichsgesetzes auf einen zertifizierten Altersvorsorgevertrag oder eine nach </w:t>
      </w:r>
      <w:hyperlink w:anchor="b240" w:history="1">
        <w:r>
          <w:rPr>
            <w:color w:val="0A3A8C"/>
            <w:u w:val="single"/>
          </w:rPr>
          <w:t xml:space="preserve">§ 82</w:t>
        </w:r>
      </w:hyperlink>
      <w:r>
        <w:t xml:space="preserve"> Absatz 2 begünstigte betriebliche Altersversorgung übertragen wird; die auf das übertragene Anrecht entfallende steuerliche Förderung geht mit allen Rechten und Pflichten auf die ausgleichsberechtigte Person über. </w:t>
      </w:r>
      <w:r>
        <w:rPr>
          <w:rStyle w:val="Satznummer"/>
        </w:rPr>
        <w:t>2</w:t>
      </w:r>
      <w:r>
        <w:t xml:space="preserve">Eine schädliche Verwendung liegt ebenfalls nicht vor, wenn gefördertes Altersvorsorgevermögen auf Grund einer externen Teilung nach § 14 des Versorgungsausgleichsgesetzes auf die Versorgungsausgleichskasse oder die gesetzliche Rentenversicherung übertragen wird; die Rechte und Pflichten der ausgleichspflichtigen Person aus der steuerlichen Förderung des übertragenen Anteils entfallen. </w:t>
      </w:r>
      <w:r>
        <w:rPr>
          <w:rStyle w:val="Satznummer"/>
        </w:rPr>
        <w:t>3</w:t>
      </w:r>
      <w:r>
        <w:t xml:space="preserve">In den Fällen der Sätze 1 und 2 teilt die zentrale Stelle der ausgleichspflichtigen Person die Höhe der auf die Ehezeit im Sinne des § 3 Absatz 1 des Versorgungsausgleichsgesetzes oder die Lebenspartnerschaftszeit im Sinne des § 20 Absatz 2 des Lebenspartnerschaftsgesetzes entfallenden gesondert festgestellten Beträge nach </w:t>
      </w:r>
      <w:hyperlink w:anchor="b52" w:history="1">
        <w:r>
          <w:rPr>
            <w:color w:val="0A3A8C"/>
            <w:u w:val="single"/>
          </w:rPr>
          <w:t xml:space="preserve">§ 10a</w:t>
        </w:r>
      </w:hyperlink>
      <w:r>
        <w:t xml:space="preserve"> Absatz 4 und die ermittelten Zulagen mit. </w:t>
      </w:r>
      <w:r>
        <w:rPr>
          <w:rStyle w:val="Satznummer"/>
        </w:rPr>
        <w:t>4</w:t>
      </w:r>
      <w:r>
        <w:t xml:space="preserve">Die entsprechenden Beträge sind monatsweise zuzuordnen. </w:t>
      </w:r>
      <w:r>
        <w:rPr>
          <w:rStyle w:val="Satznummer"/>
        </w:rPr>
        <w:t>5</w:t>
      </w:r>
      <w:r>
        <w:t xml:space="preserve">Die zentrale Stelle teilt die geänderte Zuordnung der gesondert festgestellten Beträge nach </w:t>
      </w:r>
      <w:hyperlink w:anchor="b52" w:history="1">
        <w:r>
          <w:rPr>
            <w:color w:val="0A3A8C"/>
            <w:u w:val="single"/>
          </w:rPr>
          <w:t xml:space="preserve">§ 10a</w:t>
        </w:r>
      </w:hyperlink>
      <w:r>
        <w:t xml:space="preserve"> Absatz 4 sowie der ermittelten Zulagen der ausgleichspflichtigen und in den Fällen des Satzes 1 auch der ausgleichsberechtigten Person durch Feststellungsbescheid mit. </w:t>
      </w:r>
      <w:r>
        <w:rPr>
          <w:rStyle w:val="Satznummer"/>
        </w:rPr>
        <w:t>6</w:t>
      </w:r>
      <w:r>
        <w:t>Nach Eintritt der Unanfechtbarkeit dieses Feststellungsbescheids informiert die zentrale Stelle den Anbieter durch einen Datensatz über die geänderte Zuordnung.</w:t>
      </w:r>
    </w:p>
    <w:p>
      <w:r>
        <w:t xml:space="preserve">(2) </w:t>
      </w:r>
      <w:r>
        <w:rPr>
          <w:rStyle w:val="Satznummer"/>
        </w:rPr>
        <w:t>1</w:t>
      </w:r>
      <w:r>
        <w:t xml:space="preserve">Die Übertragung von gefördertem Altersvorsorgevermögen auf einen anderen auf den Namen des Zulageberechtigten lautenden Altersvorsorgevertrag (§ 1 Absatz 1 Satz 1 Nummer 10 Buchstabe b des Altersvorsorgeverträge-Zertifizierungsgesetzes) stellt keine schädliche Verwendung dar. </w:t>
      </w:r>
      <w:r>
        <w:rPr>
          <w:rStyle w:val="Satznummer"/>
        </w:rPr>
        <w:t>2</w:t>
      </w:r>
      <w:r>
        <w:t xml:space="preserve">Dies gilt sinngemäß in den Fällen des § 4 Absatz 2 und 3 des Betriebsrentengesetzes, wenn das geförderte Altersvorsorgevermögen auf eine der in § 82 Absatz 2 Buchstabe a genannten Einrichtungen der betrieblichen Altersversorgung zum Aufbau einer kapitalgedeckten betrieblichen Altersversorgung übertragen und eine lebenslange Altersversorgung entsprechend </w:t>
      </w:r>
      <w:hyperlink w:anchor="b240" w:history="1">
        <w:r>
          <w:rPr>
            <w:color w:val="0A3A8C"/>
            <w:u w:val="single"/>
          </w:rPr>
          <w:t xml:space="preserve">§ 82</w:t>
        </w:r>
      </w:hyperlink>
      <w:r>
        <w:t xml:space="preserve"> Absatz 2 Satz 2 vorgesehen ist, wie auch in den Fällen einer Übertragung nach § 3 Nummer 55c Satz 2 Buchstabe a. </w:t>
      </w:r>
      <w:r>
        <w:rPr>
          <w:rStyle w:val="Satznummer"/>
        </w:rPr>
        <w:t>3</w:t>
      </w:r>
      <w:r>
        <w:t xml:space="preserve">In den übrigen Fällen der Abfindung von Anwartschaften der betrieblichen Altersversorgung gilt dies, soweit das geförderte Altersvorsorgevermögen zugunsten eines auf den Namen des Zulageberechtigten lautenden Altersvorsorgevertrages geleistet wird. </w:t>
      </w:r>
      <w:r>
        <w:rPr>
          <w:rStyle w:val="Satznummer"/>
        </w:rPr>
        <w:t>4</w:t>
      </w:r>
      <w:r>
        <w:t>Auch keine schädliche Verwendung sind der gesetzliche Forderungs- und Vermögensübergang nach § 9 des Betriebsrentengesetzes und die gesetzlich vorgesehene schuldbefreiende Übertragung nach § 8 Absatz 1 des Betriebsrentengesetzes.</w:t>
      </w:r>
    </w:p>
    <w:p>
      <w:r>
        <w:t xml:space="preserve">(3) </w:t>
      </w:r>
      <w:r>
        <w:rPr>
          <w:rStyle w:val="Satznummer"/>
        </w:rPr>
        <w:t>1</w:t>
      </w:r>
      <w:r>
        <w:t xml:space="preserve">Auszahlungen zur Abfindung einer Kleinbetragsrente zu Beginn der Auszahlungsphase gelten nicht als schädliche Verwendung. </w:t>
      </w:r>
      <w:r>
        <w:rPr>
          <w:rStyle w:val="Satznummer"/>
        </w:rPr>
        <w:t>2</w:t>
      </w:r>
      <w:r>
        <w:t>Eine Kleinbetragsrente ist</w:t>
      </w:r>
    </w:p>
    <w:p>
      <w:pPr>
        <w:tabs>
          <w:tab w:pos="567" w:val="left"/>
        </w:tabs>
        <w:ind w:left="567" w:hanging="567"/>
      </w:pPr>
      <w:r>
        <w:t>1.</w:t>
      </w:r>
      <w:r>
        <w:tab/>
      </w:r>
      <w:r>
        <w:t>eine Rente, die bei gleichmäßiger Verrentung des gesamten zu Beginn der Auszahlungsphase zur Verfügung stehenden Kapitals eine monatliche Rente ergibt, die 1,5 Prozent der monatlichen Bezugsgröße nach § 18 des Vierten Buches Sozialgesetzbuch nicht übersteigt, oder</w:t>
      </w:r>
    </w:p>
    <w:p>
      <w:pPr>
        <w:tabs>
          <w:tab w:pos="567" w:val="left"/>
        </w:tabs>
        <w:ind w:left="567" w:hanging="567"/>
      </w:pPr>
      <w:r>
        <w:t>2.</w:t>
      </w:r>
      <w:r>
        <w:tab/>
      </w:r>
      <w:r>
        <w:t>eine monatliche Leistung ab dem 1. Januar 2027, die bei einer gleichmäßigen Verteilung des gesamten zu Beginn der Auszahlungsphase zur Verfügung stehenden Kapitals im Rahmen eines Auszahlungsplans nach § 1 Absatz 1 Satz 1 Nummer 4 Buchstabe b des Altersvorsorgeverträge-Zertifizierungsgesetzes 1,5 Prozent der monatlichen Bezugsgröße nach § 18 des Vierten Buches Sozialgesetzbuch nicht übersteigt.</w:t>
      </w:r>
    </w:p>
    <w:p>
      <w:r>
        <w:rPr>
          <w:rStyle w:val="Satznummer"/>
        </w:rPr>
        <w:t>3</w:t>
      </w:r>
      <w:r>
        <w:t xml:space="preserve">Bei der Berechnung dieses Betrags sind alle bei einem Anbieter bestehenden Verträge des Zulageberechtigten insgesamt zu berücksichtigen, auf die nach diesem Abschnitt geförderte Altersvorsorgebeiträge geleistet wurden. </w:t>
      </w:r>
      <w:r>
        <w:rPr>
          <w:rStyle w:val="Satznummer"/>
        </w:rPr>
        <w:t>4</w:t>
      </w:r>
      <w:r>
        <w:t>Die Sätze 1 bis 3 gelten entsprechend, wenn</w:t>
      </w:r>
    </w:p>
    <w:p>
      <w:pPr>
        <w:tabs>
          <w:tab w:pos="567" w:val="left"/>
        </w:tabs>
        <w:ind w:left="567" w:hanging="567"/>
      </w:pPr>
      <w:r>
        <w:t>1.</w:t>
      </w:r>
      <w:r>
        <w:tab/>
      </w:r>
      <w:r>
        <w:t>nach dem Beginn der Auszahlungsphase ein Versorgungsausgleich durchgeführt wird und</w:t>
      </w:r>
    </w:p>
    <w:p>
      <w:pPr>
        <w:tabs>
          <w:tab w:pos="567" w:val="left"/>
        </w:tabs>
        <w:ind w:left="567" w:hanging="567"/>
      </w:pPr>
      <w:r>
        <w:t>2.</w:t>
      </w:r>
      <w:r>
        <w:tab/>
      </w:r>
      <w:r>
        <w:t>sich dadurch die Rente verringert.</w:t>
      </w:r>
    </w:p>
    <w:p>
      <w:r>
        <w:t xml:space="preserve">(4) </w:t>
      </w:r>
      <w:r>
        <w:rPr>
          <w:rStyle w:val="Satznummer"/>
        </w:rPr>
        <w:t>1</w:t>
      </w:r>
      <w:r>
        <w:t xml:space="preserve">Wird bei einem einheitlichen Vertrag nach </w:t>
      </w:r>
      <w:hyperlink w:anchor="b1" w:history="1">
        <w:r>
          <w:rPr>
            <w:color w:val="0A3A8C"/>
            <w:u w:val="single"/>
          </w:rPr>
          <w:t xml:space="preserve">§ 1</w:t>
        </w:r>
      </w:hyperlink>
      <w:r>
        <w:t xml:space="preserve"> Absatz 1a Satz 1 Nummer 2 zweiter Halbsatz des Altersvorsorgeverträge-Zertifizierungsgesetzes das Darlehen nicht wohnungswirtschaftlich im Sinne des </w:t>
      </w:r>
      <w:hyperlink w:anchor="b251" w:history="1">
        <w:r>
          <w:rPr>
            <w:color w:val="0A3A8C"/>
            <w:u w:val="single"/>
          </w:rPr>
          <w:t xml:space="preserve">§ 92a</w:t>
        </w:r>
      </w:hyperlink>
      <w:r>
        <w:t xml:space="preserve"> Absatz 1 Satz 1 verwendet, liegt zum Zeitpunkt der Darlehensauszahlung eine schädliche Verwendung des geförderten Altersvorsorgevermögens vor, es sei denn, das geförderte Altersvorsorgevermögen wird innerhalb eines Jahres nach Ablauf des Veranlagungszeitraums, in dem das Darlehen ausgezahlt wurde, auf einen anderen zertifizierten Altersvorsorgevertrag übertragen, der auf den Namen des Zulageberechtigten lautet. </w:t>
      </w:r>
      <w:r>
        <w:rPr>
          <w:rStyle w:val="Satznummer"/>
        </w:rPr>
        <w:t>2</w:t>
      </w:r>
      <w:r>
        <w:t xml:space="preserve">Der Zulageberechtigte hat dem Anbieter die Absicht zur Kapitalübertragung, den Zeitpunkt der Kapitalübertragung bis zum Zeitpunkt der Darlehensauszahlung und die Aufgabe der Absicht zur Kapitalübertragung mitzuteilen. </w:t>
      </w:r>
      <w:r>
        <w:rPr>
          <w:rStyle w:val="Satznummer"/>
        </w:rPr>
        <w:t>3</w:t>
      </w:r>
      <w:r>
        <w:t>Wird die Absicht zur Kapitalübertragung aufgegeben, tritt die schädliche Verwendung zu dem Zeitpunkt ein, zu dem die Mitteilung des Zulageberechtigten hierzu beim Anbieter eingeht, spätestens aber am 1. Januar des zweiten Jahres nach dem Jahr, in dem das Darlehen ausgezahlt wurde.</w:t>
      </w:r>
    </w:p>
    <w:p>
      <w:pPr>
        <w:pStyle w:val="Heading2"/>
      </w:pPr>
      <w:bookmarkStart w:id="255" w:name="b254"/>
      <w:r>
        <w:t>§ 94 Verfahren bei schädlicher Verwendung</w:t>
      </w:r>
      <w:r>
        <w:t xml:space="preserve"> </w:t>
      </w:r>
      <w:r>
        <w:rPr>
          <w:rStyle w:val="Suchmarke"/>
        </w:rPr>
        <w:t>#94#</w:t>
      </w:r>
      <w:bookmarkEnd w:id="255"/>
    </w:p>
    <w:p>
      <w:r>
        <w:t xml:space="preserve">(1) </w:t>
      </w:r>
      <w:r>
        <w:rPr>
          <w:rStyle w:val="Satznummer"/>
        </w:rPr>
        <w:t>1</w:t>
      </w:r>
      <w:r>
        <w:t xml:space="preserve">In den Fällen des </w:t>
      </w:r>
      <w:hyperlink w:anchor="b253" w:history="1">
        <w:r>
          <w:rPr>
            <w:color w:val="0A3A8C"/>
            <w:u w:val="single"/>
          </w:rPr>
          <w:t xml:space="preserve">§ 93</w:t>
        </w:r>
      </w:hyperlink>
      <w:r>
        <w:t xml:space="preserve"> Absatz 1 hat der Anbieter der zentralen Stelle vor der Auszahlung des geförderten Altersvorsorgevermögens die schädliche Verwendung nach amtlich vorgeschriebenem Datensatz durch amtlich bestimmte Datenfernübertragung anzuzeigen. </w:t>
      </w:r>
      <w:r>
        <w:rPr>
          <w:rStyle w:val="Satznummer"/>
        </w:rPr>
        <w:t>2</w:t>
      </w:r>
      <w:r>
        <w:t xml:space="preserve">Die zentrale Stelle ermittelt den Rückzahlungsbetrag und teilt diesen dem Anbieter durch Datensatz mit. </w:t>
      </w:r>
      <w:r>
        <w:rPr>
          <w:rStyle w:val="Satznummer"/>
        </w:rPr>
        <w:t>3</w:t>
      </w:r>
      <w:r>
        <w:t xml:space="preserve">Der Anbieter hat den Rückzahlungsbetrag einzubehalten, mit der nächsten Anmeldung nach </w:t>
      </w:r>
      <w:hyperlink w:anchor="b248" w:history="1">
        <w:r>
          <w:rPr>
            <w:color w:val="0A3A8C"/>
            <w:u w:val="single"/>
          </w:rPr>
          <w:t xml:space="preserve">§ 90</w:t>
        </w:r>
      </w:hyperlink>
      <w:r>
        <w:t xml:space="preserve"> Absatz 3 anzumelden und an die zentrale Stelle abzuführen. </w:t>
      </w:r>
      <w:r>
        <w:rPr>
          <w:rStyle w:val="Satznummer"/>
        </w:rPr>
        <w:t>4</w:t>
      </w:r>
      <w:r>
        <w:t xml:space="preserve">Der Anbieter hat die einbehaltenen und abgeführten Beträge der zentralen Stelle nach amtlich vorgeschriebenem Datensatz durch amtlich bestimmte Datenfernübertragung mitzuteilen und diese Beträge dem Zulageberechtigten zu bescheinigen; mit Einverständnis des Zulageberechtigten kann die Bescheinigung elektronisch bereitgestellt werden. </w:t>
      </w:r>
      <w:r>
        <w:rPr>
          <w:rStyle w:val="Satznummer"/>
        </w:rPr>
        <w:t>5</w:t>
      </w:r>
      <w:r>
        <w:t xml:space="preserve">In den Fällen des </w:t>
      </w:r>
      <w:hyperlink w:anchor="b253" w:history="1">
        <w:r>
          <w:rPr>
            <w:color w:val="0A3A8C"/>
            <w:u w:val="single"/>
          </w:rPr>
          <w:t xml:space="preserve">§ 93</w:t>
        </w:r>
      </w:hyperlink>
      <w:r>
        <w:t xml:space="preserve"> Absatz 3 gilt Satz 1 entsprechend.</w:t>
      </w:r>
    </w:p>
    <w:p>
      <w:r>
        <w:t xml:space="preserve">(2) </w:t>
      </w:r>
      <w:r>
        <w:rPr>
          <w:rStyle w:val="Satznummer"/>
        </w:rPr>
        <w:t>1</w:t>
      </w:r>
      <w:r>
        <w:t xml:space="preserve">Eine Festsetzung des Rückzahlungsbetrags erfolgt durch die zentrale Stelle auf besonderen Antrag des Zulageberechtigten oder sofern die Rückzahlung nach Absatz 1 ganz oder teilweise nicht möglich oder nicht erfolgt ist. </w:t>
      </w:r>
      <w:r>
        <w:rPr>
          <w:rStyle w:val="Satznummer"/>
        </w:rPr>
        <w:t>2</w:t>
      </w:r>
      <w:hyperlink w:anchor="b248" w:history="1">
        <w:r>
          <w:rPr>
            <w:color w:val="0A3A8C"/>
            <w:u w:val="single"/>
          </w:rPr>
          <w:t xml:space="preserve">§ 90</w:t>
        </w:r>
      </w:hyperlink>
      <w:r>
        <w:t xml:space="preserve"> Absatz 4 Satz 2 bis 6 gilt entsprechend; </w:t>
      </w:r>
      <w:hyperlink w:anchor="b248" w:history="1">
        <w:r>
          <w:rPr>
            <w:color w:val="0A3A8C"/>
            <w:u w:val="single"/>
          </w:rPr>
          <w:t xml:space="preserve">§ 90</w:t>
        </w:r>
      </w:hyperlink>
      <w:r>
        <w:t xml:space="preserve"> Absatz 4 Satz 5 gilt nicht, wenn die Geschäftsbeziehung im Hinblick auf den jeweiligen Altersvorsorgevertrag zwischen dem Zulageberechtigten und dem Anbieter beendet wurde. </w:t>
      </w:r>
      <w:r>
        <w:rPr>
          <w:rStyle w:val="Satznummer"/>
        </w:rPr>
        <w:t>3</w:t>
      </w:r>
      <w:r>
        <w:t xml:space="preserve">Im Rückforderungsbescheid sind auf den Rückzahlungsbetrag die vom Anbieter bereits einbehaltenen und abgeführten Beträge nach Maßgabe der Bescheinigung nach Absatz 1 Satz 4 anzurechnen. </w:t>
      </w:r>
      <w:r>
        <w:rPr>
          <w:rStyle w:val="Satznummer"/>
        </w:rPr>
        <w:t>4</w:t>
      </w:r>
      <w:r>
        <w:t xml:space="preserve">Der Zulageberechtigte hat den verbleibenden Rückzahlungsbetrag innerhalb eines Monats nach Bekanntgabe des Rückforderungsbescheids an die zuständige Kasse zu entrichten. </w:t>
      </w:r>
      <w:r>
        <w:rPr>
          <w:rStyle w:val="Satznummer"/>
        </w:rPr>
        <w:t>5</w:t>
      </w:r>
      <w:r>
        <w:t xml:space="preserve">Die Frist für die Festsetzung des Rückzahlungsbetrags beträgt vier Jahre und beginnt mit Ablauf des Kalenderjahres, in dem die Auszahlung im Sinne des </w:t>
      </w:r>
      <w:hyperlink w:anchor="b253" w:history="1">
        <w:r>
          <w:rPr>
            <w:color w:val="0A3A8C"/>
            <w:u w:val="single"/>
          </w:rPr>
          <w:t xml:space="preserve">§ 93</w:t>
        </w:r>
      </w:hyperlink>
      <w:r>
        <w:t xml:space="preserve"> Absatz 1 erfolgt ist.</w:t>
      </w:r>
    </w:p>
    <w:p>
      <w:r>
        <w:t xml:space="preserve">(3) </w:t>
      </w:r>
      <w:r>
        <w:rPr>
          <w:rStyle w:val="Satznummer"/>
        </w:rPr>
        <w:t>1</w:t>
      </w:r>
      <w:r>
        <w:t xml:space="preserve">Sofern der zentralen Stelle für den Zulageberechtigten im Zeitpunkt der schädlichen Verwendung eine Meldung nach § 118 Absatz 1a des Zwölften Buches Sozialgesetzbuch zum erstmaligen Bezug von Hilfe zum Lebensunterhalt und von Grundsicherung im Alter und bei Erwerbsminderung vorliegt, teilt die zentrale Stelle zum Zeitpunkt der Mitteilung nach Absatz 1 Satz 2 der Datenstelle der Rentenversicherungsträger als Vermittlungsstelle die schädliche Verwendung durch Datenfernübertragung mit. </w:t>
      </w:r>
      <w:r>
        <w:rPr>
          <w:rStyle w:val="Satznummer"/>
        </w:rPr>
        <w:t>2</w:t>
      </w:r>
      <w:r>
        <w:t>Dies gilt nicht, wenn das Ausscheiden aus diesem Hilfebezug nach § 118 Absatz 1a des Zwölften Buches Sozialgesetzbuch angezeigt wurde.</w:t>
      </w:r>
    </w:p>
    <w:p>
      <w:pPr>
        <w:pStyle w:val="Heading2"/>
      </w:pPr>
      <w:bookmarkStart w:id="256" w:name="b255"/>
      <w:r>
        <w:t>§ 95 Sonderfälle der Rückzahlung</w:t>
      </w:r>
      <w:r>
        <w:t xml:space="preserve"> </w:t>
      </w:r>
      <w:r>
        <w:rPr>
          <w:rStyle w:val="Suchmarke"/>
        </w:rPr>
        <w:t>#95#</w:t>
      </w:r>
      <w:bookmarkEnd w:id="256"/>
    </w:p>
    <w:p>
      <w:r>
        <w:rPr>
          <w:rStyle w:val="Satznummer"/>
        </w:rPr>
        <w:t>1</w:t>
      </w:r>
      <w:r>
        <w:t xml:space="preserve">Die </w:t>
      </w:r>
      <w:hyperlink w:anchor="b253" w:history="1">
        <w:r>
          <w:rPr>
            <w:color w:val="0A3A8C"/>
            <w:u w:val="single"/>
          </w:rPr>
          <w:t xml:space="preserve">§§ 93</w:t>
        </w:r>
      </w:hyperlink>
      <w:r>
        <w:t xml:space="preserve"> und </w:t>
      </w:r>
      <w:hyperlink w:anchor="b254" w:history="1">
        <w:r>
          <w:rPr>
            <w:color w:val="0A3A8C"/>
            <w:u w:val="single"/>
          </w:rPr>
          <w:t xml:space="preserve">94</w:t>
        </w:r>
      </w:hyperlink>
      <w:r>
        <w:t xml:space="preserve"> gelten entsprechend, wenn sich der Wohnsitz oder gewöhnliche Aufenthalt des Zulageberechtigten ab Beginn der Auszahlungsphase außerhalb der Mitgliedstaaten der Europäischen Union und der Staaten befindet, auf die das Abkommen über den Europäischen Wirtschaftsraum (EWR-Abkommen) anwendbar ist, oder wenn der Zulageberechtigte ungeachtet eines Wohnsitzes oder gewöhnlichen Aufenthaltes in einem dieser Staaten nach einem Abkommen zur Vermeidung der Doppelbesteuerung mit einem dritten Staat als außerhalb des Hoheitsgebiets dieser Staaten ansässig gilt. </w:t>
      </w:r>
      <w:r>
        <w:rPr>
          <w:rStyle w:val="Satznummer"/>
        </w:rPr>
        <w:t>2</w:t>
      </w:r>
      <w:r>
        <w:t>Satz 1 gilt nicht, sofern sich der Wohnsitz oder gewöhnliche Aufenthalt des Zulageberechtigten bereits seit dem 22. Juni 2016 ununterbrochen im Vereinigten Königreich Großbritannien und Nordirland befindet und der Vertrag vor dem 23. Juni 2016 abgeschlossen worden ist.</w:t>
      </w:r>
    </w:p>
    <w:p>
      <w:pPr>
        <w:pStyle w:val="Heading2"/>
      </w:pPr>
      <w:bookmarkStart w:id="257" w:name="b256"/>
      <w:r>
        <w:t>§ 96 Anwendung der Abgabenordnung, allgemeine Vorschriften</w:t>
      </w:r>
      <w:r>
        <w:t xml:space="preserve"> </w:t>
      </w:r>
      <w:r>
        <w:rPr>
          <w:rStyle w:val="Suchmarke"/>
        </w:rPr>
        <w:t>#96#</w:t>
      </w:r>
      <w:bookmarkEnd w:id="257"/>
    </w:p>
    <w:p>
      <w:r>
        <w:t xml:space="preserve">(1) </w:t>
      </w:r>
      <w:r>
        <w:rPr>
          <w:rStyle w:val="Satznummer"/>
        </w:rPr>
        <w:t>1</w:t>
      </w:r>
      <w:r>
        <w:t xml:space="preserve">Auf die Zulagen und die Rückzahlungsbeträge sind die für Steuervergütungen geltenden Vorschriften der Abgabenordnung entsprechend anzuwenden. </w:t>
      </w:r>
      <w:r>
        <w:rPr>
          <w:rStyle w:val="Satznummer"/>
        </w:rPr>
        <w:t>2</w:t>
      </w:r>
      <w:r>
        <w:t>Dies gilt nicht für § 163 der Abgabenordnung.</w:t>
      </w:r>
    </w:p>
    <w:p>
      <w:r>
        <w:t xml:space="preserve">(2) </w:t>
      </w:r>
      <w:r>
        <w:rPr>
          <w:rStyle w:val="Satznummer"/>
        </w:rPr>
        <w:t>1</w:t>
      </w:r>
      <w:r>
        <w:t>Hat der Anbieter vorsätzlich oder grob fahrlässig</w:t>
      </w:r>
    </w:p>
    <w:p>
      <w:pPr>
        <w:tabs>
          <w:tab w:pos="567" w:val="left"/>
        </w:tabs>
        <w:ind w:left="567" w:hanging="567"/>
      </w:pPr>
      <w:r>
        <w:t>1.</w:t>
      </w:r>
      <w:r>
        <w:tab/>
      </w:r>
      <w:r>
        <w:t>unrichtige oder unvollständige Daten übermittelt oder</w:t>
      </w:r>
    </w:p>
    <w:p>
      <w:pPr>
        <w:tabs>
          <w:tab w:pos="567" w:val="left"/>
        </w:tabs>
        <w:ind w:left="567" w:hanging="567"/>
      </w:pPr>
      <w:r>
        <w:t>2.</w:t>
      </w:r>
      <w:r>
        <w:tab/>
      </w:r>
      <w:r>
        <w:t>Daten pflichtwidrig nicht übermittelt,</w:t>
      </w:r>
    </w:p>
    <w:p>
      <w:r>
        <w:t xml:space="preserve">obwohl der Zulageberechtigte seiner Informationspflicht gegenüber dem Anbieter zutreffend und rechtzeitig nachgekommen ist, haftet der Anbieter für die entgangene Steuer und die zu Unrecht gewährte Steuervergünstigung. </w:t>
      </w:r>
      <w:r>
        <w:rPr>
          <w:rStyle w:val="Satznummer"/>
        </w:rPr>
        <w:t>2</w:t>
      </w:r>
      <w:r>
        <w:t xml:space="preserve">Dies gilt auch, wenn im Verhältnis zum Zulageberechtigten Festsetzungsverjährung eingetreten ist. </w:t>
      </w:r>
      <w:r>
        <w:rPr>
          <w:rStyle w:val="Satznummer"/>
        </w:rPr>
        <w:t>3</w:t>
      </w:r>
      <w:r>
        <w:t xml:space="preserve">Der Zulageberechtigte haftet als Gesamtschuldner neben dem Anbieter, wenn er weiß, dass der Anbieter unrichtige oder unvollständige Daten übermittelt oder Daten pflichtwidrig nicht übermittelt hat. </w:t>
      </w:r>
      <w:r>
        <w:rPr>
          <w:rStyle w:val="Satznummer"/>
        </w:rPr>
        <w:t>4</w:t>
      </w:r>
      <w:r>
        <w:t>Für die Inanspruchnahme des Anbieters ist die zentrale Stelle zuständig.</w:t>
      </w:r>
    </w:p>
    <w:p>
      <w:r>
        <w:t>(3) Die zentrale Stelle hat auf Anfrage des Anbieters Auskunft über die Anwendung des Abschnitts XI zu geben.</w:t>
      </w:r>
    </w:p>
    <w:p>
      <w:r>
        <w:t xml:space="preserve">(4) </w:t>
      </w:r>
      <w:r>
        <w:rPr>
          <w:rStyle w:val="Satznummer"/>
        </w:rPr>
        <w:t>1</w:t>
      </w:r>
      <w:r>
        <w:t xml:space="preserve">Die zentrale Stelle kann beim Anbieter ermitteln, ob er seine Pflichten erfüllt hat. </w:t>
      </w:r>
      <w:r>
        <w:rPr>
          <w:rStyle w:val="Satznummer"/>
        </w:rPr>
        <w:t>2</w:t>
      </w:r>
      <w:r>
        <w:t xml:space="preserve">Die §§ 193 bis 203 der Abgabenordnung gelten sinngemäß. </w:t>
      </w:r>
      <w:r>
        <w:rPr>
          <w:rStyle w:val="Satznummer"/>
        </w:rPr>
        <w:t>3</w:t>
      </w:r>
      <w:r>
        <w:t>Auf Verlangen der zentralen Stelle hat der Anbieter ihr Unterlagen, soweit sie im Ausland geführt und aufbewahrt werden, verfügbar zu machen.</w:t>
      </w:r>
    </w:p>
    <w:p>
      <w:r>
        <w:t>(5) Der Anbieter erhält vom Bund oder den Ländern keinen Ersatz für die ihm aus diesem Verfahren entstehenden Kosten.</w:t>
      </w:r>
    </w:p>
    <w:p>
      <w:r>
        <w:t xml:space="preserve">(6) </w:t>
      </w:r>
      <w:r>
        <w:rPr>
          <w:rStyle w:val="Satznummer"/>
        </w:rPr>
        <w:t>1</w:t>
      </w:r>
      <w:r>
        <w:t xml:space="preserve">Der Anbieter darf die im Zulageverfahren bekannt gewordenen Verhältnisse der Beteiligten nur für das Verfahren verwerten. </w:t>
      </w:r>
      <w:r>
        <w:rPr>
          <w:rStyle w:val="Satznummer"/>
        </w:rPr>
        <w:t>2</w:t>
      </w:r>
      <w:r>
        <w:t>Er darf sie ohne Zustimmung der Beteiligten nur offenbaren, soweit dies gesetzlich zugelassen ist.</w:t>
      </w:r>
    </w:p>
    <w:p>
      <w:r>
        <w:t xml:space="preserve">(7) </w:t>
      </w:r>
      <w:r>
        <w:rPr>
          <w:rStyle w:val="Satznummer"/>
        </w:rPr>
        <w:t>1</w:t>
      </w:r>
      <w:r>
        <w:t xml:space="preserve">Für die Zulage gelten die Strafvorschriften des § 370 Absatz 1 bis 4, der §§ 371, 375 Absatz 1 und des § 376 sowie die Bußgeldvorschriften der §§ 378, 379 Absatz 1 und 4 und der §§ 383 und 384 der Abgabenordnung entsprechend. </w:t>
      </w:r>
      <w:r>
        <w:rPr>
          <w:rStyle w:val="Satznummer"/>
        </w:rPr>
        <w:t>2</w:t>
      </w:r>
      <w:r>
        <w:t>Für das Strafverfahren wegen einer Straftat nach Satz 1 sowie der Begünstigung einer Person, die eine solche Tat begangen hat, gelten die §§ 385 bis 408, für das Bußgeldverfahren wegen einer Ordnungswidrigkeit nach Satz 1 die §§ 409 bis 412 der Abgabenordnung entsprechend.</w:t>
      </w:r>
    </w:p>
    <w:p>
      <w:pPr>
        <w:pStyle w:val="Heading2"/>
      </w:pPr>
      <w:bookmarkStart w:id="258" w:name="b257"/>
      <w:r>
        <w:t>§ 97 Übertragbarkeit</w:t>
      </w:r>
      <w:r>
        <w:t xml:space="preserve"> </w:t>
      </w:r>
      <w:r>
        <w:rPr>
          <w:rStyle w:val="Suchmarke"/>
        </w:rPr>
        <w:t>#97#</w:t>
      </w:r>
      <w:bookmarkEnd w:id="258"/>
    </w:p>
    <w:p>
      <w:r>
        <w:rPr>
          <w:rStyle w:val="Satznummer"/>
        </w:rPr>
        <w:t>1</w:t>
      </w:r>
      <w:r>
        <w:t xml:space="preserve">Das nach </w:t>
      </w:r>
      <w:hyperlink w:anchor="b52" w:history="1">
        <w:r>
          <w:rPr>
            <w:color w:val="0A3A8C"/>
            <w:u w:val="single"/>
          </w:rPr>
          <w:t xml:space="preserve">§ 10a</w:t>
        </w:r>
      </w:hyperlink>
      <w:r>
        <w:t xml:space="preserve"> oder Abschnitt XI geförderte Altersvorsorgevermögen einschließlich seiner Erträge, die geförderten laufenden Altersvorsorgebeiträge und der Anspruch auf die Zulage sind nicht übertragbar. </w:t>
      </w:r>
      <w:r>
        <w:rPr>
          <w:rStyle w:val="Satznummer"/>
        </w:rPr>
        <w:t>2</w:t>
      </w:r>
      <w:r>
        <w:t>§ 93 Absatz 1a und § 4 des Betriebsrentengesetzes bleiben unberührt.</w:t>
      </w:r>
    </w:p>
    <w:p>
      <w:pPr>
        <w:pStyle w:val="Heading2"/>
      </w:pPr>
      <w:bookmarkStart w:id="259" w:name="b258"/>
      <w:r>
        <w:t>§ 98 Rechtsweg</w:t>
      </w:r>
      <w:r>
        <w:t xml:space="preserve"> </w:t>
      </w:r>
      <w:r>
        <w:rPr>
          <w:rStyle w:val="Suchmarke"/>
        </w:rPr>
        <w:t>#98#</w:t>
      </w:r>
      <w:bookmarkEnd w:id="259"/>
    </w:p>
    <w:p>
      <w:r>
        <w:t>In öffentlich-rechtlichen Streitigkeiten über die auf Grund des Abschnitts XI ergehenden Verwaltungsakte ist der Finanzrechtsweg gegeben.</w:t>
      </w:r>
    </w:p>
    <w:p>
      <w:pPr>
        <w:pStyle w:val="Heading2"/>
      </w:pPr>
      <w:bookmarkStart w:id="260" w:name="b259"/>
      <w:r>
        <w:t>§ 99 Ermächtigung</w:t>
      </w:r>
      <w:r>
        <w:t xml:space="preserve"> </w:t>
      </w:r>
      <w:r>
        <w:rPr>
          <w:rStyle w:val="Suchmarke"/>
        </w:rPr>
        <w:t>#99#</w:t>
      </w:r>
      <w:bookmarkEnd w:id="260"/>
    </w:p>
    <w:p>
      <w:r>
        <w:t xml:space="preserve">(1) Das Bundesministerium der Finanzen wird ermächtigt, die Vordrucke für die Anträge nach </w:t>
      </w:r>
      <w:hyperlink w:anchor="b247" w:history="1">
        <w:r>
          <w:rPr>
            <w:color w:val="0A3A8C"/>
            <w:u w:val="single"/>
          </w:rPr>
          <w:t xml:space="preserve">§ 89</w:t>
        </w:r>
      </w:hyperlink>
      <w:r>
        <w:t xml:space="preserve">, für die Anmeldung nach </w:t>
      </w:r>
      <w:hyperlink w:anchor="b248" w:history="1">
        <w:r>
          <w:rPr>
            <w:color w:val="0A3A8C"/>
            <w:u w:val="single"/>
          </w:rPr>
          <w:t xml:space="preserve">§ 90</w:t>
        </w:r>
      </w:hyperlink>
      <w:r>
        <w:t xml:space="preserve"> Absatz 3 und für die in den </w:t>
      </w:r>
      <w:hyperlink w:anchor="b250" w:history="1">
        <w:r>
          <w:rPr>
            <w:color w:val="0A3A8C"/>
            <w:u w:val="single"/>
          </w:rPr>
          <w:t xml:space="preserve">§§ 92</w:t>
        </w:r>
      </w:hyperlink>
      <w:r>
        <w:t xml:space="preserve"> und </w:t>
      </w:r>
      <w:hyperlink w:anchor="b254" w:history="1">
        <w:r>
          <w:rPr>
            <w:color w:val="0A3A8C"/>
            <w:u w:val="single"/>
          </w:rPr>
          <w:t xml:space="preserve">94</w:t>
        </w:r>
      </w:hyperlink>
      <w:r>
        <w:t xml:space="preserve"> Absatz 1 Satz 4 vorgesehenen Bescheinigungen und im Einvernehmen mit den obersten Finanzbehörden der Länder das Muster für die nach </w:t>
      </w:r>
      <w:hyperlink w:anchor="b90" w:history="1">
        <w:r>
          <w:rPr>
            <w:color w:val="0A3A8C"/>
            <w:u w:val="single"/>
          </w:rPr>
          <w:t xml:space="preserve">§ 22</w:t>
        </w:r>
      </w:hyperlink>
      <w:r>
        <w:t xml:space="preserve"> Nummer 5 Satz 7 vorgesehene Bescheinigung und den Inhalt und Aufbau der für die Durchführung des Zulageverfahrens zu übermittelnden Datensätze zu bestimmen.</w:t>
      </w:r>
    </w:p>
    <w:p>
      <w:r>
        <w:t xml:space="preserve">(2) </w:t>
      </w:r>
      <w:r>
        <w:rPr>
          <w:rStyle w:val="Satznummer"/>
        </w:rPr>
        <w:t>1</w:t>
      </w:r>
      <w:r>
        <w:t xml:space="preserve">Das Bundesministerium der Finanzen wird ermächtigt, im Einvernehmen mit dem Bundesministerium für Arbeit und Soziales und dem Bundesministerium des Innern, für Bau und Heimat durch Rechtsverordnung mit Zustimmung des Bundesrates Vorschriften zur Durchführung dieses Gesetzes über das Verfahren für die Ermittlung, Festsetzung, Auszahlung, Rückzahlung und Rückforderung der Zulage sowie die Rückzahlung und Rückforderung der nach </w:t>
      </w:r>
      <w:hyperlink w:anchor="b52" w:history="1">
        <w:r>
          <w:rPr>
            <w:color w:val="0A3A8C"/>
            <w:u w:val="single"/>
          </w:rPr>
          <w:t xml:space="preserve">§ 10a</w:t>
        </w:r>
      </w:hyperlink>
      <w:r>
        <w:t xml:space="preserve"> Absatz 4 festgestellten Beträge zu erlassen. </w:t>
      </w:r>
      <w:r>
        <w:rPr>
          <w:rStyle w:val="Satznummer"/>
        </w:rPr>
        <w:t>2</w:t>
      </w:r>
      <w:r>
        <w:t>Hierzu gehören insbesondere</w:t>
      </w:r>
    </w:p>
    <w:p>
      <w:pPr>
        <w:tabs>
          <w:tab w:pos="567" w:val="left"/>
        </w:tabs>
        <w:ind w:left="567" w:hanging="567"/>
      </w:pPr>
      <w:r>
        <w:t>1.</w:t>
      </w:r>
      <w:r>
        <w:tab/>
      </w:r>
      <w:r>
        <w:t>Vorschriften über Aufzeichnungs-, Aufbewahrungs-, Bescheinigungs- und Anzeigepflichten des Anbieters,</w:t>
      </w:r>
    </w:p>
    <w:p>
      <w:pPr>
        <w:tabs>
          <w:tab w:pos="567" w:val="left"/>
        </w:tabs>
        <w:ind w:left="567" w:hanging="567"/>
      </w:pPr>
      <w:r>
        <w:t>2.</w:t>
      </w:r>
      <w:r>
        <w:tab/>
      </w:r>
      <w:r>
        <w:t>Grundsätze des vorgesehenen Datenaustausches zwischen den Anbietern, der zentralen Stelle, den Trägern der gesetzlichen Rentenversicherung, der Bundesagentur für Arbeit, den Meldebehörden, den Familienkassen, den zuständigen Stellen und den Finanzämtern und</w:t>
      </w:r>
    </w:p>
    <w:p>
      <w:pPr>
        <w:tabs>
          <w:tab w:pos="567" w:val="left"/>
        </w:tabs>
        <w:ind w:left="567" w:hanging="567"/>
      </w:pPr>
      <w:r>
        <w:t>3.</w:t>
      </w:r>
      <w:r>
        <w:tab/>
      </w:r>
      <w:r>
        <w:t xml:space="preserve">Vorschriften über Mitteilungspflichten, die für die Erteilung der Bescheinigungen nach </w:t>
      </w:r>
      <w:hyperlink w:anchor="b90" w:history="1">
        <w:r>
          <w:rPr>
            <w:color w:val="0A3A8C"/>
            <w:u w:val="single"/>
          </w:rPr>
          <w:t xml:space="preserve">§ 22</w:t>
        </w:r>
      </w:hyperlink>
      <w:r>
        <w:t xml:space="preserve"> Nummer 5 Satz 7 und </w:t>
      </w:r>
      <w:hyperlink w:anchor="b250" w:history="1">
        <w:r>
          <w:rPr>
            <w:color w:val="0A3A8C"/>
            <w:u w:val="single"/>
          </w:rPr>
          <w:t xml:space="preserve">§ 92</w:t>
        </w:r>
      </w:hyperlink>
      <w:r>
        <w:t xml:space="preserve"> erforderlich sind.</w:t>
      </w:r>
    </w:p>
    <w:p>
      <w:pPr>
        <w:pStyle w:val="Heading1"/>
      </w:pPr>
      <w:bookmarkStart w:id="261" w:name="b260"/>
      <w:r>
        <w:t>XII. Förderbetrag zur betrieblichen Altersversorgung</w:t>
      </w:r>
      <w:bookmarkEnd w:id="261"/>
    </w:p>
    <w:p>
      <w:pPr>
        <w:pStyle w:val="Heading2"/>
      </w:pPr>
      <w:bookmarkStart w:id="262" w:name="b261"/>
      <w:r>
        <w:t>§ 100 Förderbetrag zur betrieblichen Altersversorgung</w:t>
      </w:r>
      <w:r>
        <w:t xml:space="preserve"> </w:t>
      </w:r>
      <w:r>
        <w:rPr>
          <w:rStyle w:val="Suchmarke"/>
        </w:rPr>
        <w:t>#100#</w:t>
      </w:r>
      <w:bookmarkEnd w:id="262"/>
    </w:p>
    <w:p>
      <w:r>
        <w:t xml:space="preserve">(1) </w:t>
      </w:r>
      <w:r>
        <w:rPr>
          <w:rStyle w:val="Satznummer"/>
        </w:rPr>
        <w:t>1</w:t>
      </w:r>
      <w:r>
        <w:t xml:space="preserve">Arbeitgeber im Sinne des </w:t>
      </w:r>
      <w:hyperlink w:anchor="b144" w:history="1">
        <w:r>
          <w:rPr>
            <w:color w:val="0A3A8C"/>
            <w:u w:val="single"/>
          </w:rPr>
          <w:t xml:space="preserve">§ 38</w:t>
        </w:r>
      </w:hyperlink>
      <w:r>
        <w:t xml:space="preserve"> Absatz 1 dürfen vom Gesamtbetrag der einzubehaltenden Lohnsteuer für jeden Arbeitnehmer mit einem ersten Dienstverhältnis einen Teilbetrag des Arbeitgeberbeitrags zur kapitalgedeckten betrieblichen Altersversorgung (Förderbetrag) entnehmen und bei der nächsten Lohnsteuer-Anmeldung gesondert absetzen. </w:t>
      </w:r>
      <w:r>
        <w:rPr>
          <w:rStyle w:val="Satznummer"/>
        </w:rPr>
        <w:t>2</w:t>
      </w:r>
      <w:r>
        <w:t>Übersteigt der insgesamt zu gewährende Förderbetrag den Betrag, der insgesamt an Lohnsteuer abzuführen ist, so wird der übersteigende Betrag dem Arbeitgeber auf Antrag von dem Finanzamt, an das die Lohnsteuer abzuführen ist, aus den Einnahmen der Lohnsteuer ersetzt.</w:t>
      </w:r>
    </w:p>
    <w:p>
      <w:r>
        <w:t xml:space="preserve">(2) </w:t>
      </w:r>
      <w:r>
        <w:rPr>
          <w:rStyle w:val="Satznummer"/>
        </w:rPr>
        <w:t>1</w:t>
      </w:r>
      <w:r>
        <w:t xml:space="preserve">Der Förderbetrag beträgt im Kalenderjahr 30 Prozent des zusätzlichen Arbeitgeberbeitrags nach Absatz 3, höchstens 288 Euro. </w:t>
      </w:r>
      <w:r>
        <w:rPr>
          <w:rStyle w:val="Satznummer"/>
        </w:rPr>
        <w:t>2</w:t>
      </w:r>
      <w:r>
        <w:t>In Fällen, in denen der Arbeitgeber bereits im Jahr 2016 einen zusätzlichen Arbeitgeberbeitrag an einen Pensionsfonds, eine Pensionskasse oder für eine Direktversicherung geleistet hat, ist der jeweilige Förderbetrag auf den Betrag beschränkt, den der Arbeitgeber darüber hinaus leistet.</w:t>
      </w:r>
    </w:p>
    <w:p>
      <w:r>
        <w:t>(3) Voraussetzung für die Inanspruchnahme des Förderbetrags nach den Absätzen 1 und 2 ist, dass</w:t>
      </w:r>
    </w:p>
    <w:p>
      <w:pPr>
        <w:tabs>
          <w:tab w:pos="567" w:val="left"/>
        </w:tabs>
        <w:ind w:left="567" w:hanging="567"/>
      </w:pPr>
      <w:r>
        <w:t>1.</w:t>
      </w:r>
      <w:r>
        <w:tab/>
      </w:r>
      <w:r>
        <w:t>der Arbeitslohn des Arbeitnehmers im Lohnzahlungszeitraum, für den der Förderbetrag geltend gemacht wird, im Inland dem Lohnsteuerabzug unterliegt;</w:t>
      </w:r>
    </w:p>
    <w:p>
      <w:pPr>
        <w:tabs>
          <w:tab w:pos="567" w:val="left"/>
        </w:tabs>
        <w:ind w:left="567" w:hanging="567"/>
      </w:pPr>
      <w:r>
        <w:t>2.</w:t>
      </w:r>
      <w:r>
        <w:tab/>
      </w:r>
      <w:r>
        <w:t>der Arbeitgeber für den Arbeitnehmer zusätzlich zum ohnehin geschuldeten Arbeitslohn im Kalenderjahr mindestens einen Betrag in Höhe von 240 Euro an einen Pensionsfonds, eine Pensionskasse oder für eine Direktversicherung zahlt;</w:t>
      </w:r>
    </w:p>
    <w:p>
      <w:pPr>
        <w:tabs>
          <w:tab w:pos="567" w:val="left"/>
        </w:tabs>
        <w:ind w:left="567" w:hanging="567"/>
      </w:pPr>
      <w:r>
        <w:t>3.</w:t>
      </w:r>
      <w:r>
        <w:tab/>
      </w:r>
      <w:r>
        <w:t>im Zeitpunkt der Beitragsleistung der laufende Arbeitslohn (</w:t>
      </w:r>
      <w:hyperlink w:anchor="b149" w:history="1">
        <w:r>
          <w:rPr>
            <w:color w:val="0A3A8C"/>
            <w:u w:val="single"/>
          </w:rPr>
          <w:t xml:space="preserve">§ 39b</w:t>
        </w:r>
      </w:hyperlink>
      <w:r>
        <w:t xml:space="preserve"> Absatz 2 Satz 1 und 2), der pauschal besteuerte Arbeitslohn (</w:t>
      </w:r>
      <w:hyperlink w:anchor="b155" w:history="1">
        <w:r>
          <w:rPr>
            <w:color w:val="0A3A8C"/>
            <w:u w:val="single"/>
          </w:rPr>
          <w:t xml:space="preserve">§ 40a</w:t>
        </w:r>
      </w:hyperlink>
      <w:r>
        <w:t xml:space="preserve"> Absatz 1 und 3) oder das pauschal besteuerte Arbeitsentgelt (</w:t>
      </w:r>
      <w:hyperlink w:anchor="b155" w:history="1">
        <w:r>
          <w:rPr>
            <w:color w:val="0A3A8C"/>
            <w:u w:val="single"/>
          </w:rPr>
          <w:t xml:space="preserve">§ 40a</w:t>
        </w:r>
      </w:hyperlink>
      <w:r>
        <w:t xml:space="preserve"> Absatz 2 und 2a) nicht mehr beträgt als</w:t>
      </w:r>
    </w:p>
    <w:p>
      <w:pPr>
        <w:tabs>
          <w:tab w:pos="1134" w:val="left"/>
        </w:tabs>
        <w:ind w:left="1134" w:hanging="567"/>
      </w:pPr>
      <w:r>
        <w:t>a)</w:t>
      </w:r>
      <w:r>
        <w:tab/>
      </w:r>
      <w:r>
        <w:t>85,84 Euro bei einem täglichen Lohnzahlungszeitraum,</w:t>
      </w:r>
    </w:p>
    <w:p>
      <w:pPr>
        <w:tabs>
          <w:tab w:pos="1134" w:val="left"/>
        </w:tabs>
        <w:ind w:left="1134" w:hanging="567"/>
      </w:pPr>
      <w:r>
        <w:t>b)</w:t>
      </w:r>
      <w:r>
        <w:tab/>
      </w:r>
      <w:r>
        <w:t>600,84 Euro bei einem wöchentlichen Lohnzahlungszeitraum,</w:t>
      </w:r>
    </w:p>
    <w:p>
      <w:pPr>
        <w:tabs>
          <w:tab w:pos="1134" w:val="left"/>
        </w:tabs>
        <w:ind w:left="1134" w:hanging="567"/>
      </w:pPr>
      <w:r>
        <w:t>c)</w:t>
      </w:r>
      <w:r>
        <w:tab/>
      </w:r>
      <w:r>
        <w:t>2 575 Euro bei einem monatlichen Lohnzahlungszeitraum oder</w:t>
      </w:r>
    </w:p>
    <w:p>
      <w:pPr>
        <w:tabs>
          <w:tab w:pos="1134" w:val="left"/>
        </w:tabs>
        <w:ind w:left="1134" w:hanging="567"/>
      </w:pPr>
      <w:r>
        <w:t>d)</w:t>
      </w:r>
      <w:r>
        <w:tab/>
      </w:r>
      <w:r>
        <w:t>30 900 Euro bei einem jährlichen Lohnzahlungszeitraum;</w:t>
      </w:r>
    </w:p>
    <w:p>
      <w:pPr>
        <w:tabs>
          <w:tab w:pos="567" w:val="left"/>
        </w:tabs>
        <w:ind w:left="567" w:hanging="567"/>
      </w:pPr>
      <w:r>
        <w:t>4.</w:t>
      </w:r>
      <w:r>
        <w:tab/>
      </w:r>
      <w:r>
        <w:t xml:space="preserve">eine Auszahlung der zugesagten Alters-, Invaliditäts- oder Hinterbliebenenversorgungsleistungen entsprechend </w:t>
      </w:r>
      <w:hyperlink w:anchor="b240" w:history="1">
        <w:r>
          <w:rPr>
            <w:color w:val="0A3A8C"/>
            <w:u w:val="single"/>
          </w:rPr>
          <w:t xml:space="preserve">§ 82</w:t>
        </w:r>
      </w:hyperlink>
      <w:r>
        <w:t xml:space="preserve"> Absatz 2 Satz 2 vorgesehen ist;</w:t>
      </w:r>
    </w:p>
    <w:p>
      <w:pPr>
        <w:tabs>
          <w:tab w:pos="567" w:val="left"/>
        </w:tabs>
        <w:ind w:left="567" w:hanging="567"/>
      </w:pPr>
      <w:r>
        <w:t>5.</w:t>
      </w:r>
      <w:r>
        <w:tab/>
      </w:r>
      <w:r>
        <w:t>sichergestellt ist, dass von den Beiträgen jeweils derselbe prozentuale Anteil zur Deckung der Vertriebskosten herangezogen wird; der Prozentsatz kann angepasst werden, wenn die Kalkulationsgrundlagen geändert werden, darf die ursprüngliche Höhe aber nicht überschreiten.</w:t>
      </w:r>
    </w:p>
    <w:p>
      <w:r>
        <w:t xml:space="preserve">(4) </w:t>
      </w:r>
      <w:r>
        <w:rPr>
          <w:rStyle w:val="Satznummer"/>
        </w:rPr>
        <w:t>1</w:t>
      </w:r>
      <w:r>
        <w:t xml:space="preserve">Für die Inanspruchnahme des Förderbetrags sind die Verhältnisse im Zeitpunkt der Beitragsleistung maßgeblich; spätere Änderungen der Verhältnisse sind unbeachtlich. </w:t>
      </w:r>
      <w:r>
        <w:rPr>
          <w:rStyle w:val="Satznummer"/>
        </w:rPr>
        <w:t>2</w:t>
      </w:r>
      <w:r>
        <w:t xml:space="preserve">Abweichend davon sind die für den Arbeitnehmer nach Absatz 1 geltend gemachten Förderbeträge zurückzugewähren, wenn eine Anwartschaft auf Leistungen aus einer nach Absatz 1 geförderten betrieblichen Altersversorgung später verfällt und sich daraus eine Rückzahlung an den Arbeitgeber ergibt. </w:t>
      </w:r>
      <w:r>
        <w:rPr>
          <w:rStyle w:val="Satznummer"/>
        </w:rPr>
        <w:t>3</w:t>
      </w:r>
      <w:r>
        <w:t xml:space="preserve">Der Förderbetrag ist nur zurückzugewähren, soweit er auf den Rückzahlungsbetrag entfällt. </w:t>
      </w:r>
      <w:r>
        <w:rPr>
          <w:rStyle w:val="Satznummer"/>
        </w:rPr>
        <w:t>4</w:t>
      </w:r>
      <w:r>
        <w:t>Der Förderbetrag ist in der Lohnsteuer-Anmeldung für den Lohnzahlungszeitraum, in dem die Rückzahlung zufließt, der an das Betriebsstättenfinanzamt abzuführenden Lohnsteuer hinzuzurechnen.</w:t>
      </w:r>
    </w:p>
    <w:p>
      <w:r>
        <w:t>(5) Für den Förderbetrag gelten entsprechend:</w:t>
      </w:r>
    </w:p>
    <w:p>
      <w:pPr>
        <w:tabs>
          <w:tab w:pos="567" w:val="left"/>
        </w:tabs>
        <w:ind w:left="567" w:hanging="567"/>
      </w:pPr>
      <w:r>
        <w:t>1.</w:t>
      </w:r>
      <w:r>
        <w:tab/>
      </w:r>
      <w:r>
        <w:t xml:space="preserve">die </w:t>
      </w:r>
      <w:hyperlink w:anchor="b157" w:history="1">
        <w:r>
          <w:rPr>
            <w:color w:val="0A3A8C"/>
            <w:u w:val="single"/>
          </w:rPr>
          <w:t xml:space="preserve">§§ 41</w:t>
        </w:r>
      </w:hyperlink>
      <w:r>
        <w:t xml:space="preserve">, </w:t>
      </w:r>
      <w:hyperlink w:anchor="b158" w:history="1">
        <w:r>
          <w:rPr>
            <w:color w:val="0A3A8C"/>
            <w:u w:val="single"/>
          </w:rPr>
          <w:t xml:space="preserve">41a</w:t>
        </w:r>
      </w:hyperlink>
      <w:r>
        <w:t xml:space="preserve">, </w:t>
      </w:r>
      <w:hyperlink w:anchor="b165" w:history="1">
        <w:r>
          <w:rPr>
            <w:color w:val="0A3A8C"/>
            <w:u w:val="single"/>
          </w:rPr>
          <w:t xml:space="preserve">42e</w:t>
        </w:r>
      </w:hyperlink>
      <w:r>
        <w:t xml:space="preserve">, </w:t>
      </w:r>
      <w:hyperlink w:anchor="b166" w:history="1">
        <w:r>
          <w:rPr>
            <w:color w:val="0A3A8C"/>
            <w:u w:val="single"/>
          </w:rPr>
          <w:t xml:space="preserve">42f</w:t>
        </w:r>
      </w:hyperlink>
      <w:r>
        <w:t xml:space="preserve"> und </w:t>
      </w:r>
      <w:hyperlink w:anchor="b167" w:history="1">
        <w:r>
          <w:rPr>
            <w:color w:val="0A3A8C"/>
            <w:u w:val="single"/>
          </w:rPr>
          <w:t xml:space="preserve">42g</w:t>
        </w:r>
      </w:hyperlink>
      <w:r>
        <w:t>,</w:t>
      </w:r>
    </w:p>
    <w:p>
      <w:pPr>
        <w:tabs>
          <w:tab w:pos="567" w:val="left"/>
        </w:tabs>
        <w:ind w:left="567" w:hanging="567"/>
      </w:pPr>
      <w:r>
        <w:t>2.</w:t>
      </w:r>
      <w:r>
        <w:tab/>
      </w:r>
      <w:r>
        <w:t>die für Steuervergütungen geltenden Vorschriften der Abgabenordnung mit Ausnahme des § 163 der Abgabenordnung und</w:t>
      </w:r>
    </w:p>
    <w:p>
      <w:pPr>
        <w:tabs>
          <w:tab w:pos="567" w:val="left"/>
        </w:tabs>
        <w:ind w:left="567" w:hanging="567"/>
      </w:pPr>
      <w:r>
        <w:t>3.</w:t>
      </w:r>
      <w:r>
        <w:tab/>
      </w:r>
      <w:r>
        <w:t>die §§ 195 bis 203 der Abgabenordnung, die Strafvorschriften des § 370 Absatz 1 bis 4, der §§ 371, 375 Absatz 1 und des § 376, die Bußgeldvorschriften der §§ 378, 379 Absatz 1 und 4 und der §§ 383 und 384 der Abgabenordnung, die §§ 385 bis 408 für das Strafverfahren und die §§ 409 bis 412 der Abgabenordnung für das Bußgeldverfahren.</w:t>
      </w:r>
    </w:p>
    <w:p>
      <w:r>
        <w:t xml:space="preserve">(6) </w:t>
      </w:r>
      <w:r>
        <w:rPr>
          <w:rStyle w:val="Satznummer"/>
        </w:rPr>
        <w:t>1</w:t>
      </w:r>
      <w:r>
        <w:t xml:space="preserve">Der Arbeitgeberbeitrag im Sinne des Absatzes 3 Nummer 2 ist steuerfrei, soweit er im Kalenderjahr 960 Euro nicht übersteigt. </w:t>
      </w:r>
      <w:r>
        <w:rPr>
          <w:rStyle w:val="Satznummer"/>
        </w:rPr>
        <w:t>2</w:t>
      </w:r>
      <w:r>
        <w:t xml:space="preserve">Die Steuerfreistellung des </w:t>
      </w:r>
      <w:hyperlink w:anchor="b8" w:history="1">
        <w:r>
          <w:rPr>
            <w:color w:val="0A3A8C"/>
            <w:u w:val="single"/>
          </w:rPr>
          <w:t xml:space="preserve">§ 3</w:t>
        </w:r>
      </w:hyperlink>
      <w:r>
        <w:t xml:space="preserve"> Nummer 63 bleibt hiervon unberührt.</w:t>
      </w:r>
    </w:p>
    <w:p>
      <w:pPr>
        <w:pStyle w:val="Heading1"/>
      </w:pPr>
      <w:bookmarkStart w:id="263" w:name="b262"/>
      <w:r>
        <w:t>XIII. Mobilitätsprämie</w:t>
      </w:r>
      <w:bookmarkEnd w:id="263"/>
    </w:p>
    <w:p>
      <w:pPr>
        <w:pStyle w:val="Heading2"/>
      </w:pPr>
      <w:bookmarkStart w:id="264" w:name="b263"/>
      <w:r>
        <w:t>§ 101 Bemessungsgrundlage und Höhe der Mobilitätsprämie</w:t>
      </w:r>
      <w:r>
        <w:t xml:space="preserve"> </w:t>
      </w:r>
      <w:r>
        <w:rPr>
          <w:rStyle w:val="Suchmarke"/>
        </w:rPr>
        <w:t>#101#</w:t>
      </w:r>
      <w:bookmarkEnd w:id="264"/>
    </w:p>
    <w:p>
      <w:r>
        <w:rPr>
          <w:rStyle w:val="Satznummer"/>
        </w:rPr>
        <w:t>1</w:t>
      </w:r>
      <w:r>
        <w:t xml:space="preserve">Steuerpflichtige können neben der Berücksichtigung der Entfernungspauschalen ab dem 21. vollen Entfernungskilometer gemäß </w:t>
      </w:r>
      <w:hyperlink w:anchor="b46" w:history="1">
        <w:r>
          <w:rPr>
            <w:color w:val="0A3A8C"/>
            <w:u w:val="single"/>
          </w:rPr>
          <w:t xml:space="preserve">§ 9</w:t>
        </w:r>
      </w:hyperlink>
      <w:r>
        <w:t xml:space="preserve"> Absatz 1 Satz 3 Nummer 4 Satz 2, Nummer 5 Satz 6 und </w:t>
      </w:r>
      <w:hyperlink w:anchor="b13" w:history="1">
        <w:r>
          <w:rPr>
            <w:color w:val="0A3A8C"/>
            <w:u w:val="single"/>
          </w:rPr>
          <w:t xml:space="preserve">§ 4</w:t>
        </w:r>
      </w:hyperlink>
      <w:r>
        <w:t xml:space="preserve"> Absatz 5 Satz 1 Nummer 6 Satz 2 als Werbungskosten oder Betriebsausgaben eine Mobilitätsprämie beanspruchen. </w:t>
      </w:r>
      <w:r>
        <w:rPr>
          <w:rStyle w:val="Satznummer"/>
        </w:rPr>
        <w:t>2</w:t>
      </w:r>
      <w:r>
        <w:t xml:space="preserve">Bemessungsgrundlage der Mobilitätsprämie sind die berücksichtigten Entfernungspauschalen im Sinne des Satzes 1, begrenzt auf den Betrag, um den das zu versteuernde Einkommen den Grundfreibetrag im Sinne des </w:t>
      </w:r>
      <w:hyperlink w:anchor="b108" w:history="1">
        <w:r>
          <w:rPr>
            <w:color w:val="0A3A8C"/>
            <w:u w:val="single"/>
          </w:rPr>
          <w:t xml:space="preserve">§ 32a</w:t>
        </w:r>
      </w:hyperlink>
      <w:r>
        <w:t xml:space="preserve"> Absatz 1 Satz 2 Nummer 1 unterschreitet; bei Ehegatten, die nach den </w:t>
      </w:r>
      <w:hyperlink w:anchor="b99" w:history="1">
        <w:r>
          <w:rPr>
            <w:color w:val="0A3A8C"/>
            <w:u w:val="single"/>
          </w:rPr>
          <w:t xml:space="preserve">§§ 26</w:t>
        </w:r>
      </w:hyperlink>
      <w:r>
        <w:t xml:space="preserve">, </w:t>
      </w:r>
      <w:hyperlink w:anchor="b101" w:history="1">
        <w:r>
          <w:rPr>
            <w:color w:val="0A3A8C"/>
            <w:u w:val="single"/>
          </w:rPr>
          <w:t xml:space="preserve">26b</w:t>
        </w:r>
      </w:hyperlink>
      <w:r>
        <w:t xml:space="preserve"> zusammen zur Einkommensteuer veranlagt werden, sind das gemeinsame zu versteuernde Einkommen und der doppelte Grundfreibetrag maßgebend. </w:t>
      </w:r>
      <w:r>
        <w:rPr>
          <w:rStyle w:val="Satznummer"/>
        </w:rPr>
        <w:t>3</w:t>
      </w:r>
      <w:r>
        <w:t xml:space="preserve">Bei Steuerpflichtigen mit Einkünften aus nichtselbständiger Arbeit gilt dies nur, soweit die Entfernungspauschalen im Sinne des Satzes 1 zusammen mit den übrigen zu berücksichtigenden Werbungskosten im Zusammenhang mit den Einnahmen aus nichtselbständiger Arbeit den Arbeitnehmer-Pauschbetrag nach § 9a Satz 1 Nummer 1 Buchstabe a übersteigen. </w:t>
      </w:r>
      <w:r>
        <w:rPr>
          <w:rStyle w:val="Satznummer"/>
        </w:rPr>
        <w:t>4</w:t>
      </w:r>
      <w:r>
        <w:t>Die Mobilitätsprämie beträgt 14 Prozent dieser Bemessungsgrundlage.</w:t>
      </w:r>
    </w:p>
    <w:p>
      <w:pPr>
        <w:pStyle w:val="Heading2"/>
      </w:pPr>
      <w:bookmarkStart w:id="265" w:name="b264"/>
      <w:r>
        <w:t>§ 102 Anspruchsberechtigung</w:t>
      </w:r>
      <w:r>
        <w:t xml:space="preserve"> </w:t>
      </w:r>
      <w:r>
        <w:rPr>
          <w:rStyle w:val="Suchmarke"/>
        </w:rPr>
        <w:t>#102#</w:t>
      </w:r>
      <w:bookmarkEnd w:id="265"/>
    </w:p>
    <w:p>
      <w:r>
        <w:t xml:space="preserve">Anspruchsberechtigt sind unbeschränkt oder beschränkt Steuerpflichtige im Sinne des </w:t>
      </w:r>
      <w:hyperlink w:anchor="b1" w:history="1">
        <w:r>
          <w:rPr>
            <w:color w:val="0A3A8C"/>
            <w:u w:val="single"/>
          </w:rPr>
          <w:t xml:space="preserve">§ 1</w:t>
        </w:r>
      </w:hyperlink>
      <w:r>
        <w:t>.</w:t>
      </w:r>
    </w:p>
    <w:p>
      <w:pPr>
        <w:pStyle w:val="Heading2"/>
      </w:pPr>
      <w:bookmarkStart w:id="266" w:name="b265"/>
      <w:r>
        <w:t>§ 103 Entstehung der Mobilitätsprämie</w:t>
      </w:r>
      <w:r>
        <w:t xml:space="preserve"> </w:t>
      </w:r>
      <w:r>
        <w:rPr>
          <w:rStyle w:val="Suchmarke"/>
        </w:rPr>
        <w:t>#103#</w:t>
      </w:r>
      <w:bookmarkEnd w:id="266"/>
    </w:p>
    <w:p>
      <w:r>
        <w:t xml:space="preserve">Der Anspruch auf die Mobilitätsprämie entsteht mit Ablauf des Kalenderjahres, in dem der Anspruchsberechtigte die erste Tätigkeitsstätte im Sinne des </w:t>
      </w:r>
      <w:hyperlink w:anchor="b46" w:history="1">
        <w:r>
          <w:rPr>
            <w:color w:val="0A3A8C"/>
            <w:u w:val="single"/>
          </w:rPr>
          <w:t xml:space="preserve">§ 9</w:t>
        </w:r>
      </w:hyperlink>
      <w:r>
        <w:t xml:space="preserve"> Absatz 4 oder eine Betriebsstätte im Sinne des </w:t>
      </w:r>
      <w:hyperlink w:anchor="b13" w:history="1">
        <w:r>
          <w:rPr>
            <w:color w:val="0A3A8C"/>
            <w:u w:val="single"/>
          </w:rPr>
          <w:t xml:space="preserve">§ 4</w:t>
        </w:r>
      </w:hyperlink>
      <w:r>
        <w:t xml:space="preserve"> Absatz 5 Satz 1 Nummer 6 aufgesucht oder Familienheimfahrten im Rahmen einer doppelten Haushaltsführung im Sinne des </w:t>
      </w:r>
      <w:hyperlink w:anchor="b46" w:history="1">
        <w:r>
          <w:rPr>
            <w:color w:val="0A3A8C"/>
            <w:u w:val="single"/>
          </w:rPr>
          <w:t xml:space="preserve">§ 9</w:t>
        </w:r>
      </w:hyperlink>
      <w:r>
        <w:t xml:space="preserve"> Absatz 1 Satz 3 Nummer 5 Satz 5 sowie des </w:t>
      </w:r>
      <w:hyperlink w:anchor="b13" w:history="1">
        <w:r>
          <w:rPr>
            <w:color w:val="0A3A8C"/>
            <w:u w:val="single"/>
          </w:rPr>
          <w:t xml:space="preserve">§ 4</w:t>
        </w:r>
      </w:hyperlink>
      <w:r>
        <w:t xml:space="preserve"> Absatz 5 Satz 1 Nummer 6 durchgeführt hat.</w:t>
      </w:r>
    </w:p>
    <w:p>
      <w:pPr>
        <w:pStyle w:val="Heading2"/>
      </w:pPr>
      <w:bookmarkStart w:id="267" w:name="b266"/>
      <w:r>
        <w:t>§ 104 Antrag auf die Mobilitätsprämie</w:t>
      </w:r>
      <w:r>
        <w:t xml:space="preserve"> </w:t>
      </w:r>
      <w:r>
        <w:rPr>
          <w:rStyle w:val="Suchmarke"/>
        </w:rPr>
        <w:t>#104#</w:t>
      </w:r>
      <w:bookmarkEnd w:id="267"/>
    </w:p>
    <w:p>
      <w:r>
        <w:t>(1) Die Mobilitätsprämie wird auf Antrag gewährt.</w:t>
      </w:r>
    </w:p>
    <w:p>
      <w:r>
        <w:t xml:space="preserve">(2) </w:t>
      </w:r>
      <w:r>
        <w:rPr>
          <w:rStyle w:val="Satznummer"/>
        </w:rPr>
        <w:t>1</w:t>
      </w:r>
      <w:r>
        <w:t xml:space="preserve">Der Anspruchsberechtigte hat den Antrag auf die Mobilitätsprämie bis zum Ablauf des vierten Kalenderjahres, das auf das Kalenderjahr folgt, in dem nach </w:t>
      </w:r>
      <w:hyperlink w:anchor="b265" w:history="1">
        <w:r>
          <w:rPr>
            <w:color w:val="0A3A8C"/>
            <w:u w:val="single"/>
          </w:rPr>
          <w:t xml:space="preserve">§ 103</w:t>
        </w:r>
      </w:hyperlink>
      <w:r>
        <w:t xml:space="preserve"> die Mobilitätsprämie entsteht, zu stellen. </w:t>
      </w:r>
      <w:r>
        <w:rPr>
          <w:rStyle w:val="Satznummer"/>
        </w:rPr>
        <w:t>2</w:t>
      </w:r>
      <w:r>
        <w:t>Der Antrag ist nach amtlich vorgeschriebenem Vordruck bei dem Finanzamt zu stellen, das für die Besteuerung des Anspruchsberechtigten nach dem Einkommen zuständig ist.</w:t>
      </w:r>
    </w:p>
    <w:p>
      <w:pPr>
        <w:pStyle w:val="Heading2"/>
      </w:pPr>
      <w:bookmarkStart w:id="268" w:name="b267"/>
      <w:r>
        <w:t>§ 105 Festsetzung und Auszahlung der Mobilitätsprämie</w:t>
      </w:r>
      <w:r>
        <w:t xml:space="preserve"> </w:t>
      </w:r>
      <w:r>
        <w:rPr>
          <w:rStyle w:val="Suchmarke"/>
        </w:rPr>
        <w:t>#105#</w:t>
      </w:r>
      <w:bookmarkEnd w:id="268"/>
    </w:p>
    <w:p>
      <w:r>
        <w:t xml:space="preserve">(1) </w:t>
      </w:r>
      <w:r>
        <w:rPr>
          <w:rStyle w:val="Satznummer"/>
        </w:rPr>
        <w:t>1</w:t>
      </w:r>
      <w:r>
        <w:t xml:space="preserve">Die Mobilitätsprämie ist nach Ablauf des Kalenderjahres im Rahmen einer Einkommensteuerveranlagung festzusetzen. </w:t>
      </w:r>
      <w:r>
        <w:rPr>
          <w:rStyle w:val="Satznummer"/>
        </w:rPr>
        <w:t>2</w:t>
      </w:r>
      <w:r>
        <w:t xml:space="preserve">Eine Festsetzung erfolgt nur, wenn die Mobilitätsprämie mindestens 10 Euro beträgt. </w:t>
      </w:r>
      <w:r>
        <w:rPr>
          <w:rStyle w:val="Satznummer"/>
        </w:rPr>
        <w:t>3</w:t>
      </w:r>
      <w:r>
        <w:t xml:space="preserve">Die festgesetzte Mobilitätsprämie mindert die festgesetzte Einkommensteuer im Wege der Anrechnung. </w:t>
      </w:r>
      <w:r>
        <w:rPr>
          <w:rStyle w:val="Satznummer"/>
        </w:rPr>
        <w:t>4</w:t>
      </w:r>
      <w:r>
        <w:t xml:space="preserve">Sie gilt insoweit als Steuervergütung. </w:t>
      </w:r>
      <w:r>
        <w:rPr>
          <w:rStyle w:val="Satznummer"/>
        </w:rPr>
        <w:t>5</w:t>
      </w:r>
      <w:r>
        <w:t>Die Auszahlung erfolgt aus den Einnahmen an Einkommensteuer.</w:t>
      </w:r>
    </w:p>
    <w:p>
      <w:r>
        <w:t xml:space="preserve">(2) </w:t>
      </w:r>
      <w:r>
        <w:rPr>
          <w:rStyle w:val="Satznummer"/>
        </w:rPr>
        <w:t>1</w:t>
      </w:r>
      <w:r>
        <w:t xml:space="preserve">Besteht das Einkommen ganz oder teilweise aus Einkünften aus nichtselbständiger Arbeit, die dem Steuerabzug unterlegen haben, gilt der Antrag auf Mobilitätsprämie zugleich als ein Antrag auf Einkommensteuerveranlagung. </w:t>
      </w:r>
      <w:r>
        <w:rPr>
          <w:rStyle w:val="Satznummer"/>
        </w:rPr>
        <w:t>2</w:t>
      </w:r>
      <w:r>
        <w:t xml:space="preserve">Besteht nach </w:t>
      </w:r>
      <w:hyperlink w:anchor="b182" w:history="1">
        <w:r>
          <w:rPr>
            <w:color w:val="0A3A8C"/>
            <w:u w:val="single"/>
          </w:rPr>
          <w:t xml:space="preserve">§ 46</w:t>
        </w:r>
      </w:hyperlink>
      <w:r>
        <w:t xml:space="preserve"> keine Pflicht zur Durchführung einer Veranlagung und wird keine Veranlagung, insbesondere zur Anrechnung von Lohnsteuer auf die Einkommensteuer nach </w:t>
      </w:r>
      <w:hyperlink w:anchor="b182" w:history="1">
        <w:r>
          <w:rPr>
            <w:color w:val="0A3A8C"/>
            <w:u w:val="single"/>
          </w:rPr>
          <w:t xml:space="preserve">§ 46</w:t>
        </w:r>
      </w:hyperlink>
      <w:r>
        <w:t xml:space="preserve"> Absatz 2 Nummer 8 beantragt, ist für die Festsetzung der Mobilitätsprämie die im Rahmen der Einkommensteuerveranlagung festgesetzte Einkommensteuer, die sich auf Grund des Antrags auf Mobilitätsprämie ergibt, mit Null Euro anzusetzen. </w:t>
      </w:r>
      <w:r>
        <w:rPr>
          <w:rStyle w:val="Satznummer"/>
        </w:rPr>
        <w:t>3</w:t>
      </w:r>
      <w:r>
        <w:t xml:space="preserve">Auch in den Fällen des </w:t>
      </w:r>
      <w:hyperlink w:anchor="b98" w:history="1">
        <w:r>
          <w:rPr>
            <w:color w:val="0A3A8C"/>
            <w:u w:val="single"/>
          </w:rPr>
          <w:t xml:space="preserve">§ 25</w:t>
        </w:r>
      </w:hyperlink>
      <w:r>
        <w:t xml:space="preserve"> gilt, ungeachtet des § 56 Satz 1 der Einkommensteuer-Durchführungsverordnung, der Antrag auf Mobilitätsprämie zugleich als Abgabe einer Einkommensteuererklärung.</w:t>
      </w:r>
    </w:p>
    <w:p>
      <w:pPr>
        <w:pStyle w:val="Heading2"/>
      </w:pPr>
      <w:bookmarkStart w:id="269" w:name="b268"/>
      <w:r>
        <w:t>§ 106 Ertragsteuerliche Behandlung der Mobilitätsprämie</w:t>
      </w:r>
      <w:r>
        <w:t xml:space="preserve"> </w:t>
      </w:r>
      <w:r>
        <w:rPr>
          <w:rStyle w:val="Suchmarke"/>
        </w:rPr>
        <w:t>#106#</w:t>
      </w:r>
      <w:bookmarkEnd w:id="269"/>
    </w:p>
    <w:p>
      <w:r>
        <w:t>Die Mobilitätsprämie gehört nicht zu den steuerpflichtigen Einnahmen im Sinne des Einkommensteuergesetzes.</w:t>
      </w:r>
    </w:p>
    <w:p>
      <w:pPr>
        <w:pStyle w:val="Heading2"/>
      </w:pPr>
      <w:bookmarkStart w:id="270" w:name="b269"/>
      <w:r>
        <w:t>§ 107 Anwendung der Abgabenordnung</w:t>
      </w:r>
      <w:r>
        <w:t xml:space="preserve"> </w:t>
      </w:r>
      <w:r>
        <w:rPr>
          <w:rStyle w:val="Suchmarke"/>
        </w:rPr>
        <w:t>#107#</w:t>
      </w:r>
      <w:bookmarkEnd w:id="270"/>
    </w:p>
    <w:p>
      <w:r>
        <w:t>Auf die Mobilitätsprämie sind die für Steuervergütungen geltenden Vorschriften der Abgabenordnung mit Ausnahme des § 163 der Abgabenordnung entsprechend anzuwenden.</w:t>
      </w:r>
    </w:p>
    <w:p>
      <w:pPr>
        <w:pStyle w:val="Heading2"/>
      </w:pPr>
      <w:bookmarkStart w:id="271" w:name="b270"/>
      <w:r>
        <w:t>§ 108 Anwendung von Straf- und Bußgeldvorschriften der Abgabenordnung</w:t>
      </w:r>
      <w:r>
        <w:t xml:space="preserve"> </w:t>
      </w:r>
      <w:r>
        <w:rPr>
          <w:rStyle w:val="Suchmarke"/>
        </w:rPr>
        <w:t>#108#</w:t>
      </w:r>
      <w:bookmarkEnd w:id="271"/>
    </w:p>
    <w:p>
      <w:r>
        <w:rPr>
          <w:rStyle w:val="Satznummer"/>
        </w:rPr>
        <w:t>1</w:t>
      </w:r>
      <w:r>
        <w:t xml:space="preserve">Für die Mobilitätsprämie gelten die Strafvorschriften des § 370 Absatz 1 bis 4, der §§ 371, 375 Absatz 1 und des § 376 der Abgabenordnung sowie die Bußgeldvorschriften der §§ 378 und 379 Absatz 1 und 4 sowie der §§ 383 und 384 der Abgabenordnung entsprechend. </w:t>
      </w:r>
      <w:r>
        <w:rPr>
          <w:rStyle w:val="Satznummer"/>
        </w:rPr>
        <w:t>2</w:t>
      </w:r>
      <w:r>
        <w:t>Für das Strafverfahren wegen einer Straftat nach Satz 1 sowie der Begünstigung einer Person, die eine solche Tat begangen hat, gelten die §§ 385 bis 408 der Abgabenordnung, für das Bußgeldverfahren wegen einer Ordnungswidrigkeit nach Satz 1 die §§ 409 bis 412 der Abgabenordnung entsprechend.</w:t>
      </w:r>
    </w:p>
    <w:p>
      <w:pPr>
        <w:pStyle w:val="Heading2"/>
      </w:pPr>
      <w:bookmarkStart w:id="272" w:name="b271"/>
      <w:r>
        <w:t>§ 109 Verordnungsermächtigung</w:t>
      </w:r>
      <w:r>
        <w:t xml:space="preserve"> </w:t>
      </w:r>
      <w:r>
        <w:rPr>
          <w:rStyle w:val="Suchmarke"/>
        </w:rPr>
        <w:t>#109#</w:t>
      </w:r>
      <w:bookmarkEnd w:id="272"/>
    </w:p>
    <w:p>
      <w:r>
        <w:t>Die Bundesregierung wird ermächtigt, durch Rechtsverordnung mit Zustimmung des Bundesrates das Verfahren bei der Festsetzung und der Auszahlung der Mobilitätsprämie näher zu regeln.</w:t>
      </w:r>
    </w:p>
    <w:p>
      <w:pPr>
        <w:pStyle w:val="Heading1"/>
      </w:pPr>
      <w:bookmarkStart w:id="273" w:name="b272"/>
      <w:r>
        <w:t>XIV. Sondervorschriften zur Bewältigung der Corona-Pandemie</w:t>
      </w:r>
      <w:bookmarkEnd w:id="273"/>
    </w:p>
    <w:p>
      <w:pPr>
        <w:pStyle w:val="Heading2"/>
      </w:pPr>
      <w:bookmarkStart w:id="274" w:name="b273"/>
      <w:r>
        <w:t>§ 110 Anpassung von Vorauszahlungen für den Veranlagungszeitraum 2019</w:t>
      </w:r>
      <w:r>
        <w:t xml:space="preserve"> </w:t>
      </w:r>
      <w:r>
        <w:rPr>
          <w:rStyle w:val="Suchmarke"/>
        </w:rPr>
        <w:t>#110#</w:t>
      </w:r>
      <w:bookmarkEnd w:id="274"/>
    </w:p>
    <w:p>
      <w:r>
        <w:t xml:space="preserve">(1) </w:t>
      </w:r>
      <w:r>
        <w:rPr>
          <w:rStyle w:val="Satznummer"/>
        </w:rPr>
        <w:t>1</w:t>
      </w:r>
      <w:r>
        <w:t xml:space="preserve">Auf Antrag wird der für die Bemessung der Vorauszahlungen für den Veranlagungszeitraum 2019 zugrunde gelegte Gesamtbetrag der Einkünfte pauschal um 30 Prozent gemindert. </w:t>
      </w:r>
      <w:r>
        <w:rPr>
          <w:rStyle w:val="Satznummer"/>
        </w:rPr>
        <w:t>2</w:t>
      </w:r>
      <w:r>
        <w:t>Das gilt nicht, soweit in dem Gesamtbetrag der Einkünfte Einkünfte aus nichtselbständiger Arbeit (</w:t>
      </w:r>
      <w:hyperlink w:anchor="b83" w:history="1">
        <w:r>
          <w:rPr>
            <w:color w:val="0A3A8C"/>
            <w:u w:val="single"/>
          </w:rPr>
          <w:t xml:space="preserve">§ 19</w:t>
        </w:r>
      </w:hyperlink>
      <w:r>
        <w:t xml:space="preserve">) enthalten sind. </w:t>
      </w:r>
      <w:r>
        <w:rPr>
          <w:rStyle w:val="Satznummer"/>
        </w:rPr>
        <w:t>3</w:t>
      </w:r>
      <w:r>
        <w:t>Voraussetzung für die Anwendung des Satzes 1 ist, dass die Vorauszahlungen für 2020 auf 0 Euro herabgesetzt wurden.</w:t>
      </w:r>
    </w:p>
    <w:p>
      <w:r>
        <w:t xml:space="preserve">(2) Abweichend von Absatz 1 wird der für die Bemessung der Vorauszahlungen für den Veranlagungszeitraum 2019 zugrunde gelegte Gesamtbetrag der Einkünfte um einen höheren Betrag als 30 Prozent gemindert, wenn der Steuerpflichtige einen voraussichtlichen Verlustrücktrag im Sinne des </w:t>
      </w:r>
      <w:hyperlink w:anchor="b55" w:history="1">
        <w:r>
          <w:rPr>
            <w:color w:val="0A3A8C"/>
            <w:u w:val="single"/>
          </w:rPr>
          <w:t xml:space="preserve">§10d</w:t>
        </w:r>
      </w:hyperlink>
      <w:r>
        <w:t xml:space="preserve"> Absatz 1 Satz 1 für 2020 in dieser Höhe nachweisen kann.</w:t>
      </w:r>
    </w:p>
    <w:p>
      <w:r>
        <w:t xml:space="preserve">(3) </w:t>
      </w:r>
      <w:r>
        <w:rPr>
          <w:rStyle w:val="Satznummer"/>
        </w:rPr>
        <w:t>1</w:t>
      </w:r>
      <w:r>
        <w:t xml:space="preserve">Die Minderungen nach den Absätzen 1 und 2 dürfen insgesamt 10 000 000 Euro, bei Ehegatten, die nach den </w:t>
      </w:r>
      <w:hyperlink w:anchor="b99" w:history="1">
        <w:r>
          <w:rPr>
            <w:color w:val="0A3A8C"/>
            <w:u w:val="single"/>
          </w:rPr>
          <w:t xml:space="preserve">§§ 26</w:t>
        </w:r>
      </w:hyperlink>
      <w:r>
        <w:t xml:space="preserve"> und </w:t>
      </w:r>
      <w:hyperlink w:anchor="b101" w:history="1">
        <w:r>
          <w:rPr>
            <w:color w:val="0A3A8C"/>
            <w:u w:val="single"/>
          </w:rPr>
          <w:t xml:space="preserve">26b</w:t>
        </w:r>
      </w:hyperlink>
      <w:r>
        <w:t xml:space="preserve"> zusammenveranlagt werden, 20 000 000 Euro nicht überschreiten. </w:t>
      </w:r>
      <w:r>
        <w:rPr>
          <w:rStyle w:val="Satznummer"/>
        </w:rPr>
        <w:t>2</w:t>
      </w:r>
      <w:hyperlink w:anchor="b140" w:history="1">
        <w:r>
          <w:rPr>
            <w:color w:val="0A3A8C"/>
            <w:u w:val="single"/>
          </w:rPr>
          <w:t xml:space="preserve">§ 37</w:t>
        </w:r>
      </w:hyperlink>
      <w:r>
        <w:t xml:space="preserve"> Absatz 3, 5 und 6 ist entsprechend anzuwenden.</w:t>
      </w:r>
    </w:p>
    <w:p>
      <w:pPr>
        <w:pStyle w:val="Heading2"/>
      </w:pPr>
      <w:bookmarkStart w:id="275" w:name="b274"/>
      <w:r>
        <w:t>§ 111 Vorläufiger Verlustrücktrag für 2020 und 2021</w:t>
      </w:r>
      <w:r>
        <w:t xml:space="preserve"> </w:t>
      </w:r>
      <w:r>
        <w:rPr>
          <w:rStyle w:val="Suchmarke"/>
        </w:rPr>
        <w:t>#111#</w:t>
      </w:r>
      <w:bookmarkEnd w:id="275"/>
    </w:p>
    <w:p>
      <w:r>
        <w:t xml:space="preserve">(1) </w:t>
      </w:r>
      <w:r>
        <w:rPr>
          <w:rStyle w:val="Satznummer"/>
        </w:rPr>
        <w:t>1</w:t>
      </w:r>
      <w:r>
        <w:t xml:space="preserve">Auf Antrag wird bei der Steuerfestsetzung für den Veranlagungszeitraum 2019 pauschal ein Betrag in Höhe von 30 Prozent des Gesamtbetrags der Einkünfte des Veranlagungszeitraums 2019 als Verlustrücktrag aus 2020 abgezogen (vorläufiger Verlustrücktrag für 2020). </w:t>
      </w:r>
      <w:r>
        <w:rPr>
          <w:rStyle w:val="Satznummer"/>
        </w:rPr>
        <w:t>2</w:t>
      </w:r>
      <w:r>
        <w:t>Bei der Berechnung des vorläufigen Verlustrücktrags für 2020 sind Einkünfte aus nichtselbständiger Arbeit (</w:t>
      </w:r>
      <w:hyperlink w:anchor="b83" w:history="1">
        <w:r>
          <w:rPr>
            <w:color w:val="0A3A8C"/>
            <w:u w:val="single"/>
          </w:rPr>
          <w:t xml:space="preserve">§ 19</w:t>
        </w:r>
      </w:hyperlink>
      <w:r>
        <w:t xml:space="preserve">) nicht zu berücksichtigen, die im Gesamtbetrag der Einkünfte enthalten sind. </w:t>
      </w:r>
      <w:r>
        <w:rPr>
          <w:rStyle w:val="Satznummer"/>
        </w:rPr>
        <w:t>3</w:t>
      </w:r>
      <w:r>
        <w:t xml:space="preserve">Voraussetzung für die Anwendung des Satzes 1 ist, dass die Vorauszahlungen für den Veranlagungszeitraum 2020 auf 0 Euro herabgesetzt wurden. </w:t>
      </w:r>
      <w:r>
        <w:rPr>
          <w:rStyle w:val="Satznummer"/>
        </w:rPr>
        <w:t>4</w:t>
      </w:r>
      <w:r>
        <w:t>Soweit bei der Steuerfestsetzung für den Veranlagungszeitraum 2019 der vorläufige Verlustrücktrag für 2020 abgezogen wird, ist § 233a Absatz 2a der Abgabenordnung entsprechend anzuwenden.</w:t>
      </w:r>
    </w:p>
    <w:p>
      <w:r>
        <w:t xml:space="preserve">(2) Abweichend von Absatz 1 wird ein höherer Betrag als 30 Prozent vom Gesamtbetrag der Einkünfte abgezogen, wenn der Steuerpflichtige einen voraussichtlichen Verlustrücktrag im Sinne des </w:t>
      </w:r>
      <w:hyperlink w:anchor="b55" w:history="1">
        <w:r>
          <w:rPr>
            <w:color w:val="0A3A8C"/>
            <w:u w:val="single"/>
          </w:rPr>
          <w:t xml:space="preserve">§ 10d</w:t>
        </w:r>
      </w:hyperlink>
      <w:r>
        <w:t xml:space="preserve"> Absatz 1 Satz 1 für 2020 in dieser Höhe nachweisen kann.</w:t>
      </w:r>
    </w:p>
    <w:p>
      <w:r>
        <w:t xml:space="preserve">(3) Der vorläufige Verlustrücktrag für 2020 nach den Absätzen 1 und 2 kann insgesamt bis zu 10 000 000 Euro, bei Ehegatten, die nach den </w:t>
      </w:r>
      <w:hyperlink w:anchor="b99" w:history="1">
        <w:r>
          <w:rPr>
            <w:color w:val="0A3A8C"/>
            <w:u w:val="single"/>
          </w:rPr>
          <w:t xml:space="preserve">§§ 26</w:t>
        </w:r>
      </w:hyperlink>
      <w:r>
        <w:t xml:space="preserve"> und </w:t>
      </w:r>
      <w:hyperlink w:anchor="b101" w:history="1">
        <w:r>
          <w:rPr>
            <w:color w:val="0A3A8C"/>
            <w:u w:val="single"/>
          </w:rPr>
          <w:t xml:space="preserve">26b</w:t>
        </w:r>
      </w:hyperlink>
      <w:r>
        <w:t xml:space="preserve"> zusammenveranlagt werden, bis zu 20 000 000 Euro betragen.</w:t>
      </w:r>
    </w:p>
    <w:p>
      <w:r>
        <w:t xml:space="preserve">(4) </w:t>
      </w:r>
      <w:r>
        <w:rPr>
          <w:rStyle w:val="Satznummer"/>
        </w:rPr>
        <w:t>1</w:t>
      </w:r>
      <w:r>
        <w:t xml:space="preserve">Führt die Herabsetzung von Vorauszahlungen für den Veranlagungszeitraum 2019 auf Grund eines voraussichtlich erwarteten Verlustrücktrags für 2020 zu einer Nachzahlung bei der Steuerfestsetzung für den Veranlagungszeitraum 2019, so wird diese auf Antrag des Steuerpflichtigen bis zum Ablauf eines Monats nach Bekanntgabe der Steuerfestsetzung für den Veranlagungszeitraum 2020 gestundet. </w:t>
      </w:r>
      <w:r>
        <w:rPr>
          <w:rStyle w:val="Satznummer"/>
        </w:rPr>
        <w:t>2</w:t>
      </w:r>
      <w:r>
        <w:t>Stundungszinsen werden nicht erhoben.</w:t>
      </w:r>
    </w:p>
    <w:p>
      <w:r>
        <w:t>(5) Für den Veranlagungszeitraum 2020 ist bei Anwendung von Absatz 1 oder 2 eine Einkommensteuererklärung abzugeben.</w:t>
      </w:r>
    </w:p>
    <w:p>
      <w:r>
        <w:t xml:space="preserve">(6) </w:t>
      </w:r>
      <w:r>
        <w:rPr>
          <w:rStyle w:val="Satznummer"/>
        </w:rPr>
        <w:t>1</w:t>
      </w:r>
      <w:r>
        <w:t xml:space="preserve">Mit der Veranlagung für 2020 ist die Steuerfestsetzung für den Veranlagungszeitraum 2019 zu ändern; hierbei ist der bislang berücksichtigte vorläufige Verlustrücktrag für 2020 dem Gesamtbetrag der Einkünfte hinzuzurechnen. </w:t>
      </w:r>
      <w:r>
        <w:rPr>
          <w:rStyle w:val="Satznummer"/>
        </w:rPr>
        <w:t>2</w:t>
      </w:r>
      <w:r>
        <w:t xml:space="preserve">Dies gilt auch dann, wenn der Steuerbescheid für den Veranlagungszeitraum 2019 bestandskräftig geworden ist; die Festsetzungsfrist endet insoweit nicht, bevor die Festsetzungsfrist für den Veranlagungszeitraum 2020 abgelaufen ist. </w:t>
      </w:r>
      <w:r>
        <w:rPr>
          <w:rStyle w:val="Satznummer"/>
        </w:rPr>
        <w:t>3</w:t>
      </w:r>
      <w:r>
        <w:t>Soweit die Änderung der Steuerfestsetzung für den Veranlagungszeitraum 2019 auf der Hinzurechnung des vorläufigen Verlustrücktrags für 2020 beruht, ist § 233a Absatz 2a der Abgabenordnung entsprechend anzuwenden.</w:t>
      </w:r>
    </w:p>
    <w:p>
      <w:r>
        <w:t>(7) Die Absätze 1 bis 3 sind nicht anzuwenden, wenn die Veranlagung für den Veranlagungszeitraum 2020 vor der Veranlagung für den Veranlagungszeitraum 2019 durchgeführt wird.</w:t>
      </w:r>
    </w:p>
    <w:p>
      <w:r>
        <w:t xml:space="preserve">(8) </w:t>
      </w:r>
      <w:r>
        <w:rPr>
          <w:rStyle w:val="Satznummer"/>
        </w:rPr>
        <w:t>1</w:t>
      </w:r>
      <w:r>
        <w:t xml:space="preserve">Wird der Einkommensteuerbescheid für 2019 vor dem 1. April 2021 bestandskräftig, kann bis zum 17. April 2021 nachträglich ein erstmaliger oder geänderter Antrag auf Berücksichtigung des vorläufigen Verlustrücktrags für 2020 gestellt werden. </w:t>
      </w:r>
      <w:r>
        <w:rPr>
          <w:rStyle w:val="Satznummer"/>
        </w:rPr>
        <w:t>2</w:t>
      </w:r>
      <w:r>
        <w:t>Der Einkommensteuerbescheid für 2019 ist insoweit zu ändern.</w:t>
      </w:r>
    </w:p>
    <w:p>
      <w:r>
        <w:t>(9) Die Absätze 1 bis 7 gelten für die Steuerfestsetzung für den Veranlagungszeitraum 2020 und die Berücksichtigung des Verlustrücktrags für 2021 entsprechend.</w:t>
      </w:r>
    </w:p>
    <w:p>
      <w:pPr>
        <w:pStyle w:val="Heading1"/>
      </w:pPr>
      <w:bookmarkStart w:id="276" w:name="b275"/>
      <w:r>
        <w:t>XV. Energiepreispauschale</w:t>
      </w:r>
      <w:bookmarkEnd w:id="276"/>
    </w:p>
    <w:p>
      <w:pPr>
        <w:pStyle w:val="Heading2"/>
      </w:pPr>
      <w:bookmarkStart w:id="277" w:name="b276"/>
      <w:r>
        <w:t>§ 112 Veranlagungszeitraum, Höhe</w:t>
      </w:r>
      <w:r>
        <w:t xml:space="preserve"> </w:t>
      </w:r>
      <w:r>
        <w:rPr>
          <w:rStyle w:val="Suchmarke"/>
        </w:rPr>
        <w:t>#112#</w:t>
      </w:r>
      <w:bookmarkEnd w:id="277"/>
    </w:p>
    <w:p>
      <w:r>
        <w:t>(1) Für den Veranlagungszeitraum 2022 wird Anspruchsberechtigten eine einmalige steuerpflichtige Energiepreispauschale gewährt.</w:t>
      </w:r>
    </w:p>
    <w:p>
      <w:r>
        <w:t>(2) Die Höhe der Energiepreispauschale beträgt 300 Euro.</w:t>
      </w:r>
    </w:p>
    <w:p>
      <w:pPr>
        <w:pStyle w:val="Heading2"/>
      </w:pPr>
      <w:bookmarkStart w:id="278" w:name="b277"/>
      <w:r>
        <w:t>§ 113 Anspruchsberechtigung</w:t>
      </w:r>
      <w:r>
        <w:t xml:space="preserve"> </w:t>
      </w:r>
      <w:r>
        <w:rPr>
          <w:rStyle w:val="Suchmarke"/>
        </w:rPr>
        <w:t>#113#</w:t>
      </w:r>
      <w:bookmarkEnd w:id="278"/>
    </w:p>
    <w:p>
      <w:r>
        <w:t xml:space="preserve">Unbeschränkt Steuerpflichtige nach </w:t>
      </w:r>
      <w:hyperlink w:anchor="b1" w:history="1">
        <w:r>
          <w:rPr>
            <w:color w:val="0A3A8C"/>
            <w:u w:val="single"/>
          </w:rPr>
          <w:t xml:space="preserve">§ 1</w:t>
        </w:r>
      </w:hyperlink>
      <w:r>
        <w:t xml:space="preserve"> Absatz 1, die im Veranlagungszeitraum 2022 Einkünfte aus </w:t>
      </w:r>
      <w:hyperlink w:anchor="b69" w:history="1">
        <w:r>
          <w:rPr>
            <w:color w:val="0A3A8C"/>
            <w:u w:val="single"/>
          </w:rPr>
          <w:t xml:space="preserve">§ 13</w:t>
        </w:r>
      </w:hyperlink>
      <w:r>
        <w:t xml:space="preserve">, </w:t>
      </w:r>
      <w:hyperlink w:anchor="b75" w:history="1">
        <w:r>
          <w:rPr>
            <w:color w:val="0A3A8C"/>
            <w:u w:val="single"/>
          </w:rPr>
          <w:t xml:space="preserve">§ 15</w:t>
        </w:r>
      </w:hyperlink>
      <w:r>
        <w:t xml:space="preserve">, </w:t>
      </w:r>
      <w:hyperlink w:anchor="b81" w:history="1">
        <w:r>
          <w:rPr>
            <w:color w:val="0A3A8C"/>
            <w:u w:val="single"/>
          </w:rPr>
          <w:t xml:space="preserve">§ 18</w:t>
        </w:r>
      </w:hyperlink>
      <w:r>
        <w:t xml:space="preserve"> oder </w:t>
      </w:r>
      <w:hyperlink w:anchor="b83" w:history="1">
        <w:r>
          <w:rPr>
            <w:color w:val="0A3A8C"/>
            <w:u w:val="single"/>
          </w:rPr>
          <w:t xml:space="preserve">§ 19</w:t>
        </w:r>
      </w:hyperlink>
      <w:r>
        <w:t xml:space="preserve"> Absatz 1 Satz 1 Nummer 1 erzielen, haben Anspruch auf eine Energiepreispauschale.</w:t>
      </w:r>
    </w:p>
    <w:p>
      <w:pPr>
        <w:pStyle w:val="Heading2"/>
      </w:pPr>
      <w:bookmarkStart w:id="279" w:name="b278"/>
      <w:r>
        <w:t>§ 114 Entstehung des Anspruchs</w:t>
      </w:r>
      <w:r>
        <w:t xml:space="preserve"> </w:t>
      </w:r>
      <w:r>
        <w:rPr>
          <w:rStyle w:val="Suchmarke"/>
        </w:rPr>
        <w:t>#114#</w:t>
      </w:r>
      <w:bookmarkEnd w:id="279"/>
    </w:p>
    <w:p>
      <w:r>
        <w:t>Der Anspruch auf die Energiepreispauschale entsteht am 1. September 2022.</w:t>
      </w:r>
    </w:p>
    <w:p>
      <w:pPr>
        <w:pStyle w:val="Heading2"/>
      </w:pPr>
      <w:bookmarkStart w:id="280" w:name="b279"/>
      <w:r>
        <w:t>§ 115 Festsetzung mit der Einkommensteuerveranlagung</w:t>
      </w:r>
      <w:r>
        <w:t xml:space="preserve"> </w:t>
      </w:r>
      <w:r>
        <w:rPr>
          <w:rStyle w:val="Suchmarke"/>
        </w:rPr>
        <w:t>#115#</w:t>
      </w:r>
      <w:bookmarkEnd w:id="280"/>
    </w:p>
    <w:p>
      <w:r>
        <w:t>(1) Die Energiepreispauschale wird mit der Einkommensteuerveranlagung für den Veranlagungszeitraum 2022 festgesetzt.</w:t>
      </w:r>
    </w:p>
    <w:p>
      <w:r>
        <w:t>(2) Absatz 1 gilt nicht, wenn die Energiepreispauschale nach § 117 vom Arbeitgeber ausgezahlt wurde.</w:t>
      </w:r>
    </w:p>
    <w:p>
      <w:pPr>
        <w:pStyle w:val="Heading2"/>
      </w:pPr>
      <w:bookmarkStart w:id="281" w:name="b280"/>
      <w:r>
        <w:t>§ 116 Anrechnung auf die Einkommensteuer</w:t>
      </w:r>
      <w:r>
        <w:t xml:space="preserve"> </w:t>
      </w:r>
      <w:r>
        <w:rPr>
          <w:rStyle w:val="Suchmarke"/>
        </w:rPr>
        <w:t>#116#</w:t>
      </w:r>
      <w:bookmarkEnd w:id="281"/>
    </w:p>
    <w:p>
      <w:r>
        <w:t xml:space="preserve">(1) </w:t>
      </w:r>
      <w:r>
        <w:rPr>
          <w:rStyle w:val="Satznummer"/>
        </w:rPr>
        <w:t>1</w:t>
      </w:r>
      <w:r>
        <w:t xml:space="preserve">Eine nach </w:t>
      </w:r>
      <w:hyperlink w:anchor="b279" w:history="1">
        <w:r>
          <w:rPr>
            <w:color w:val="0A3A8C"/>
            <w:u w:val="single"/>
          </w:rPr>
          <w:t xml:space="preserve">§ 115</w:t>
        </w:r>
      </w:hyperlink>
      <w:r>
        <w:t xml:space="preserve"> Absatz 1 festgesetzte Energiepreispauschale ist auf die festgesetzte Einkommensteuer anzurechnen. </w:t>
      </w:r>
      <w:r>
        <w:rPr>
          <w:rStyle w:val="Satznummer"/>
        </w:rPr>
        <w:t>2</w:t>
      </w:r>
      <w:r>
        <w:t>Die festgesetzte Energiepreispauschale ist bei der Ermittlung des Unterschiedsbetrages nach § 233a Absatz 3 Satz 1 der Abgabenordnung entsprechend zu berücksichtigen.</w:t>
      </w:r>
    </w:p>
    <w:p>
      <w:r>
        <w:t>(2) Ergibt sich nach der Anrechnung nach Absatz 1 ein Erstattungsbetrag, so wird dieser dem Anspruchsberechtigten ausgezahlt.</w:t>
      </w:r>
    </w:p>
    <w:p>
      <w:pPr>
        <w:pStyle w:val="Heading2"/>
      </w:pPr>
      <w:bookmarkStart w:id="282" w:name="b281"/>
      <w:r>
        <w:t>§ 117 Auszahlung an Arbeitnehmer</w:t>
      </w:r>
      <w:r>
        <w:t xml:space="preserve"> </w:t>
      </w:r>
      <w:r>
        <w:rPr>
          <w:rStyle w:val="Suchmarke"/>
        </w:rPr>
        <w:t>#117#</w:t>
      </w:r>
      <w:bookmarkEnd w:id="282"/>
    </w:p>
    <w:p>
      <w:r>
        <w:t xml:space="preserve">(1) </w:t>
      </w:r>
      <w:r>
        <w:rPr>
          <w:rStyle w:val="Satznummer"/>
        </w:rPr>
        <w:t>1</w:t>
      </w:r>
      <w:r>
        <w:t>Arbeitnehmer erhalten die Energiepreispauschale vom Arbeitgeber, wenn sie am 1. September 2022</w:t>
      </w:r>
    </w:p>
    <w:p>
      <w:pPr>
        <w:tabs>
          <w:tab w:pos="567" w:val="left"/>
        </w:tabs>
        <w:ind w:left="567" w:hanging="567"/>
      </w:pPr>
      <w:r>
        <w:t>1.</w:t>
      </w:r>
      <w:r>
        <w:tab/>
      </w:r>
      <w:r>
        <w:t>in einem gegenwärtigen ersten Dienstverhältnis stehen und</w:t>
      </w:r>
    </w:p>
    <w:p>
      <w:pPr>
        <w:tabs>
          <w:tab w:pos="567" w:val="left"/>
        </w:tabs>
        <w:ind w:left="567" w:hanging="567"/>
      </w:pPr>
      <w:r>
        <w:t>2.</w:t>
      </w:r>
      <w:r>
        <w:tab/>
      </w:r>
      <w:r>
        <w:t xml:space="preserve">in eine der Steuerklassen 1 bis 5 eingereiht sind oder nach </w:t>
      </w:r>
      <w:hyperlink w:anchor="b155" w:history="1">
        <w:r>
          <w:rPr>
            <w:color w:val="0A3A8C"/>
            <w:u w:val="single"/>
          </w:rPr>
          <w:t xml:space="preserve">§ 40a</w:t>
        </w:r>
      </w:hyperlink>
      <w:r>
        <w:t xml:space="preserve"> Absatz 2 pauschal besteuerten Arbeitslohn beziehen.</w:t>
      </w:r>
    </w:p>
    <w:p>
      <w:r>
        <w:rPr>
          <w:rStyle w:val="Satznummer"/>
        </w:rPr>
        <w:t>2</w:t>
      </w:r>
      <w:r>
        <w:t xml:space="preserve">Satz 1 gilt nicht, wenn der Arbeitgeber keine Lohnsteuer-Anmeldung abgibt. </w:t>
      </w:r>
      <w:r>
        <w:rPr>
          <w:rStyle w:val="Satznummer"/>
        </w:rPr>
        <w:t>3</w:t>
      </w:r>
      <w:r>
        <w:t xml:space="preserve">Satz 1 gilt in den Fällen der Pauschalbesteuerung nach </w:t>
      </w:r>
      <w:hyperlink w:anchor="b155" w:history="1">
        <w:r>
          <w:rPr>
            <w:color w:val="0A3A8C"/>
            <w:u w:val="single"/>
          </w:rPr>
          <w:t xml:space="preserve">§ 40a</w:t>
        </w:r>
      </w:hyperlink>
      <w:r>
        <w:t xml:space="preserve"> Absatz 2 nur, wenn der Arbeitnehmer dem Arbeitgeber schriftlich bestätigt hat, dass es sich um das erste Dienstverhältnis handelt.</w:t>
      </w:r>
    </w:p>
    <w:p>
      <w:r>
        <w:t xml:space="preserve">(2) </w:t>
      </w:r>
      <w:r>
        <w:rPr>
          <w:rStyle w:val="Satznummer"/>
        </w:rPr>
        <w:t>1</w:t>
      </w:r>
      <w:r>
        <w:t xml:space="preserve">Arbeitgeber im Sinne des </w:t>
      </w:r>
      <w:hyperlink w:anchor="b144" w:history="1">
        <w:r>
          <w:rPr>
            <w:color w:val="0A3A8C"/>
            <w:u w:val="single"/>
          </w:rPr>
          <w:t xml:space="preserve">§ 38</w:t>
        </w:r>
      </w:hyperlink>
      <w:r>
        <w:t xml:space="preserve"> Absatz 1 haben an Arbeitnehmer im Sinne des Absatzes 1 Satz 1 die Energiepreispauschale im September 2022 auszuzahlen. </w:t>
      </w:r>
      <w:r>
        <w:rPr>
          <w:rStyle w:val="Satznummer"/>
        </w:rPr>
        <w:t>2</w:t>
      </w:r>
      <w:r>
        <w:t>Die Arbeitgeber haben hierbei die Energiepreispauschale gesondert vom Gesamtbetrag der einzubehaltenden Lohnsteuer zu entnehmen, die</w:t>
      </w:r>
    </w:p>
    <w:p>
      <w:pPr>
        <w:tabs>
          <w:tab w:pos="567" w:val="left"/>
        </w:tabs>
        <w:ind w:left="567" w:hanging="567"/>
      </w:pPr>
      <w:r>
        <w:t>1.</w:t>
      </w:r>
      <w:r>
        <w:tab/>
      </w:r>
      <w:r>
        <w:t xml:space="preserve">in den Fällen des </w:t>
      </w:r>
      <w:hyperlink w:anchor="b158" w:history="1">
        <w:r>
          <w:rPr>
            <w:color w:val="0A3A8C"/>
            <w:u w:val="single"/>
          </w:rPr>
          <w:t xml:space="preserve">§ 41a</w:t>
        </w:r>
      </w:hyperlink>
      <w:r>
        <w:t xml:space="preserve"> Absatz 2 Satz 1 bis zum 10. September 2022,</w:t>
      </w:r>
    </w:p>
    <w:p>
      <w:pPr>
        <w:tabs>
          <w:tab w:pos="567" w:val="left"/>
        </w:tabs>
        <w:ind w:left="567" w:hanging="567"/>
      </w:pPr>
      <w:r>
        <w:t>2.</w:t>
      </w:r>
      <w:r>
        <w:tab/>
      </w:r>
      <w:r>
        <w:t xml:space="preserve">in den Fällen des </w:t>
      </w:r>
      <w:hyperlink w:anchor="b158" w:history="1">
        <w:r>
          <w:rPr>
            <w:color w:val="0A3A8C"/>
            <w:u w:val="single"/>
          </w:rPr>
          <w:t xml:space="preserve">§ 41a</w:t>
        </w:r>
      </w:hyperlink>
      <w:r>
        <w:t xml:space="preserve"> Absatz 2 Satz 2 Halbsatz 1 bis zum 10. Oktober 2022 und</w:t>
      </w:r>
    </w:p>
    <w:p>
      <w:pPr>
        <w:tabs>
          <w:tab w:pos="567" w:val="left"/>
        </w:tabs>
        <w:ind w:left="567" w:hanging="567"/>
      </w:pPr>
      <w:r>
        <w:t>3.</w:t>
      </w:r>
      <w:r>
        <w:tab/>
      </w:r>
      <w:r>
        <w:t xml:space="preserve">in den Fällen des </w:t>
      </w:r>
      <w:hyperlink w:anchor="b158" w:history="1">
        <w:r>
          <w:rPr>
            <w:color w:val="0A3A8C"/>
            <w:u w:val="single"/>
          </w:rPr>
          <w:t xml:space="preserve">§ 41a</w:t>
        </w:r>
      </w:hyperlink>
      <w:r>
        <w:t xml:space="preserve"> Absatz 2 Satz 2 Halbsatz 2 bis zum 10. Januar 2023</w:t>
      </w:r>
    </w:p>
    <w:p>
      <w:r>
        <w:t xml:space="preserve">anzumelden und abzuführen ist. </w:t>
      </w:r>
      <w:r>
        <w:rPr>
          <w:rStyle w:val="Satznummer"/>
        </w:rPr>
        <w:t>3</w:t>
      </w:r>
      <w:r>
        <w:t>Übersteigt die insgesamt zu gewährende Energiepreispauschale den Betrag, der insgesamt an Lohnsteuer abzuführen ist, wird der übersteigende Betrag dem Arbeitgeber von dem Finanzamt, an das die Lohnsteuer abzuführen ist, aus den Einnahmen der Lohnsteuer ersetzt.</w:t>
      </w:r>
    </w:p>
    <w:p>
      <w:r>
        <w:t xml:space="preserve">(3) </w:t>
      </w:r>
      <w:r>
        <w:rPr>
          <w:rStyle w:val="Satznummer"/>
        </w:rPr>
        <w:t>1</w:t>
      </w:r>
      <w:r>
        <w:t xml:space="preserve">Der Arbeitgeber kann in den Fällen des </w:t>
      </w:r>
      <w:hyperlink w:anchor="b158" w:history="1">
        <w:r>
          <w:rPr>
            <w:color w:val="0A3A8C"/>
            <w:u w:val="single"/>
          </w:rPr>
          <w:t xml:space="preserve">§ 41a</w:t>
        </w:r>
      </w:hyperlink>
      <w:r>
        <w:t xml:space="preserve"> Absatz 2 Satz 2 Halbsatz 1 die Energiepreispauschale an den Arbeitnehmer abweichend von Absatz 2 Satz 1 im Oktober 2022 auszahlen. </w:t>
      </w:r>
      <w:r>
        <w:rPr>
          <w:rStyle w:val="Satznummer"/>
        </w:rPr>
        <w:t>2</w:t>
      </w:r>
      <w:r>
        <w:t xml:space="preserve">Absatz 2 Satz 2 und 3 bleibt hiervon unberührt. </w:t>
      </w:r>
      <w:r>
        <w:rPr>
          <w:rStyle w:val="Satznummer"/>
        </w:rPr>
        <w:t>3</w:t>
      </w:r>
      <w:r>
        <w:t xml:space="preserve">Der Arbeitgeber kann in den Fällen des </w:t>
      </w:r>
      <w:hyperlink w:anchor="b158" w:history="1">
        <w:r>
          <w:rPr>
            <w:color w:val="0A3A8C"/>
            <w:u w:val="single"/>
          </w:rPr>
          <w:t xml:space="preserve">§ 41a</w:t>
        </w:r>
      </w:hyperlink>
      <w:r>
        <w:t xml:space="preserve"> Absatz 2 Satz 2 Halbsatz 2 auf die Auszahlung an den Arbeitnehmer verzichten.</w:t>
      </w:r>
    </w:p>
    <w:p>
      <w:r>
        <w:t>(4) Eine vom Arbeitgeber ausgezahlte Energiepreispauschale ist in der elektronischen Lohnsteuerbescheinigung (</w:t>
      </w:r>
      <w:hyperlink w:anchor="b159" w:history="1">
        <w:r>
          <w:rPr>
            <w:color w:val="0A3A8C"/>
            <w:u w:val="single"/>
          </w:rPr>
          <w:t xml:space="preserve">§ 41b</w:t>
        </w:r>
      </w:hyperlink>
      <w:r>
        <w:t xml:space="preserve"> Absatz 1 Satz 2) mit dem Großbuchstaben E anzugeben.</w:t>
      </w:r>
    </w:p>
    <w:p>
      <w:pPr>
        <w:pStyle w:val="Heading2"/>
      </w:pPr>
      <w:bookmarkStart w:id="283" w:name="b282"/>
      <w:r>
        <w:t>§ 118 Energiepreispauschale im Einkommensteuer-Vorauszahlungsverfahren</w:t>
      </w:r>
      <w:r>
        <w:t xml:space="preserve"> </w:t>
      </w:r>
      <w:r>
        <w:rPr>
          <w:rStyle w:val="Suchmarke"/>
        </w:rPr>
        <w:t>#118#</w:t>
      </w:r>
      <w:bookmarkEnd w:id="283"/>
    </w:p>
    <w:p>
      <w:r>
        <w:t xml:space="preserve">(1) </w:t>
      </w:r>
      <w:r>
        <w:rPr>
          <w:rStyle w:val="Satznummer"/>
        </w:rPr>
        <w:t>1</w:t>
      </w:r>
      <w:r>
        <w:t xml:space="preserve">Ist eine Einkommensteuer-Vorauszahlung auch für Einkünfte aus </w:t>
      </w:r>
      <w:hyperlink w:anchor="b69" w:history="1">
        <w:r>
          <w:rPr>
            <w:color w:val="0A3A8C"/>
            <w:u w:val="single"/>
          </w:rPr>
          <w:t xml:space="preserve">§ 13</w:t>
        </w:r>
      </w:hyperlink>
      <w:r>
        <w:t xml:space="preserve">, </w:t>
      </w:r>
      <w:hyperlink w:anchor="b75" w:history="1">
        <w:r>
          <w:rPr>
            <w:color w:val="0A3A8C"/>
            <w:u w:val="single"/>
          </w:rPr>
          <w:t xml:space="preserve">§ 15</w:t>
        </w:r>
      </w:hyperlink>
      <w:r>
        <w:t xml:space="preserve"> oder </w:t>
      </w:r>
      <w:hyperlink w:anchor="b81" w:history="1">
        <w:r>
          <w:rPr>
            <w:color w:val="0A3A8C"/>
            <w:u w:val="single"/>
          </w:rPr>
          <w:t xml:space="preserve">§ 18</w:t>
        </w:r>
      </w:hyperlink>
      <w:r>
        <w:t xml:space="preserve"> für den 10. September 2022 festgesetzt worden, dann ist diese Festsetzung um die Energiepreispauschale zu mindern. </w:t>
      </w:r>
      <w:r>
        <w:rPr>
          <w:rStyle w:val="Satznummer"/>
        </w:rPr>
        <w:t>2</w:t>
      </w:r>
      <w:r>
        <w:t>Betragen die für den 10. September 2022 festgesetzten Vorauszahlungen weniger als 300 Euro, so mindert die Energiepreispauschale die Vorauszahlung auf 0 Euro.</w:t>
      </w:r>
    </w:p>
    <w:p>
      <w:r>
        <w:t xml:space="preserve">(2) </w:t>
      </w:r>
      <w:r>
        <w:rPr>
          <w:rStyle w:val="Satznummer"/>
        </w:rPr>
        <w:t>1</w:t>
      </w:r>
      <w:r>
        <w:t xml:space="preserve">Die Minderung der Einkommensteuer-Vorauszahlung für den 10. September 2022 nach Absatz 1 hat durch Allgemeinverfügung nach § 118 Satz 2 der Abgabenordnung oder durch geänderten Vorauszahlungsbescheid zu erfolgen. </w:t>
      </w:r>
      <w:r>
        <w:rPr>
          <w:rStyle w:val="Satznummer"/>
        </w:rPr>
        <w:t>2</w:t>
      </w:r>
      <w:r>
        <w:t xml:space="preserve">Sachlich zuständig für den Erlass der Allgemeinverfügung ist jeweils die oberste Landesfinanzbehörde. </w:t>
      </w:r>
      <w:r>
        <w:rPr>
          <w:rStyle w:val="Satznummer"/>
        </w:rPr>
        <w:t>3</w:t>
      </w:r>
      <w:r>
        <w:t xml:space="preserve">Die Allgemeinverfügung ist im Bundessteuerblatt und auf den Internetseiten des Bundesministeriums der Finanzen zu veröffentlichen. </w:t>
      </w:r>
      <w:r>
        <w:rPr>
          <w:rStyle w:val="Satznummer"/>
        </w:rPr>
        <w:t>4</w:t>
      </w:r>
      <w:r>
        <w:t xml:space="preserve">Sie gilt am Tag nach der Herausgabe des Bundessteuerblattes, in dem sie veröffentlicht wird, als bekannt gegeben. </w:t>
      </w:r>
      <w:r>
        <w:rPr>
          <w:rStyle w:val="Satznummer"/>
        </w:rPr>
        <w:t>5</w:t>
      </w:r>
      <w:r>
        <w:t xml:space="preserve">Abweichend von § 47 Absatz 1 der Finanzgerichtsordnung endet die Klagefrist mit Ablauf von drei Monaten nach dem Tag der Bekanntgabe der Allgemeinverfügung. </w:t>
      </w:r>
      <w:r>
        <w:rPr>
          <w:rStyle w:val="Satznummer"/>
        </w:rPr>
        <w:t>6</w:t>
      </w:r>
      <w:r>
        <w:t>Die Klage ist nur gegen die oberste Finanzbehörde zu richten, die die Allgemeinverfügung erlassen hat.</w:t>
      </w:r>
    </w:p>
    <w:p>
      <w:pPr>
        <w:pStyle w:val="Heading2"/>
      </w:pPr>
      <w:bookmarkStart w:id="284" w:name="b283"/>
      <w:r>
        <w:t>§ 119 Steuerpflicht</w:t>
      </w:r>
      <w:r>
        <w:t xml:space="preserve"> </w:t>
      </w:r>
      <w:r>
        <w:rPr>
          <w:rStyle w:val="Suchmarke"/>
        </w:rPr>
        <w:t>#119#</w:t>
      </w:r>
      <w:bookmarkEnd w:id="284"/>
    </w:p>
    <w:p>
      <w:r>
        <w:t xml:space="preserve">(1) </w:t>
      </w:r>
      <w:r>
        <w:rPr>
          <w:rStyle w:val="Satznummer"/>
        </w:rPr>
        <w:t>1</w:t>
      </w:r>
      <w:r>
        <w:t xml:space="preserve">Bei Anspruchsberechtigten, die im Veranlagungszeitraum 2022 Einkünfte aus nichtselbständiger Arbeit erzielt haben, ist die Energiepreispauschale stets als Einnahme nach </w:t>
      </w:r>
      <w:hyperlink w:anchor="b83" w:history="1">
        <w:r>
          <w:rPr>
            <w:color w:val="0A3A8C"/>
            <w:u w:val="single"/>
          </w:rPr>
          <w:t xml:space="preserve">§ 19</w:t>
        </w:r>
      </w:hyperlink>
      <w:r>
        <w:t xml:space="preserve"> Absatz 1 Satz 1 Nummer 1 für den Veranlagungszeitraum 2022 zu berücksichtigen. </w:t>
      </w:r>
      <w:r>
        <w:rPr>
          <w:rStyle w:val="Satznummer"/>
        </w:rPr>
        <w:t>2</w:t>
      </w:r>
      <w:r>
        <w:t xml:space="preserve">Dies gilt nicht für pauschal besteuerten Arbeitslohn nach </w:t>
      </w:r>
      <w:hyperlink w:anchor="b155" w:history="1">
        <w:r>
          <w:rPr>
            <w:color w:val="0A3A8C"/>
            <w:u w:val="single"/>
          </w:rPr>
          <w:t xml:space="preserve">§ 40a</w:t>
        </w:r>
      </w:hyperlink>
      <w:r>
        <w:t xml:space="preserve">. </w:t>
      </w:r>
      <w:r>
        <w:rPr>
          <w:rStyle w:val="Satznummer"/>
        </w:rPr>
        <w:t>3</w:t>
      </w:r>
      <w:r>
        <w:t>Im Lohnsteuerabzugsverfahren ist die Energiepreispauschale bei der Berechnung einer Vorsorgepauschale nach § 39b Absatz 2 Satz 5 Nummer 3 Buchstabe a bis c nicht zu berücksichtigen.</w:t>
      </w:r>
    </w:p>
    <w:p>
      <w:r>
        <w:t xml:space="preserve">(2) </w:t>
      </w:r>
      <w:r>
        <w:rPr>
          <w:rStyle w:val="Satznummer"/>
        </w:rPr>
        <w:t>1</w:t>
      </w:r>
      <w:r>
        <w:t xml:space="preserve">Bei den übrigen Anspruchsberechtigten gilt die Energiepreispauschale stets als Einnahme nach </w:t>
      </w:r>
      <w:hyperlink w:anchor="b90" w:history="1">
        <w:r>
          <w:rPr>
            <w:color w:val="0A3A8C"/>
            <w:u w:val="single"/>
          </w:rPr>
          <w:t xml:space="preserve">§ 22</w:t>
        </w:r>
      </w:hyperlink>
      <w:r>
        <w:t xml:space="preserve"> Nummer 3 für den Veranlagungszeitraum 2022. </w:t>
      </w:r>
      <w:r>
        <w:rPr>
          <w:rStyle w:val="Satznummer"/>
        </w:rPr>
        <w:t>2</w:t>
      </w:r>
      <w:r>
        <w:t xml:space="preserve">Die Freigrenze nach </w:t>
      </w:r>
      <w:hyperlink w:anchor="b90" w:history="1">
        <w:r>
          <w:rPr>
            <w:color w:val="0A3A8C"/>
            <w:u w:val="single"/>
          </w:rPr>
          <w:t xml:space="preserve">§ 22</w:t>
        </w:r>
      </w:hyperlink>
      <w:r>
        <w:t xml:space="preserve"> Nummer 3 Satz 2 ist insoweit nicht anzuwenden.</w:t>
      </w:r>
    </w:p>
    <w:p>
      <w:pPr>
        <w:pStyle w:val="Heading2"/>
      </w:pPr>
      <w:bookmarkStart w:id="285" w:name="b284"/>
      <w:r>
        <w:t>§ 120 Anwendung der Abgabenordnung</w:t>
      </w:r>
      <w:r>
        <w:t xml:space="preserve"> </w:t>
      </w:r>
      <w:r>
        <w:rPr>
          <w:rStyle w:val="Suchmarke"/>
        </w:rPr>
        <w:t>#120#</w:t>
      </w:r>
      <w:bookmarkEnd w:id="285"/>
    </w:p>
    <w:p>
      <w:r>
        <w:t xml:space="preserve">(1) </w:t>
      </w:r>
      <w:r>
        <w:rPr>
          <w:rStyle w:val="Satznummer"/>
        </w:rPr>
        <w:t>1</w:t>
      </w:r>
      <w:r>
        <w:t xml:space="preserve">Auf die Energiepreispauschale sind die für Steuervergütungen geltenden Vorschriften der Abgabenordnung entsprechend anzuwenden. </w:t>
      </w:r>
      <w:r>
        <w:rPr>
          <w:rStyle w:val="Satznummer"/>
        </w:rPr>
        <w:t>2</w:t>
      </w:r>
      <w:r>
        <w:t>§ 163 der Abgabenordnung gilt nicht.</w:t>
      </w:r>
    </w:p>
    <w:p>
      <w:r>
        <w:t>(2) In öffentlich-rechtlichen Streitigkeiten über die zur Energiepreispauschale ergehenden Verwaltungsakte der Finanzbehörden ist der Finanzrechtsweg eröffnet.</w:t>
      </w:r>
    </w:p>
    <w:p>
      <w:pPr>
        <w:pStyle w:val="Heading2"/>
      </w:pPr>
      <w:bookmarkStart w:id="286" w:name="b285"/>
      <w:r>
        <w:t>§ 121 Anwendung von Straf- und Bußgeldvorschriften der Abgabenordnung</w:t>
      </w:r>
      <w:r>
        <w:t xml:space="preserve"> </w:t>
      </w:r>
      <w:r>
        <w:rPr>
          <w:rStyle w:val="Suchmarke"/>
        </w:rPr>
        <w:t>#121#</w:t>
      </w:r>
      <w:bookmarkEnd w:id="286"/>
    </w:p>
    <w:p>
      <w:r>
        <w:t>(1) Für die Energiepreispauschale gelten die Strafvorschriften des § 370 Absatz 1 bis 4 und 7, der §§ 371, 375 Absatz 1 und des § 376 der Abgabenordnung sowie die Bußgeldvorschriften der §§ 378 und 379 Absatz 1 und 4 sowie der §§ 383 und 384 der Abgabenordnung entsprechend.</w:t>
      </w:r>
    </w:p>
    <w:p>
      <w:r>
        <w:t>(2) Für das Strafverfahren wegen einer Straftat nach Absatz 1 sowie der Begünstigung einer Person, die eine solche Tat begangen hat, gelten die §§ 385 bis 408 der Abgabenordnung entsprechend.</w:t>
      </w:r>
    </w:p>
    <w:p>
      <w:r>
        <w:t>(3) Für das Bußgeldverfahren wegen einer Ordnungswidrigkeit nach Absatz 1 gelten die §§ 409 bis 412 der Abgabenordnung entsprechend.</w:t>
      </w:r>
    </w:p>
    <w:p>
      <w:pPr>
        <w:pStyle w:val="Heading2"/>
      </w:pPr>
      <w:bookmarkStart w:id="287" w:name="b286"/>
      <w:r>
        <w:t>§ 122 Nichtberücksichtigung als Einkommen bei Sozialleistungen, Unpfändbarkeit</w:t>
      </w:r>
      <w:r>
        <w:t xml:space="preserve"> </w:t>
      </w:r>
      <w:r>
        <w:rPr>
          <w:rStyle w:val="Suchmarke"/>
        </w:rPr>
        <w:t>#122#</w:t>
      </w:r>
      <w:bookmarkEnd w:id="287"/>
    </w:p>
    <w:p>
      <w:r>
        <w:rPr>
          <w:rStyle w:val="Satznummer"/>
        </w:rPr>
        <w:t>1</w:t>
      </w:r>
      <w:r>
        <w:t xml:space="preserve">Die Energiepreispauschale ist bei einkommensabhängigen Sozialleistungen nicht als Einkommen zu berücksichtigen. </w:t>
      </w:r>
      <w:r>
        <w:rPr>
          <w:rStyle w:val="Satznummer"/>
        </w:rPr>
        <w:t>2</w:t>
      </w:r>
      <w:r>
        <w:t xml:space="preserve">Die Energiepreispauschale ist in Höhe des in </w:t>
      </w:r>
      <w:hyperlink w:anchor="b276" w:history="1">
        <w:r>
          <w:rPr>
            <w:color w:val="0A3A8C"/>
            <w:u w:val="single"/>
          </w:rPr>
          <w:t xml:space="preserve">§ 112</w:t>
        </w:r>
      </w:hyperlink>
      <w:r>
        <w:t xml:space="preserve"> Absatz 2 genannten Betrages unpfändbar.</w:t>
      </w:r>
    </w:p>
    <w:p>
      <w:pPr>
        <w:pStyle w:val="Heading2"/>
      </w:pPr>
      <w:bookmarkStart w:id="288" w:name="b287"/>
      <w:r>
        <w:t>Anlage 1 (zu § 4d Absatz 1)Tabelle für die Errechnung des Deckungskapitals für lebenslänglich laufende Leistungen von Unterstützungskassen</w:t>
      </w:r>
      <w:bookmarkEnd w:id="288"/>
    </w:p>
    <w:p>
      <w:r>
        <w:rPr>
          <w:color w:val="404040"/>
          <w:sz w:val="21"/>
        </w:rPr>
        <w:t>(Fundstelle: BGBl. I 2009, 3530)</w:t>
      </w:r>
    </w:p>
    <w:tbl>
      <w:tblPr>
        <w:tblStyle w:val="TableGrid"/>
        <w:tblW w:type="pct" w:w="5000"/>
        <w:tblLook w:firstColumn="1" w:firstRow="1" w:lastColumn="0" w:lastRow="0" w:noHBand="0" w:noVBand="1" w:val="04A0"/>
        <w:tblCaption w:val="Tabelle 1 zu Anlage 1"/>
      </w:tblPr>
      <w:tblGrid>
        <w:gridCol w:w="2351"/>
        <w:gridCol w:w="2351"/>
        <w:gridCol w:w="2351"/>
        <w:gridCol w:w="2351"/>
      </w:tblGrid>
      <w:tr>
        <w:trPr>
          <w:cantSplit/>
          <w:tblHeader/>
        </w:trPr>
        <w:tc>
          <w:tcPr>
            <w:tcW w:type="dxa" w:w="4702"/>
            <w:gridSpan w:val="2"/>
            <w:vMerge w:val="restart"/>
          </w:tcPr>
          <w:p>
            <w:r>
              <w:rPr>
                <w:b/>
              </w:rPr>
              <w:t>Erreichtes Alter</w:t>
            </w:r>
            <w:r>
              <w:rPr>
                <w:b/>
              </w:rPr>
              <w:br/>
            </w:r>
            <w:r>
              <w:rPr>
                <w:b/>
              </w:rPr>
              <w:t>des Leistungs-</w:t>
            </w:r>
            <w:r>
              <w:rPr>
                <w:b/>
              </w:rPr>
              <w:br/>
            </w:r>
            <w:r>
              <w:rPr>
                <w:b/>
              </w:rPr>
              <w:t>empfängers (Jahre)</w:t>
            </w:r>
          </w:p>
        </w:tc>
        <w:tc>
          <w:tcPr>
            <w:tcW w:type="dxa" w:w="4702"/>
            <w:gridSpan w:val="2"/>
          </w:tcPr>
          <w:p>
            <w:r>
              <w:rPr>
                <w:b/>
              </w:rPr>
              <w:t>Die Jahresbeiträge der</w:t>
            </w:r>
            <w:r>
              <w:rPr>
                <w:b/>
              </w:rPr>
              <w:br/>
            </w:r>
            <w:r>
              <w:rPr>
                <w:b/>
              </w:rPr>
              <w:t>laufenden Leistungen sind zu</w:t>
            </w:r>
            <w:r>
              <w:rPr>
                <w:b/>
              </w:rPr>
              <w:br/>
            </w:r>
            <w:r>
              <w:rPr>
                <w:b/>
              </w:rPr>
              <w:t>vervielfachen bei Leistungen</w:t>
            </w:r>
          </w:p>
        </w:tc>
      </w:tr>
      <w:tr>
        <w:trPr>
          <w:cantSplit/>
          <w:tblHeader/>
        </w:trPr>
        <w:tc>
          <w:tcPr>
            <w:tcW w:type="dxa" w:w="4702"/>
            <w:gridSpan w:val="2"/>
            <w:vMerge/>
          </w:tcPr>
          <w:p/>
        </w:tc>
        <w:tc>
          <w:tcPr>
            <w:tcW w:type="dxa" w:w="2351"/>
          </w:tcPr>
          <w:p>
            <w:r>
              <w:rPr>
                <w:b/>
              </w:rPr>
              <w:t>an männliche</w:t>
            </w:r>
            <w:r>
              <w:rPr>
                <w:b/>
              </w:rPr>
              <w:br/>
            </w:r>
            <w:r>
              <w:rPr>
                <w:b/>
              </w:rPr>
              <w:t>Leistungs-</w:t>
            </w:r>
            <w:r>
              <w:rPr>
                <w:b/>
              </w:rPr>
              <w:br/>
            </w:r>
            <w:r>
              <w:rPr>
                <w:b/>
              </w:rPr>
              <w:t>empfänger mit</w:t>
            </w:r>
          </w:p>
        </w:tc>
        <w:tc>
          <w:tcPr>
            <w:tcW w:type="dxa" w:w="2351"/>
          </w:tcPr>
          <w:p>
            <w:r>
              <w:rPr>
                <w:b/>
              </w:rPr>
              <w:t>an weibliche</w:t>
            </w:r>
            <w:r>
              <w:rPr>
                <w:b/>
              </w:rPr>
              <w:br/>
            </w:r>
            <w:r>
              <w:rPr>
                <w:b/>
              </w:rPr>
              <w:t>Leistungs-</w:t>
            </w:r>
            <w:r>
              <w:rPr>
                <w:b/>
              </w:rPr>
              <w:br/>
            </w:r>
            <w:r>
              <w:rPr>
                <w:b/>
              </w:rPr>
              <w:t>empfänger mit</w:t>
            </w:r>
          </w:p>
        </w:tc>
      </w:tr>
      <w:tr>
        <w:trPr>
          <w:cantSplit/>
          <w:tblHeader/>
        </w:trPr>
        <w:tc>
          <w:tcPr>
            <w:tcW w:type="dxa" w:w="4702"/>
            <w:gridSpan w:val="2"/>
          </w:tcPr>
          <w:p>
            <w:r>
              <w:rPr>
                <w:b/>
              </w:rPr>
              <w:t>1</w:t>
            </w:r>
          </w:p>
        </w:tc>
        <w:tc>
          <w:tcPr>
            <w:tcW w:type="dxa" w:w="2351"/>
          </w:tcPr>
          <w:p>
            <w:r>
              <w:rPr>
                <w:b/>
              </w:rPr>
              <w:t>2</w:t>
            </w:r>
          </w:p>
        </w:tc>
        <w:tc>
          <w:tcPr>
            <w:tcW w:type="dxa" w:w="2351"/>
          </w:tcPr>
          <w:p>
            <w:r>
              <w:rPr>
                <w:b/>
              </w:rPr>
              <w:t>3</w:t>
            </w:r>
          </w:p>
        </w:tc>
      </w:tr>
      <w:tr>
        <w:trPr>
          <w:cantSplit/>
        </w:trPr>
        <w:tc>
          <w:tcPr>
            <w:tcW w:type="dxa" w:w="2351"/>
          </w:tcPr>
          <w:p>
            <w:r>
              <w:t>bis</w:t>
            </w:r>
          </w:p>
        </w:tc>
        <w:tc>
          <w:tcPr>
            <w:tcW w:type="dxa" w:w="2351"/>
          </w:tcPr>
          <w:p>
            <w:r>
              <w:t>26</w:t>
            </w:r>
          </w:p>
        </w:tc>
        <w:tc>
          <w:tcPr>
            <w:tcW w:type="dxa" w:w="2351"/>
          </w:tcPr>
          <w:p>
            <w:r>
              <w:t>11</w:t>
            </w:r>
          </w:p>
        </w:tc>
        <w:tc>
          <w:tcPr>
            <w:tcW w:type="dxa" w:w="2351"/>
          </w:tcPr>
          <w:p>
            <w:r>
              <w:t>17</w:t>
            </w:r>
          </w:p>
        </w:tc>
      </w:tr>
      <w:tr>
        <w:trPr>
          <w:cantSplit/>
        </w:trPr>
        <w:tc>
          <w:tcPr>
            <w:tcW w:type="dxa" w:w="2351"/>
          </w:tcPr>
          <w:p/>
        </w:tc>
        <w:tc>
          <w:tcPr>
            <w:tcW w:type="dxa" w:w="2351"/>
          </w:tcPr>
          <w:p>
            <w:r>
              <w:t>27 bis 29</w:t>
            </w:r>
          </w:p>
        </w:tc>
        <w:tc>
          <w:tcPr>
            <w:tcW w:type="dxa" w:w="2351"/>
          </w:tcPr>
          <w:p>
            <w:r>
              <w:t>12</w:t>
            </w:r>
          </w:p>
        </w:tc>
        <w:tc>
          <w:tcPr>
            <w:tcW w:type="dxa" w:w="2351"/>
          </w:tcPr>
          <w:p>
            <w:r>
              <w:t>17</w:t>
            </w:r>
          </w:p>
        </w:tc>
      </w:tr>
      <w:tr>
        <w:trPr>
          <w:cantSplit/>
        </w:trPr>
        <w:tc>
          <w:tcPr>
            <w:tcW w:type="dxa" w:w="2351"/>
          </w:tcPr>
          <w:p/>
        </w:tc>
        <w:tc>
          <w:tcPr>
            <w:tcW w:type="dxa" w:w="2351"/>
          </w:tcPr>
          <w:p>
            <w:r>
              <w:t>30</w:t>
            </w:r>
          </w:p>
        </w:tc>
        <w:tc>
          <w:tcPr>
            <w:tcW w:type="dxa" w:w="2351"/>
          </w:tcPr>
          <w:p>
            <w:r>
              <w:t>13</w:t>
            </w:r>
          </w:p>
        </w:tc>
        <w:tc>
          <w:tcPr>
            <w:tcW w:type="dxa" w:w="2351"/>
          </w:tcPr>
          <w:p>
            <w:r>
              <w:t>17</w:t>
            </w:r>
          </w:p>
        </w:tc>
      </w:tr>
      <w:tr>
        <w:trPr>
          <w:cantSplit/>
        </w:trPr>
        <w:tc>
          <w:tcPr>
            <w:tcW w:type="dxa" w:w="2351"/>
          </w:tcPr>
          <w:p/>
        </w:tc>
        <w:tc>
          <w:tcPr>
            <w:tcW w:type="dxa" w:w="2351"/>
          </w:tcPr>
          <w:p>
            <w:r>
              <w:t>31 bis 35</w:t>
            </w:r>
          </w:p>
        </w:tc>
        <w:tc>
          <w:tcPr>
            <w:tcW w:type="dxa" w:w="2351"/>
          </w:tcPr>
          <w:p>
            <w:r>
              <w:t>13</w:t>
            </w:r>
          </w:p>
        </w:tc>
        <w:tc>
          <w:tcPr>
            <w:tcW w:type="dxa" w:w="2351"/>
          </w:tcPr>
          <w:p>
            <w:r>
              <w:t>16</w:t>
            </w:r>
          </w:p>
        </w:tc>
      </w:tr>
      <w:tr>
        <w:trPr>
          <w:cantSplit/>
        </w:trPr>
        <w:tc>
          <w:tcPr>
            <w:tcW w:type="dxa" w:w="2351"/>
          </w:tcPr>
          <w:p/>
        </w:tc>
        <w:tc>
          <w:tcPr>
            <w:tcW w:type="dxa" w:w="2351"/>
          </w:tcPr>
          <w:p>
            <w:r>
              <w:t>36 bis 39</w:t>
            </w:r>
          </w:p>
        </w:tc>
        <w:tc>
          <w:tcPr>
            <w:tcW w:type="dxa" w:w="2351"/>
          </w:tcPr>
          <w:p>
            <w:r>
              <w:t>14</w:t>
            </w:r>
          </w:p>
        </w:tc>
        <w:tc>
          <w:tcPr>
            <w:tcW w:type="dxa" w:w="2351"/>
          </w:tcPr>
          <w:p>
            <w:r>
              <w:t>16</w:t>
            </w:r>
          </w:p>
        </w:tc>
      </w:tr>
      <w:tr>
        <w:trPr>
          <w:cantSplit/>
        </w:trPr>
        <w:tc>
          <w:tcPr>
            <w:tcW w:type="dxa" w:w="2351"/>
          </w:tcPr>
          <w:p/>
        </w:tc>
        <w:tc>
          <w:tcPr>
            <w:tcW w:type="dxa" w:w="2351"/>
          </w:tcPr>
          <w:p>
            <w:r>
              <w:t>40 bis 46</w:t>
            </w:r>
          </w:p>
        </w:tc>
        <w:tc>
          <w:tcPr>
            <w:tcW w:type="dxa" w:w="2351"/>
          </w:tcPr>
          <w:p>
            <w:r>
              <w:t>14</w:t>
            </w:r>
          </w:p>
        </w:tc>
        <w:tc>
          <w:tcPr>
            <w:tcW w:type="dxa" w:w="2351"/>
          </w:tcPr>
          <w:p>
            <w:r>
              <w:t>15</w:t>
            </w:r>
          </w:p>
        </w:tc>
      </w:tr>
      <w:tr>
        <w:trPr>
          <w:cantSplit/>
        </w:trPr>
        <w:tc>
          <w:tcPr>
            <w:tcW w:type="dxa" w:w="2351"/>
          </w:tcPr>
          <w:p/>
        </w:tc>
        <w:tc>
          <w:tcPr>
            <w:tcW w:type="dxa" w:w="2351"/>
          </w:tcPr>
          <w:p>
            <w:r>
              <w:t>47 und 48</w:t>
            </w:r>
          </w:p>
        </w:tc>
        <w:tc>
          <w:tcPr>
            <w:tcW w:type="dxa" w:w="2351"/>
          </w:tcPr>
          <w:p>
            <w:r>
              <w:t>14</w:t>
            </w:r>
          </w:p>
        </w:tc>
        <w:tc>
          <w:tcPr>
            <w:tcW w:type="dxa" w:w="2351"/>
          </w:tcPr>
          <w:p>
            <w:r>
              <w:t>14</w:t>
            </w:r>
          </w:p>
        </w:tc>
      </w:tr>
      <w:tr>
        <w:trPr>
          <w:cantSplit/>
        </w:trPr>
        <w:tc>
          <w:tcPr>
            <w:tcW w:type="dxa" w:w="2351"/>
          </w:tcPr>
          <w:p/>
        </w:tc>
        <w:tc>
          <w:tcPr>
            <w:tcW w:type="dxa" w:w="2351"/>
          </w:tcPr>
          <w:p>
            <w:r>
              <w:t>49 bis 52</w:t>
            </w:r>
          </w:p>
        </w:tc>
        <w:tc>
          <w:tcPr>
            <w:tcW w:type="dxa" w:w="2351"/>
          </w:tcPr>
          <w:p>
            <w:r>
              <w:t>13</w:t>
            </w:r>
          </w:p>
        </w:tc>
        <w:tc>
          <w:tcPr>
            <w:tcW w:type="dxa" w:w="2351"/>
          </w:tcPr>
          <w:p>
            <w:r>
              <w:t>14</w:t>
            </w:r>
          </w:p>
        </w:tc>
      </w:tr>
      <w:tr>
        <w:trPr>
          <w:cantSplit/>
        </w:trPr>
        <w:tc>
          <w:tcPr>
            <w:tcW w:type="dxa" w:w="2351"/>
          </w:tcPr>
          <w:p/>
        </w:tc>
        <w:tc>
          <w:tcPr>
            <w:tcW w:type="dxa" w:w="2351"/>
          </w:tcPr>
          <w:p>
            <w:r>
              <w:t>53 bis 56</w:t>
            </w:r>
          </w:p>
        </w:tc>
        <w:tc>
          <w:tcPr>
            <w:tcW w:type="dxa" w:w="2351"/>
          </w:tcPr>
          <w:p>
            <w:r>
              <w:t>13</w:t>
            </w:r>
          </w:p>
        </w:tc>
        <w:tc>
          <w:tcPr>
            <w:tcW w:type="dxa" w:w="2351"/>
          </w:tcPr>
          <w:p>
            <w:r>
              <w:t>13</w:t>
            </w:r>
          </w:p>
        </w:tc>
      </w:tr>
      <w:tr>
        <w:trPr>
          <w:cantSplit/>
        </w:trPr>
        <w:tc>
          <w:tcPr>
            <w:tcW w:type="dxa" w:w="2351"/>
          </w:tcPr>
          <w:p/>
        </w:tc>
        <w:tc>
          <w:tcPr>
            <w:tcW w:type="dxa" w:w="2351"/>
          </w:tcPr>
          <w:p>
            <w:r>
              <w:t>57 und 58</w:t>
            </w:r>
          </w:p>
        </w:tc>
        <w:tc>
          <w:tcPr>
            <w:tcW w:type="dxa" w:w="2351"/>
          </w:tcPr>
          <w:p>
            <w:r>
              <w:t>13</w:t>
            </w:r>
          </w:p>
        </w:tc>
        <w:tc>
          <w:tcPr>
            <w:tcW w:type="dxa" w:w="2351"/>
          </w:tcPr>
          <w:p>
            <w:r>
              <w:t>12</w:t>
            </w:r>
          </w:p>
        </w:tc>
      </w:tr>
      <w:tr>
        <w:trPr>
          <w:cantSplit/>
        </w:trPr>
        <w:tc>
          <w:tcPr>
            <w:tcW w:type="dxa" w:w="2351"/>
          </w:tcPr>
          <w:p/>
        </w:tc>
        <w:tc>
          <w:tcPr>
            <w:tcW w:type="dxa" w:w="2351"/>
          </w:tcPr>
          <w:p>
            <w:r>
              <w:t>59 und 60</w:t>
            </w:r>
          </w:p>
        </w:tc>
        <w:tc>
          <w:tcPr>
            <w:tcW w:type="dxa" w:w="2351"/>
          </w:tcPr>
          <w:p>
            <w:r>
              <w:t>12</w:t>
            </w:r>
          </w:p>
        </w:tc>
        <w:tc>
          <w:tcPr>
            <w:tcW w:type="dxa" w:w="2351"/>
          </w:tcPr>
          <w:p>
            <w:r>
              <w:t>12</w:t>
            </w:r>
          </w:p>
        </w:tc>
      </w:tr>
      <w:tr>
        <w:trPr>
          <w:cantSplit/>
        </w:trPr>
        <w:tc>
          <w:tcPr>
            <w:tcW w:type="dxa" w:w="2351"/>
          </w:tcPr>
          <w:p/>
        </w:tc>
        <w:tc>
          <w:tcPr>
            <w:tcW w:type="dxa" w:w="2351"/>
          </w:tcPr>
          <w:p>
            <w:r>
              <w:t>61 bis 63</w:t>
            </w:r>
          </w:p>
        </w:tc>
        <w:tc>
          <w:tcPr>
            <w:tcW w:type="dxa" w:w="2351"/>
          </w:tcPr>
          <w:p>
            <w:r>
              <w:t>12</w:t>
            </w:r>
          </w:p>
        </w:tc>
        <w:tc>
          <w:tcPr>
            <w:tcW w:type="dxa" w:w="2351"/>
          </w:tcPr>
          <w:p>
            <w:r>
              <w:t>11</w:t>
            </w:r>
          </w:p>
        </w:tc>
      </w:tr>
      <w:tr>
        <w:trPr>
          <w:cantSplit/>
        </w:trPr>
        <w:tc>
          <w:tcPr>
            <w:tcW w:type="dxa" w:w="2351"/>
          </w:tcPr>
          <w:p/>
        </w:tc>
        <w:tc>
          <w:tcPr>
            <w:tcW w:type="dxa" w:w="2351"/>
          </w:tcPr>
          <w:p>
            <w:r>
              <w:t>64</w:t>
            </w:r>
          </w:p>
        </w:tc>
        <w:tc>
          <w:tcPr>
            <w:tcW w:type="dxa" w:w="2351"/>
          </w:tcPr>
          <w:p>
            <w:r>
              <w:t>11</w:t>
            </w:r>
          </w:p>
        </w:tc>
        <w:tc>
          <w:tcPr>
            <w:tcW w:type="dxa" w:w="2351"/>
          </w:tcPr>
          <w:p>
            <w:r>
              <w:t>11</w:t>
            </w:r>
          </w:p>
        </w:tc>
      </w:tr>
      <w:tr>
        <w:trPr>
          <w:cantSplit/>
        </w:trPr>
        <w:tc>
          <w:tcPr>
            <w:tcW w:type="dxa" w:w="2351"/>
          </w:tcPr>
          <w:p/>
        </w:tc>
        <w:tc>
          <w:tcPr>
            <w:tcW w:type="dxa" w:w="2351"/>
          </w:tcPr>
          <w:p>
            <w:r>
              <w:t>65 bis 67</w:t>
            </w:r>
          </w:p>
        </w:tc>
        <w:tc>
          <w:tcPr>
            <w:tcW w:type="dxa" w:w="2351"/>
          </w:tcPr>
          <w:p>
            <w:r>
              <w:t>11</w:t>
            </w:r>
          </w:p>
        </w:tc>
        <w:tc>
          <w:tcPr>
            <w:tcW w:type="dxa" w:w="2351"/>
          </w:tcPr>
          <w:p>
            <w:r>
              <w:t>10</w:t>
            </w:r>
          </w:p>
        </w:tc>
      </w:tr>
      <w:tr>
        <w:trPr>
          <w:cantSplit/>
        </w:trPr>
        <w:tc>
          <w:tcPr>
            <w:tcW w:type="dxa" w:w="2351"/>
          </w:tcPr>
          <w:p/>
        </w:tc>
        <w:tc>
          <w:tcPr>
            <w:tcW w:type="dxa" w:w="2351"/>
          </w:tcPr>
          <w:p>
            <w:r>
              <w:t>68 bis 71</w:t>
            </w:r>
          </w:p>
        </w:tc>
        <w:tc>
          <w:tcPr>
            <w:tcW w:type="dxa" w:w="2351"/>
          </w:tcPr>
          <w:p>
            <w:r>
              <w:t>10</w:t>
            </w:r>
          </w:p>
        </w:tc>
        <w:tc>
          <w:tcPr>
            <w:tcW w:type="dxa" w:w="2351"/>
          </w:tcPr>
          <w:p>
            <w:r>
              <w:t xml:space="preserve"> 9</w:t>
            </w:r>
          </w:p>
        </w:tc>
      </w:tr>
      <w:tr>
        <w:trPr>
          <w:cantSplit/>
        </w:trPr>
        <w:tc>
          <w:tcPr>
            <w:tcW w:type="dxa" w:w="2351"/>
          </w:tcPr>
          <w:p/>
        </w:tc>
        <w:tc>
          <w:tcPr>
            <w:tcW w:type="dxa" w:w="2351"/>
          </w:tcPr>
          <w:p>
            <w:r>
              <w:t>72 bis 74</w:t>
            </w:r>
          </w:p>
        </w:tc>
        <w:tc>
          <w:tcPr>
            <w:tcW w:type="dxa" w:w="2351"/>
          </w:tcPr>
          <w:p>
            <w:r>
              <w:t xml:space="preserve"> 9</w:t>
            </w:r>
          </w:p>
        </w:tc>
        <w:tc>
          <w:tcPr>
            <w:tcW w:type="dxa" w:w="2351"/>
          </w:tcPr>
          <w:p>
            <w:r>
              <w:t xml:space="preserve"> 8</w:t>
            </w:r>
          </w:p>
        </w:tc>
      </w:tr>
      <w:tr>
        <w:trPr>
          <w:cantSplit/>
        </w:trPr>
        <w:tc>
          <w:tcPr>
            <w:tcW w:type="dxa" w:w="2351"/>
          </w:tcPr>
          <w:p/>
        </w:tc>
        <w:tc>
          <w:tcPr>
            <w:tcW w:type="dxa" w:w="2351"/>
          </w:tcPr>
          <w:p>
            <w:r>
              <w:t>75 bis 77</w:t>
            </w:r>
          </w:p>
        </w:tc>
        <w:tc>
          <w:tcPr>
            <w:tcW w:type="dxa" w:w="2351"/>
          </w:tcPr>
          <w:p>
            <w:r>
              <w:t xml:space="preserve"> 8</w:t>
            </w:r>
          </w:p>
        </w:tc>
        <w:tc>
          <w:tcPr>
            <w:tcW w:type="dxa" w:w="2351"/>
          </w:tcPr>
          <w:p>
            <w:r>
              <w:t xml:space="preserve"> 7</w:t>
            </w:r>
          </w:p>
        </w:tc>
      </w:tr>
      <w:tr>
        <w:trPr>
          <w:cantSplit/>
        </w:trPr>
        <w:tc>
          <w:tcPr>
            <w:tcW w:type="dxa" w:w="2351"/>
          </w:tcPr>
          <w:p/>
        </w:tc>
        <w:tc>
          <w:tcPr>
            <w:tcW w:type="dxa" w:w="2351"/>
          </w:tcPr>
          <w:p>
            <w:r>
              <w:t>78</w:t>
            </w:r>
          </w:p>
        </w:tc>
        <w:tc>
          <w:tcPr>
            <w:tcW w:type="dxa" w:w="2351"/>
          </w:tcPr>
          <w:p>
            <w:r>
              <w:t xml:space="preserve"> 8</w:t>
            </w:r>
          </w:p>
        </w:tc>
        <w:tc>
          <w:tcPr>
            <w:tcW w:type="dxa" w:w="2351"/>
          </w:tcPr>
          <w:p>
            <w:r>
              <w:t xml:space="preserve"> 6</w:t>
            </w:r>
          </w:p>
        </w:tc>
      </w:tr>
      <w:tr>
        <w:trPr>
          <w:cantSplit/>
        </w:trPr>
        <w:tc>
          <w:tcPr>
            <w:tcW w:type="dxa" w:w="2351"/>
          </w:tcPr>
          <w:p/>
        </w:tc>
        <w:tc>
          <w:tcPr>
            <w:tcW w:type="dxa" w:w="2351"/>
          </w:tcPr>
          <w:p>
            <w:r>
              <w:t>79 bis 81</w:t>
            </w:r>
          </w:p>
        </w:tc>
        <w:tc>
          <w:tcPr>
            <w:tcW w:type="dxa" w:w="2351"/>
          </w:tcPr>
          <w:p>
            <w:r>
              <w:t xml:space="preserve"> 7</w:t>
            </w:r>
          </w:p>
        </w:tc>
        <w:tc>
          <w:tcPr>
            <w:tcW w:type="dxa" w:w="2351"/>
          </w:tcPr>
          <w:p>
            <w:r>
              <w:t xml:space="preserve"> 6</w:t>
            </w:r>
          </w:p>
        </w:tc>
      </w:tr>
      <w:tr>
        <w:trPr>
          <w:cantSplit/>
        </w:trPr>
        <w:tc>
          <w:tcPr>
            <w:tcW w:type="dxa" w:w="2351"/>
          </w:tcPr>
          <w:p/>
        </w:tc>
        <w:tc>
          <w:tcPr>
            <w:tcW w:type="dxa" w:w="2351"/>
          </w:tcPr>
          <w:p>
            <w:r>
              <w:t>82 bis 84</w:t>
            </w:r>
          </w:p>
        </w:tc>
        <w:tc>
          <w:tcPr>
            <w:tcW w:type="dxa" w:w="2351"/>
          </w:tcPr>
          <w:p>
            <w:r>
              <w:t xml:space="preserve"> 6</w:t>
            </w:r>
          </w:p>
        </w:tc>
        <w:tc>
          <w:tcPr>
            <w:tcW w:type="dxa" w:w="2351"/>
          </w:tcPr>
          <w:p>
            <w:r>
              <w:t xml:space="preserve"> 5</w:t>
            </w:r>
          </w:p>
        </w:tc>
      </w:tr>
      <w:tr>
        <w:trPr>
          <w:cantSplit/>
        </w:trPr>
        <w:tc>
          <w:tcPr>
            <w:tcW w:type="dxa" w:w="2351"/>
          </w:tcPr>
          <w:p/>
        </w:tc>
        <w:tc>
          <w:tcPr>
            <w:tcW w:type="dxa" w:w="2351"/>
          </w:tcPr>
          <w:p>
            <w:r>
              <w:t>85 bis 87</w:t>
            </w:r>
          </w:p>
        </w:tc>
        <w:tc>
          <w:tcPr>
            <w:tcW w:type="dxa" w:w="2351"/>
          </w:tcPr>
          <w:p>
            <w:r>
              <w:t xml:space="preserve"> 5</w:t>
            </w:r>
          </w:p>
        </w:tc>
        <w:tc>
          <w:tcPr>
            <w:tcW w:type="dxa" w:w="2351"/>
          </w:tcPr>
          <w:p>
            <w:r>
              <w:t xml:space="preserve"> 4</w:t>
            </w:r>
          </w:p>
        </w:tc>
      </w:tr>
      <w:tr>
        <w:trPr>
          <w:cantSplit/>
        </w:trPr>
        <w:tc>
          <w:tcPr>
            <w:tcW w:type="dxa" w:w="2351"/>
          </w:tcPr>
          <w:p/>
        </w:tc>
        <w:tc>
          <w:tcPr>
            <w:tcW w:type="dxa" w:w="2351"/>
          </w:tcPr>
          <w:p>
            <w:r>
              <w:t>88</w:t>
            </w:r>
          </w:p>
        </w:tc>
        <w:tc>
          <w:tcPr>
            <w:tcW w:type="dxa" w:w="2351"/>
          </w:tcPr>
          <w:p>
            <w:r>
              <w:t xml:space="preserve"> 4</w:t>
            </w:r>
          </w:p>
        </w:tc>
        <w:tc>
          <w:tcPr>
            <w:tcW w:type="dxa" w:w="2351"/>
          </w:tcPr>
          <w:p>
            <w:r>
              <w:t xml:space="preserve"> 4</w:t>
            </w:r>
          </w:p>
        </w:tc>
      </w:tr>
      <w:tr>
        <w:trPr>
          <w:cantSplit/>
        </w:trPr>
        <w:tc>
          <w:tcPr>
            <w:tcW w:type="dxa" w:w="2351"/>
          </w:tcPr>
          <w:p/>
        </w:tc>
        <w:tc>
          <w:tcPr>
            <w:tcW w:type="dxa" w:w="2351"/>
          </w:tcPr>
          <w:p>
            <w:r>
              <w:t>89 und 90</w:t>
            </w:r>
          </w:p>
        </w:tc>
        <w:tc>
          <w:tcPr>
            <w:tcW w:type="dxa" w:w="2351"/>
          </w:tcPr>
          <w:p>
            <w:r>
              <w:t xml:space="preserve"> 4</w:t>
            </w:r>
          </w:p>
        </w:tc>
        <w:tc>
          <w:tcPr>
            <w:tcW w:type="dxa" w:w="2351"/>
          </w:tcPr>
          <w:p>
            <w:r>
              <w:t xml:space="preserve"> 3</w:t>
            </w:r>
          </w:p>
        </w:tc>
      </w:tr>
      <w:tr>
        <w:trPr>
          <w:cantSplit/>
        </w:trPr>
        <w:tc>
          <w:tcPr>
            <w:tcW w:type="dxa" w:w="2351"/>
          </w:tcPr>
          <w:p/>
        </w:tc>
        <w:tc>
          <w:tcPr>
            <w:tcW w:type="dxa" w:w="2351"/>
          </w:tcPr>
          <w:p>
            <w:r>
              <w:t>91 bis 93</w:t>
            </w:r>
          </w:p>
        </w:tc>
        <w:tc>
          <w:tcPr>
            <w:tcW w:type="dxa" w:w="2351"/>
          </w:tcPr>
          <w:p>
            <w:r>
              <w:t xml:space="preserve"> 3</w:t>
            </w:r>
          </w:p>
        </w:tc>
        <w:tc>
          <w:tcPr>
            <w:tcW w:type="dxa" w:w="2351"/>
          </w:tcPr>
          <w:p>
            <w:r>
              <w:t xml:space="preserve"> 3</w:t>
            </w:r>
          </w:p>
        </w:tc>
      </w:tr>
      <w:tr>
        <w:trPr>
          <w:cantSplit/>
        </w:trPr>
        <w:tc>
          <w:tcPr>
            <w:tcW w:type="dxa" w:w="2351"/>
          </w:tcPr>
          <w:p/>
        </w:tc>
        <w:tc>
          <w:tcPr>
            <w:tcW w:type="dxa" w:w="2351"/>
          </w:tcPr>
          <w:p>
            <w:r>
              <w:t>94</w:t>
            </w:r>
          </w:p>
        </w:tc>
        <w:tc>
          <w:tcPr>
            <w:tcW w:type="dxa" w:w="2351"/>
          </w:tcPr>
          <w:p>
            <w:r>
              <w:t xml:space="preserve"> 3</w:t>
            </w:r>
          </w:p>
        </w:tc>
        <w:tc>
          <w:tcPr>
            <w:tcW w:type="dxa" w:w="2351"/>
          </w:tcPr>
          <w:p>
            <w:r>
              <w:t xml:space="preserve"> 2</w:t>
            </w:r>
          </w:p>
        </w:tc>
      </w:tr>
      <w:tr>
        <w:trPr>
          <w:cantSplit/>
        </w:trPr>
        <w:tc>
          <w:tcPr>
            <w:tcW w:type="dxa" w:w="2351"/>
          </w:tcPr>
          <w:p/>
        </w:tc>
        <w:tc>
          <w:tcPr>
            <w:tcW w:type="dxa" w:w="2351"/>
          </w:tcPr>
          <w:p>
            <w:r>
              <w:t>95 und älter</w:t>
            </w:r>
          </w:p>
        </w:tc>
        <w:tc>
          <w:tcPr>
            <w:tcW w:type="dxa" w:w="2351"/>
          </w:tcPr>
          <w:p>
            <w:r>
              <w:t xml:space="preserve"> 2</w:t>
            </w:r>
          </w:p>
        </w:tc>
        <w:tc>
          <w:tcPr>
            <w:tcW w:type="dxa" w:w="2351"/>
          </w:tcPr>
          <w:p>
            <w:r>
              <w:t xml:space="preserve"> 2</w:t>
            </w:r>
          </w:p>
        </w:tc>
      </w:tr>
    </w:tbl>
    <w:p>
      <w:pPr>
        <w:spacing w:after="0"/>
      </w:pPr>
    </w:p>
    <w:p>
      <w:pPr>
        <w:pStyle w:val="Heading2"/>
      </w:pPr>
      <w:bookmarkStart w:id="289" w:name="b288"/>
      <w:r>
        <w:t>Anlage 1a (zu § 13a)Ermittlung des Gewinns aus Land- und Forstwirtschaft nach Durchschnittssätzen</w:t>
      </w:r>
      <w:bookmarkEnd w:id="289"/>
    </w:p>
    <w:p>
      <w:r>
        <w:rPr>
          <w:color w:val="404040"/>
          <w:sz w:val="21"/>
        </w:rPr>
        <w:t>(Fundstelle: BGBl. I 2014, 2426)</w:t>
      </w:r>
    </w:p>
    <w:p>
      <w:r>
        <w:t>Für ein Wirtschaftsjahr betragen</w:t>
      </w:r>
    </w:p>
    <w:p>
      <w:pPr>
        <w:tabs>
          <w:tab w:pos="567" w:val="left"/>
        </w:tabs>
        <w:ind w:left="567" w:hanging="567"/>
      </w:pPr>
      <w:r>
        <w:t>1.</w:t>
      </w:r>
      <w:r>
        <w:tab/>
      </w:r>
      <w:r>
        <w:t>der Grundbetrag und die Zuschläge für Tierzucht und Tierhaltung der landwirtschaftlichen Nutzung (§ 13a Absatz 4):</w:t>
      </w:r>
    </w:p>
    <w:tbl>
      <w:tblPr>
        <w:tblStyle w:val="TableGrid"/>
        <w:tblW w:type="pct" w:w="5000"/>
        <w:tblLook w:firstColumn="1" w:firstRow="1" w:lastColumn="0" w:lastRow="0" w:noHBand="0" w:noVBand="1" w:val="04A0"/>
        <w:tblCaption w:val="Tabelle 1 zu Anlage 1a"/>
      </w:tblPr>
      <w:tblGrid>
        <w:gridCol w:w="4703"/>
        <w:gridCol w:w="4703"/>
      </w:tblGrid>
      <w:tr>
        <w:trPr>
          <w:cantSplit/>
        </w:trPr>
        <w:tc>
          <w:tcPr>
            <w:tcW w:type="dxa" w:w="4703"/>
          </w:tcPr>
          <w:p>
            <w:r>
              <w:t>Gewinn pro Hektar selbst</w:t>
            </w:r>
            <w:r>
              <w:br/>
            </w:r>
            <w:r>
              <w:t>bewirtschafteter Fläche</w:t>
            </w:r>
          </w:p>
        </w:tc>
        <w:tc>
          <w:tcPr>
            <w:tcW w:type="dxa" w:w="4703"/>
          </w:tcPr>
          <w:p>
            <w:r>
              <w:t>350 EUR</w:t>
            </w:r>
          </w:p>
        </w:tc>
      </w:tr>
      <w:tr>
        <w:trPr>
          <w:cantSplit/>
        </w:trPr>
        <w:tc>
          <w:tcPr>
            <w:tcW w:type="dxa" w:w="4703"/>
          </w:tcPr>
          <w:p>
            <w:r>
              <w:t>bei Tierbeständen für die</w:t>
            </w:r>
            <w:r>
              <w:br/>
            </w:r>
            <w:r>
              <w:t>ersten 25 Vieheinheiten</w:t>
            </w:r>
          </w:p>
        </w:tc>
        <w:tc>
          <w:tcPr>
            <w:tcW w:type="dxa" w:w="4703"/>
          </w:tcPr>
          <w:p>
            <w:r>
              <w:t>0 EUR/Vieheinheit</w:t>
            </w:r>
          </w:p>
        </w:tc>
      </w:tr>
      <w:tr>
        <w:trPr>
          <w:cantSplit/>
        </w:trPr>
        <w:tc>
          <w:tcPr>
            <w:tcW w:type="dxa" w:w="4703"/>
          </w:tcPr>
          <w:p>
            <w:r>
              <w:t>bei Tierbeständen für alle</w:t>
            </w:r>
            <w:r>
              <w:br/>
            </w:r>
            <w:r>
              <w:t>weiteren Vieheinheiten</w:t>
            </w:r>
          </w:p>
        </w:tc>
        <w:tc>
          <w:tcPr>
            <w:tcW w:type="dxa" w:w="4703"/>
          </w:tcPr>
          <w:p>
            <w:r>
              <w:t>300 EUR/Vieheinheit</w:t>
            </w:r>
          </w:p>
        </w:tc>
      </w:tr>
    </w:tbl>
    <w:p>
      <w:pPr>
        <w:spacing w:after="0"/>
      </w:pPr>
    </w:p>
    <w:p>
      <w:pPr>
        <w:ind w:left="567"/>
      </w:pPr>
      <w:r>
        <w:rPr>
          <w:rStyle w:val="Satznummer"/>
        </w:rPr>
        <w:t>2</w:t>
      </w:r>
      <w:r>
        <w:t>Angefangene Hektar und Vieheinheiten sind anteilig zu berücksichtigen.</w:t>
      </w:r>
    </w:p>
    <w:p>
      <w:pPr>
        <w:tabs>
          <w:tab w:pos="567" w:val="left"/>
        </w:tabs>
        <w:ind w:left="567" w:hanging="567"/>
      </w:pPr>
      <w:r>
        <w:t>2.</w:t>
      </w:r>
      <w:r>
        <w:tab/>
      </w:r>
      <w:r>
        <w:t>die Grenzen und Gewinne der Sondernutzungen (§ 13a Absatz 6):</w:t>
      </w:r>
    </w:p>
    <w:tbl>
      <w:tblPr>
        <w:tblStyle w:val="TableGrid"/>
        <w:tblW w:type="pct" w:w="5000"/>
        <w:tblLook w:firstColumn="1" w:firstRow="1" w:lastColumn="0" w:lastRow="0" w:noHBand="0" w:noVBand="1" w:val="04A0"/>
        <w:tblCaption w:val="Tabelle 2 zu Anlage 1a"/>
      </w:tblPr>
      <w:tblGrid>
        <w:gridCol w:w="3135"/>
        <w:gridCol w:w="3135"/>
        <w:gridCol w:w="3135"/>
      </w:tblGrid>
      <w:tr>
        <w:trPr>
          <w:cantSplit/>
          <w:tblHeader/>
        </w:trPr>
        <w:tc>
          <w:tcPr>
            <w:tcW w:type="dxa" w:w="3135"/>
          </w:tcPr>
          <w:p>
            <w:r>
              <w:rPr>
                <w:b/>
              </w:rPr>
              <w:t>Nutzung</w:t>
            </w:r>
          </w:p>
        </w:tc>
        <w:tc>
          <w:tcPr>
            <w:tcW w:type="dxa" w:w="3135"/>
          </w:tcPr>
          <w:p>
            <w:r>
              <w:rPr>
                <w:b/>
              </w:rPr>
              <w:t>Grenze</w:t>
            </w:r>
          </w:p>
        </w:tc>
        <w:tc>
          <w:tcPr>
            <w:tcW w:type="dxa" w:w="3135"/>
          </w:tcPr>
          <w:p>
            <w:r>
              <w:rPr>
                <w:b/>
              </w:rPr>
              <w:t>Grenze</w:t>
            </w:r>
          </w:p>
        </w:tc>
      </w:tr>
      <w:tr>
        <w:trPr>
          <w:cantSplit/>
          <w:tblHeader/>
        </w:trPr>
        <w:tc>
          <w:tcPr>
            <w:tcW w:type="dxa" w:w="3135"/>
          </w:tcPr>
          <w:p>
            <w:r>
              <w:rPr>
                <w:b/>
              </w:rPr>
              <w:t>1</w:t>
            </w:r>
          </w:p>
        </w:tc>
        <w:tc>
          <w:tcPr>
            <w:tcW w:type="dxa" w:w="3135"/>
          </w:tcPr>
          <w:p>
            <w:r>
              <w:rPr>
                <w:b/>
              </w:rPr>
              <w:t>2</w:t>
            </w:r>
          </w:p>
        </w:tc>
        <w:tc>
          <w:tcPr>
            <w:tcW w:type="dxa" w:w="3135"/>
          </w:tcPr>
          <w:p>
            <w:r>
              <w:rPr>
                <w:b/>
              </w:rPr>
              <w:t>3</w:t>
            </w:r>
          </w:p>
        </w:tc>
      </w:tr>
      <w:tr>
        <w:trPr>
          <w:cantSplit/>
        </w:trPr>
        <w:tc>
          <w:tcPr>
            <w:tcW w:type="dxa" w:w="3135"/>
          </w:tcPr>
          <w:p>
            <w:r>
              <w:t>Weinbauliche Nutzung</w:t>
            </w:r>
          </w:p>
        </w:tc>
        <w:tc>
          <w:tcPr>
            <w:tcW w:type="dxa" w:w="3135"/>
          </w:tcPr>
          <w:p>
            <w:r>
              <w:t>0,66 ha</w:t>
            </w:r>
          </w:p>
        </w:tc>
        <w:tc>
          <w:tcPr>
            <w:tcW w:type="dxa" w:w="3135"/>
          </w:tcPr>
          <w:p>
            <w:r>
              <w:t>0,16 ha</w:t>
            </w:r>
          </w:p>
        </w:tc>
      </w:tr>
      <w:tr>
        <w:trPr>
          <w:cantSplit/>
        </w:trPr>
        <w:tc>
          <w:tcPr>
            <w:tcW w:type="dxa" w:w="3135"/>
          </w:tcPr>
          <w:p>
            <w:r>
              <w:t>Nutzungsteil Obstbau</w:t>
            </w:r>
          </w:p>
        </w:tc>
        <w:tc>
          <w:tcPr>
            <w:tcW w:type="dxa" w:w="3135"/>
          </w:tcPr>
          <w:p>
            <w:r>
              <w:t>1,37 ha</w:t>
            </w:r>
          </w:p>
        </w:tc>
        <w:tc>
          <w:tcPr>
            <w:tcW w:type="dxa" w:w="3135"/>
          </w:tcPr>
          <w:p>
            <w:r>
              <w:t>0,34 ha</w:t>
            </w:r>
          </w:p>
        </w:tc>
      </w:tr>
      <w:tr>
        <w:trPr>
          <w:cantSplit/>
        </w:trPr>
        <w:tc>
          <w:tcPr>
            <w:tcW w:type="dxa" w:w="3135"/>
          </w:tcPr>
          <w:p>
            <w:r>
              <w:t>Nutzungsteil Gemüsebau</w:t>
            </w:r>
            <w:r>
              <w:br/>
            </w:r>
            <w:r>
              <w:t>Freilandgemüse</w:t>
            </w:r>
            <w:r>
              <w:br/>
            </w:r>
            <w:r>
              <w:t>Unterglas Gemüse</w:t>
            </w:r>
          </w:p>
        </w:tc>
        <w:tc>
          <w:tcPr>
            <w:tcW w:type="dxa" w:w="3135"/>
          </w:tcPr>
          <w:p>
            <w:r>
              <w:t>0,67 ha</w:t>
            </w:r>
            <w:r>
              <w:br/>
            </w:r>
            <w:r>
              <w:t>0,06 ha</w:t>
            </w:r>
          </w:p>
        </w:tc>
        <w:tc>
          <w:tcPr>
            <w:tcW w:type="dxa" w:w="3135"/>
          </w:tcPr>
          <w:p>
            <w:r>
              <w:t>0,17  ha</w:t>
            </w:r>
            <w:r>
              <w:br/>
            </w:r>
            <w:r>
              <w:t>0,015 ha</w:t>
            </w:r>
          </w:p>
        </w:tc>
      </w:tr>
      <w:tr>
        <w:trPr>
          <w:cantSplit/>
        </w:trPr>
        <w:tc>
          <w:tcPr>
            <w:tcW w:type="dxa" w:w="3135"/>
          </w:tcPr>
          <w:p>
            <w:r>
              <w:t>Nutzungsteil Blumen/Zierpflanzenbau</w:t>
            </w:r>
            <w:r>
              <w:br/>
            </w:r>
            <w:r>
              <w:t>Freiland Zierpflanzen</w:t>
            </w:r>
            <w:r>
              <w:br/>
            </w:r>
            <w:r>
              <w:t>Unterglas Zierpflanzen</w:t>
            </w:r>
          </w:p>
        </w:tc>
        <w:tc>
          <w:tcPr>
            <w:tcW w:type="dxa" w:w="3135"/>
          </w:tcPr>
          <w:p>
            <w:r>
              <w:t>0,23 ha</w:t>
            </w:r>
            <w:r>
              <w:br/>
            </w:r>
            <w:r>
              <w:t>0,04 ha</w:t>
            </w:r>
          </w:p>
        </w:tc>
        <w:tc>
          <w:tcPr>
            <w:tcW w:type="dxa" w:w="3135"/>
          </w:tcPr>
          <w:p>
            <w:r>
              <w:t>0,05 ha</w:t>
            </w:r>
            <w:r>
              <w:br/>
            </w:r>
            <w:r>
              <w:t>0,01 ha</w:t>
            </w:r>
          </w:p>
        </w:tc>
      </w:tr>
      <w:tr>
        <w:trPr>
          <w:cantSplit/>
        </w:trPr>
        <w:tc>
          <w:tcPr>
            <w:tcW w:type="dxa" w:w="3135"/>
          </w:tcPr>
          <w:p>
            <w:r>
              <w:t>Nutzungsteil Baumschulen</w:t>
            </w:r>
          </w:p>
        </w:tc>
        <w:tc>
          <w:tcPr>
            <w:tcW w:type="dxa" w:w="3135"/>
          </w:tcPr>
          <w:p>
            <w:r>
              <w:t>0,15 ha</w:t>
            </w:r>
          </w:p>
        </w:tc>
        <w:tc>
          <w:tcPr>
            <w:tcW w:type="dxa" w:w="3135"/>
          </w:tcPr>
          <w:p>
            <w:r>
              <w:t>0,04 ha</w:t>
            </w:r>
          </w:p>
        </w:tc>
      </w:tr>
      <w:tr>
        <w:trPr>
          <w:cantSplit/>
        </w:trPr>
        <w:tc>
          <w:tcPr>
            <w:tcW w:type="dxa" w:w="3135"/>
          </w:tcPr>
          <w:p>
            <w:r>
              <w:t>Sondernutzung</w:t>
            </w:r>
            <w:r>
              <w:br/>
            </w:r>
            <w:r>
              <w:t>Spargel</w:t>
            </w:r>
          </w:p>
        </w:tc>
        <w:tc>
          <w:tcPr>
            <w:tcW w:type="dxa" w:w="3135"/>
          </w:tcPr>
          <w:p>
            <w:r>
              <w:t>0,42 ha</w:t>
            </w:r>
          </w:p>
        </w:tc>
        <w:tc>
          <w:tcPr>
            <w:tcW w:type="dxa" w:w="3135"/>
          </w:tcPr>
          <w:p>
            <w:r>
              <w:t>0,1 ha</w:t>
            </w:r>
          </w:p>
        </w:tc>
      </w:tr>
      <w:tr>
        <w:trPr>
          <w:cantSplit/>
        </w:trPr>
        <w:tc>
          <w:tcPr>
            <w:tcW w:type="dxa" w:w="3135"/>
          </w:tcPr>
          <w:p>
            <w:r>
              <w:t>Sondernutzung</w:t>
            </w:r>
            <w:r>
              <w:br/>
            </w:r>
            <w:r>
              <w:t>Hopfen</w:t>
            </w:r>
          </w:p>
        </w:tc>
        <w:tc>
          <w:tcPr>
            <w:tcW w:type="dxa" w:w="3135"/>
          </w:tcPr>
          <w:p>
            <w:r>
              <w:t>0,78 ha</w:t>
            </w:r>
          </w:p>
        </w:tc>
        <w:tc>
          <w:tcPr>
            <w:tcW w:type="dxa" w:w="3135"/>
          </w:tcPr>
          <w:p>
            <w:r>
              <w:t>0,19 ha</w:t>
            </w:r>
          </w:p>
        </w:tc>
      </w:tr>
      <w:tr>
        <w:trPr>
          <w:cantSplit/>
        </w:trPr>
        <w:tc>
          <w:tcPr>
            <w:tcW w:type="dxa" w:w="3135"/>
          </w:tcPr>
          <w:p>
            <w:r>
              <w:t>Binnenfischerei</w:t>
            </w:r>
          </w:p>
        </w:tc>
        <w:tc>
          <w:tcPr>
            <w:tcW w:type="dxa" w:w="3135"/>
          </w:tcPr>
          <w:p>
            <w:r>
              <w:t>2 000 kg Jahresfang</w:t>
            </w:r>
          </w:p>
        </w:tc>
        <w:tc>
          <w:tcPr>
            <w:tcW w:type="dxa" w:w="3135"/>
          </w:tcPr>
          <w:p>
            <w:r>
              <w:t>500 kg</w:t>
            </w:r>
            <w:r>
              <w:br/>
            </w:r>
            <w:r>
              <w:t>Jahresfang</w:t>
            </w:r>
          </w:p>
        </w:tc>
      </w:tr>
      <w:tr>
        <w:trPr>
          <w:cantSplit/>
        </w:trPr>
        <w:tc>
          <w:tcPr>
            <w:tcW w:type="dxa" w:w="3135"/>
          </w:tcPr>
          <w:p>
            <w:r>
              <w:t>Teichwirtschaft</w:t>
            </w:r>
          </w:p>
        </w:tc>
        <w:tc>
          <w:tcPr>
            <w:tcW w:type="dxa" w:w="3135"/>
          </w:tcPr>
          <w:p>
            <w:r>
              <w:t>1,6 ha</w:t>
            </w:r>
          </w:p>
        </w:tc>
        <w:tc>
          <w:tcPr>
            <w:tcW w:type="dxa" w:w="3135"/>
          </w:tcPr>
          <w:p>
            <w:r>
              <w:t>0,4 ha</w:t>
            </w:r>
          </w:p>
        </w:tc>
      </w:tr>
      <w:tr>
        <w:trPr>
          <w:cantSplit/>
        </w:trPr>
        <w:tc>
          <w:tcPr>
            <w:tcW w:type="dxa" w:w="3135"/>
          </w:tcPr>
          <w:p>
            <w:r>
              <w:t>Fischzucht</w:t>
            </w:r>
          </w:p>
        </w:tc>
        <w:tc>
          <w:tcPr>
            <w:tcW w:type="dxa" w:w="3135"/>
          </w:tcPr>
          <w:p>
            <w:r>
              <w:t>0,2 ha</w:t>
            </w:r>
          </w:p>
        </w:tc>
        <w:tc>
          <w:tcPr>
            <w:tcW w:type="dxa" w:w="3135"/>
          </w:tcPr>
          <w:p>
            <w:r>
              <w:t>0,05 ha</w:t>
            </w:r>
          </w:p>
        </w:tc>
      </w:tr>
      <w:tr>
        <w:trPr>
          <w:cantSplit/>
        </w:trPr>
        <w:tc>
          <w:tcPr>
            <w:tcW w:type="dxa" w:w="3135"/>
          </w:tcPr>
          <w:p>
            <w:r>
              <w:t>Imkerei</w:t>
            </w:r>
          </w:p>
        </w:tc>
        <w:tc>
          <w:tcPr>
            <w:tcW w:type="dxa" w:w="3135"/>
          </w:tcPr>
          <w:p>
            <w:r>
              <w:t>70 Völker</w:t>
            </w:r>
          </w:p>
        </w:tc>
        <w:tc>
          <w:tcPr>
            <w:tcW w:type="dxa" w:w="3135"/>
          </w:tcPr>
          <w:p>
            <w:r>
              <w:t>30 Völker</w:t>
            </w:r>
          </w:p>
        </w:tc>
      </w:tr>
      <w:tr>
        <w:trPr>
          <w:cantSplit/>
        </w:trPr>
        <w:tc>
          <w:tcPr>
            <w:tcW w:type="dxa" w:w="3135"/>
          </w:tcPr>
          <w:p>
            <w:r>
              <w:t>Wanderschäfereien</w:t>
            </w:r>
          </w:p>
        </w:tc>
        <w:tc>
          <w:tcPr>
            <w:tcW w:type="dxa" w:w="3135"/>
          </w:tcPr>
          <w:p>
            <w:r>
              <w:t>120 Mutterschafe</w:t>
            </w:r>
          </w:p>
        </w:tc>
        <w:tc>
          <w:tcPr>
            <w:tcW w:type="dxa" w:w="3135"/>
          </w:tcPr>
          <w:p>
            <w:r>
              <w:t>30 Mutterschafe</w:t>
            </w:r>
          </w:p>
        </w:tc>
      </w:tr>
      <w:tr>
        <w:trPr>
          <w:cantSplit/>
        </w:trPr>
        <w:tc>
          <w:tcPr>
            <w:tcW w:type="dxa" w:w="3135"/>
          </w:tcPr>
          <w:p>
            <w:r>
              <w:t>Weihnachtsbaumkulturen</w:t>
            </w:r>
          </w:p>
        </w:tc>
        <w:tc>
          <w:tcPr>
            <w:tcW w:type="dxa" w:w="3135"/>
          </w:tcPr>
          <w:p>
            <w:r>
              <w:t>0,4 ha</w:t>
            </w:r>
          </w:p>
        </w:tc>
        <w:tc>
          <w:tcPr>
            <w:tcW w:type="dxa" w:w="3135"/>
          </w:tcPr>
          <w:p>
            <w:r>
              <w:t>0,1 ha</w:t>
            </w:r>
          </w:p>
        </w:tc>
      </w:tr>
    </w:tbl>
    <w:p>
      <w:pPr>
        <w:spacing w:after="0"/>
      </w:pPr>
    </w:p>
    <w:p>
      <w:pPr>
        <w:tabs>
          <w:tab w:pos="567" w:val="left"/>
        </w:tabs>
        <w:ind w:left="567" w:hanging="567"/>
      </w:pPr>
      <w:r>
        <w:t>3.</w:t>
      </w:r>
      <w:r>
        <w:tab/>
      </w:r>
      <w:r>
        <w:t>in den Fällen des § 13a Absatz 7 Satz 1 Nummer 3 die Betriebsausgaben 60 Prozent der Betriebseinnahmen.</w:t>
      </w:r>
    </w:p>
    <w:p>
      <w:pPr>
        <w:pStyle w:val="Heading2"/>
      </w:pPr>
      <w:bookmarkStart w:id="290" w:name="b289"/>
      <w:r>
        <w:t>Anlage 2 (zu § 43b) Gesellschaften im Sinne der Richtlinie Nr. 2011/96/EU</w:t>
      </w:r>
      <w:bookmarkEnd w:id="290"/>
    </w:p>
    <w:p>
      <w:r>
        <w:rPr>
          <w:color w:val="404040"/>
          <w:sz w:val="21"/>
        </w:rPr>
        <w:t>(Fundstelle: BGBl. I 2014, 1295 — 1297)</w:t>
      </w:r>
    </w:p>
    <w:p>
      <w:r>
        <w:t>Gesellschaft im Sinne der genannten Richtlinie ist jede Gesellschaft, die</w:t>
      </w:r>
    </w:p>
    <w:p>
      <w:pPr>
        <w:tabs>
          <w:tab w:pos="567" w:val="left"/>
        </w:tabs>
        <w:ind w:left="567" w:hanging="567"/>
      </w:pPr>
      <w:r>
        <w:t>1.</w:t>
      </w:r>
      <w:r>
        <w:tab/>
      </w:r>
      <w:r>
        <w:t>eine der folgenden Formen aufweist:</w:t>
      </w:r>
    </w:p>
    <w:p>
      <w:pPr>
        <w:tabs>
          <w:tab w:pos="1134" w:val="left"/>
        </w:tabs>
        <w:ind w:left="1134" w:hanging="567"/>
      </w:pPr>
      <w:r>
        <w:t>a)</w:t>
      </w:r>
      <w:r>
        <w:tab/>
      </w:r>
      <w:r>
        <w:t>eine Gesellschaft, die gemäß der Verordnung (EG) Nr. 2157/2001 des Rates vom 8. Oktober 2001 über das Statut der Europäischen Gesellschaft (SE) und der Richtlinie 2001/86/EG des Rates vom 8. Oktober 2001 zur Ergänzung des Statuts der Europäischen Gesellschaft hinsichtlich der Beteiligung der Arbeitnehmer gegründet wurde, sowie eine Genossenschaft, die gemäß der Verordnung (EG) Nr. 1435/2003 des Rates vom 22. Juli 2003 über das Statut der Europäischen Genossenschaft (SCE) und gemäß der Richtlinie 2003/72/EG des Rates vom 22. Juli 2003 zur Ergänzung des Statuts der Europäischen Genossenschaft hinsichtlich der Beteiligung der Arbeitnehmer gegründet wurde,</w:t>
      </w:r>
    </w:p>
    <w:p>
      <w:pPr>
        <w:tabs>
          <w:tab w:pos="1134" w:val="left"/>
        </w:tabs>
        <w:ind w:left="1134" w:hanging="567"/>
      </w:pPr>
      <w:r>
        <w:t>b)</w:t>
      </w:r>
      <w:r>
        <w:tab/>
      </w:r>
      <w:r>
        <w:t xml:space="preserve">Gesellschaften belgischen Rechts mit der Bezeichnung „société anonyme“/„naamloze vennootschap“, </w:t>
      </w:r>
      <w:r>
        <w:t>„société</w:t>
      </w:r>
      <w:r>
        <w:t xml:space="preserve"> en commandite par actions“/„commanditaire vennootschap op aandelen“, „société privée à </w:t>
      </w:r>
      <w:r>
        <w:t>responsabilité</w:t>
      </w:r>
      <w:r>
        <w:t xml:space="preserve"> limitée“/„besloten vennootschap met beperkte aansprakelijkheid“, „société coopérative à </w:t>
      </w:r>
      <w:r>
        <w:t>responsabilité</w:t>
      </w:r>
      <w:r>
        <w:t xml:space="preserve"> limitée“/„coöperatieve vennootschap met beperkte aansprakelijkheid“, „société coopérative à responsabilité illimitée“/„coöperatieve vennootschap met onbeperkte aansprakelijkheid“, „société en nom collectif“/„vennootschap onder firma“ oder „société en commandite simple“/„gewone commanditaire </w:t>
      </w:r>
      <w:r>
        <w:t>vennootschap“,</w:t>
      </w:r>
      <w:r>
        <w:t xml:space="preserve"> öffentliche Unternehmen, die eine der genannten Rechtsformen angenommen haben, und andere nach belgischem Recht gegründete Gesellschaften, die der belgischen Körperschaftsteuer unterliegen,</w:t>
      </w:r>
    </w:p>
    <w:p>
      <w:pPr>
        <w:tabs>
          <w:tab w:pos="1134" w:val="left"/>
        </w:tabs>
        <w:ind w:left="1134" w:hanging="567"/>
      </w:pPr>
      <w:r>
        <w:t>c)</w:t>
      </w:r>
      <w:r>
        <w:tab/>
      </w:r>
      <w:r>
        <w:t>Gesellschaften bulgarischen Rechts mit der Bezeichnung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oder „държавни предприятия“, die nach bulgarischem Recht gegründet wurden und gewerbliche Tätigkeiten ausüben,</w:t>
      </w:r>
    </w:p>
    <w:p>
      <w:pPr>
        <w:tabs>
          <w:tab w:pos="1134" w:val="left"/>
        </w:tabs>
        <w:ind w:left="1134" w:hanging="567"/>
      </w:pPr>
      <w:r>
        <w:t>d)</w:t>
      </w:r>
      <w:r>
        <w:tab/>
      </w:r>
      <w:r>
        <w:t>Gesellschaften tschechischen Rechts mit der Bezeichnung „akciová společnost“ oder „společnost s ručením omezeným“,</w:t>
      </w:r>
    </w:p>
    <w:p>
      <w:pPr>
        <w:tabs>
          <w:tab w:pos="1134" w:val="left"/>
        </w:tabs>
        <w:ind w:left="1134" w:hanging="567"/>
      </w:pPr>
      <w:r>
        <w:t>e)</w:t>
      </w:r>
      <w:r>
        <w:tab/>
      </w:r>
      <w:r>
        <w:t>Gesellschaften dänischen Rechts mit der Bezeichnung „aktieselskab“ oder „anpartsselskab“ und weitere nach dem Körperschaftsteuergesetz steuerpflichtige Gesellschaften, soweit ihr steuerbarer Gewinn nach den allgemeinen steuerrechtlichen Bestimmungen für die „aktieselskaber“ ermittelt und besteuert wird,</w:t>
      </w:r>
    </w:p>
    <w:p>
      <w:pPr>
        <w:tabs>
          <w:tab w:pos="1134" w:val="left"/>
        </w:tabs>
        <w:ind w:left="1134" w:hanging="567"/>
      </w:pPr>
      <w:r>
        <w:t>f)</w:t>
      </w:r>
      <w:r>
        <w:tab/>
      </w:r>
      <w:r>
        <w:t>Gesellschaften deutschen Rechts mit der Bezeichnung „Aktiengesellschaft“, „Kommanditgesellschaft auf Aktien“, „Gesellschaft mit beschränkter Haftung“, „Versicherungsverein auf Gegenseitigkeit“, „Erwerbs- und Wirtschaftsgenossenschaft“ oder „Betrieb gewerblicher Art von juristischen Personen des öffentlichen Rechts“ und andere nach deutschem Recht gegründete Gesellschaften, die der deutschen Körperschaftsteuer unterliegen,</w:t>
      </w:r>
    </w:p>
    <w:p>
      <w:pPr>
        <w:tabs>
          <w:tab w:pos="1134" w:val="left"/>
        </w:tabs>
        <w:ind w:left="1134" w:hanging="567"/>
      </w:pPr>
      <w:r>
        <w:t>g)</w:t>
      </w:r>
      <w:r>
        <w:tab/>
      </w:r>
      <w:r>
        <w:t>Gesellschaften estnischen Rechts mit der Bezeichnung „täisühing“, „usaldusühing“, „osaühing“, „aktsiaselts“ oder „tulundusühistu“,</w:t>
      </w:r>
    </w:p>
    <w:p>
      <w:pPr>
        <w:tabs>
          <w:tab w:pos="1134" w:val="left"/>
        </w:tabs>
        <w:ind w:left="1134" w:hanging="567"/>
      </w:pPr>
      <w:r>
        <w:t>h)</w:t>
      </w:r>
      <w:r>
        <w:tab/>
      </w:r>
      <w:r>
        <w:t>nach irischem Recht gegründete oder eingetragene Gesellschaften, gemäß dem Industrial and Provident Societies Act eingetragene Körperschaften, gemäß dem Building Societies Act gegründete „building societies“ und „trustee savings banks“ im Sinne des Trustee Savings Banks Act von 1989,</w:t>
      </w:r>
    </w:p>
    <w:p>
      <w:pPr>
        <w:tabs>
          <w:tab w:pos="1134" w:val="left"/>
        </w:tabs>
        <w:ind w:left="1134" w:hanging="567"/>
      </w:pPr>
      <w:r>
        <w:t>i)</w:t>
      </w:r>
      <w:r>
        <w:tab/>
      </w:r>
      <w:r>
        <w:t>Gesellschaften griechischen Rechts mit der Bezeichnung „αvώvυμη εταιρεία“ oder „εταιρεία περιωρισμέvης ευθύvης (Ε.Π.Ε.)“ und andere nach griechischem Recht gegründete Gesellschaften, die der griechischen Körperschaftsteuer unterliegen,</w:t>
      </w:r>
    </w:p>
    <w:p>
      <w:pPr>
        <w:tabs>
          <w:tab w:pos="1134" w:val="left"/>
        </w:tabs>
        <w:ind w:left="1134" w:hanging="567"/>
      </w:pPr>
      <w:r>
        <w:t>j)</w:t>
      </w:r>
      <w:r>
        <w:tab/>
      </w:r>
      <w:r>
        <w:t>Gesellschaften spanischen Rechts mit der Bezeichnung „sociedad anónima“, „sociedad comanditaria por acciones“ oder „sociedad de responsabilidad limitada“ und die öffentlich-rechtlichen Körperschaften, deren Tätigkeit unter das Privatrecht fällt sowie andere nach spanischem Recht gegründete Körperschaften, die der spanischen Körperschaftsteuer („impuesto sobre sociedades“) unterliegen,</w:t>
      </w:r>
    </w:p>
    <w:p>
      <w:pPr>
        <w:tabs>
          <w:tab w:pos="1134" w:val="left"/>
        </w:tabs>
        <w:ind w:left="1134" w:hanging="567"/>
      </w:pPr>
      <w:r>
        <w:t>k)</w:t>
      </w:r>
      <w:r>
        <w:tab/>
      </w:r>
      <w:r>
        <w:t>Gesellschaften französischen Rechts mit der Bezeichnung „société anonyme“, „société en commandite par actions“, „société à responsabilité limitée“, „sociétés par actions simplifiées“, „sociétés d´assurances mutuelles“, „caisses d´épargne et de prévoyance“, „sociétés civiles“, die automatisch der Körperschaftsteuer unterliegen, „coopératives“ „unions de coopératives“, die öffentlichen Industrie- und Handelsbetriebe, die öffentlichen Industrie- und Handelsunternehmen und andere nach französischem Recht gegründete Gesellschaften, die der französischen Körperschaftsteuer unterliegen,</w:t>
      </w:r>
    </w:p>
    <w:p>
      <w:pPr>
        <w:tabs>
          <w:tab w:pos="1134" w:val="left"/>
        </w:tabs>
        <w:ind w:left="1134" w:hanging="567"/>
      </w:pPr>
      <w:r>
        <w:t>l)</w:t>
      </w:r>
      <w:r>
        <w:tab/>
      </w:r>
      <w:r>
        <w:t>Gesellschaften kroatischen Rechts mit der Bezeichnung „dioničko društvo“ oder „društvo s ograničenom odgovornošću“ und andere nach kroatischem Recht gegründete Gesellschaften, die der kroatischen Gewinnsteuer unterliegen,</w:t>
      </w:r>
    </w:p>
    <w:p>
      <w:pPr>
        <w:tabs>
          <w:tab w:pos="1134" w:val="left"/>
        </w:tabs>
        <w:ind w:left="1134" w:hanging="567"/>
      </w:pPr>
      <w:r>
        <w:t>m)</w:t>
      </w:r>
      <w:r>
        <w:tab/>
      </w:r>
      <w:r>
        <w:t>Gesellschaften italienischen Rechts mit der Bezeichnung „società per azioni“, „società in accomandita per azioni“, „società a responsabilità limitata“, „società cooperative“ oder „società di mutua assicurazione“ sowie öffentliche und private Körperschaften, deren Tätigkeit ganz oder überwiegend handelsgewerblicher Art ist,</w:t>
      </w:r>
    </w:p>
    <w:p>
      <w:pPr>
        <w:tabs>
          <w:tab w:pos="1134" w:val="left"/>
        </w:tabs>
        <w:ind w:left="1134" w:hanging="567"/>
      </w:pPr>
      <w:r>
        <w:t>n)</w:t>
      </w:r>
      <w:r>
        <w:tab/>
      </w:r>
      <w:r>
        <w:t>Gesellschaften zyprischen Rechts mit der Bezeichnung „εταιρείες“ im Sinne der Einkommensteuergesetze,</w:t>
      </w:r>
    </w:p>
    <w:p>
      <w:pPr>
        <w:tabs>
          <w:tab w:pos="1134" w:val="left"/>
        </w:tabs>
        <w:ind w:left="1134" w:hanging="567"/>
      </w:pPr>
      <w:r>
        <w:t>o)</w:t>
      </w:r>
      <w:r>
        <w:tab/>
      </w:r>
      <w:r>
        <w:t>Gesellschaften lettischen Rechts mit der Bezeichnung „akciju sabiedrība“ oder „sabiedrība ar ierobežotu atbildību“,</w:t>
      </w:r>
    </w:p>
    <w:p>
      <w:pPr>
        <w:tabs>
          <w:tab w:pos="1134" w:val="left"/>
        </w:tabs>
        <w:ind w:left="1134" w:hanging="567"/>
      </w:pPr>
      <w:r>
        <w:t>p)</w:t>
      </w:r>
      <w:r>
        <w:tab/>
      </w:r>
      <w:r>
        <w:t>Gesellschaften litauischen Rechts,</w:t>
      </w:r>
    </w:p>
    <w:p>
      <w:pPr>
        <w:tabs>
          <w:tab w:pos="1134" w:val="left"/>
        </w:tabs>
        <w:ind w:left="1134" w:hanging="567"/>
      </w:pPr>
      <w:r>
        <w:t>q)</w:t>
      </w:r>
      <w:r>
        <w:tab/>
      </w:r>
      <w:r>
        <w:t>Gesellschaften luxemburgischen Rechts mit der Bezeichnung „société anonyme“, „société en commandite par actions“, „société à responsabilité limitée“, „société coopérative“, „société coopérative organisée comme une société anonyme“, „association d´assurances mutuelles“, „association d´épargne-pension“ oder „entreprise de nature commerciale, industrielle ou minière de l´Etat, des communes, des syndicats de communes, des établissements publics et des autres personnes morales de droit public“ sowie andere nach luxemburgischem Recht gegründete Gesellschaften, die der luxemburgischen Körperschaftsteuer unterliegen,</w:t>
      </w:r>
    </w:p>
    <w:p>
      <w:pPr>
        <w:tabs>
          <w:tab w:pos="1134" w:val="left"/>
        </w:tabs>
        <w:ind w:left="1134" w:hanging="567"/>
      </w:pPr>
      <w:r>
        <w:t>r)</w:t>
      </w:r>
      <w:r>
        <w:tab/>
      </w:r>
      <w:r>
        <w:t>Gesellschaften ungarischen Rechts mit der Bezeichnung: „közkereseti társaság“, „betéti társaság“, „közös vállalat“, „korlátolt felelősségű társaság“, „részvénytársaság“, „egyesülés“ oder „szövetkezet“,</w:t>
      </w:r>
    </w:p>
    <w:p>
      <w:pPr>
        <w:tabs>
          <w:tab w:pos="1134" w:val="left"/>
        </w:tabs>
        <w:ind w:left="1134" w:hanging="567"/>
      </w:pPr>
      <w:r>
        <w:t>s)</w:t>
      </w:r>
      <w:r>
        <w:tab/>
      </w:r>
      <w:r>
        <w:t>Gesellschaften maltesischen Rechts mit der Bezeichnung: „Kumpaniji ta´ Responsabilita´ Limitata“ oder „Soċjetajiet en commandite li l-kapital tagħhom maqsum f´azzjonijiet“,</w:t>
      </w:r>
    </w:p>
    <w:p>
      <w:pPr>
        <w:tabs>
          <w:tab w:pos="1134" w:val="left"/>
        </w:tabs>
        <w:ind w:left="1134" w:hanging="567"/>
      </w:pPr>
      <w:r>
        <w:t>t)</w:t>
      </w:r>
      <w:r>
        <w:tab/>
      </w:r>
      <w:r>
        <w:t xml:space="preserve">Gesellschaften niederländischen Rechts mit der Bezeichnung „naamloze vennootschap“, „besloten </w:t>
      </w:r>
      <w:r>
        <w:t>vennootschap</w:t>
      </w:r>
      <w:r>
        <w:t xml:space="preserve"> met beperkte aansprakelijkheid“, „open commanditaire vennootschap“, „coöperatie“, </w:t>
      </w:r>
      <w:r>
        <w:t>„onderlinge</w:t>
      </w:r>
      <w:r>
        <w:t xml:space="preserve"> waarborgmaatschappij“, „fonds voor gemene rekening“, „vereniging op coöperatieve grondslag“ oder „vereniging welke op onderlinge grondslag als verzekeraar of keredietinstelling optreedt“ und andere nach niederländischem Recht gegründete Gesellschaften, die der niederländischen Körperschaftsteuer unterliegen,</w:t>
      </w:r>
    </w:p>
    <w:p>
      <w:pPr>
        <w:tabs>
          <w:tab w:pos="1134" w:val="left"/>
        </w:tabs>
        <w:ind w:left="1134" w:hanging="567"/>
      </w:pPr>
      <w:r>
        <w:t>u)</w:t>
      </w:r>
      <w:r>
        <w:tab/>
      </w:r>
      <w:r>
        <w:t>Gesellschaften österreichischen Rechts mit der Bezeichnung „Aktiengesellschaft“, „Gesellschaft mit beschränkter Haftung“, „Versicherungsvereine auf Gegenseitigkeit“, „Erwerbs- und Wirtschaftsgenossenschaften“, „Betriebe gewerblicher Art von Körperschaften des öffentlichen Rechts“ oder „Sparkassen“ sowie andere nach österreichischem Recht gegründete Gesellschaften, die der österreichischen Körperschaftsteuer unterliegen,</w:t>
      </w:r>
    </w:p>
    <w:p>
      <w:pPr>
        <w:tabs>
          <w:tab w:pos="1134" w:val="left"/>
        </w:tabs>
        <w:ind w:left="1134" w:hanging="567"/>
      </w:pPr>
      <w:r>
        <w:t>v)</w:t>
      </w:r>
      <w:r>
        <w:tab/>
      </w:r>
      <w:r>
        <w:t>Gesellschaften polnischen Rechts mit der Bezeichnung „</w:t>
      </w:r>
      <w:r>
        <w:t>spółka akcyjna</w:t>
      </w:r>
      <w:r>
        <w:t>“, „</w:t>
      </w:r>
      <w:r>
        <w:t>spółka z ograniczoną odpowiedzialnością</w:t>
      </w:r>
      <w:r>
        <w:t>“ oder „</w:t>
      </w:r>
      <w:r>
        <w:t>spółka komandytowo-akcyjna</w:t>
      </w:r>
      <w:r>
        <w:t>“,</w:t>
      </w:r>
    </w:p>
    <w:p>
      <w:pPr>
        <w:tabs>
          <w:tab w:pos="1134" w:val="left"/>
        </w:tabs>
        <w:ind w:left="1134" w:hanging="567"/>
      </w:pPr>
      <w:r>
        <w:t>w)</w:t>
      </w:r>
      <w:r>
        <w:tab/>
      </w:r>
      <w:r>
        <w:t>Gesellschaften portugiesischen Rechts in Form von Handelsgesellschaften oder zivilrechtlichen Handelsgesellschaften sowie Genossenschaften und öffentliche Unternehmen,</w:t>
      </w:r>
    </w:p>
    <w:p>
      <w:pPr>
        <w:tabs>
          <w:tab w:pos="1134" w:val="left"/>
        </w:tabs>
        <w:ind w:left="1134" w:hanging="567"/>
      </w:pPr>
      <w:r>
        <w:t>x)</w:t>
      </w:r>
      <w:r>
        <w:tab/>
      </w:r>
      <w:r>
        <w:t>Gesellschaften rumänischen Rechts mit der Bezeichnung „</w:t>
      </w:r>
      <w:r>
        <w:t>societăţi pe acţiuni</w:t>
      </w:r>
      <w:r>
        <w:t>“, „</w:t>
      </w:r>
      <w:r>
        <w:t>societăţi în comandită pe acţiuni</w:t>
      </w:r>
      <w:r>
        <w:t>“, „</w:t>
      </w:r>
      <w:r>
        <w:t>societăţi cu răspundere limitată</w:t>
      </w:r>
      <w:r>
        <w:t>“, „</w:t>
      </w:r>
      <w:r>
        <w:t>societăţi în nume colectiv</w:t>
      </w:r>
      <w:r>
        <w:t>“ oder „</w:t>
      </w:r>
      <w:r>
        <w:t>societăţi în comandită simplă</w:t>
      </w:r>
      <w:r>
        <w:t>“,</w:t>
      </w:r>
    </w:p>
    <w:p>
      <w:pPr>
        <w:tabs>
          <w:tab w:pos="1134" w:val="left"/>
        </w:tabs>
        <w:ind w:left="1134" w:hanging="567"/>
      </w:pPr>
      <w:r>
        <w:t>y)</w:t>
      </w:r>
      <w:r>
        <w:tab/>
      </w:r>
      <w:r>
        <w:t>Gesellschaften slowenischen Rechts mit der Bezeichnung „delniška družba“, „komanditna družba“ oder „družba z omejeno odgovornostjo“,</w:t>
      </w:r>
    </w:p>
    <w:p>
      <w:pPr>
        <w:tabs>
          <w:tab w:pos="1134" w:val="left"/>
        </w:tabs>
        <w:ind w:left="1134" w:hanging="567"/>
      </w:pPr>
      <w:r>
        <w:t>z)</w:t>
      </w:r>
      <w:r>
        <w:tab/>
      </w:r>
      <w:r>
        <w:t>Gesellschaften slowakischen Rechts mit der Bezeichnung „akciová spoločnosť “, „spoločnosť s ručením obmedzeným“ oder „komanditná spoločnosť “,</w:t>
      </w:r>
    </w:p>
    <w:p>
      <w:pPr>
        <w:tabs>
          <w:tab w:pos="1134" w:val="left"/>
        </w:tabs>
        <w:ind w:left="1134" w:hanging="567"/>
      </w:pPr>
      <w:r>
        <w:t>aa)</w:t>
      </w:r>
      <w:r>
        <w:tab/>
      </w:r>
      <w:r>
        <w:t>Gesellschaften finnischen Rechts mit der Bezeichnung „osakeyhtiö“/„aktiebolag“, „osuuskunta“/„andelslag“, „säästöpankki“/„sparbank“ oder „vakuutusyhtiö“/„försäkringsbolag“,</w:t>
      </w:r>
    </w:p>
    <w:p>
      <w:pPr>
        <w:tabs>
          <w:tab w:pos="1134" w:val="left"/>
        </w:tabs>
        <w:ind w:left="1134" w:hanging="567"/>
      </w:pPr>
      <w:r>
        <w:t>bb)</w:t>
      </w:r>
      <w:r>
        <w:tab/>
      </w:r>
      <w:r>
        <w:t xml:space="preserve">Gesellschaften schwedischen Rechts mit der Bezeichnung „aktiebolag“, „försäkringsaktiebolag“, </w:t>
      </w:r>
      <w:r>
        <w:t>„ekonomiska</w:t>
      </w:r>
      <w:r>
        <w:t xml:space="preserve"> föreningar“, „sparbanker“, „ömsesidiga försäkringsbolag“ oder „försäkringsföreningar“,</w:t>
      </w:r>
    </w:p>
    <w:p>
      <w:pPr>
        <w:tabs>
          <w:tab w:pos="1134" w:val="left"/>
        </w:tabs>
        <w:ind w:left="1134" w:hanging="567"/>
      </w:pPr>
      <w:r>
        <w:t>cc)</w:t>
      </w:r>
      <w:r>
        <w:tab/>
      </w:r>
      <w:r>
        <w:t>nach dem Recht des Vereinigten Königreichs gegründete Gesellschaften;</w:t>
      </w:r>
    </w:p>
    <w:p>
      <w:pPr>
        <w:tabs>
          <w:tab w:pos="567" w:val="left"/>
        </w:tabs>
        <w:ind w:left="567" w:hanging="567"/>
      </w:pPr>
      <w:r>
        <w:t>2.</w:t>
      </w:r>
      <w:r>
        <w:tab/>
      </w:r>
      <w:r>
        <w:t>nach dem Steuerrecht eines Mitgliedstaates in Bezug auf den steuerlichen Wohnsitz als in diesem Staat ansässig betrachtet wird und auf Grund eines mit einem dritten Staat geschlossenen Doppelbesteuerungsabkommens in Bezug auf den steuerlichen Wohnsitz nicht als außerhalb der Gemeinschaft ansässig betrachtet wird und</w:t>
      </w:r>
    </w:p>
    <w:p>
      <w:pPr>
        <w:tabs>
          <w:tab w:pos="567" w:val="left"/>
        </w:tabs>
        <w:ind w:left="567" w:hanging="567"/>
      </w:pPr>
      <w:r>
        <w:t>3.</w:t>
      </w:r>
      <w:r>
        <w:tab/>
      </w:r>
      <w:r>
        <w:t>ohne Wahlmöglichkeit einer der folgenden Steuern oder irgendeiner Steuer, die eine dieser Steuern ersetzt, unterliegt, ohne davon befreit zu sein:</w:t>
      </w:r>
    </w:p>
    <w:p>
      <w:pPr>
        <w:tabs>
          <w:tab w:pos="1134" w:val="left"/>
        </w:tabs>
        <w:ind w:left="1134" w:hanging="567"/>
      </w:pPr>
      <w:r>
        <w:t>–</w:t>
      </w:r>
      <w:r>
        <w:tab/>
      </w:r>
      <w:r>
        <w:t>vennootschapsbelasting/impôt des sociétés in Belgien,</w:t>
      </w:r>
    </w:p>
    <w:p>
      <w:pPr>
        <w:tabs>
          <w:tab w:pos="1134" w:val="left"/>
        </w:tabs>
        <w:ind w:left="1134" w:hanging="567"/>
      </w:pPr>
      <w:r>
        <w:t>–</w:t>
      </w:r>
      <w:r>
        <w:tab/>
      </w:r>
      <w:r>
        <w:t>корпоративен данък in Bulgarien,</w:t>
      </w:r>
    </w:p>
    <w:p>
      <w:pPr>
        <w:tabs>
          <w:tab w:pos="1134" w:val="left"/>
        </w:tabs>
        <w:ind w:left="1134" w:hanging="567"/>
      </w:pPr>
      <w:r>
        <w:t>–</w:t>
      </w:r>
      <w:r>
        <w:tab/>
      </w:r>
      <w:r>
        <w:t>daň z příjmů právnických osob in der Tschechischen Republik,</w:t>
      </w:r>
    </w:p>
    <w:p>
      <w:pPr>
        <w:tabs>
          <w:tab w:pos="1134" w:val="left"/>
        </w:tabs>
        <w:ind w:left="1134" w:hanging="567"/>
      </w:pPr>
      <w:r>
        <w:t>–</w:t>
      </w:r>
      <w:r>
        <w:tab/>
      </w:r>
      <w:r>
        <w:t>selskabsskat in Dänemark,</w:t>
      </w:r>
    </w:p>
    <w:p>
      <w:pPr>
        <w:tabs>
          <w:tab w:pos="1134" w:val="left"/>
        </w:tabs>
        <w:ind w:left="1134" w:hanging="567"/>
      </w:pPr>
      <w:r>
        <w:t>–</w:t>
      </w:r>
      <w:r>
        <w:tab/>
      </w:r>
      <w:r>
        <w:t>Körperschaftsteuer in Deutschland,</w:t>
      </w:r>
    </w:p>
    <w:p>
      <w:pPr>
        <w:tabs>
          <w:tab w:pos="1134" w:val="left"/>
        </w:tabs>
        <w:ind w:left="1134" w:hanging="567"/>
      </w:pPr>
      <w:r>
        <w:t>–</w:t>
      </w:r>
      <w:r>
        <w:tab/>
      </w:r>
      <w:r>
        <w:t>tulumaks in Estland,</w:t>
      </w:r>
    </w:p>
    <w:p>
      <w:pPr>
        <w:tabs>
          <w:tab w:pos="1134" w:val="left"/>
        </w:tabs>
        <w:ind w:left="1134" w:hanging="567"/>
      </w:pPr>
      <w:r>
        <w:t>–</w:t>
      </w:r>
      <w:r>
        <w:tab/>
      </w:r>
      <w:r>
        <w:t>corporation tax in Irland,</w:t>
      </w:r>
    </w:p>
    <w:p>
      <w:pPr>
        <w:tabs>
          <w:tab w:pos="1134" w:val="left"/>
        </w:tabs>
        <w:ind w:left="1134" w:hanging="567"/>
      </w:pPr>
      <w:r>
        <w:t>–</w:t>
      </w:r>
      <w:r>
        <w:tab/>
      </w:r>
      <w:r>
        <w:t>φόρος εισοδήματος νομικών προσώπων κερδοσκοπικού χαρακτήρα in Griechenland,</w:t>
      </w:r>
    </w:p>
    <w:p>
      <w:pPr>
        <w:tabs>
          <w:tab w:pos="1134" w:val="left"/>
        </w:tabs>
        <w:ind w:left="1134" w:hanging="567"/>
      </w:pPr>
      <w:r>
        <w:t>–</w:t>
      </w:r>
      <w:r>
        <w:tab/>
      </w:r>
      <w:r>
        <w:t>impuesto sobre sociedades in Spanien,</w:t>
      </w:r>
    </w:p>
    <w:p>
      <w:pPr>
        <w:tabs>
          <w:tab w:pos="1134" w:val="left"/>
        </w:tabs>
        <w:ind w:left="1134" w:hanging="567"/>
      </w:pPr>
      <w:r>
        <w:t>–</w:t>
      </w:r>
      <w:r>
        <w:tab/>
      </w:r>
      <w:r>
        <w:t>impôt sur les sociétés in Frankreich,</w:t>
      </w:r>
    </w:p>
    <w:p>
      <w:pPr>
        <w:tabs>
          <w:tab w:pos="1134" w:val="left"/>
        </w:tabs>
        <w:ind w:left="1134" w:hanging="567"/>
      </w:pPr>
      <w:r>
        <w:t>–</w:t>
      </w:r>
      <w:r>
        <w:tab/>
      </w:r>
      <w:r>
        <w:t>porez na dobit in Kroatien,</w:t>
      </w:r>
    </w:p>
    <w:p>
      <w:pPr>
        <w:tabs>
          <w:tab w:pos="1134" w:val="left"/>
        </w:tabs>
        <w:ind w:left="1134" w:hanging="567"/>
      </w:pPr>
      <w:r>
        <w:t>–</w:t>
      </w:r>
      <w:r>
        <w:tab/>
      </w:r>
      <w:r>
        <w:t>imposta sul reddito delle persone giuridiche in Italien,</w:t>
      </w:r>
    </w:p>
    <w:p>
      <w:pPr>
        <w:tabs>
          <w:tab w:pos="1134" w:val="left"/>
        </w:tabs>
        <w:ind w:left="1134" w:hanging="567"/>
      </w:pPr>
      <w:r>
        <w:t>–</w:t>
      </w:r>
      <w:r>
        <w:tab/>
      </w:r>
      <w:r>
        <w:t>φόρος εισοδήματος in Zypern,</w:t>
      </w:r>
    </w:p>
    <w:p>
      <w:pPr>
        <w:tabs>
          <w:tab w:pos="1134" w:val="left"/>
        </w:tabs>
        <w:ind w:left="1134" w:hanging="567"/>
      </w:pPr>
      <w:r>
        <w:t>–</w:t>
      </w:r>
      <w:r>
        <w:tab/>
      </w:r>
      <w:r>
        <w:t>uzņēmumu ienākuma nodoklis in Lettland,</w:t>
      </w:r>
    </w:p>
    <w:p>
      <w:pPr>
        <w:tabs>
          <w:tab w:pos="1134" w:val="left"/>
        </w:tabs>
        <w:ind w:left="1134" w:hanging="567"/>
      </w:pPr>
      <w:r>
        <w:t>–</w:t>
      </w:r>
      <w:r>
        <w:tab/>
      </w:r>
      <w:r>
        <w:t>pelno mokestis in Litauen,</w:t>
      </w:r>
    </w:p>
    <w:p>
      <w:pPr>
        <w:tabs>
          <w:tab w:pos="1134" w:val="left"/>
        </w:tabs>
        <w:ind w:left="1134" w:hanging="567"/>
      </w:pPr>
      <w:r>
        <w:t>–</w:t>
      </w:r>
      <w:r>
        <w:tab/>
      </w:r>
      <w:r>
        <w:t>impôt sur le revenu des collectivités in Luxemburg,</w:t>
      </w:r>
    </w:p>
    <w:p>
      <w:pPr>
        <w:tabs>
          <w:tab w:pos="1134" w:val="left"/>
        </w:tabs>
        <w:ind w:left="1134" w:hanging="567"/>
      </w:pPr>
      <w:r>
        <w:t>–</w:t>
      </w:r>
      <w:r>
        <w:tab/>
      </w:r>
      <w:r>
        <w:t>társasági adó, osztalékadó in Ungarn,</w:t>
      </w:r>
    </w:p>
    <w:p>
      <w:pPr>
        <w:tabs>
          <w:tab w:pos="1134" w:val="left"/>
        </w:tabs>
        <w:ind w:left="1134" w:hanging="567"/>
      </w:pPr>
      <w:r>
        <w:t>–</w:t>
      </w:r>
      <w:r>
        <w:tab/>
      </w:r>
      <w:r>
        <w:t>taxxa fuq l-income in Malta,</w:t>
      </w:r>
    </w:p>
    <w:p>
      <w:pPr>
        <w:tabs>
          <w:tab w:pos="1134" w:val="left"/>
        </w:tabs>
        <w:ind w:left="1134" w:hanging="567"/>
      </w:pPr>
      <w:r>
        <w:t>–</w:t>
      </w:r>
      <w:r>
        <w:tab/>
      </w:r>
      <w:r>
        <w:t>vennootschapsbelasting in den Niederlanden,</w:t>
      </w:r>
    </w:p>
    <w:p>
      <w:pPr>
        <w:tabs>
          <w:tab w:pos="1134" w:val="left"/>
        </w:tabs>
        <w:ind w:left="1134" w:hanging="567"/>
      </w:pPr>
      <w:r>
        <w:t>–</w:t>
      </w:r>
      <w:r>
        <w:tab/>
      </w:r>
      <w:r>
        <w:t>Körperschaftsteuer in Österreich,</w:t>
      </w:r>
    </w:p>
    <w:p>
      <w:pPr>
        <w:tabs>
          <w:tab w:pos="1134" w:val="left"/>
        </w:tabs>
        <w:ind w:left="1134" w:hanging="567"/>
      </w:pPr>
      <w:r>
        <w:t>–</w:t>
      </w:r>
      <w:r>
        <w:tab/>
      </w:r>
      <w:r>
        <w:t>podatek dochodowy od osób prawnych in Polen,</w:t>
      </w:r>
    </w:p>
    <w:p>
      <w:pPr>
        <w:tabs>
          <w:tab w:pos="1134" w:val="left"/>
        </w:tabs>
        <w:ind w:left="1134" w:hanging="567"/>
      </w:pPr>
      <w:r>
        <w:t>–</w:t>
      </w:r>
      <w:r>
        <w:tab/>
      </w:r>
      <w:r>
        <w:t>imposto sobre o rendimento das pessoas colectivas in Portugal,</w:t>
      </w:r>
    </w:p>
    <w:p>
      <w:pPr>
        <w:tabs>
          <w:tab w:pos="1134" w:val="left"/>
        </w:tabs>
        <w:ind w:left="1134" w:hanging="567"/>
      </w:pPr>
      <w:r>
        <w:t>–</w:t>
      </w:r>
      <w:r>
        <w:tab/>
      </w:r>
      <w:r>
        <w:t>impozit pe profit in Rumänien,</w:t>
      </w:r>
    </w:p>
    <w:p>
      <w:pPr>
        <w:tabs>
          <w:tab w:pos="1134" w:val="left"/>
        </w:tabs>
        <w:ind w:left="1134" w:hanging="567"/>
      </w:pPr>
      <w:r>
        <w:t>–</w:t>
      </w:r>
      <w:r>
        <w:tab/>
      </w:r>
      <w:r>
        <w:t>davek od dobička pravnih oseb in Slowenien,</w:t>
      </w:r>
    </w:p>
    <w:p>
      <w:pPr>
        <w:tabs>
          <w:tab w:pos="1134" w:val="left"/>
        </w:tabs>
        <w:ind w:left="1134" w:hanging="567"/>
      </w:pPr>
      <w:r>
        <w:t>–</w:t>
      </w:r>
      <w:r>
        <w:tab/>
      </w:r>
      <w:r>
        <w:t>daň z príjmov právnických osôb in der Slowakei,</w:t>
      </w:r>
    </w:p>
    <w:p>
      <w:pPr>
        <w:tabs>
          <w:tab w:pos="1134" w:val="left"/>
        </w:tabs>
        <w:ind w:left="1134" w:hanging="567"/>
      </w:pPr>
      <w:r>
        <w:t>–</w:t>
      </w:r>
      <w:r>
        <w:tab/>
      </w:r>
      <w:r>
        <w:t>yhteisöjen tulovero/inkomstskatten för samfund in Finnland,</w:t>
      </w:r>
    </w:p>
    <w:p>
      <w:pPr>
        <w:tabs>
          <w:tab w:pos="1134" w:val="left"/>
        </w:tabs>
        <w:ind w:left="1134" w:hanging="567"/>
      </w:pPr>
      <w:r>
        <w:t>–</w:t>
      </w:r>
      <w:r>
        <w:tab/>
      </w:r>
      <w:r>
        <w:t>statlig inkomstskatt in Schweden,</w:t>
      </w:r>
    </w:p>
    <w:p>
      <w:pPr>
        <w:tabs>
          <w:tab w:pos="1134" w:val="left"/>
        </w:tabs>
        <w:ind w:left="1134" w:hanging="567"/>
      </w:pPr>
      <w:r>
        <w:t>–</w:t>
      </w:r>
      <w:r>
        <w:tab/>
      </w:r>
      <w:r>
        <w:t>corporation tax im Vereinigten Königreich.</w:t>
      </w:r>
    </w:p>
    <w:p>
      <w:pPr>
        <w:pStyle w:val="Heading2"/>
      </w:pPr>
      <w:bookmarkStart w:id="291" w:name="b290"/>
      <w:r>
        <w:t>Anlage 3 (zu § 50g)</w:t>
      </w:r>
      <w:bookmarkEnd w:id="291"/>
    </w:p>
    <w:p>
      <w:r>
        <w:rPr>
          <w:color w:val="404040"/>
          <w:sz w:val="21"/>
        </w:rPr>
        <w:t>(Fundstelle: BGBl. I 2014, 1298 — 1299)</w:t>
      </w:r>
    </w:p>
    <w:p>
      <w:pPr>
        <w:tabs>
          <w:tab w:pos="567" w:val="left"/>
        </w:tabs>
        <w:ind w:left="567" w:hanging="567"/>
      </w:pPr>
      <w:r>
        <w:t>1.</w:t>
      </w:r>
      <w:r>
        <w:tab/>
      </w:r>
      <w:r>
        <w:t>Unternehmen im Sinne von § 50g Absatz 3 Nummer 5 Buchstabe a Doppelbuchstabe aa sind:</w:t>
      </w:r>
    </w:p>
    <w:p>
      <w:pPr>
        <w:tabs>
          <w:tab w:pos="1134" w:val="left"/>
        </w:tabs>
        <w:ind w:left="1134" w:hanging="567"/>
      </w:pPr>
      <w:r>
        <w:t>a)</w:t>
      </w:r>
      <w:r>
        <w:tab/>
      </w:r>
      <w:r>
        <w:t>Gesellschaften belgischen Rechts mit der Bezeichnung „naamloze vennootschap“/„société anonyme“, „commanditaire vennootschap op aandelen“/„société en commandite par actions“ oder „besloten vennootschap met beperkte aansprakelijkheid“/„société privée à responsabilité limitée“ sowie öffentlich-rechtliche Körperschaften, deren Tätigkeit unter das Privatrecht fällt;</w:t>
      </w:r>
    </w:p>
    <w:p>
      <w:pPr>
        <w:tabs>
          <w:tab w:pos="1134" w:val="left"/>
        </w:tabs>
        <w:ind w:left="1134" w:hanging="567"/>
      </w:pPr>
      <w:r>
        <w:t>b)</w:t>
      </w:r>
      <w:r>
        <w:tab/>
      </w:r>
      <w:r>
        <w:t>Gesellschaften dänischen Rechts mit der Bezeichnung „aktieselskab“ und „anpartsselskab“;</w:t>
      </w:r>
    </w:p>
    <w:p>
      <w:pPr>
        <w:tabs>
          <w:tab w:pos="1134" w:val="left"/>
        </w:tabs>
        <w:ind w:left="1134" w:hanging="567"/>
      </w:pPr>
      <w:r>
        <w:t>c)</w:t>
      </w:r>
      <w:r>
        <w:tab/>
      </w:r>
      <w:r>
        <w:t>Gesellschaften deutschen Rechts mit der Bezeichnung „Aktiengesellschaft“, „Kommanditgesellschaft auf Aktien“ oder „Gesellschaft mit beschränkter Haftung“;</w:t>
      </w:r>
    </w:p>
    <w:p>
      <w:pPr>
        <w:tabs>
          <w:tab w:pos="1134" w:val="left"/>
        </w:tabs>
        <w:ind w:left="1134" w:hanging="567"/>
      </w:pPr>
      <w:r>
        <w:t>d)</w:t>
      </w:r>
      <w:r>
        <w:tab/>
      </w:r>
      <w:r>
        <w:t>Gesellschaften griechischen Rechts mit der Bezeichnung „ανώνυµη εταιρíα“;</w:t>
      </w:r>
    </w:p>
    <w:p>
      <w:pPr>
        <w:tabs>
          <w:tab w:pos="1134" w:val="left"/>
        </w:tabs>
        <w:ind w:left="1134" w:hanging="567"/>
      </w:pPr>
      <w:r>
        <w:t>e)</w:t>
      </w:r>
      <w:r>
        <w:tab/>
      </w:r>
      <w:r>
        <w:t>Gesellschaften spanischen Rechts mit der Bezeichnung „sociedad anónima“, „sociedad comanditaria por acciones“ oder „sociedad de responsabilidad limitada“ sowie öffentlich-rechtliche Körperschaften, deren Tätigkeit unter das Privatrecht fällt;</w:t>
      </w:r>
    </w:p>
    <w:p>
      <w:pPr>
        <w:tabs>
          <w:tab w:pos="1134" w:val="left"/>
        </w:tabs>
        <w:ind w:left="1134" w:hanging="567"/>
      </w:pPr>
      <w:r>
        <w:t>f)</w:t>
      </w:r>
      <w:r>
        <w:tab/>
      </w:r>
      <w:r>
        <w:t>Gesellschaften französischen Rechts mit der Bezeichnung „société anonyme“, „société en commandite par actions“ oder „société a responsabilité limitée“ sowie die staatlichen Industrie- und Handelsbetriebe und Unternehmen;</w:t>
      </w:r>
    </w:p>
    <w:p>
      <w:pPr>
        <w:tabs>
          <w:tab w:pos="1134" w:val="left"/>
        </w:tabs>
        <w:ind w:left="1134" w:hanging="567"/>
      </w:pPr>
      <w:r>
        <w:t>g)</w:t>
      </w:r>
      <w:r>
        <w:tab/>
      </w:r>
      <w:r>
        <w:t>Gesellschaften irischen Rechts mit der Bezeichnung „public companies limited by shares or by guarantee”, „private companies limited by shares or by guarantee“, gemäß den „Industrial and Provident Societies Acts“ eingetragene Einrichtungen oder gemäß den „Building Societies Acts“ eingetragene „building societies“;</w:t>
      </w:r>
    </w:p>
    <w:p>
      <w:pPr>
        <w:tabs>
          <w:tab w:pos="1134" w:val="left"/>
        </w:tabs>
        <w:ind w:left="1134" w:hanging="567"/>
      </w:pPr>
      <w:r>
        <w:t>h)</w:t>
      </w:r>
      <w:r>
        <w:tab/>
      </w:r>
      <w:r>
        <w:t>Gesellschaften italienischen Rechts mit der Bezeichnung „società per azioni“, „società in accomandita per azioni“ oder „società a responsabilità limitata“ sowie staatliche und private Industrie- und Handelsunternehmen;</w:t>
      </w:r>
    </w:p>
    <w:p>
      <w:pPr>
        <w:tabs>
          <w:tab w:pos="1134" w:val="left"/>
        </w:tabs>
        <w:ind w:left="1134" w:hanging="567"/>
      </w:pPr>
      <w:r>
        <w:t>i)</w:t>
      </w:r>
      <w:r>
        <w:tab/>
      </w:r>
      <w:r>
        <w:t>Gesellschaften luxemburgischen Rechts mit der Bezeichnung „société anonyme“, „société en commandite par actions“ oder „société à responsabilité limitée“;</w:t>
      </w:r>
    </w:p>
    <w:p>
      <w:pPr>
        <w:tabs>
          <w:tab w:pos="1134" w:val="left"/>
        </w:tabs>
        <w:ind w:left="1134" w:hanging="567"/>
      </w:pPr>
      <w:r>
        <w:t>j)</w:t>
      </w:r>
      <w:r>
        <w:tab/>
      </w:r>
      <w:r>
        <w:t>Gesellschaften niederländischen Rechts mit der Bezeichnung „naamloze vennootschap“ oder „besloten vennootschap met beperkte aansprakelijkheid“;</w:t>
      </w:r>
    </w:p>
    <w:p>
      <w:pPr>
        <w:tabs>
          <w:tab w:pos="1134" w:val="left"/>
        </w:tabs>
        <w:ind w:left="1134" w:hanging="567"/>
      </w:pPr>
      <w:r>
        <w:t>k)</w:t>
      </w:r>
      <w:r>
        <w:tab/>
      </w:r>
      <w:r>
        <w:t>Gesellschaften österreichischen Rechts mit der Bezeichnung „Aktiengesellschaft“ oder „Gesellschaft mit beschränkter Haftung“;</w:t>
      </w:r>
    </w:p>
    <w:p>
      <w:pPr>
        <w:tabs>
          <w:tab w:pos="1134" w:val="left"/>
        </w:tabs>
        <w:ind w:left="1134" w:hanging="567"/>
      </w:pPr>
      <w:r>
        <w:t>l)</w:t>
      </w:r>
      <w:r>
        <w:tab/>
      </w:r>
      <w:r>
        <w:t>Gesellschaften portugiesischen Rechts in Form von Handelsgesellschaften oder zivilrechtlichen Handelsgesellschaften sowie Genossenschaften und öffentliche Unternehmen;</w:t>
      </w:r>
    </w:p>
    <w:p>
      <w:pPr>
        <w:tabs>
          <w:tab w:pos="1134" w:val="left"/>
        </w:tabs>
        <w:ind w:left="1134" w:hanging="567"/>
      </w:pPr>
      <w:r>
        <w:t>m)</w:t>
      </w:r>
      <w:r>
        <w:tab/>
      </w:r>
      <w:r>
        <w:t>Gesellschaften finnischen Rechts mit der Bezeichnung „osakeyhtiö/aktiebolag“, „osuuskunta/andelslag“, „säästöpankki/sparbank“ oder „vakuutusyhtiö/försäkringsbolag“;</w:t>
      </w:r>
    </w:p>
    <w:p>
      <w:pPr>
        <w:tabs>
          <w:tab w:pos="1134" w:val="left"/>
        </w:tabs>
        <w:ind w:left="1134" w:hanging="567"/>
      </w:pPr>
      <w:r>
        <w:t>n)</w:t>
      </w:r>
      <w:r>
        <w:tab/>
      </w:r>
      <w:r>
        <w:t>Gesellschaften schwedischen Rechts mit der Bezeichnung „aktiebolag“ oder „försäkringsaktiebolag“;</w:t>
      </w:r>
    </w:p>
    <w:p>
      <w:pPr>
        <w:tabs>
          <w:tab w:pos="1134" w:val="left"/>
        </w:tabs>
        <w:ind w:left="1134" w:hanging="567"/>
      </w:pPr>
      <w:r>
        <w:t>o)</w:t>
      </w:r>
      <w:r>
        <w:tab/>
      </w:r>
      <w:r>
        <w:t>nach dem Recht des Vereinigten Königreichs gegründete Gesellschaften;</w:t>
      </w:r>
    </w:p>
    <w:p>
      <w:pPr>
        <w:tabs>
          <w:tab w:pos="1134" w:val="left"/>
        </w:tabs>
        <w:ind w:left="1134" w:hanging="567"/>
      </w:pPr>
      <w:r>
        <w:t>p)</w:t>
      </w:r>
      <w:r>
        <w:tab/>
      </w:r>
      <w:r>
        <w:t>Gesellschaften tschechischen Rechts mit der Bezeichnung „akciová společnost“, „společnost s ručením omezeným“, „veřejná obchodní společnost“, „komanditní společnost“ oder „družstvo“;</w:t>
      </w:r>
    </w:p>
    <w:p>
      <w:pPr>
        <w:tabs>
          <w:tab w:pos="1134" w:val="left"/>
        </w:tabs>
        <w:ind w:left="1134" w:hanging="567"/>
      </w:pPr>
      <w:r>
        <w:t>q)</w:t>
      </w:r>
      <w:r>
        <w:tab/>
      </w:r>
      <w:r>
        <w:t>Gesellschaften estnischen Rechts mit der Bezeichnung „täisühing“, „usaldusühing“, „osaühing“, „aktsiaselts“ oder „tulundusühistu“;</w:t>
      </w:r>
    </w:p>
    <w:p>
      <w:pPr>
        <w:tabs>
          <w:tab w:pos="1134" w:val="left"/>
        </w:tabs>
        <w:ind w:left="1134" w:hanging="567"/>
      </w:pPr>
      <w:r>
        <w:t>r)</w:t>
      </w:r>
      <w:r>
        <w:tab/>
      </w:r>
      <w:r>
        <w:t>Gesellschaften zyprischen Rechts, die nach dem Gesellschaftsrecht als Gesellschaften bezeichnet werden, Körperschaften des öffentlichen Rechts und sonstige Körperschaften, die als Gesellschaft im Sinne der Einkommensteuergesetze gelten;</w:t>
      </w:r>
    </w:p>
    <w:p>
      <w:pPr>
        <w:tabs>
          <w:tab w:pos="1134" w:val="left"/>
        </w:tabs>
        <w:ind w:left="1134" w:hanging="567"/>
      </w:pPr>
      <w:r>
        <w:t>s)</w:t>
      </w:r>
      <w:r>
        <w:tab/>
      </w:r>
      <w:r>
        <w:t>Gesellschaften lettischen Rechts mit der Bezeichnung „akciju sabiedrība“ oder „sabiedrība ar ierobežotu atbildību“;</w:t>
      </w:r>
    </w:p>
    <w:p>
      <w:pPr>
        <w:tabs>
          <w:tab w:pos="1134" w:val="left"/>
        </w:tabs>
        <w:ind w:left="1134" w:hanging="567"/>
      </w:pPr>
      <w:r>
        <w:t>t)</w:t>
      </w:r>
      <w:r>
        <w:tab/>
      </w:r>
      <w:r>
        <w:t>nach dem Recht Litauens gegründete Gesellschaften;</w:t>
      </w:r>
    </w:p>
    <w:p>
      <w:pPr>
        <w:tabs>
          <w:tab w:pos="1134" w:val="left"/>
        </w:tabs>
        <w:ind w:left="1134" w:hanging="567"/>
      </w:pPr>
      <w:r>
        <w:t>u)</w:t>
      </w:r>
      <w:r>
        <w:tab/>
      </w:r>
      <w:r>
        <w:t>Gesellschaften ungarischen Rechts mit der Bezeichnung „közkereseti társaság“, „betéti társaság“, „közös vállalat“, „korlátolt felelősségű társaság“, „részvénytársaság“, „egyesülés“, „közhasznú társaság“ oder „szövetkezet“;</w:t>
      </w:r>
    </w:p>
    <w:p>
      <w:pPr>
        <w:tabs>
          <w:tab w:pos="1134" w:val="left"/>
        </w:tabs>
        <w:ind w:left="1134" w:hanging="567"/>
      </w:pPr>
      <w:r>
        <w:t>v)</w:t>
      </w:r>
      <w:r>
        <w:tab/>
      </w:r>
      <w:r>
        <w:t>Gesellschaften maltesischen Rechts mit der Bezeichnung „Kumpaniji ta´ Responsabilita´ Limitata“ oder „Soċjetajiet in akkomandita li l-kapital tagħhom maqsum f ´azzjonijiet“;</w:t>
      </w:r>
    </w:p>
    <w:p>
      <w:pPr>
        <w:tabs>
          <w:tab w:pos="1134" w:val="left"/>
        </w:tabs>
        <w:ind w:left="1134" w:hanging="567"/>
      </w:pPr>
      <w:r>
        <w:t>w)</w:t>
      </w:r>
      <w:r>
        <w:tab/>
      </w:r>
      <w:r>
        <w:t>Gesellschaften polnischen Rechts mit der Bezeichnung „spółka akcyjna“ oder „spółka z ograniczoną odpowiedzialnością“;</w:t>
      </w:r>
    </w:p>
    <w:p>
      <w:pPr>
        <w:tabs>
          <w:tab w:pos="1134" w:val="left"/>
        </w:tabs>
        <w:ind w:left="1134" w:hanging="567"/>
      </w:pPr>
      <w:r>
        <w:t>x)</w:t>
      </w:r>
      <w:r>
        <w:tab/>
      </w:r>
      <w:r>
        <w:t>Gesellschaften slowenischen Rechts mit der Bezeichnung „delniška družba“, „komanditna delniška družba“, „komanditna družba“, „družba z omejeno odgovornostjo“ oder „družba z neomejeno odgovornostjo“;</w:t>
      </w:r>
    </w:p>
    <w:p>
      <w:pPr>
        <w:tabs>
          <w:tab w:pos="1134" w:val="left"/>
        </w:tabs>
        <w:ind w:left="1134" w:hanging="567"/>
      </w:pPr>
      <w:r>
        <w:t>y)</w:t>
      </w:r>
      <w:r>
        <w:tab/>
      </w:r>
      <w:r>
        <w:t>Gesellschaften slowakischen Rechts mit der Bezeichnung „akciová spoločnos“, „spoločnosť s ručením obmedzeným“, „komanditná spoločnos“, „verejná obchodná spoločnos“ oder „družstvo“;</w:t>
      </w:r>
    </w:p>
    <w:p>
      <w:pPr>
        <w:tabs>
          <w:tab w:pos="1134" w:val="left"/>
        </w:tabs>
        <w:ind w:left="1134" w:hanging="567"/>
      </w:pPr>
      <w:r>
        <w:t>aa)</w:t>
      </w:r>
      <w:r>
        <w:tab/>
      </w:r>
      <w:r>
        <w:t>Gesellschaften bulgarischen Rechts mit der Bezeichnung „събирателното дружество“, „командитното дружество“, „дружеството с ограничена отговорност“, „акционерното дружество“, „командитното дружество с акции“, „кооперации“, „кооперативни съюзи“ oder „държавни предприятия“, die nach bulgarischem Recht gegründet wurden und gewerbliche Tätigkeiten ausüben;</w:t>
      </w:r>
    </w:p>
    <w:p>
      <w:pPr>
        <w:tabs>
          <w:tab w:pos="1134" w:val="left"/>
        </w:tabs>
        <w:ind w:left="1134" w:hanging="567"/>
      </w:pPr>
      <w:r>
        <w:t>bb)</w:t>
      </w:r>
      <w:r>
        <w:tab/>
      </w:r>
      <w:r>
        <w:t>Gesellschaften rumänischen Rechts mit der Bezeichnung „societăţi pe acţiuni“, „societăţi în comandită pe acţiuni“ oder „societăţi cu răspundere limitată“;</w:t>
      </w:r>
    </w:p>
    <w:p>
      <w:pPr>
        <w:tabs>
          <w:tab w:pos="1134" w:val="left"/>
        </w:tabs>
        <w:ind w:left="1134" w:hanging="567"/>
      </w:pPr>
      <w:r>
        <w:t>cc)</w:t>
      </w:r>
      <w:r>
        <w:tab/>
      </w:r>
      <w:r>
        <w:t>Gesellschaften kroatischen Rechts mit der Bezeichnung „dioničko društvo“ oder „društvo s ograničenom odgovornošću“ und andere nach kroatischem Recht gegründete Gesellschaften, die der kroatischen Gewinnsteuer unterliegen.</w:t>
      </w:r>
    </w:p>
    <w:p>
      <w:pPr>
        <w:tabs>
          <w:tab w:pos="567" w:val="left"/>
        </w:tabs>
        <w:ind w:left="567" w:hanging="567"/>
      </w:pPr>
      <w:r>
        <w:t>2.</w:t>
      </w:r>
      <w:r>
        <w:tab/>
      </w:r>
      <w:r>
        <w:t>Steuern im Sinne von § 50g Absatz 3 Nummer 5 Buchstabe a Doppelbuchstabe cc sind:</w:t>
      </w:r>
    </w:p>
    <w:p>
      <w:pPr>
        <w:tabs>
          <w:tab w:pos="1134" w:val="left"/>
        </w:tabs>
        <w:ind w:left="1134" w:hanging="567"/>
      </w:pPr>
      <w:r>
        <w:t>–</w:t>
      </w:r>
      <w:r>
        <w:tab/>
      </w:r>
      <w:r>
        <w:t>impôt des sociétés/vennootschapsbelasting in Belgien,</w:t>
      </w:r>
    </w:p>
    <w:p>
      <w:pPr>
        <w:tabs>
          <w:tab w:pos="1134" w:val="left"/>
        </w:tabs>
        <w:ind w:left="1134" w:hanging="567"/>
      </w:pPr>
      <w:r>
        <w:t>–</w:t>
      </w:r>
      <w:r>
        <w:tab/>
      </w:r>
      <w:r>
        <w:t>selskabsskat in Dänemark,</w:t>
      </w:r>
    </w:p>
    <w:p>
      <w:pPr>
        <w:tabs>
          <w:tab w:pos="1134" w:val="left"/>
        </w:tabs>
        <w:ind w:left="1134" w:hanging="567"/>
      </w:pPr>
      <w:r>
        <w:t>–</w:t>
      </w:r>
      <w:r>
        <w:tab/>
      </w:r>
      <w:r>
        <w:t>Körperschaftsteuer in Deutschland,</w:t>
      </w:r>
    </w:p>
    <w:p>
      <w:pPr>
        <w:tabs>
          <w:tab w:pos="1134" w:val="left"/>
        </w:tabs>
        <w:ind w:left="1134" w:hanging="567"/>
      </w:pPr>
      <w:r>
        <w:t>–</w:t>
      </w:r>
      <w:r>
        <w:tab/>
      </w:r>
      <w:r>
        <w:t>Φόρος εισοδήµατος νοµικών προσώπων in Griechenland,</w:t>
      </w:r>
    </w:p>
    <w:p>
      <w:pPr>
        <w:tabs>
          <w:tab w:pos="1134" w:val="left"/>
        </w:tabs>
        <w:ind w:left="1134" w:hanging="567"/>
      </w:pPr>
      <w:r>
        <w:t>–</w:t>
      </w:r>
      <w:r>
        <w:tab/>
      </w:r>
      <w:r>
        <w:t>impuesto sobre sociedades in Spanien,</w:t>
      </w:r>
    </w:p>
    <w:p>
      <w:pPr>
        <w:tabs>
          <w:tab w:pos="1134" w:val="left"/>
        </w:tabs>
        <w:ind w:left="1134" w:hanging="567"/>
      </w:pPr>
      <w:r>
        <w:t>–</w:t>
      </w:r>
      <w:r>
        <w:tab/>
      </w:r>
      <w:r>
        <w:t>impôt sur les sociétés in Frankreich,</w:t>
      </w:r>
    </w:p>
    <w:p>
      <w:pPr>
        <w:tabs>
          <w:tab w:pos="1134" w:val="left"/>
        </w:tabs>
        <w:ind w:left="1134" w:hanging="567"/>
      </w:pPr>
      <w:r>
        <w:t>–</w:t>
      </w:r>
      <w:r>
        <w:tab/>
      </w:r>
      <w:r>
        <w:t>corporation tax in Irland,</w:t>
      </w:r>
    </w:p>
    <w:p>
      <w:pPr>
        <w:tabs>
          <w:tab w:pos="1134" w:val="left"/>
        </w:tabs>
        <w:ind w:left="1134" w:hanging="567"/>
      </w:pPr>
      <w:r>
        <w:t>–</w:t>
      </w:r>
      <w:r>
        <w:tab/>
      </w:r>
      <w:r>
        <w:t>imposta sul reddito delle persone giuridiche in Italien,</w:t>
      </w:r>
    </w:p>
    <w:p>
      <w:pPr>
        <w:tabs>
          <w:tab w:pos="1134" w:val="left"/>
        </w:tabs>
        <w:ind w:left="1134" w:hanging="567"/>
      </w:pPr>
      <w:r>
        <w:t>–</w:t>
      </w:r>
      <w:r>
        <w:tab/>
      </w:r>
      <w:r>
        <w:t>impôt sur le revenu des collectivités in Luxemburg,</w:t>
      </w:r>
    </w:p>
    <w:p>
      <w:pPr>
        <w:tabs>
          <w:tab w:pos="1134" w:val="left"/>
        </w:tabs>
        <w:ind w:left="1134" w:hanging="567"/>
      </w:pPr>
      <w:r>
        <w:t>–</w:t>
      </w:r>
      <w:r>
        <w:tab/>
      </w:r>
      <w:r>
        <w:t>vennootschapsbelasting in den Niederlanden,</w:t>
      </w:r>
    </w:p>
    <w:p>
      <w:pPr>
        <w:tabs>
          <w:tab w:pos="1134" w:val="left"/>
        </w:tabs>
        <w:ind w:left="1134" w:hanging="567"/>
      </w:pPr>
      <w:r>
        <w:t>–</w:t>
      </w:r>
      <w:r>
        <w:tab/>
      </w:r>
      <w:r>
        <w:t>Körperschaftsteuer in Österreich,</w:t>
      </w:r>
    </w:p>
    <w:p>
      <w:pPr>
        <w:tabs>
          <w:tab w:pos="1134" w:val="left"/>
        </w:tabs>
        <w:ind w:left="1134" w:hanging="567"/>
      </w:pPr>
      <w:r>
        <w:t>–</w:t>
      </w:r>
      <w:r>
        <w:tab/>
      </w:r>
      <w:r>
        <w:t>imposto sobre o rendimento da pessoas colectivas in Portugal,</w:t>
      </w:r>
    </w:p>
    <w:p>
      <w:pPr>
        <w:tabs>
          <w:tab w:pos="1134" w:val="left"/>
        </w:tabs>
        <w:ind w:left="1134" w:hanging="567"/>
      </w:pPr>
      <w:r>
        <w:t>–</w:t>
      </w:r>
      <w:r>
        <w:tab/>
      </w:r>
      <w:r>
        <w:t>yhteisöjen tulovero/inkomstskatten för samfund in Finnland,</w:t>
      </w:r>
    </w:p>
    <w:p>
      <w:pPr>
        <w:tabs>
          <w:tab w:pos="1134" w:val="left"/>
        </w:tabs>
        <w:ind w:left="1134" w:hanging="567"/>
      </w:pPr>
      <w:r>
        <w:t>–</w:t>
      </w:r>
      <w:r>
        <w:tab/>
      </w:r>
      <w:r>
        <w:t>statlig inkomstskatt in Schweden,</w:t>
      </w:r>
    </w:p>
    <w:p>
      <w:pPr>
        <w:tabs>
          <w:tab w:pos="1134" w:val="left"/>
        </w:tabs>
        <w:ind w:left="1134" w:hanging="567"/>
      </w:pPr>
      <w:r>
        <w:t>–</w:t>
      </w:r>
      <w:r>
        <w:tab/>
      </w:r>
      <w:r>
        <w:t>corporation tax im Vereinigten Königreich,</w:t>
      </w:r>
    </w:p>
    <w:p>
      <w:pPr>
        <w:tabs>
          <w:tab w:pos="1134" w:val="left"/>
        </w:tabs>
        <w:ind w:left="1134" w:hanging="567"/>
      </w:pPr>
      <w:r>
        <w:t>–</w:t>
      </w:r>
      <w:r>
        <w:tab/>
      </w:r>
      <w:r>
        <w:t>Daň z příjmů právnických osob in der Tschechischen Republik,</w:t>
      </w:r>
    </w:p>
    <w:p>
      <w:pPr>
        <w:tabs>
          <w:tab w:pos="1134" w:val="left"/>
        </w:tabs>
        <w:ind w:left="1134" w:hanging="567"/>
      </w:pPr>
      <w:r>
        <w:t>–</w:t>
      </w:r>
      <w:r>
        <w:tab/>
      </w:r>
      <w:r>
        <w:t>Tulumaks in Estland,</w:t>
      </w:r>
    </w:p>
    <w:p>
      <w:pPr>
        <w:tabs>
          <w:tab w:pos="1134" w:val="left"/>
        </w:tabs>
        <w:ind w:left="1134" w:hanging="567"/>
      </w:pPr>
      <w:r>
        <w:t>–</w:t>
      </w:r>
      <w:r>
        <w:tab/>
      </w:r>
      <w:r>
        <w:t>φόρος εισοδήματος in Zypern,</w:t>
      </w:r>
    </w:p>
    <w:p>
      <w:pPr>
        <w:tabs>
          <w:tab w:pos="1134" w:val="left"/>
        </w:tabs>
        <w:ind w:left="1134" w:hanging="567"/>
      </w:pPr>
      <w:r>
        <w:t>–</w:t>
      </w:r>
      <w:r>
        <w:tab/>
      </w:r>
      <w:r>
        <w:t>Uzņēmumu ienākuma nodoklis in Lettland,</w:t>
      </w:r>
    </w:p>
    <w:p>
      <w:pPr>
        <w:tabs>
          <w:tab w:pos="1134" w:val="left"/>
        </w:tabs>
        <w:ind w:left="1134" w:hanging="567"/>
      </w:pPr>
      <w:r>
        <w:t>–</w:t>
      </w:r>
      <w:r>
        <w:tab/>
      </w:r>
      <w:r>
        <w:t>Pelno mokestis in Litauen,</w:t>
      </w:r>
    </w:p>
    <w:p>
      <w:pPr>
        <w:tabs>
          <w:tab w:pos="1134" w:val="left"/>
        </w:tabs>
        <w:ind w:left="1134" w:hanging="567"/>
      </w:pPr>
      <w:r>
        <w:t>–</w:t>
      </w:r>
      <w:r>
        <w:tab/>
      </w:r>
      <w:r>
        <w:t>Társasági adó in Ungarn,</w:t>
      </w:r>
    </w:p>
    <w:p>
      <w:pPr>
        <w:tabs>
          <w:tab w:pos="1134" w:val="left"/>
        </w:tabs>
        <w:ind w:left="1134" w:hanging="567"/>
      </w:pPr>
      <w:r>
        <w:t>–</w:t>
      </w:r>
      <w:r>
        <w:tab/>
      </w:r>
      <w:r>
        <w:t>Taxxa fuq l-income in Malta,</w:t>
      </w:r>
    </w:p>
    <w:p>
      <w:pPr>
        <w:tabs>
          <w:tab w:pos="1134" w:val="left"/>
        </w:tabs>
        <w:ind w:left="1134" w:hanging="567"/>
      </w:pPr>
      <w:r>
        <w:t>–</w:t>
      </w:r>
      <w:r>
        <w:tab/>
      </w:r>
      <w:r>
        <w:t>Podatek dochodowy od osób prawnych in Polen,</w:t>
      </w:r>
    </w:p>
    <w:p>
      <w:pPr>
        <w:tabs>
          <w:tab w:pos="1134" w:val="left"/>
        </w:tabs>
        <w:ind w:left="1134" w:hanging="567"/>
      </w:pPr>
      <w:r>
        <w:t>–</w:t>
      </w:r>
      <w:r>
        <w:tab/>
      </w:r>
      <w:r>
        <w:t>Davek od dobička pravnih oseb in Slowenien,</w:t>
      </w:r>
    </w:p>
    <w:p>
      <w:pPr>
        <w:tabs>
          <w:tab w:pos="1134" w:val="left"/>
        </w:tabs>
        <w:ind w:left="1134" w:hanging="567"/>
      </w:pPr>
      <w:r>
        <w:t>–</w:t>
      </w:r>
      <w:r>
        <w:tab/>
      </w:r>
      <w:r>
        <w:t>Daň z príjmov právnických osôb in der Slowakei,</w:t>
      </w:r>
    </w:p>
    <w:p>
      <w:pPr>
        <w:tabs>
          <w:tab w:pos="1134" w:val="left"/>
        </w:tabs>
        <w:ind w:left="1134" w:hanging="567"/>
      </w:pPr>
      <w:r>
        <w:t>–</w:t>
      </w:r>
      <w:r>
        <w:tab/>
      </w:r>
      <w:r>
        <w:t>корпоративен данък in Bulgarien,</w:t>
      </w:r>
    </w:p>
    <w:p>
      <w:pPr>
        <w:tabs>
          <w:tab w:pos="1134" w:val="left"/>
        </w:tabs>
        <w:ind w:left="1134" w:hanging="567"/>
      </w:pPr>
      <w:r>
        <w:t>–</w:t>
      </w:r>
      <w:r>
        <w:tab/>
      </w:r>
      <w:r>
        <w:t>impozit pe profit, impozitul pe veniturile obţinute din România de nerezidenţi in Rumänien,</w:t>
      </w:r>
    </w:p>
    <w:p>
      <w:pPr>
        <w:tabs>
          <w:tab w:pos="1134" w:val="left"/>
        </w:tabs>
        <w:ind w:left="1134" w:hanging="567"/>
      </w:pPr>
      <w:r>
        <w:t>–</w:t>
      </w:r>
      <w:r>
        <w:tab/>
      </w:r>
      <w:r>
        <w:t>porez na dobit in Kroatien.</w:t>
      </w:r>
    </w:p>
    <w:p>
      <w:pPr>
        <w:spacing w:before="480"/>
      </w:pPr>
      <w:r>
        <w:t xml:space="preserve">Ende des Gesetzes: Einkommensteuergesetz (EStG)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es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Einkommensteuergesetz (EStG)</dc:title>
  <dc:subject>Nicht amtliche Fassung</dc:subject>
  <dc:creator>Barrierefreie Gesetze</dc:creator>
  <cp:keywords/>
  <dc:description/>
  <cp:lastModifiedBy>Barrierefreie Gesetze</cp:lastModifiedBy>
  <cp:revision>1</cp:revision>
  <dcterms:created xsi:type="dcterms:W3CDTF">2026-10-19T11:37:23Z</dcterms:created>
  <dcterms:modified xsi:type="dcterms:W3CDTF">2026-10-19T11:37:23Z</dcterms:modified>
  <cp:category/>
  <dc:language>de-DE</dc:language>
</cp:coreProperties>
</file>