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Einführungsgesetz zum Bürgerlichen Gesetzbuche (EGBGB)</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18.08.1896</w:t>
      </w:r>
    </w:p>
    <w:p>
      <w:pPr>
        <w:pStyle w:val="Stand"/>
      </w:pPr>
      <w:r>
        <w:rPr>
          <w:b/>
        </w:rPr>
        <w:t xml:space="preserve">Letzte Änderung: </w:t>
      </w:r>
      <w:r>
        <w:t>Art. 2 G v. 16.07.2026 I Nr. 212</w:t>
      </w:r>
    </w:p>
    <w:p>
      <w:pPr>
        <w:pStyle w:val="Stand"/>
      </w:pPr>
      <w:r>
        <w:rPr>
          <w:b/>
        </w:rPr>
        <w:t xml:space="preserve">Neufassung: </w:t>
      </w:r>
      <w:r>
        <w:t>Bek. v. 21.09.1994 I 2494; 1997, 1061</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Teil Allgemeine Vorschriften</w:t>
        </w:r>
      </w:hyperlink>
    </w:p>
    <w:p>
      <w:pPr>
        <w:pStyle w:val="Übersicht"/>
        <w:ind w:left="340"/>
      </w:pPr>
      <w:hyperlink w:anchor="b1" w:history="1">
        <w:r>
          <w:rPr>
            <w:b/>
            <w:color w:val="0A3A8C"/>
            <w:u w:val="single"/>
          </w:rPr>
          <w:t xml:space="preserve">Erstes Kapitel Inkrafttreten. Vorbehalt für Landesrecht. Gesetzesbegriff</w:t>
        </w:r>
      </w:hyperlink>
    </w:p>
    <w:p>
      <w:pPr>
        <w:pStyle w:val="Übersicht"/>
        <w:ind w:left="680"/>
      </w:pPr>
      <w:hyperlink w:anchor="b2" w:history="1">
        <w:r>
          <w:rPr>
            <w:color w:val="0A3A8C"/>
            <w:u w:val="single"/>
          </w:rPr>
          <w:t xml:space="preserve">Art. 1 bis 2</w:t>
        </w:r>
      </w:hyperlink>
    </w:p>
    <w:p>
      <w:pPr>
        <w:pStyle w:val="Übersicht"/>
        <w:ind w:left="340"/>
      </w:pPr>
      <w:hyperlink w:anchor="b4" w:history="1">
        <w:r>
          <w:rPr>
            <w:b/>
            <w:color w:val="0A3A8C"/>
            <w:u w:val="single"/>
          </w:rPr>
          <w:t xml:space="preserve">Zweites Kapitel Internationales Privatrecht</w:t>
        </w:r>
      </w:hyperlink>
    </w:p>
    <w:p>
      <w:pPr>
        <w:pStyle w:val="Übersicht"/>
        <w:ind w:left="680"/>
      </w:pPr>
      <w:hyperlink w:anchor="b5" w:history="1">
        <w:r>
          <w:rPr>
            <w:b/>
            <w:color w:val="0A3A8C"/>
            <w:u w:val="single"/>
          </w:rPr>
          <w:t xml:space="preserve">Erster Abschnitt Allgemeine Vorschriften</w:t>
        </w:r>
      </w:hyperlink>
    </w:p>
    <w:p>
      <w:pPr>
        <w:pStyle w:val="Übersicht"/>
        <w:ind w:left="1020"/>
      </w:pPr>
      <w:hyperlink w:anchor="b6" w:history="1">
        <w:r>
          <w:rPr>
            <w:color w:val="0A3A8C"/>
            <w:u w:val="single"/>
          </w:rPr>
          <w:t xml:space="preserve">Art. 3 Anwendungsbereich; Verhältnis zu Regelungen der Europäischen Union und zu völkerrechtlichen Vereinbarungen</w:t>
        </w:r>
      </w:hyperlink>
    </w:p>
    <w:p>
      <w:pPr>
        <w:pStyle w:val="Übersicht"/>
        <w:ind w:left="1020"/>
      </w:pPr>
      <w:hyperlink w:anchor="b7" w:history="1">
        <w:r>
          <w:rPr>
            <w:color w:val="0A3A8C"/>
            <w:u w:val="single"/>
          </w:rPr>
          <w:t xml:space="preserve">Art. 4 Verweisung</w:t>
        </w:r>
      </w:hyperlink>
    </w:p>
    <w:p>
      <w:pPr>
        <w:pStyle w:val="Übersicht"/>
        <w:ind w:left="1020"/>
      </w:pPr>
      <w:hyperlink w:anchor="b8" w:history="1">
        <w:r>
          <w:rPr>
            <w:color w:val="0A3A8C"/>
            <w:u w:val="single"/>
          </w:rPr>
          <w:t xml:space="preserve">Art. 5 Personalstatut</w:t>
        </w:r>
      </w:hyperlink>
    </w:p>
    <w:p>
      <w:pPr>
        <w:pStyle w:val="Übersicht"/>
        <w:ind w:left="1020"/>
      </w:pPr>
      <w:hyperlink w:anchor="b9" w:history="1">
        <w:r>
          <w:rPr>
            <w:color w:val="0A3A8C"/>
            <w:u w:val="single"/>
          </w:rPr>
          <w:t xml:space="preserve">Art. 6 Öffentliche Ordnung (ordre public)</w:t>
        </w:r>
      </w:hyperlink>
    </w:p>
    <w:p>
      <w:pPr>
        <w:pStyle w:val="Übersicht"/>
        <w:ind w:left="680"/>
      </w:pPr>
      <w:hyperlink w:anchor="b10" w:history="1">
        <w:r>
          <w:rPr>
            <w:b/>
            <w:color w:val="0A3A8C"/>
            <w:u w:val="single"/>
          </w:rPr>
          <w:t xml:space="preserve">Zweiter Abschnitt Recht der natürlichen Personen und der Rechtsgeschäfte</w:t>
        </w:r>
      </w:hyperlink>
    </w:p>
    <w:p>
      <w:pPr>
        <w:pStyle w:val="Übersicht"/>
        <w:ind w:left="1020"/>
      </w:pPr>
      <w:hyperlink w:anchor="b11" w:history="1">
        <w:r>
          <w:rPr>
            <w:color w:val="0A3A8C"/>
            <w:u w:val="single"/>
          </w:rPr>
          <w:t xml:space="preserve">Art. 7 Rechts- und Geschäftsfähigkeit</w:t>
        </w:r>
      </w:hyperlink>
    </w:p>
    <w:p>
      <w:pPr>
        <w:pStyle w:val="Übersicht"/>
        <w:ind w:left="1020"/>
      </w:pPr>
      <w:hyperlink w:anchor="b12" w:history="1">
        <w:r>
          <w:rPr>
            <w:color w:val="0A3A8C"/>
            <w:u w:val="single"/>
          </w:rPr>
          <w:t xml:space="preserve">Art. 7a Geschlechtszugehörigkeit</w:t>
        </w:r>
      </w:hyperlink>
    </w:p>
    <w:p>
      <w:pPr>
        <w:pStyle w:val="Übersicht"/>
        <w:ind w:left="1020"/>
      </w:pPr>
      <w:hyperlink w:anchor="b13" w:history="1">
        <w:r>
          <w:rPr>
            <w:color w:val="0A3A8C"/>
            <w:u w:val="single"/>
          </w:rPr>
          <w:t xml:space="preserve">Art. 8 Gewillkürte Stellvertretung</w:t>
        </w:r>
      </w:hyperlink>
    </w:p>
    <w:p>
      <w:pPr>
        <w:pStyle w:val="Übersicht"/>
        <w:ind w:left="1020"/>
      </w:pPr>
      <w:hyperlink w:anchor="b14" w:history="1">
        <w:r>
          <w:rPr>
            <w:color w:val="0A3A8C"/>
            <w:u w:val="single"/>
          </w:rPr>
          <w:t xml:space="preserve">Art. 9 Todeserklärung</w:t>
        </w:r>
      </w:hyperlink>
    </w:p>
    <w:p>
      <w:pPr>
        <w:pStyle w:val="Übersicht"/>
        <w:ind w:left="1020"/>
      </w:pPr>
      <w:hyperlink w:anchor="b15" w:history="1">
        <w:r>
          <w:rPr>
            <w:color w:val="0A3A8C"/>
            <w:u w:val="single"/>
          </w:rPr>
          <w:t xml:space="preserve">Art. 10 Name</w:t>
        </w:r>
      </w:hyperlink>
    </w:p>
    <w:p>
      <w:pPr>
        <w:pStyle w:val="Übersicht"/>
        <w:ind w:left="1020"/>
      </w:pPr>
      <w:hyperlink w:anchor="b16" w:history="1">
        <w:r>
          <w:rPr>
            <w:color w:val="0A3A8C"/>
            <w:u w:val="single"/>
          </w:rPr>
          <w:t xml:space="preserve">Art. 11 Form von Rechtsgeschäften</w:t>
        </w:r>
      </w:hyperlink>
    </w:p>
    <w:p>
      <w:pPr>
        <w:pStyle w:val="Übersicht"/>
        <w:ind w:left="1020"/>
      </w:pPr>
      <w:hyperlink w:anchor="b17" w:history="1">
        <w:r>
          <w:rPr>
            <w:color w:val="0A3A8C"/>
            <w:u w:val="single"/>
          </w:rPr>
          <w:t xml:space="preserve">Art. 12 Schutz des anderen Vertragsteils</w:t>
        </w:r>
      </w:hyperlink>
    </w:p>
    <w:p>
      <w:pPr>
        <w:pStyle w:val="Übersicht"/>
        <w:ind w:left="680"/>
      </w:pPr>
      <w:hyperlink w:anchor="b18" w:history="1">
        <w:r>
          <w:rPr>
            <w:b/>
            <w:color w:val="0A3A8C"/>
            <w:u w:val="single"/>
          </w:rPr>
          <w:t xml:space="preserve">Dritter Abschnitt Familienrecht</w:t>
        </w:r>
      </w:hyperlink>
    </w:p>
    <w:p>
      <w:pPr>
        <w:pStyle w:val="Übersicht"/>
        <w:ind w:left="1020"/>
      </w:pPr>
      <w:hyperlink w:anchor="b19" w:history="1">
        <w:r>
          <w:rPr>
            <w:color w:val="0A3A8C"/>
            <w:u w:val="single"/>
          </w:rPr>
          <w:t xml:space="preserve">Art. 13 Eheschließung</w:t>
        </w:r>
      </w:hyperlink>
    </w:p>
    <w:p>
      <w:pPr>
        <w:pStyle w:val="Übersicht"/>
        <w:ind w:left="1020"/>
      </w:pPr>
      <w:hyperlink w:anchor="b20" w:history="1">
        <w:r>
          <w:rPr>
            <w:color w:val="0A3A8C"/>
            <w:u w:val="single"/>
          </w:rPr>
          <w:t xml:space="preserve">Art. 14 Allgemeine Ehewirkungen</w:t>
        </w:r>
      </w:hyperlink>
    </w:p>
    <w:p>
      <w:pPr>
        <w:pStyle w:val="Übersicht"/>
        <w:ind w:left="1020"/>
      </w:pPr>
      <w:hyperlink w:anchor="b21" w:history="1">
        <w:r>
          <w:rPr>
            <w:color w:val="0A3A8C"/>
            <w:u w:val="single"/>
          </w:rPr>
          <w:t xml:space="preserve">Art. 15 Gegenseitige Vertretung von Ehegatten</w:t>
        </w:r>
      </w:hyperlink>
    </w:p>
    <w:p>
      <w:pPr>
        <w:pStyle w:val="Übersicht"/>
        <w:ind w:left="1020"/>
      </w:pPr>
      <w:hyperlink w:anchor="b22" w:history="1">
        <w:r>
          <w:rPr>
            <w:color w:val="0A3A8C"/>
            <w:u w:val="single"/>
          </w:rPr>
          <w:t xml:space="preserve">Art. 16 (weggefallen)</w:t>
        </w:r>
      </w:hyperlink>
    </w:p>
    <w:p>
      <w:pPr>
        <w:pStyle w:val="Übersicht"/>
        <w:ind w:left="1020"/>
      </w:pPr>
      <w:hyperlink w:anchor="b23" w:history="1">
        <w:r>
          <w:rPr>
            <w:color w:val="0A3A8C"/>
            <w:u w:val="single"/>
          </w:rPr>
          <w:t xml:space="preserve">Art. 17 Sonderregelungen zur Scheidung</w:t>
        </w:r>
      </w:hyperlink>
    </w:p>
    <w:p>
      <w:pPr>
        <w:pStyle w:val="Übersicht"/>
        <w:ind w:left="1020"/>
      </w:pPr>
      <w:hyperlink w:anchor="b24" w:history="1">
        <w:r>
          <w:rPr>
            <w:color w:val="0A3A8C"/>
            <w:u w:val="single"/>
          </w:rPr>
          <w:t xml:space="preserve">Art. 17a Ehewohnung</w:t>
        </w:r>
      </w:hyperlink>
    </w:p>
    <w:p>
      <w:pPr>
        <w:pStyle w:val="Übersicht"/>
        <w:ind w:left="1020"/>
      </w:pPr>
      <w:hyperlink w:anchor="b25" w:history="1">
        <w:r>
          <w:rPr>
            <w:color w:val="0A3A8C"/>
            <w:u w:val="single"/>
          </w:rPr>
          <w:t xml:space="preserve">Art. 17b Eingetragene Lebenspartnerschaft und gleichgeschlechtliche Ehe</w:t>
        </w:r>
      </w:hyperlink>
    </w:p>
    <w:p>
      <w:pPr>
        <w:pStyle w:val="Übersicht"/>
        <w:ind w:left="1020"/>
      </w:pPr>
      <w:hyperlink w:anchor="b26" w:history="1">
        <w:r>
          <w:rPr>
            <w:color w:val="0A3A8C"/>
            <w:u w:val="single"/>
          </w:rPr>
          <w:t xml:space="preserve">Art. 18 (weggefallen)</w:t>
        </w:r>
      </w:hyperlink>
    </w:p>
    <w:p>
      <w:pPr>
        <w:pStyle w:val="Übersicht"/>
        <w:ind w:left="1020"/>
      </w:pPr>
      <w:hyperlink w:anchor="b27" w:history="1">
        <w:r>
          <w:rPr>
            <w:color w:val="0A3A8C"/>
            <w:u w:val="single"/>
          </w:rPr>
          <w:t xml:space="preserve">Art. 19 Abstammung</w:t>
        </w:r>
      </w:hyperlink>
    </w:p>
    <w:p>
      <w:pPr>
        <w:pStyle w:val="Übersicht"/>
        <w:ind w:left="1020"/>
      </w:pPr>
      <w:hyperlink w:anchor="b28" w:history="1">
        <w:r>
          <w:rPr>
            <w:color w:val="0A3A8C"/>
            <w:u w:val="single"/>
          </w:rPr>
          <w:t xml:space="preserve">Art. 20 Anfechtung der Abstammung</w:t>
        </w:r>
      </w:hyperlink>
    </w:p>
    <w:p>
      <w:pPr>
        <w:pStyle w:val="Übersicht"/>
        <w:ind w:left="1020"/>
      </w:pPr>
      <w:hyperlink w:anchor="b29" w:history="1">
        <w:r>
          <w:rPr>
            <w:color w:val="0A3A8C"/>
            <w:u w:val="single"/>
          </w:rPr>
          <w:t xml:space="preserve">Art. 21 Wirkungen des Eltern-Kind-Verhältnisses</w:t>
        </w:r>
      </w:hyperlink>
    </w:p>
    <w:p>
      <w:pPr>
        <w:pStyle w:val="Übersicht"/>
        <w:ind w:left="1020"/>
      </w:pPr>
      <w:hyperlink w:anchor="b30" w:history="1">
        <w:r>
          <w:rPr>
            <w:color w:val="0A3A8C"/>
            <w:u w:val="single"/>
          </w:rPr>
          <w:t xml:space="preserve">Art. 22 Annahme als Kind</w:t>
        </w:r>
      </w:hyperlink>
    </w:p>
    <w:p>
      <w:pPr>
        <w:pStyle w:val="Übersicht"/>
        <w:ind w:left="1020"/>
      </w:pPr>
      <w:hyperlink w:anchor="b31" w:history="1">
        <w:r>
          <w:rPr>
            <w:color w:val="0A3A8C"/>
            <w:u w:val="single"/>
          </w:rPr>
          <w:t xml:space="preserve">Art. 23 Zustimmung</w:t>
        </w:r>
      </w:hyperlink>
    </w:p>
    <w:p>
      <w:pPr>
        <w:pStyle w:val="Übersicht"/>
        <w:ind w:left="1020"/>
      </w:pPr>
      <w:hyperlink w:anchor="b32" w:history="1">
        <w:r>
          <w:rPr>
            <w:color w:val="0A3A8C"/>
            <w:u w:val="single"/>
          </w:rPr>
          <w:t xml:space="preserve">Art. 24 Vormundschaft, Betreuung und Pflegschaft</w:t>
        </w:r>
      </w:hyperlink>
    </w:p>
    <w:p>
      <w:pPr>
        <w:pStyle w:val="Übersicht"/>
        <w:ind w:left="680"/>
      </w:pPr>
      <w:hyperlink w:anchor="b33" w:history="1">
        <w:r>
          <w:rPr>
            <w:b/>
            <w:color w:val="0A3A8C"/>
            <w:u w:val="single"/>
          </w:rPr>
          <w:t xml:space="preserve">Vierter Abschnitt Erbrecht</w:t>
        </w:r>
      </w:hyperlink>
    </w:p>
    <w:p>
      <w:pPr>
        <w:pStyle w:val="Übersicht"/>
        <w:ind w:left="1020"/>
      </w:pPr>
      <w:hyperlink w:anchor="b34" w:history="1">
        <w:r>
          <w:rPr>
            <w:color w:val="0A3A8C"/>
            <w:u w:val="single"/>
          </w:rPr>
          <w:t xml:space="preserve">Art. 25 Rechtsnachfolge von Todes wegen</w:t>
        </w:r>
      </w:hyperlink>
    </w:p>
    <w:p>
      <w:pPr>
        <w:pStyle w:val="Übersicht"/>
        <w:ind w:left="1020"/>
      </w:pPr>
      <w:hyperlink w:anchor="b35" w:history="1">
        <w:r>
          <w:rPr>
            <w:color w:val="0A3A8C"/>
            <w:u w:val="single"/>
          </w:rPr>
          <w:t xml:space="preserve">Art. 26 Form von Verfügungen von Todes wegen</w:t>
        </w:r>
      </w:hyperlink>
    </w:p>
    <w:p>
      <w:pPr>
        <w:pStyle w:val="Übersicht"/>
        <w:ind w:left="680"/>
      </w:pPr>
      <w:hyperlink w:anchor="b36" w:history="1">
        <w:r>
          <w:rPr>
            <w:b/>
            <w:color w:val="0A3A8C"/>
            <w:u w:val="single"/>
          </w:rPr>
          <w:t xml:space="preserve">Fünfter Abschnitt Außervertragliche Schuldverhältnisse</w:t>
        </w:r>
      </w:hyperlink>
    </w:p>
    <w:p>
      <w:pPr>
        <w:pStyle w:val="Übersicht"/>
        <w:ind w:left="1020"/>
      </w:pPr>
      <w:hyperlink w:anchor="b37" w:history="1">
        <w:r>
          <w:rPr>
            <w:color w:val="0A3A8C"/>
            <w:u w:val="single"/>
          </w:rPr>
          <w:t xml:space="preserve">Art. 27 bis 37 (weggefallen)</w:t>
        </w:r>
      </w:hyperlink>
    </w:p>
    <w:p>
      <w:pPr>
        <w:pStyle w:val="Übersicht"/>
        <w:ind w:left="1020"/>
      </w:pPr>
      <w:hyperlink w:anchor="b38" w:history="1">
        <w:r>
          <w:rPr>
            <w:color w:val="0A3A8C"/>
            <w:u w:val="single"/>
          </w:rPr>
          <w:t xml:space="preserve">Art. 38 Ungerechtfertigte Bereicherung</w:t>
        </w:r>
      </w:hyperlink>
    </w:p>
    <w:p>
      <w:pPr>
        <w:pStyle w:val="Übersicht"/>
        <w:ind w:left="1020"/>
      </w:pPr>
      <w:hyperlink w:anchor="b39" w:history="1">
        <w:r>
          <w:rPr>
            <w:color w:val="0A3A8C"/>
            <w:u w:val="single"/>
          </w:rPr>
          <w:t xml:space="preserve">Art. 39 Geschäftsführung ohne Auftrag</w:t>
        </w:r>
      </w:hyperlink>
    </w:p>
    <w:p>
      <w:pPr>
        <w:pStyle w:val="Übersicht"/>
        <w:ind w:left="1020"/>
      </w:pPr>
      <w:hyperlink w:anchor="b40" w:history="1">
        <w:r>
          <w:rPr>
            <w:color w:val="0A3A8C"/>
            <w:u w:val="single"/>
          </w:rPr>
          <w:t xml:space="preserve">Art. 40 Unerlaubte Handlung</w:t>
        </w:r>
      </w:hyperlink>
    </w:p>
    <w:p>
      <w:pPr>
        <w:pStyle w:val="Übersicht"/>
        <w:ind w:left="1020"/>
      </w:pPr>
      <w:hyperlink w:anchor="b41" w:history="1">
        <w:r>
          <w:rPr>
            <w:color w:val="0A3A8C"/>
            <w:u w:val="single"/>
          </w:rPr>
          <w:t xml:space="preserve">Art. 41 Wesentlich engere Verbindung</w:t>
        </w:r>
      </w:hyperlink>
    </w:p>
    <w:p>
      <w:pPr>
        <w:pStyle w:val="Übersicht"/>
        <w:ind w:left="1020"/>
      </w:pPr>
      <w:hyperlink w:anchor="b42" w:history="1">
        <w:r>
          <w:rPr>
            <w:color w:val="0A3A8C"/>
            <w:u w:val="single"/>
          </w:rPr>
          <w:t xml:space="preserve">Art. 42 Rechtswahl</w:t>
        </w:r>
      </w:hyperlink>
    </w:p>
    <w:p>
      <w:pPr>
        <w:pStyle w:val="Übersicht"/>
        <w:ind w:left="680"/>
      </w:pPr>
      <w:hyperlink w:anchor="b43" w:history="1">
        <w:r>
          <w:rPr>
            <w:b/>
            <w:color w:val="0A3A8C"/>
            <w:u w:val="single"/>
          </w:rPr>
          <w:t xml:space="preserve">Sechster Abschnitt Sachenrecht</w:t>
        </w:r>
      </w:hyperlink>
    </w:p>
    <w:p>
      <w:pPr>
        <w:pStyle w:val="Übersicht"/>
        <w:ind w:left="1020"/>
      </w:pPr>
      <w:hyperlink w:anchor="b44" w:history="1">
        <w:r>
          <w:rPr>
            <w:color w:val="0A3A8C"/>
            <w:u w:val="single"/>
          </w:rPr>
          <w:t xml:space="preserve">Art. 43 Rechte an einer Sache</w:t>
        </w:r>
      </w:hyperlink>
    </w:p>
    <w:p>
      <w:pPr>
        <w:pStyle w:val="Übersicht"/>
        <w:ind w:left="1020"/>
      </w:pPr>
      <w:hyperlink w:anchor="b45" w:history="1">
        <w:r>
          <w:rPr>
            <w:color w:val="0A3A8C"/>
            <w:u w:val="single"/>
          </w:rPr>
          <w:t xml:space="preserve">Art. 44 Von Grundstücken ausgehende Einwirkungen</w:t>
        </w:r>
      </w:hyperlink>
    </w:p>
    <w:p>
      <w:pPr>
        <w:pStyle w:val="Übersicht"/>
        <w:ind w:left="1020"/>
      </w:pPr>
      <w:hyperlink w:anchor="b46" w:history="1">
        <w:r>
          <w:rPr>
            <w:color w:val="0A3A8C"/>
            <w:u w:val="single"/>
          </w:rPr>
          <w:t xml:space="preserve">Art. 45 Transportmittel</w:t>
        </w:r>
      </w:hyperlink>
    </w:p>
    <w:p>
      <w:pPr>
        <w:pStyle w:val="Übersicht"/>
        <w:ind w:left="1020"/>
      </w:pPr>
      <w:hyperlink w:anchor="b47" w:history="1">
        <w:r>
          <w:rPr>
            <w:color w:val="0A3A8C"/>
            <w:u w:val="single"/>
          </w:rPr>
          <w:t xml:space="preserve">Art. 46 Wesentlich engere Verbindung</w:t>
        </w:r>
      </w:hyperlink>
    </w:p>
    <w:p>
      <w:pPr>
        <w:pStyle w:val="Übersicht"/>
        <w:ind w:left="680"/>
      </w:pPr>
      <w:hyperlink w:anchor="b48" w:history="1">
        <w:r>
          <w:rPr>
            <w:b/>
            <w:color w:val="0A3A8C"/>
            <w:u w:val="single"/>
          </w:rPr>
          <w:t xml:space="preserve">Siebter Abschnitt Besondere Vorschriften zur Durchführung und Umsetzung international-privatrechtlicher Regelungen der Europäischen Union</w:t>
        </w:r>
      </w:hyperlink>
    </w:p>
    <w:p>
      <w:pPr>
        <w:pStyle w:val="Übersicht"/>
        <w:ind w:left="1020"/>
      </w:pPr>
      <w:hyperlink w:anchor="b49" w:history="1">
        <w:r>
          <w:rPr>
            <w:b/>
            <w:color w:val="0A3A8C"/>
            <w:u w:val="single"/>
          </w:rPr>
          <w:t xml:space="preserve">Erster Unterabschnitt Durchführung der Verordnung (EG) Nr. 864/2007</w:t>
        </w:r>
      </w:hyperlink>
    </w:p>
    <w:p>
      <w:pPr>
        <w:pStyle w:val="Übersicht"/>
        <w:ind w:left="1361"/>
      </w:pPr>
      <w:hyperlink w:anchor="b50" w:history="1">
        <w:r>
          <w:rPr>
            <w:color w:val="0A3A8C"/>
            <w:u w:val="single"/>
          </w:rPr>
          <w:t xml:space="preserve">Art. 46a Umweltschädigungen</w:t>
        </w:r>
      </w:hyperlink>
    </w:p>
    <w:p>
      <w:pPr>
        <w:pStyle w:val="Übersicht"/>
        <w:ind w:left="1020"/>
      </w:pPr>
      <w:hyperlink w:anchor="b51" w:history="1">
        <w:r>
          <w:rPr>
            <w:b/>
            <w:color w:val="0A3A8C"/>
            <w:u w:val="single"/>
          </w:rPr>
          <w:t xml:space="preserve">Zweiter Unterabschnitt Umsetzung international-privatrechtlicher Regelungen im Verbraucherschutz</w:t>
        </w:r>
      </w:hyperlink>
    </w:p>
    <w:p>
      <w:pPr>
        <w:pStyle w:val="Übersicht"/>
        <w:ind w:left="1361"/>
      </w:pPr>
      <w:hyperlink w:anchor="b52" w:history="1">
        <w:r>
          <w:rPr>
            <w:color w:val="0A3A8C"/>
            <w:u w:val="single"/>
          </w:rPr>
          <w:t xml:space="preserve">Art. 46b Verbraucherschutz für besondere Gebiete</w:t>
        </w:r>
      </w:hyperlink>
    </w:p>
    <w:p>
      <w:pPr>
        <w:pStyle w:val="Übersicht"/>
        <w:ind w:left="1361"/>
      </w:pPr>
      <w:hyperlink w:anchor="b53" w:history="1">
        <w:r>
          <w:rPr>
            <w:color w:val="0A3A8C"/>
            <w:u w:val="single"/>
          </w:rPr>
          <w:t xml:space="preserve">Art. 46c Pauschalreisen und verbundene Reiseleistungen</w:t>
        </w:r>
      </w:hyperlink>
    </w:p>
    <w:p>
      <w:pPr>
        <w:pStyle w:val="Übersicht"/>
        <w:ind w:left="1020"/>
      </w:pPr>
      <w:hyperlink w:anchor="b54" w:history="1">
        <w:r>
          <w:rPr>
            <w:b/>
            <w:color w:val="0A3A8C"/>
            <w:u w:val="single"/>
          </w:rPr>
          <w:t xml:space="preserve">Dritter Unterabschnitt Durchführung der Verordnung (EG) Nr. 593/2008</w:t>
        </w:r>
      </w:hyperlink>
    </w:p>
    <w:p>
      <w:pPr>
        <w:pStyle w:val="Übersicht"/>
        <w:ind w:left="1361"/>
      </w:pPr>
      <w:hyperlink w:anchor="b55" w:history="1">
        <w:r>
          <w:rPr>
            <w:color w:val="0A3A8C"/>
            <w:u w:val="single"/>
          </w:rPr>
          <w:t xml:space="preserve">Art. 46d Pflichtversicherungsverträge</w:t>
        </w:r>
      </w:hyperlink>
    </w:p>
    <w:p>
      <w:pPr>
        <w:pStyle w:val="Übersicht"/>
        <w:ind w:left="1020"/>
      </w:pPr>
      <w:hyperlink w:anchor="b56" w:history="1">
        <w:r>
          <w:rPr>
            <w:b/>
            <w:color w:val="0A3A8C"/>
            <w:u w:val="single"/>
          </w:rPr>
          <w:t xml:space="preserve">Vierter Unterabschnitt Durchführung der Verordnung (EU) Nr. 1259/2010</w:t>
        </w:r>
      </w:hyperlink>
    </w:p>
    <w:p>
      <w:pPr>
        <w:pStyle w:val="Übersicht"/>
        <w:ind w:left="1361"/>
      </w:pPr>
      <w:hyperlink w:anchor="b57" w:history="1">
        <w:r>
          <w:rPr>
            <w:color w:val="0A3A8C"/>
            <w:u w:val="single"/>
          </w:rPr>
          <w:t xml:space="preserve">Art. 46e Rechtswahl</w:t>
        </w:r>
      </w:hyperlink>
    </w:p>
    <w:p>
      <w:pPr>
        <w:pStyle w:val="Übersicht"/>
        <w:ind w:left="340"/>
      </w:pPr>
      <w:hyperlink w:anchor="b58" w:history="1">
        <w:r>
          <w:rPr>
            <w:b/>
            <w:color w:val="0A3A8C"/>
            <w:u w:val="single"/>
          </w:rPr>
          <w:t xml:space="preserve">Drittes Kapitel Angleichung; Wahl eines in einem anderen Mitgliedstaat der Europäischen Union erworbenen Namens</w:t>
        </w:r>
      </w:hyperlink>
    </w:p>
    <w:p>
      <w:pPr>
        <w:pStyle w:val="Übersicht"/>
        <w:ind w:left="680"/>
      </w:pPr>
      <w:hyperlink w:anchor="b59" w:history="1">
        <w:r>
          <w:rPr>
            <w:color w:val="0A3A8C"/>
            <w:u w:val="single"/>
          </w:rPr>
          <w:t xml:space="preserve">Art. 47 Vor- und Familiennamen</w:t>
        </w:r>
      </w:hyperlink>
    </w:p>
    <w:p>
      <w:pPr>
        <w:pStyle w:val="Übersicht"/>
        <w:ind w:left="680"/>
      </w:pPr>
      <w:hyperlink w:anchor="b60" w:history="1">
        <w:r>
          <w:rPr>
            <w:color w:val="0A3A8C"/>
            <w:u w:val="single"/>
          </w:rPr>
          <w:t xml:space="preserve">Art. 48 Namenswahl</w:t>
        </w:r>
      </w:hyperlink>
    </w:p>
    <w:p>
      <w:pPr>
        <w:pStyle w:val="Übersicht"/>
        <w:ind w:left="680"/>
      </w:pPr>
      <w:hyperlink w:anchor="b61" w:history="1">
        <w:r>
          <w:rPr>
            <w:color w:val="0A3A8C"/>
            <w:u w:val="single"/>
          </w:rPr>
          <w:t xml:space="preserve">Art. 49 (Änderung anderer Vorschriften)</w:t>
        </w:r>
      </w:hyperlink>
    </w:p>
    <w:p>
      <w:pPr>
        <w:pStyle w:val="Übersicht"/>
        <w:ind w:left="0"/>
      </w:pPr>
      <w:hyperlink w:anchor="b62" w:history="1">
        <w:r>
          <w:rPr>
            <w:b/>
            <w:color w:val="0A3A8C"/>
            <w:u w:val="single"/>
          </w:rPr>
          <w:t xml:space="preserve">Zweiter Teil Verhältnis des Bürgerlichen Gesetzbuchs zu den Reichsgesetzen</w:t>
        </w:r>
      </w:hyperlink>
    </w:p>
    <w:p>
      <w:pPr>
        <w:pStyle w:val="Übersicht"/>
        <w:ind w:left="340"/>
      </w:pPr>
      <w:hyperlink w:anchor="b63" w:history="1">
        <w:r>
          <w:rPr>
            <w:color w:val="0A3A8C"/>
            <w:u w:val="single"/>
          </w:rPr>
          <w:t xml:space="preserve">Art. 50 bis 53a</w:t>
        </w:r>
      </w:hyperlink>
    </w:p>
    <w:p>
      <w:pPr>
        <w:pStyle w:val="Übersicht"/>
        <w:ind w:left="340"/>
      </w:pPr>
      <w:hyperlink w:anchor="b68" w:history="1">
        <w:r>
          <w:rPr>
            <w:color w:val="0A3A8C"/>
            <w:u w:val="single"/>
          </w:rPr>
          <w:t xml:space="preserve">Art. 54 (gegenstandslos)</w:t>
        </w:r>
      </w:hyperlink>
    </w:p>
    <w:p>
      <w:pPr>
        <w:pStyle w:val="Übersicht"/>
        <w:ind w:left="0"/>
      </w:pPr>
      <w:hyperlink w:anchor="b69" w:history="1">
        <w:r>
          <w:rPr>
            <w:b/>
            <w:color w:val="0A3A8C"/>
            <w:u w:val="single"/>
          </w:rPr>
          <w:t xml:space="preserve">Dritter Teil Verhältnis des Bürgerlichen Gesetzbuchs zu den Landesgesetzen</w:t>
        </w:r>
      </w:hyperlink>
    </w:p>
    <w:p>
      <w:pPr>
        <w:pStyle w:val="Übersicht"/>
        <w:ind w:left="340"/>
      </w:pPr>
      <w:hyperlink w:anchor="b70" w:history="1">
        <w:r>
          <w:rPr>
            <w:color w:val="0A3A8C"/>
            <w:u w:val="single"/>
          </w:rPr>
          <w:t xml:space="preserve">Art. 55 bis 56</w:t>
        </w:r>
      </w:hyperlink>
    </w:p>
    <w:p>
      <w:pPr>
        <w:pStyle w:val="Übersicht"/>
        <w:ind w:left="340"/>
      </w:pPr>
      <w:hyperlink w:anchor="b72" w:history="1">
        <w:r>
          <w:rPr>
            <w:color w:val="0A3A8C"/>
            <w:u w:val="single"/>
          </w:rPr>
          <w:t xml:space="preserve">Art. 57 und 58 (gegenstandslos)</w:t>
        </w:r>
      </w:hyperlink>
    </w:p>
    <w:p>
      <w:pPr>
        <w:pStyle w:val="Übersicht"/>
        <w:ind w:left="340"/>
      </w:pPr>
      <w:hyperlink w:anchor="b73" w:history="1">
        <w:r>
          <w:rPr>
            <w:color w:val="0A3A8C"/>
            <w:u w:val="single"/>
          </w:rPr>
          <w:t xml:space="preserve">Art. 59 bis 64</w:t>
        </w:r>
      </w:hyperlink>
    </w:p>
    <w:p>
      <w:pPr>
        <w:pStyle w:val="Übersicht"/>
        <w:ind w:left="340"/>
      </w:pPr>
      <w:hyperlink w:anchor="b79" w:history="1">
        <w:r>
          <w:rPr>
            <w:color w:val="0A3A8C"/>
            <w:u w:val="single"/>
          </w:rPr>
          <w:t xml:space="preserve">Art. 65 (weggefallen)</w:t>
        </w:r>
      </w:hyperlink>
    </w:p>
    <w:p>
      <w:pPr>
        <w:pStyle w:val="Übersicht"/>
        <w:ind w:left="340"/>
      </w:pPr>
      <w:hyperlink w:anchor="b80" w:history="1">
        <w:r>
          <w:rPr>
            <w:color w:val="0A3A8C"/>
            <w:u w:val="single"/>
          </w:rPr>
          <w:t xml:space="preserve">Art. 66 bis 69</w:t>
        </w:r>
      </w:hyperlink>
    </w:p>
    <w:p>
      <w:pPr>
        <w:pStyle w:val="Übersicht"/>
        <w:ind w:left="340"/>
      </w:pPr>
      <w:hyperlink w:anchor="b84" w:history="1">
        <w:r>
          <w:rPr>
            <w:color w:val="0A3A8C"/>
            <w:u w:val="single"/>
          </w:rPr>
          <w:t xml:space="preserve">Art. 70 bis 72 (weggefallen)</w:t>
        </w:r>
      </w:hyperlink>
    </w:p>
    <w:p>
      <w:pPr>
        <w:pStyle w:val="Übersicht"/>
        <w:ind w:left="340"/>
      </w:pPr>
      <w:hyperlink w:anchor="b85" w:history="1">
        <w:r>
          <w:rPr>
            <w:color w:val="0A3A8C"/>
            <w:u w:val="single"/>
          </w:rPr>
          <w:t xml:space="preserve">Art. 73 bis 74</w:t>
        </w:r>
      </w:hyperlink>
    </w:p>
    <w:p>
      <w:pPr>
        <w:pStyle w:val="Übersicht"/>
        <w:ind w:left="340"/>
      </w:pPr>
      <w:hyperlink w:anchor="b87" w:history="1">
        <w:r>
          <w:rPr>
            <w:color w:val="0A3A8C"/>
            <w:u w:val="single"/>
          </w:rPr>
          <w:t xml:space="preserve">Art. 75 (gegenstandslos)</w:t>
        </w:r>
      </w:hyperlink>
    </w:p>
    <w:p>
      <w:pPr>
        <w:pStyle w:val="Übersicht"/>
        <w:ind w:left="340"/>
      </w:pPr>
      <w:hyperlink w:anchor="b88" w:history="1">
        <w:r>
          <w:rPr>
            <w:color w:val="0A3A8C"/>
            <w:u w:val="single"/>
          </w:rPr>
          <w:t xml:space="preserve">Art. 76 bis 86</w:t>
        </w:r>
      </w:hyperlink>
    </w:p>
    <w:p>
      <w:pPr>
        <w:pStyle w:val="Übersicht"/>
        <w:ind w:left="340"/>
      </w:pPr>
      <w:hyperlink w:anchor="b99" w:history="1">
        <w:r>
          <w:rPr>
            <w:color w:val="0A3A8C"/>
            <w:u w:val="single"/>
          </w:rPr>
          <w:t xml:space="preserve">Art. 87 (weggefallen)</w:t>
        </w:r>
      </w:hyperlink>
    </w:p>
    <w:p>
      <w:pPr>
        <w:pStyle w:val="Übersicht"/>
        <w:ind w:left="340"/>
      </w:pPr>
      <w:hyperlink w:anchor="b100" w:history="1">
        <w:r>
          <w:rPr>
            <w:color w:val="0A3A8C"/>
            <w:u w:val="single"/>
          </w:rPr>
          <w:t xml:space="preserve">Art. 88 (weggefallen)</w:t>
        </w:r>
      </w:hyperlink>
    </w:p>
    <w:p>
      <w:pPr>
        <w:pStyle w:val="Übersicht"/>
        <w:ind w:left="340"/>
      </w:pPr>
      <w:hyperlink w:anchor="b101" w:history="1">
        <w:r>
          <w:rPr>
            <w:color w:val="0A3A8C"/>
            <w:u w:val="single"/>
          </w:rPr>
          <w:t xml:space="preserve">Art. 89 bis 91</w:t>
        </w:r>
      </w:hyperlink>
    </w:p>
    <w:p>
      <w:pPr>
        <w:pStyle w:val="Übersicht"/>
        <w:ind w:left="340"/>
      </w:pPr>
      <w:hyperlink w:anchor="b104" w:history="1">
        <w:r>
          <w:rPr>
            <w:color w:val="0A3A8C"/>
            <w:u w:val="single"/>
          </w:rPr>
          <w:t xml:space="preserve">Art. 92 (weggefallen)</w:t>
        </w:r>
      </w:hyperlink>
    </w:p>
    <w:p>
      <w:pPr>
        <w:pStyle w:val="Übersicht"/>
        <w:ind w:left="340"/>
      </w:pPr>
      <w:hyperlink w:anchor="b105" w:history="1">
        <w:r>
          <w:rPr>
            <w:color w:val="0A3A8C"/>
            <w:u w:val="single"/>
          </w:rPr>
          <w:t xml:space="preserve">Art. 93 bis 94</w:t>
        </w:r>
      </w:hyperlink>
    </w:p>
    <w:p>
      <w:pPr>
        <w:pStyle w:val="Übersicht"/>
        <w:ind w:left="340"/>
      </w:pPr>
      <w:hyperlink w:anchor="b107" w:history="1">
        <w:r>
          <w:rPr>
            <w:color w:val="0A3A8C"/>
            <w:u w:val="single"/>
          </w:rPr>
          <w:t xml:space="preserve">Art. 95 (gegenstandslos)</w:t>
        </w:r>
      </w:hyperlink>
    </w:p>
    <w:p>
      <w:pPr>
        <w:pStyle w:val="Übersicht"/>
        <w:ind w:left="340"/>
      </w:pPr>
      <w:hyperlink w:anchor="b108" w:history="1">
        <w:r>
          <w:rPr>
            <w:color w:val="0A3A8C"/>
            <w:u w:val="single"/>
          </w:rPr>
          <w:t xml:space="preserve">Art. 96 bis 102</w:t>
        </w:r>
      </w:hyperlink>
    </w:p>
    <w:p>
      <w:pPr>
        <w:pStyle w:val="Übersicht"/>
        <w:ind w:left="340"/>
      </w:pPr>
      <w:hyperlink w:anchor="b115" w:history="1">
        <w:r>
          <w:rPr>
            <w:color w:val="0A3A8C"/>
            <w:u w:val="single"/>
          </w:rPr>
          <w:t xml:space="preserve">Art. 103 (gegenstandslos)</w:t>
        </w:r>
      </w:hyperlink>
    </w:p>
    <w:p>
      <w:pPr>
        <w:pStyle w:val="Übersicht"/>
        <w:ind w:left="340"/>
      </w:pPr>
      <w:hyperlink w:anchor="b116" w:history="1">
        <w:r>
          <w:rPr>
            <w:color w:val="0A3A8C"/>
            <w:u w:val="single"/>
          </w:rPr>
          <w:t xml:space="preserve">Art. 104 bis 133</w:t>
        </w:r>
      </w:hyperlink>
    </w:p>
    <w:p>
      <w:pPr>
        <w:pStyle w:val="Übersicht"/>
        <w:ind w:left="340"/>
      </w:pPr>
      <w:hyperlink w:anchor="b146" w:history="1">
        <w:r>
          <w:rPr>
            <w:color w:val="0A3A8C"/>
            <w:u w:val="single"/>
          </w:rPr>
          <w:t xml:space="preserve">Art. 134 bis 136 (weggefallen)</w:t>
        </w:r>
      </w:hyperlink>
    </w:p>
    <w:p>
      <w:pPr>
        <w:pStyle w:val="Übersicht"/>
        <w:ind w:left="340"/>
      </w:pPr>
      <w:hyperlink w:anchor="b147" w:history="1">
        <w:r>
          <w:rPr>
            <w:color w:val="0A3A8C"/>
            <w:u w:val="single"/>
          </w:rPr>
          <w:t xml:space="preserve">Art. 137 bis 140</w:t>
        </w:r>
      </w:hyperlink>
    </w:p>
    <w:p>
      <w:pPr>
        <w:pStyle w:val="Übersicht"/>
        <w:ind w:left="340"/>
      </w:pPr>
      <w:hyperlink w:anchor="b151" w:history="1">
        <w:r>
          <w:rPr>
            <w:color w:val="0A3A8C"/>
            <w:u w:val="single"/>
          </w:rPr>
          <w:t xml:space="preserve">Art. 141 und 142 (weggefallen)</w:t>
        </w:r>
      </w:hyperlink>
    </w:p>
    <w:p>
      <w:pPr>
        <w:pStyle w:val="Übersicht"/>
        <w:ind w:left="340"/>
      </w:pPr>
      <w:hyperlink w:anchor="b152" w:history="1">
        <w:r>
          <w:rPr>
            <w:color w:val="0A3A8C"/>
            <w:u w:val="single"/>
          </w:rPr>
          <w:t xml:space="preserve">Art. 143 bis 144</w:t>
        </w:r>
      </w:hyperlink>
    </w:p>
    <w:p>
      <w:pPr>
        <w:pStyle w:val="Übersicht"/>
        <w:ind w:left="340"/>
      </w:pPr>
      <w:hyperlink w:anchor="b154" w:history="1">
        <w:r>
          <w:rPr>
            <w:color w:val="0A3A8C"/>
            <w:u w:val="single"/>
          </w:rPr>
          <w:t xml:space="preserve">Art. 145 und 146 (weggefallen)</w:t>
        </w:r>
      </w:hyperlink>
    </w:p>
    <w:p>
      <w:pPr>
        <w:pStyle w:val="Übersicht"/>
        <w:ind w:left="340"/>
      </w:pPr>
      <w:hyperlink w:anchor="b155" w:history="1">
        <w:r>
          <w:rPr>
            <w:color w:val="0A3A8C"/>
            <w:u w:val="single"/>
          </w:rPr>
          <w:t xml:space="preserve">Art. 147</w:t>
        </w:r>
      </w:hyperlink>
    </w:p>
    <w:p>
      <w:pPr>
        <w:pStyle w:val="Übersicht"/>
        <w:ind w:left="340"/>
      </w:pPr>
      <w:hyperlink w:anchor="b156" w:history="1">
        <w:r>
          <w:rPr>
            <w:color w:val="0A3A8C"/>
            <w:u w:val="single"/>
          </w:rPr>
          <w:t xml:space="preserve">Art. 148 (weggefallen)</w:t>
        </w:r>
      </w:hyperlink>
    </w:p>
    <w:p>
      <w:pPr>
        <w:pStyle w:val="Übersicht"/>
        <w:ind w:left="340"/>
      </w:pPr>
      <w:hyperlink w:anchor="b157" w:history="1">
        <w:r>
          <w:rPr>
            <w:color w:val="0A3A8C"/>
            <w:u w:val="single"/>
          </w:rPr>
          <w:t xml:space="preserve">Art. 149 bis 151 (weggefallen)</w:t>
        </w:r>
      </w:hyperlink>
    </w:p>
    <w:p>
      <w:pPr>
        <w:pStyle w:val="Übersicht"/>
        <w:ind w:left="340"/>
      </w:pPr>
      <w:hyperlink w:anchor="b158" w:history="1">
        <w:r>
          <w:rPr>
            <w:color w:val="0A3A8C"/>
            <w:u w:val="single"/>
          </w:rPr>
          <w:t xml:space="preserve">Art. 152</w:t>
        </w:r>
      </w:hyperlink>
    </w:p>
    <w:p>
      <w:pPr>
        <w:pStyle w:val="Übersicht"/>
        <w:ind w:left="0"/>
      </w:pPr>
      <w:hyperlink w:anchor="b159" w:history="1">
        <w:r>
          <w:rPr>
            <w:b/>
            <w:color w:val="0A3A8C"/>
            <w:u w:val="single"/>
          </w:rPr>
          <w:t xml:space="preserve">Vierter Teil Übergangsvorschriften</w:t>
        </w:r>
      </w:hyperlink>
    </w:p>
    <w:p>
      <w:pPr>
        <w:pStyle w:val="Übersicht"/>
        <w:ind w:left="340"/>
      </w:pPr>
      <w:hyperlink w:anchor="b160" w:history="1">
        <w:r>
          <w:rPr>
            <w:color w:val="0A3A8C"/>
            <w:u w:val="single"/>
          </w:rPr>
          <w:t xml:space="preserve">Art. 153 bis 156 (gegenstandslos)</w:t>
        </w:r>
      </w:hyperlink>
    </w:p>
    <w:p>
      <w:pPr>
        <w:pStyle w:val="Übersicht"/>
        <w:ind w:left="340"/>
      </w:pPr>
      <w:hyperlink w:anchor="b161" w:history="1">
        <w:r>
          <w:rPr>
            <w:color w:val="0A3A8C"/>
            <w:u w:val="single"/>
          </w:rPr>
          <w:t xml:space="preserve">Art. 157</w:t>
        </w:r>
      </w:hyperlink>
    </w:p>
    <w:p>
      <w:pPr>
        <w:pStyle w:val="Übersicht"/>
        <w:ind w:left="340"/>
      </w:pPr>
      <w:hyperlink w:anchor="b162" w:history="1">
        <w:r>
          <w:rPr>
            <w:color w:val="0A3A8C"/>
            <w:u w:val="single"/>
          </w:rPr>
          <w:t xml:space="preserve">Art. 158 bis 162 (gegenstandslos)</w:t>
        </w:r>
      </w:hyperlink>
    </w:p>
    <w:p>
      <w:pPr>
        <w:pStyle w:val="Übersicht"/>
        <w:ind w:left="340"/>
      </w:pPr>
      <w:hyperlink w:anchor="b163" w:history="1">
        <w:r>
          <w:rPr>
            <w:color w:val="0A3A8C"/>
            <w:u w:val="single"/>
          </w:rPr>
          <w:t xml:space="preserve">Art. 163 bis 203</w:t>
        </w:r>
      </w:hyperlink>
    </w:p>
    <w:p>
      <w:pPr>
        <w:pStyle w:val="Übersicht"/>
        <w:ind w:left="340"/>
      </w:pPr>
      <w:hyperlink w:anchor="b204" w:history="1">
        <w:r>
          <w:rPr>
            <w:color w:val="0A3A8C"/>
            <w:u w:val="single"/>
          </w:rPr>
          <w:t xml:space="preserve">Art. 204 bis 206 (gegenstandslos)</w:t>
        </w:r>
      </w:hyperlink>
    </w:p>
    <w:p>
      <w:pPr>
        <w:pStyle w:val="Übersicht"/>
        <w:ind w:left="340"/>
      </w:pPr>
      <w:hyperlink w:anchor="b205" w:history="1">
        <w:r>
          <w:rPr>
            <w:color w:val="0A3A8C"/>
            <w:u w:val="single"/>
          </w:rPr>
          <w:t xml:space="preserve">Art. 207 bis 210</w:t>
        </w:r>
      </w:hyperlink>
    </w:p>
    <w:p>
      <w:pPr>
        <w:pStyle w:val="Übersicht"/>
        <w:ind w:left="340"/>
      </w:pPr>
      <w:hyperlink w:anchor="b209" w:history="1">
        <w:r>
          <w:rPr>
            <w:color w:val="0A3A8C"/>
            <w:u w:val="single"/>
          </w:rPr>
          <w:t xml:space="preserve">Art. 211 (gegenstandslos)</w:t>
        </w:r>
      </w:hyperlink>
    </w:p>
    <w:p>
      <w:pPr>
        <w:pStyle w:val="Übersicht"/>
        <w:ind w:left="340"/>
      </w:pPr>
      <w:hyperlink w:anchor="b210" w:history="1">
        <w:r>
          <w:rPr>
            <w:color w:val="0A3A8C"/>
            <w:u w:val="single"/>
          </w:rPr>
          <w:t xml:space="preserve">Art. 212 bis 215</w:t>
        </w:r>
      </w:hyperlink>
    </w:p>
    <w:p>
      <w:pPr>
        <w:pStyle w:val="Übersicht"/>
        <w:ind w:left="340"/>
      </w:pPr>
      <w:hyperlink w:anchor="b214" w:history="1">
        <w:r>
          <w:rPr>
            <w:color w:val="0A3A8C"/>
            <w:u w:val="single"/>
          </w:rPr>
          <w:t xml:space="preserve">Art. 216 (gegenstandslos)</w:t>
        </w:r>
      </w:hyperlink>
    </w:p>
    <w:p>
      <w:pPr>
        <w:pStyle w:val="Übersicht"/>
        <w:ind w:left="340"/>
      </w:pPr>
      <w:hyperlink w:anchor="b215" w:history="1">
        <w:r>
          <w:rPr>
            <w:color w:val="0A3A8C"/>
            <w:u w:val="single"/>
          </w:rPr>
          <w:t xml:space="preserve">Art. 217 bis 218</w:t>
        </w:r>
      </w:hyperlink>
    </w:p>
    <w:p>
      <w:pPr>
        <w:pStyle w:val="Übersicht"/>
        <w:ind w:left="0"/>
      </w:pPr>
      <w:hyperlink w:anchor="b217" w:history="1">
        <w:r>
          <w:rPr>
            <w:b/>
            <w:color w:val="0A3A8C"/>
            <w:u w:val="single"/>
          </w:rPr>
          <w:t xml:space="preserve">Fünfter Teil Übergangsvorschriften aus Anlaß jüngerer Änderungen des Bürgerlichen Gesetzbuchs und dieses Einführungsgesetzes</w:t>
        </w:r>
      </w:hyperlink>
    </w:p>
    <w:p>
      <w:pPr>
        <w:pStyle w:val="Übersicht"/>
        <w:ind w:left="340"/>
      </w:pPr>
      <w:hyperlink w:anchor="b218" w:history="1">
        <w:r>
          <w:rPr>
            <w:color w:val="0A3A8C"/>
            <w:u w:val="single"/>
          </w:rPr>
          <w:t xml:space="preserve">Art. 219 Übergangsvorschrift zum Gesetz vom
8. November 1985 zur Neuordnung des landwirtschaftlichen Pachtrechts</w:t>
        </w:r>
      </w:hyperlink>
    </w:p>
    <w:p>
      <w:pPr>
        <w:pStyle w:val="Übersicht"/>
        <w:ind w:left="340"/>
      </w:pPr>
      <w:hyperlink w:anchor="b219" w:history="1">
        <w:r>
          <w:rPr>
            <w:color w:val="0A3A8C"/>
            <w:u w:val="single"/>
          </w:rPr>
          <w:t xml:space="preserve">Art. 220 Übergangsvorschrift zum Gesetz vom 25. Juli 1986 zur Neuregelung des Internationalen Privatrechts</w:t>
        </w:r>
      </w:hyperlink>
    </w:p>
    <w:p>
      <w:pPr>
        <w:pStyle w:val="Übersicht"/>
        <w:ind w:left="340"/>
      </w:pPr>
      <w:hyperlink w:anchor="b220" w:history="1">
        <w:r>
          <w:rPr>
            <w:color w:val="0A3A8C"/>
            <w:u w:val="single"/>
          </w:rPr>
          <w:t xml:space="preserve">Art. 221 Übergangsvorschrift zum Gesetz vom 26. Juni 1990
zur Änderung des Arbeitsgerichtsgesetzes und anderer arbeitsrechtlicher
Vorschriften</w:t>
        </w:r>
      </w:hyperlink>
    </w:p>
    <w:p>
      <w:pPr>
        <w:pStyle w:val="Übersicht"/>
        <w:ind w:left="340"/>
      </w:pPr>
      <w:hyperlink w:anchor="b221" w:history="1">
        <w:r>
          <w:rPr>
            <w:color w:val="0A3A8C"/>
            <w:u w:val="single"/>
          </w:rPr>
          <w:t xml:space="preserve">Art. 222 Übergangsvorschrift zum Kündigungsfristengesetz
vom 7. Oktober 1993</w:t>
        </w:r>
      </w:hyperlink>
    </w:p>
    <w:p>
      <w:pPr>
        <w:pStyle w:val="Übersicht"/>
        <w:ind w:left="340"/>
      </w:pPr>
      <w:hyperlink w:anchor="b222" w:history="1">
        <w:r>
          <w:rPr>
            <w:color w:val="0A3A8C"/>
            <w:u w:val="single"/>
          </w:rPr>
          <w:t xml:space="preserve">Art. 223 Übergangsvorschrift zum Beistandschaftsgesetz
vom 4. Dezember 1997</w:t>
        </w:r>
      </w:hyperlink>
    </w:p>
    <w:p>
      <w:pPr>
        <w:pStyle w:val="Übersicht"/>
        <w:ind w:left="340"/>
      </w:pPr>
      <w:hyperlink w:anchor="b223" w:history="1">
        <w:r>
          <w:rPr>
            <w:color w:val="0A3A8C"/>
            <w:u w:val="single"/>
          </w:rPr>
          <w:t xml:space="preserve">Art. 223a Übergangsvorschrift aus Anlaß der Aufhebung von
§ 419 des Bürgerlichen Gesetzbuchs</w:t>
        </w:r>
      </w:hyperlink>
    </w:p>
    <w:p>
      <w:pPr>
        <w:pStyle w:val="Übersicht"/>
        <w:ind w:left="340"/>
      </w:pPr>
      <w:hyperlink w:anchor="b224" w:history="1">
        <w:r>
          <w:rPr>
            <w:b/>
            <w:color w:val="0A3A8C"/>
            <w:u w:val="single"/>
          </w:rPr>
          <w:t xml:space="preserve">Art 224 Übergangsvorschrift zum Kindschaftsrechtsreformgesetz vom 16. Dezember 1997</w:t>
        </w:r>
      </w:hyperlink>
    </w:p>
    <w:p>
      <w:pPr>
        <w:pStyle w:val="Übersicht"/>
        <w:ind w:left="680"/>
      </w:pPr>
      <w:hyperlink w:anchor="b225" w:history="1">
        <w:r>
          <w:rPr>
            <w:color w:val="0A3A8C"/>
            <w:u w:val="single"/>
          </w:rPr>
          <w:t xml:space="preserve">Art. 224 § 1 Abstammung</w:t>
        </w:r>
      </w:hyperlink>
    </w:p>
    <w:p>
      <w:pPr>
        <w:pStyle w:val="Übersicht"/>
        <w:ind w:left="680"/>
      </w:pPr>
      <w:hyperlink w:anchor="b226" w:history="1">
        <w:r>
          <w:rPr>
            <w:color w:val="0A3A8C"/>
            <w:u w:val="single"/>
          </w:rPr>
          <w:t xml:space="preserve">Art. 224 § 2 Elterliche Sorge</w:t>
        </w:r>
      </w:hyperlink>
    </w:p>
    <w:p>
      <w:pPr>
        <w:pStyle w:val="Übersicht"/>
        <w:ind w:left="680"/>
      </w:pPr>
      <w:hyperlink w:anchor="b227" w:history="1">
        <w:r>
          <w:rPr>
            <w:color w:val="0A3A8C"/>
            <w:u w:val="single"/>
          </w:rPr>
          <w:t xml:space="preserve">Art. 224 § 3 Name des Kindes</w:t>
        </w:r>
      </w:hyperlink>
    </w:p>
    <w:p>
      <w:pPr>
        <w:pStyle w:val="Übersicht"/>
        <w:ind w:left="680"/>
      </w:pPr>
      <w:hyperlink w:anchor="b228" w:history="1">
        <w:r>
          <w:rPr>
            <w:color w:val="0A3A8C"/>
            <w:u w:val="single"/>
          </w:rPr>
          <w:t xml:space="preserve">Art. 225 Überleitungsvorschrift zum
Wohnraummodernisierungssicherungsgesetz</w:t>
        </w:r>
      </w:hyperlink>
    </w:p>
    <w:p>
      <w:pPr>
        <w:pStyle w:val="Übersicht"/>
        <w:ind w:left="680"/>
      </w:pPr>
      <w:hyperlink w:anchor="b229" w:history="1">
        <w:r>
          <w:rPr>
            <w:color w:val="0A3A8C"/>
            <w:u w:val="single"/>
          </w:rPr>
          <w:t xml:space="preserve">Art. 226 Überleitungsvorschrift zum Gesetz vom 4. Mai 1998
zur Neuordnung des Eheschließungsrechts</w:t>
        </w:r>
      </w:hyperlink>
    </w:p>
    <w:p>
      <w:pPr>
        <w:pStyle w:val="Übersicht"/>
        <w:ind w:left="680"/>
      </w:pPr>
      <w:hyperlink w:anchor="b230" w:history="1">
        <w:r>
          <w:rPr>
            <w:color w:val="0A3A8C"/>
            <w:u w:val="single"/>
          </w:rPr>
          <w:t xml:space="preserve">Art. 227 Übergangsvorschrift zum Gesetz zur
erbrechtlichen Gleichstellung nichtehelicher Kinder vom 16. Dezember 1997</w:t>
        </w:r>
      </w:hyperlink>
    </w:p>
    <w:p>
      <w:pPr>
        <w:pStyle w:val="Übersicht"/>
        <w:ind w:left="680"/>
      </w:pPr>
      <w:hyperlink w:anchor="b231" w:history="1">
        <w:r>
          <w:rPr>
            <w:color w:val="0A3A8C"/>
            <w:u w:val="single"/>
          </w:rPr>
          <w:t xml:space="preserve">Art. 228 Übergangsvorschrift zum
Überweisungsgesetz</w:t>
        </w:r>
      </w:hyperlink>
    </w:p>
    <w:p>
      <w:pPr>
        <w:pStyle w:val="Übersicht"/>
        <w:ind w:left="340"/>
      </w:pPr>
      <w:hyperlink w:anchor="b232" w:history="1">
        <w:r>
          <w:rPr>
            <w:b/>
            <w:color w:val="0A3A8C"/>
            <w:u w:val="single"/>
          </w:rPr>
          <w:t xml:space="preserve">Art 229 Weitere Überleitungsvorschriften</w:t>
        </w:r>
      </w:hyperlink>
    </w:p>
    <w:p>
      <w:pPr>
        <w:pStyle w:val="Übersicht"/>
        <w:ind w:left="680"/>
      </w:pPr>
      <w:hyperlink w:anchor="b233" w:history="1">
        <w:r>
          <w:rPr>
            <w:color w:val="0A3A8C"/>
            <w:u w:val="single"/>
          </w:rPr>
          <w:t xml:space="preserve">Art. 229 § 1 Überleitungsvorschrift zum Gesetz zur Beschleunigung fälliger Zahlungen</w:t>
        </w:r>
      </w:hyperlink>
    </w:p>
    <w:p>
      <w:pPr>
        <w:pStyle w:val="Übersicht"/>
        <w:ind w:left="680"/>
      </w:pPr>
      <w:hyperlink w:anchor="b234" w:history="1">
        <w:r>
          <w:rPr>
            <w:color w:val="0A3A8C"/>
            <w:u w:val="single"/>
          </w:rPr>
          <w:t xml:space="preserve">Art. 229 § 2 Übergangsvorschriften zum Gesetz vom 27. Juni 2000</w:t>
        </w:r>
      </w:hyperlink>
    </w:p>
    <w:p>
      <w:pPr>
        <w:pStyle w:val="Übersicht"/>
        <w:ind w:left="680"/>
      </w:pPr>
      <w:hyperlink w:anchor="b235" w:history="1">
        <w:r>
          <w:rPr>
            <w:color w:val="0A3A8C"/>
            <w:u w:val="single"/>
          </w:rPr>
          <w:t xml:space="preserve">Art. 229 § 3 Übergangsvorschriften zum Gesetz zur Neugliederung, Vereinfachung und Reform des Mietrechts vom 19. Juni 2001</w:t>
        </w:r>
      </w:hyperlink>
    </w:p>
    <w:p>
      <w:pPr>
        <w:pStyle w:val="Übersicht"/>
        <w:ind w:left="680"/>
      </w:pPr>
      <w:hyperlink w:anchor="b236" w:history="1">
        <w:r>
          <w:rPr>
            <w:color w:val="0A3A8C"/>
            <w:u w:val="single"/>
          </w:rPr>
          <w:t xml:space="preserve">Art. 229 § 4 Übergangsvorschrift zum Zweiten Gesetz zur Änderung reiserechtlicher Vorschriften</w:t>
        </w:r>
      </w:hyperlink>
    </w:p>
    <w:p>
      <w:pPr>
        <w:pStyle w:val="Übersicht"/>
        <w:ind w:left="680"/>
      </w:pPr>
      <w:hyperlink w:anchor="b237" w:history="1">
        <w:r>
          <w:rPr>
            <w:color w:val="0A3A8C"/>
            <w:u w:val="single"/>
          </w:rPr>
          <w:t xml:space="preserve">Art. 229 § 5 Allgemeine Überleitungsvorschrift zum Gesetz zur Modernisierung des Schuldrechts vom 26. November 2001</w:t>
        </w:r>
      </w:hyperlink>
    </w:p>
    <w:p>
      <w:pPr>
        <w:pStyle w:val="Übersicht"/>
        <w:ind w:left="680"/>
      </w:pPr>
      <w:hyperlink w:anchor="b238" w:history="1">
        <w:r>
          <w:rPr>
            <w:color w:val="0A3A8C"/>
            <w:u w:val="single"/>
          </w:rPr>
          <w:t xml:space="preserve">Art. 229 § 6 Überleitungsvorschrift zum Verjährungsrecht nach dem Gesetz zur Modernisierung des Schuldrechts vom 26. November 2001</w:t>
        </w:r>
      </w:hyperlink>
    </w:p>
    <w:p>
      <w:pPr>
        <w:pStyle w:val="Übersicht"/>
        <w:ind w:left="680"/>
      </w:pPr>
      <w:hyperlink w:anchor="b239" w:history="1">
        <w:r>
          <w:rPr>
            <w:color w:val="0A3A8C"/>
            <w:u w:val="single"/>
          </w:rPr>
          <w:t xml:space="preserve">Art. 229 § 7 Überleitungsvorschrift zu Zinsvorschriften nach dem Gesetz zur Modernisierung des Schuldrechts vom 26. November 2001</w:t>
        </w:r>
      </w:hyperlink>
    </w:p>
    <w:p>
      <w:pPr>
        <w:pStyle w:val="Übersicht"/>
        <w:ind w:left="680"/>
      </w:pPr>
      <w:hyperlink w:anchor="b240" w:history="1">
        <w:r>
          <w:rPr>
            <w:color w:val="0A3A8C"/>
            <w:u w:val="single"/>
          </w:rPr>
          <w:t xml:space="preserve">Art. 229 § 8 Übergangsvorschriften zum Zweiten Gesetz zur Änderung schadensersatzrechtlicher Vorschriften vom 19. Juli 2002</w:t>
        </w:r>
      </w:hyperlink>
    </w:p>
    <w:p>
      <w:pPr>
        <w:pStyle w:val="Übersicht"/>
        <w:ind w:left="680"/>
      </w:pPr>
      <w:hyperlink w:anchor="b241" w:history="1">
        <w:r>
          <w:rPr>
            <w:color w:val="0A3A8C"/>
            <w:u w:val="single"/>
          </w:rPr>
          <w:t xml:space="preserve">Art. 229 § 9 Überleitungsvorschrift zum OLG-Vertretungsänderungsgesetz vom 23. Juli 2002</w:t>
        </w:r>
      </w:hyperlink>
    </w:p>
    <w:p>
      <w:pPr>
        <w:pStyle w:val="Übersicht"/>
        <w:ind w:left="680"/>
      </w:pPr>
      <w:hyperlink w:anchor="b242" w:history="1">
        <w:r>
          <w:rPr>
            <w:color w:val="0A3A8C"/>
            <w:u w:val="single"/>
          </w:rPr>
          <w:t xml:space="preserve">Art. 229 § 10 Überleitungsvorschrift zum Gesetz zur Änderung der Vorschriften über die Anfechtung der Vaterschaft und das Umgangsrecht von Bezugspersonen des Kindes, zur Registrierung von Vorsorgeverfügungen und zur Einführung von Vordrucken für die Vergütung von Berufsbetreuern vom 23. April 2004</w:t>
        </w:r>
      </w:hyperlink>
    </w:p>
    <w:p>
      <w:pPr>
        <w:pStyle w:val="Übersicht"/>
        <w:ind w:left="680"/>
      </w:pPr>
      <w:hyperlink w:anchor="b243" w:history="1">
        <w:r>
          <w:rPr>
            <w:color w:val="0A3A8C"/>
            <w:u w:val="single"/>
          </w:rPr>
          <w:t xml:space="preserve">Art. 229 § 11 Überleitungsvorschrift zu dem Gesetz zur Änderung der Vorschriften über Fernabsatzverträge bei Finanzdienstleistungen vom 2. Dezember 2004</w:t>
        </w:r>
      </w:hyperlink>
    </w:p>
    <w:p>
      <w:pPr>
        <w:pStyle w:val="Übersicht"/>
        <w:ind w:left="680"/>
      </w:pPr>
      <w:hyperlink w:anchor="b244" w:history="1">
        <w:r>
          <w:rPr>
            <w:color w:val="0A3A8C"/>
            <w:u w:val="single"/>
          </w:rPr>
          <w:t xml:space="preserve">Art. 229 § 12 Überleitungsvorschrift zum Gesetz zur Anpassung von Verjährungsvorschriften an das Gesetz zur Modernisierung des Schuldrechts</w:t>
        </w:r>
      </w:hyperlink>
    </w:p>
    <w:p>
      <w:pPr>
        <w:pStyle w:val="Übersicht"/>
        <w:ind w:left="680"/>
      </w:pPr>
      <w:hyperlink w:anchor="b245" w:history="1">
        <w:r>
          <w:rPr>
            <w:color w:val="0A3A8C"/>
            <w:u w:val="single"/>
          </w:rPr>
          <w:t xml:space="preserve">Art. 229 § 13</w:t>
        </w:r>
      </w:hyperlink>
    </w:p>
    <w:p>
      <w:pPr>
        <w:pStyle w:val="Übersicht"/>
        <w:ind w:left="680"/>
      </w:pPr>
      <w:hyperlink w:anchor="b246" w:history="1">
        <w:r>
          <w:rPr>
            <w:color w:val="0A3A8C"/>
            <w:u w:val="single"/>
          </w:rPr>
          <w:t xml:space="preserve">Art. 229 § 14 Übergangsvorschrift zum Zweiten Betreuungsrechtsänderungsgesetz vom 21. April 2005</w:t>
        </w:r>
      </w:hyperlink>
    </w:p>
    <w:p>
      <w:pPr>
        <w:pStyle w:val="Übersicht"/>
        <w:ind w:left="680"/>
      </w:pPr>
      <w:hyperlink w:anchor="b247" w:history="1">
        <w:r>
          <w:rPr>
            <w:color w:val="0A3A8C"/>
            <w:u w:val="single"/>
          </w:rPr>
          <w:t xml:space="preserve">Art. 229 § 15 Übergangsvorschrift zum Minderjährigenhaftungsbeschränkungsgesetz</w:t>
        </w:r>
      </w:hyperlink>
    </w:p>
    <w:p>
      <w:pPr>
        <w:pStyle w:val="Übersicht"/>
        <w:ind w:left="680"/>
      </w:pPr>
      <w:hyperlink w:anchor="b248" w:history="1">
        <w:r>
          <w:rPr>
            <w:color w:val="0A3A8C"/>
            <w:u w:val="single"/>
          </w:rPr>
          <w:t xml:space="preserve">Art. 229 § 16 (weggefallen)</w:t>
        </w:r>
      </w:hyperlink>
    </w:p>
    <w:p>
      <w:pPr>
        <w:pStyle w:val="Übersicht"/>
        <w:ind w:left="680"/>
      </w:pPr>
      <w:hyperlink w:anchor="b249" w:history="1">
        <w:r>
          <w:rPr>
            <w:color w:val="0A3A8C"/>
            <w:u w:val="single"/>
          </w:rPr>
          <w:t xml:space="preserve">Art. 229 § 17 Übergangsvorschrift zum Gesetz zur Klärung der Vaterschaft unabhängig vom Anfechtungsverfahren</w:t>
        </w:r>
      </w:hyperlink>
    </w:p>
    <w:p>
      <w:pPr>
        <w:pStyle w:val="Übersicht"/>
        <w:ind w:left="680"/>
      </w:pPr>
      <w:hyperlink w:anchor="b250" w:history="1">
        <w:r>
          <w:rPr>
            <w:color w:val="0A3A8C"/>
            <w:u w:val="single"/>
          </w:rPr>
          <w:t xml:space="preserve">Art. 229 § 18 Übergangsvorschrift zum Risikobegrenzungsgesetz</w:t>
        </w:r>
      </w:hyperlink>
    </w:p>
    <w:p>
      <w:pPr>
        <w:pStyle w:val="Übersicht"/>
        <w:ind w:left="680"/>
      </w:pPr>
      <w:hyperlink w:anchor="b251" w:history="1">
        <w:r>
          <w:rPr>
            <w:color w:val="0A3A8C"/>
            <w:u w:val="single"/>
          </w:rPr>
          <w:t xml:space="preserve">Art. 229 § 19 Überleitungsvorschrift zum Forderungssicherungsgesetz</w:t>
        </w:r>
      </w:hyperlink>
    </w:p>
    <w:p>
      <w:pPr>
        <w:pStyle w:val="Übersicht"/>
        <w:ind w:left="680"/>
      </w:pPr>
      <w:hyperlink w:anchor="b252" w:history="1">
        <w:r>
          <w:rPr>
            <w:color w:val="0A3A8C"/>
            <w:u w:val="single"/>
          </w:rPr>
          <w:t xml:space="preserve">Art. 229 § 20 Übergangsvorschrift zum Gesetz zur Änderung des Zugewinnausgleichs- und Vormundschaftsrechts vom 6. Juli 2009</w:t>
        </w:r>
      </w:hyperlink>
    </w:p>
    <w:p>
      <w:pPr>
        <w:pStyle w:val="Übersicht"/>
        <w:ind w:left="680"/>
      </w:pPr>
      <w:hyperlink w:anchor="b253" w:history="1">
        <w:r>
          <w:rPr>
            <w:color w:val="0A3A8C"/>
            <w:u w:val="single"/>
          </w:rPr>
          <w:t xml:space="preserve">Art. 229 § 21 Übergangsvorschriften für die Gesellschaft bürgerlichen Rechts im Grundbuchverfahren und im Schiffsregisterverfahren</w:t>
        </w:r>
      </w:hyperlink>
    </w:p>
    <w:p>
      <w:pPr>
        <w:pStyle w:val="Übersicht"/>
        <w:ind w:left="680"/>
      </w:pPr>
      <w:hyperlink w:anchor="b254" w:history="1">
        <w:r>
          <w:rPr>
            <w:color w:val="0A3A8C"/>
            <w:u w:val="single"/>
          </w:rPr>
          <w:t xml:space="preserve">Art. 229 § 22 Übergangsvorschrift zum Gesetz zur Umsetzung der Verbraucherkreditrichtlinie, des zivilrechtlichen Teils der Zahlungsdiensterichtlinie sowie zur Neuordnung der Vorschriften über das Widerrufs- und Rückgaberecht vom 29. Juli 2009</w:t>
        </w:r>
      </w:hyperlink>
    </w:p>
    <w:p>
      <w:pPr>
        <w:pStyle w:val="Übersicht"/>
        <w:ind w:left="680"/>
      </w:pPr>
      <w:hyperlink w:anchor="b255" w:history="1">
        <w:r>
          <w:rPr>
            <w:color w:val="0A3A8C"/>
            <w:u w:val="single"/>
          </w:rPr>
          <w:t xml:space="preserve">Art. 229 § 23 Überleitungsvorschrift zum Gesetz zur Änderung des Erb- und Verjährungsrechts</w:t>
        </w:r>
      </w:hyperlink>
    </w:p>
    <w:p>
      <w:pPr>
        <w:pStyle w:val="Übersicht"/>
        <w:ind w:left="680"/>
      </w:pPr>
      <w:hyperlink w:anchor="b256" w:history="1">
        <w:r>
          <w:rPr>
            <w:color w:val="0A3A8C"/>
            <w:u w:val="single"/>
          </w:rPr>
          <w:t xml:space="preserve">Art. 229 § 24 Übergangsvorschrift zu dem Gesetz zur Erleichterung elektronischer Anmeldungen zum Vereinsregister und anderer vereinsrechtlicher Änderungen</w:t>
        </w:r>
      </w:hyperlink>
    </w:p>
    <w:p>
      <w:pPr>
        <w:pStyle w:val="Übersicht"/>
        <w:ind w:left="680"/>
      </w:pPr>
      <w:hyperlink w:anchor="b257" w:history="1">
        <w:r>
          <w:rPr>
            <w:color w:val="0A3A8C"/>
            <w:u w:val="single"/>
          </w:rPr>
          <w:t xml:space="preserve">Art. 229 § 25 Übergangsvorschriften zum Gesetz zur Modernisierung der Regelungen über Teilzeit-Wohnrechteverträge, Verträge über langfristige Urlaubsprodukte sowie Vermittlungsverträge und Tauschsystemverträge</w:t>
        </w:r>
      </w:hyperlink>
    </w:p>
    <w:p>
      <w:pPr>
        <w:pStyle w:val="Übersicht"/>
        <w:ind w:left="680"/>
      </w:pPr>
      <w:hyperlink w:anchor="b258" w:history="1">
        <w:r>
          <w:rPr>
            <w:color w:val="0A3A8C"/>
            <w:u w:val="single"/>
          </w:rPr>
          <w:t xml:space="preserve">Art. 229 § 26 Überleitungsvorschrift zum Gesetz zur Bekämpfung der Zwangsheirat und zum besseren Schutz der Opfer von Zwangsheirat sowie zur Änderung weiterer aufenthalts- und asylrechtlicher Vorschriften</w:t>
        </w:r>
      </w:hyperlink>
    </w:p>
    <w:p>
      <w:pPr>
        <w:pStyle w:val="Übersicht"/>
        <w:ind w:left="680"/>
      </w:pPr>
      <w:hyperlink w:anchor="b259" w:history="1">
        <w:r>
          <w:rPr>
            <w:color w:val="0A3A8C"/>
            <w:u w:val="single"/>
          </w:rPr>
          <w:t xml:space="preserve">Art. 229 § 27 Übergangsvorschrift zum Gesetz zur Anpassung der Vorschriften über den Wertersatz bei Widerruf von Fernabsatzverträgen und über verbundene Verträge vom 27. Juli 2011</w:t>
        </w:r>
      </w:hyperlink>
    </w:p>
    <w:p>
      <w:pPr>
        <w:pStyle w:val="Übersicht"/>
        <w:ind w:left="680"/>
      </w:pPr>
      <w:hyperlink w:anchor="b260" w:history="1">
        <w:r>
          <w:rPr>
            <w:color w:val="0A3A8C"/>
            <w:u w:val="single"/>
          </w:rPr>
          <w:t xml:space="preserve">Art. 229 § 28 Übergangsvorschrift zum Gesetz zur Anpassung der Vorschriften des Internationalen Privatrechts an die Verordnung (EU) Nr. 1259/2010 und zur Änderung anderer Vorschriften des Internationalen Privatrechts vom 23. Januar 2013</w:t>
        </w:r>
      </w:hyperlink>
    </w:p>
    <w:p>
      <w:pPr>
        <w:pStyle w:val="Übersicht"/>
        <w:ind w:left="680"/>
      </w:pPr>
      <w:hyperlink w:anchor="b261" w:history="1">
        <w:r>
          <w:rPr>
            <w:color w:val="0A3A8C"/>
            <w:u w:val="single"/>
          </w:rPr>
          <w:t xml:space="preserve">Art. 229 § 29 Übergangsvorschriften zum Mietrechtsänderungsgesetz vom 11. März 2013</w:t>
        </w:r>
      </w:hyperlink>
    </w:p>
    <w:p>
      <w:pPr>
        <w:pStyle w:val="Übersicht"/>
        <w:ind w:left="680"/>
      </w:pPr>
      <w:hyperlink w:anchor="b262" w:history="1">
        <w:r>
          <w:rPr>
            <w:color w:val="0A3A8C"/>
            <w:u w:val="single"/>
          </w:rPr>
          <w:t xml:space="preserve">Art. 229 § 30 Überleitungsvorschrift zum Gesetz zur Reform der elterlichen Sorge nicht miteinander verheirateter Eltern</w:t>
        </w:r>
      </w:hyperlink>
    </w:p>
    <w:p>
      <w:pPr>
        <w:pStyle w:val="Übersicht"/>
        <w:ind w:left="680"/>
      </w:pPr>
      <w:hyperlink w:anchor="b263" w:history="1">
        <w:r>
          <w:rPr>
            <w:color w:val="0A3A8C"/>
            <w:u w:val="single"/>
          </w:rPr>
          <w:t xml:space="preserve">Art. 229 § 31 Überleitungsvorschrift zur Änderung der Verjährungsvorschriften des Bürgerlichen Gesetzbuchs durch das Gesetz zur Stärkung der Rechte von Opfern sexuellen Missbrauchs</w:t>
        </w:r>
      </w:hyperlink>
    </w:p>
    <w:p>
      <w:pPr>
        <w:pStyle w:val="Übersicht"/>
        <w:ind w:left="680"/>
      </w:pPr>
      <w:hyperlink w:anchor="b264" w:history="1">
        <w:r>
          <w:rPr>
            <w:color w:val="0A3A8C"/>
            <w:u w:val="single"/>
          </w:rPr>
          <w:t xml:space="preserve">Art. 229 § 32 Übergangsvorschrift zum Gesetz zur Umsetzung der Verbraucherrechterichtlinie und zur Änderung des Gesetzes zur Regelung der Wohnungsvermittlung</w:t>
        </w:r>
      </w:hyperlink>
    </w:p>
    <w:p>
      <w:pPr>
        <w:pStyle w:val="Übersicht"/>
        <w:ind w:left="680"/>
      </w:pPr>
      <w:hyperlink w:anchor="b265" w:history="1">
        <w:r>
          <w:rPr>
            <w:color w:val="0A3A8C"/>
            <w:u w:val="single"/>
          </w:rPr>
          <w:t xml:space="preserve">Art. 229 § 33 Überleitungsvorschrift zu dem Gesetz gegen unseriöse Geschäftspraktiken</w:t>
        </w:r>
      </w:hyperlink>
    </w:p>
    <w:p>
      <w:pPr>
        <w:pStyle w:val="Übersicht"/>
        <w:ind w:left="680"/>
      </w:pPr>
      <w:hyperlink w:anchor="b266" w:history="1">
        <w:r>
          <w:rPr>
            <w:color w:val="0A3A8C"/>
            <w:u w:val="single"/>
          </w:rPr>
          <w:t xml:space="preserve">Art. 229 § 34 Überleitungsvorschrift zum Gesetz zur Bekämpfung von Zahlungsverzug im Geschäftsverkehr</w:t>
        </w:r>
      </w:hyperlink>
    </w:p>
    <w:p>
      <w:pPr>
        <w:pStyle w:val="Übersicht"/>
        <w:ind w:left="680"/>
      </w:pPr>
      <w:hyperlink w:anchor="b267" w:history="1">
        <w:r>
          <w:rPr>
            <w:color w:val="0A3A8C"/>
            <w:u w:val="single"/>
          </w:rPr>
          <w:t xml:space="preserve">Art. 229 § 35 Übergangsvorschriften zum Mietrechtsnovellierungsgesetz vom 21. April 2015</w:t>
        </w:r>
      </w:hyperlink>
    </w:p>
    <w:p>
      <w:pPr>
        <w:pStyle w:val="Übersicht"/>
        <w:ind w:left="680"/>
      </w:pPr>
      <w:hyperlink w:anchor="b268" w:history="1">
        <w:r>
          <w:rPr>
            <w:color w:val="0A3A8C"/>
            <w:u w:val="single"/>
          </w:rPr>
          <w:t xml:space="preserve">Art. 229 § 36 Überleitungsvorschrift zum Gesetz zum Internationalen Erbrecht und zur Änderung von Vorschriften zum Erbschein sowie zur Änderung sonstiger Vorschriften vom 29. Juni 2015</w:t>
        </w:r>
      </w:hyperlink>
    </w:p>
    <w:p>
      <w:pPr>
        <w:pStyle w:val="Übersicht"/>
        <w:ind w:left="680"/>
      </w:pPr>
      <w:hyperlink w:anchor="b269" w:history="1">
        <w:r>
          <w:rPr>
            <w:color w:val="0A3A8C"/>
            <w:u w:val="single"/>
          </w:rPr>
          <w:t xml:space="preserve">Art. 229 § 37 Überleitungsvorschrift zum Gesetz zur Verbesserung der zivilrechtlichen Durchsetzung von verbraucherschützenden Vorschriften des Datenschutzrechts</w:t>
        </w:r>
      </w:hyperlink>
    </w:p>
    <w:p>
      <w:pPr>
        <w:pStyle w:val="Übersicht"/>
        <w:ind w:left="680"/>
      </w:pPr>
      <w:hyperlink w:anchor="b270" w:history="1">
        <w:r>
          <w:rPr>
            <w:color w:val="0A3A8C"/>
            <w:u w:val="single"/>
          </w:rPr>
          <w:t xml:space="preserve">Art. 229 § 38 Übergangsvorschrift zum Gesetz zur Umsetzung der Wohnimmobilienkreditrichtlinie und zur Änderung handelsrechtlicher Vorschriften</w:t>
        </w:r>
      </w:hyperlink>
    </w:p>
    <w:p>
      <w:pPr>
        <w:pStyle w:val="Übersicht"/>
        <w:ind w:left="680"/>
      </w:pPr>
      <w:hyperlink w:anchor="b271" w:history="1">
        <w:r>
          <w:rPr>
            <w:color w:val="0A3A8C"/>
            <w:u w:val="single"/>
          </w:rPr>
          <w:t xml:space="preserve">Art. 229 § 39 Übergangsvorschrift zum Gesetz zur Reform des Bauvertragsrechts, zur Änderung der kaufrechtlichen Mängelhaftung, zur Stärkung des zivilprozessualen Rechtsschutzes und zum maschinellen Siegel im Grundbuch- und Schiffsregisterverfahren</w:t>
        </w:r>
      </w:hyperlink>
    </w:p>
    <w:p>
      <w:pPr>
        <w:pStyle w:val="Übersicht"/>
        <w:ind w:left="680"/>
      </w:pPr>
      <w:hyperlink w:anchor="b272" w:history="1">
        <w:r>
          <w:rPr>
            <w:color w:val="0A3A8C"/>
            <w:u w:val="single"/>
          </w:rPr>
          <w:t xml:space="preserve">Art. 229 § 40 Übergangsvorschrift zum Finanzaufsichtsrechtergänzungsgesetz</w:t>
        </w:r>
      </w:hyperlink>
    </w:p>
    <w:p>
      <w:pPr>
        <w:pStyle w:val="Übersicht"/>
        <w:ind w:left="680"/>
      </w:pPr>
      <w:hyperlink w:anchor="b273" w:history="1">
        <w:r>
          <w:rPr>
            <w:color w:val="0A3A8C"/>
            <w:u w:val="single"/>
          </w:rPr>
          <w:t xml:space="preserve">Art. 229 § 41 Übergangsvorschrift zum Gesetz zur Änderung von Vorschriften im Bereich des Internationalen Privat- und Zivilverfahrensrechts vom 11. Juni 2017</w:t>
        </w:r>
      </w:hyperlink>
    </w:p>
    <w:p>
      <w:pPr>
        <w:pStyle w:val="Übersicht"/>
        <w:ind w:left="680"/>
      </w:pPr>
      <w:hyperlink w:anchor="b274" w:history="1">
        <w:r>
          <w:rPr>
            <w:color w:val="0A3A8C"/>
            <w:u w:val="single"/>
          </w:rPr>
          <w:t xml:space="preserve">Art. 229 § 42 Übergangsvorschrift zum Dritten Gesetz zur Änderung reiserechtlicher Vorschriften</w:t>
        </w:r>
      </w:hyperlink>
    </w:p>
    <w:p>
      <w:pPr>
        <w:pStyle w:val="Übersicht"/>
        <w:ind w:left="680"/>
      </w:pPr>
      <w:hyperlink w:anchor="b275" w:history="1">
        <w:r>
          <w:rPr>
            <w:color w:val="0A3A8C"/>
            <w:u w:val="single"/>
          </w:rPr>
          <w:t xml:space="preserve">Art. 229 § 43 Überleitungsvorschrift zum Gesetz zur Einführung eines Anspruchs auf Hinterbliebenengeld</w:t>
        </w:r>
      </w:hyperlink>
    </w:p>
    <w:p>
      <w:pPr>
        <w:pStyle w:val="Übersicht"/>
        <w:ind w:left="680"/>
      </w:pPr>
      <w:hyperlink w:anchor="b276" w:history="1">
        <w:r>
          <w:rPr>
            <w:color w:val="0A3A8C"/>
            <w:u w:val="single"/>
          </w:rPr>
          <w:t xml:space="preserve">Art. 229 § 44 Überleitungsvorschrift zum Gesetz zur Bekämpfung von Kinderehen</w:t>
        </w:r>
      </w:hyperlink>
    </w:p>
    <w:p>
      <w:pPr>
        <w:pStyle w:val="Übersicht"/>
        <w:ind w:left="680"/>
      </w:pPr>
      <w:hyperlink w:anchor="b277" w:history="1">
        <w:r>
          <w:rPr>
            <w:color w:val="0A3A8C"/>
            <w:u w:val="single"/>
          </w:rPr>
          <w:t xml:space="preserve">Art. 229 § 45 Übergangsvorschriften zum Gesetz zur Umsetzung der Zweiten Zahlungsdiensterichtlinie vom 17. Juli 2017</w:t>
        </w:r>
      </w:hyperlink>
    </w:p>
    <w:p>
      <w:pPr>
        <w:pStyle w:val="Übersicht"/>
        <w:ind w:left="680"/>
      </w:pPr>
      <w:hyperlink w:anchor="b278" w:history="1">
        <w:r>
          <w:rPr>
            <w:color w:val="0A3A8C"/>
            <w:u w:val="single"/>
          </w:rPr>
          <w:t xml:space="preserve">Art. 229 § 46 Überleitungsvorschrift zum Gesetz zur Regelung des Rechts auf Kenntnis der Abstammung bei heterologer Verwendung von Samen</w:t>
        </w:r>
      </w:hyperlink>
    </w:p>
    <w:p>
      <w:pPr>
        <w:pStyle w:val="Übersicht"/>
        <w:ind w:left="680"/>
      </w:pPr>
      <w:hyperlink w:anchor="b279" w:history="1">
        <w:r>
          <w:rPr>
            <w:color w:val="0A3A8C"/>
            <w:u w:val="single"/>
          </w:rPr>
          <w:t xml:space="preserve">Art. 229 § 47 Übergangsvorschrift zum Gesetz zum Internationalen Güterrecht und zur Änderung von Vorschriften des Internationalen Privatrechts vom 17. Dezember 2018</w:t>
        </w:r>
      </w:hyperlink>
    </w:p>
    <w:p>
      <w:pPr>
        <w:pStyle w:val="Übersicht"/>
        <w:ind w:left="680"/>
      </w:pPr>
      <w:hyperlink w:anchor="b280" w:history="1">
        <w:r>
          <w:rPr>
            <w:color w:val="0A3A8C"/>
            <w:u w:val="single"/>
          </w:rPr>
          <w:t xml:space="preserve">Art. 229 § 48 Überleitungsvorschrift zum Gesetz zur Umsetzung des Gesetzes zur Einführung des Rechts auf Eheschließung für Personen gleichen Geschlechts</w:t>
        </w:r>
      </w:hyperlink>
    </w:p>
    <w:p>
      <w:pPr>
        <w:pStyle w:val="Übersicht"/>
        <w:ind w:left="680"/>
      </w:pPr>
      <w:hyperlink w:anchor="b281" w:history="1">
        <w:r>
          <w:rPr>
            <w:color w:val="0A3A8C"/>
            <w:u w:val="single"/>
          </w:rPr>
          <w:t xml:space="preserve">Art. 229 § 49 Übergangsvorschriften zum Mietrechtsanpassungsgesetz vom 18. Dezember 2018</w:t>
        </w:r>
      </w:hyperlink>
    </w:p>
    <w:p>
      <w:pPr>
        <w:pStyle w:val="Übersicht"/>
        <w:ind w:left="680"/>
      </w:pPr>
      <w:hyperlink w:anchor="b282" w:history="1">
        <w:r>
          <w:rPr>
            <w:color w:val="0A3A8C"/>
            <w:u w:val="single"/>
          </w:rPr>
          <w:t xml:space="preserve">Art. 229 § 50 Übergangsvorschriften zum Gesetz zur Verlängerung des Betrachtungszeitraums für die ortsübliche Vergleichsmiete</w:t>
        </w:r>
      </w:hyperlink>
    </w:p>
    <w:p>
      <w:pPr>
        <w:pStyle w:val="Übersicht"/>
        <w:ind w:left="680"/>
      </w:pPr>
      <w:hyperlink w:anchor="b283" w:history="1">
        <w:r>
          <w:rPr>
            <w:color w:val="0A3A8C"/>
            <w:u w:val="single"/>
          </w:rPr>
          <w:t xml:space="preserve">Art. 229 § 51 Übergangsvorschriften zum Gesetz zur Verlängerung und Verbesserung der Regelungen über die zulässige Miethöhe bei Mietbeginn</w:t>
        </w:r>
      </w:hyperlink>
    </w:p>
    <w:p>
      <w:pPr>
        <w:pStyle w:val="Übersicht"/>
        <w:ind w:left="680"/>
      </w:pPr>
      <w:hyperlink w:anchor="b284" w:history="1">
        <w:r>
          <w:rPr>
            <w:color w:val="0A3A8C"/>
            <w:u w:val="single"/>
          </w:rPr>
          <w:t xml:space="preserve">Art. 229 § 52 Überleitungsvorschrift zum Gesetz zur Umsetzung der Entscheidung des Bundesverfassungsgerichts vom 26. März 2019 zum Ausschluss der Stiefkindadoption in nichtehelichen Familien</w:t>
        </w:r>
      </w:hyperlink>
    </w:p>
    <w:p>
      <w:pPr>
        <w:pStyle w:val="Übersicht"/>
        <w:ind w:left="680"/>
      </w:pPr>
      <w:hyperlink w:anchor="b285" w:history="1">
        <w:r>
          <w:rPr>
            <w:color w:val="0A3A8C"/>
            <w:u w:val="single"/>
          </w:rPr>
          <w:t xml:space="preserve">Art. 229 § 53 Übergangsvorschrift zum Gesetz über die Maklerkosten bei der Vermittlung von Kaufverträgen über Wohnungen und Einfamilienhäuser</w:t>
        </w:r>
      </w:hyperlink>
    </w:p>
    <w:p>
      <w:pPr>
        <w:pStyle w:val="Übersicht"/>
        <w:ind w:left="680"/>
      </w:pPr>
      <w:hyperlink w:anchor="b286" w:history="1">
        <w:r>
          <w:rPr>
            <w:color w:val="0A3A8C"/>
            <w:u w:val="single"/>
          </w:rPr>
          <w:t xml:space="preserve">Art. 229 § 54 Übergangsvorschrift zum Gesetz zur Reform des Vormundschafts- und Betreuungsrechts</w:t>
        </w:r>
      </w:hyperlink>
    </w:p>
    <w:p>
      <w:pPr>
        <w:pStyle w:val="Übersicht"/>
        <w:ind w:left="680"/>
      </w:pPr>
      <w:hyperlink w:anchor="b287" w:history="1">
        <w:r>
          <w:rPr>
            <w:color w:val="0A3A8C"/>
            <w:u w:val="single"/>
          </w:rPr>
          <w:t xml:space="preserve">Art. 229 § 55 Übergangsvorschrift zum Gesetz zum Schutz von Kindern mit Varianten der Geschlechtsentwicklung</w:t>
        </w:r>
      </w:hyperlink>
    </w:p>
    <w:p>
      <w:pPr>
        <w:pStyle w:val="Übersicht"/>
        <w:ind w:left="680"/>
      </w:pPr>
      <w:hyperlink w:anchor="b288" w:history="1">
        <w:r>
          <w:rPr>
            <w:color w:val="0A3A8C"/>
            <w:u w:val="single"/>
          </w:rPr>
          <w:t xml:space="preserve">Art. 229 § 56 Überleitungsvorschrift zum Gesetz über die Insolvenzsicherung durch Reisesicherungsfonds und zur Änderung reiserechtlicher Vorschriften</w:t>
        </w:r>
      </w:hyperlink>
    </w:p>
    <w:p>
      <w:pPr>
        <w:pStyle w:val="Übersicht"/>
        <w:ind w:left="680"/>
      </w:pPr>
      <w:hyperlink w:anchor="b289" w:history="1">
        <w:r>
          <w:rPr>
            <w:color w:val="0A3A8C"/>
            <w:u w:val="single"/>
          </w:rPr>
          <w:t xml:space="preserve">Art. 229 § 57 Übergangsvorschrift zum Gesetz zur Umsetzung der Richtlinie über bestimmte vertragsrechtliche Aspekte der Bereitstellung digitaler Inhalte und digitaler Dienstleistungen</w:t>
        </w:r>
      </w:hyperlink>
    </w:p>
    <w:p>
      <w:pPr>
        <w:pStyle w:val="Übersicht"/>
        <w:ind w:left="680"/>
      </w:pPr>
      <w:hyperlink w:anchor="b290" w:history="1">
        <w:r>
          <w:rPr>
            <w:color w:val="0A3A8C"/>
            <w:u w:val="single"/>
          </w:rPr>
          <w:t xml:space="preserve">Art. 229 § 58 Übergangsvorschrift zum Gesetz zur Regelung des Verkaufs von Sachen mit digitalen Elementen und anderer Aspekte des Kaufvertrags</w:t>
        </w:r>
      </w:hyperlink>
    </w:p>
    <w:p>
      <w:pPr>
        <w:pStyle w:val="Übersicht"/>
        <w:ind w:left="680"/>
      </w:pPr>
      <w:hyperlink w:anchor="b291" w:history="1">
        <w:r>
          <w:rPr>
            <w:color w:val="0A3A8C"/>
            <w:u w:val="single"/>
          </w:rPr>
          <w:t xml:space="preserve">Art. 229 § 59 Allgemeine Überleitungsvorschrift zum Gesetz zur Vereinheitlichung des Stiftungsrechts</w:t>
        </w:r>
      </w:hyperlink>
    </w:p>
    <w:p>
      <w:pPr>
        <w:pStyle w:val="Übersicht"/>
        <w:ind w:left="680"/>
      </w:pPr>
      <w:hyperlink w:anchor="b292" w:history="1">
        <w:r>
          <w:rPr>
            <w:color w:val="0A3A8C"/>
            <w:u w:val="single"/>
          </w:rPr>
          <w:t xml:space="preserve">Art. 229 § 60 Übergangsvorschrift zum Gesetz für faire Verbraucherverträge</w:t>
        </w:r>
      </w:hyperlink>
    </w:p>
    <w:p>
      <w:pPr>
        <w:pStyle w:val="Übersicht"/>
        <w:ind w:left="680"/>
      </w:pPr>
      <w:hyperlink w:anchor="b293" w:history="1">
        <w:r>
          <w:rPr>
            <w:color w:val="0A3A8C"/>
            <w:u w:val="single"/>
          </w:rPr>
          <w:t xml:space="preserve">Art. 229 § 61 Übergangsvorschrift zum Personengesellschaftsrechtsmodernisierungsgesetz</w:t>
        </w:r>
      </w:hyperlink>
    </w:p>
    <w:p>
      <w:pPr>
        <w:pStyle w:val="Übersicht"/>
        <w:ind w:left="680"/>
      </w:pPr>
      <w:hyperlink w:anchor="b294" w:history="1">
        <w:r>
          <w:rPr>
            <w:color w:val="0A3A8C"/>
            <w:u w:val="single"/>
          </w:rPr>
          <w:t xml:space="preserve">Art. 229 § 62 Übergangsvorschrift zum Mietspiegelreformgesetz</w:t>
        </w:r>
      </w:hyperlink>
    </w:p>
    <w:p>
      <w:pPr>
        <w:pStyle w:val="Übersicht"/>
        <w:ind w:left="680"/>
      </w:pPr>
      <w:hyperlink w:anchor="b295" w:history="1">
        <w:r>
          <w:rPr>
            <w:color w:val="0A3A8C"/>
            <w:u w:val="single"/>
          </w:rPr>
          <w:t xml:space="preserve">Art. 229 § 63 Überleitungsvorschrift zum Gesetz zur Änderung der Strafprozessordnung – Erweiterung der Wiederaufnahmemöglichkeiten zuungunsten des Verurteilten gemäß § 362 StPO und zur Änderung der zivilrechtlichen Verjährung (Gesetz zur Herstellung materieller Gerechtigkeit)</w:t>
        </w:r>
      </w:hyperlink>
    </w:p>
    <w:p>
      <w:pPr>
        <w:pStyle w:val="Übersicht"/>
        <w:ind w:left="680"/>
      </w:pPr>
      <w:hyperlink w:anchor="b296" w:history="1">
        <w:r>
          <w:rPr>
            <w:color w:val="0A3A8C"/>
            <w:u w:val="single"/>
          </w:rPr>
          <w:t xml:space="preserve">Art. 229 § 64 Übergangsvorschrift zum Gesetz zur Abschaffung des Güterrechtsregisters</w:t>
        </w:r>
      </w:hyperlink>
    </w:p>
    <w:p>
      <w:pPr>
        <w:pStyle w:val="Übersicht"/>
        <w:ind w:left="680"/>
      </w:pPr>
      <w:hyperlink w:anchor="b297" w:history="1">
        <w:r>
          <w:rPr>
            <w:color w:val="0A3A8C"/>
            <w:u w:val="single"/>
          </w:rPr>
          <w:t xml:space="preserve">Art. 229 § 65 Überleitungsvorschrift zum Verbandsklagenrichtlinienumsetzungsgesetz</w:t>
        </w:r>
      </w:hyperlink>
    </w:p>
    <w:p>
      <w:pPr>
        <w:pStyle w:val="Übersicht"/>
        <w:ind w:left="680"/>
      </w:pPr>
      <w:hyperlink w:anchor="b298" w:history="1">
        <w:r>
          <w:rPr>
            <w:color w:val="0A3A8C"/>
            <w:u w:val="single"/>
          </w:rPr>
          <w:t xml:space="preserve">Art. 229 § 66 Übergangsvorschrift zum Gesetz zur Finanzierung von zukunftssichernden Investitionen</w:t>
        </w:r>
      </w:hyperlink>
    </w:p>
    <w:p>
      <w:pPr>
        <w:pStyle w:val="Übersicht"/>
        <w:ind w:left="680"/>
      </w:pPr>
      <w:hyperlink w:anchor="b299" w:history="1">
        <w:r>
          <w:rPr>
            <w:color w:val="0A3A8C"/>
            <w:u w:val="single"/>
          </w:rPr>
          <w:t xml:space="preserve">Art. 229 § 67 Überleitungsvorschrift zum Gesetz zur Änderung des Ehenamens- und Geburtsnamensrechts und des Internationalen Namensrechts</w:t>
        </w:r>
      </w:hyperlink>
    </w:p>
    <w:p>
      <w:pPr>
        <w:pStyle w:val="Übersicht"/>
        <w:ind w:left="680"/>
      </w:pPr>
      <w:hyperlink w:anchor="b300" w:history="1">
        <w:r>
          <w:rPr>
            <w:color w:val="0A3A8C"/>
            <w:u w:val="single"/>
          </w:rPr>
          <w:t xml:space="preserve">Art. 229 § 68 Überleitungsvorschrift zum Gesetz zum Schutz Minderjähriger bei Auslandsehen</w:t>
        </w:r>
      </w:hyperlink>
    </w:p>
    <w:p>
      <w:pPr>
        <w:pStyle w:val="Übersicht"/>
        <w:ind w:left="680"/>
      </w:pPr>
      <w:hyperlink w:anchor="b301" w:history="1">
        <w:r>
          <w:rPr>
            <w:color w:val="0A3A8C"/>
            <w:u w:val="single"/>
          </w:rPr>
          <w:t xml:space="preserve">Art. 229 § 69 Übergangsvorschrift zum Gesetz zur Zulassung virtueller Wohnungseigentümerversammlungen, zur Erleichterung des Einsatzes von Steckersolargeräten und zur Übertragbarkeit beschränkter persönlicher Dienstbarkeiten für Erneuerbare-Energien-Anlagen</w:t>
        </w:r>
      </w:hyperlink>
    </w:p>
    <w:p>
      <w:pPr>
        <w:pStyle w:val="Übersicht"/>
        <w:ind w:left="680"/>
      </w:pPr>
      <w:hyperlink w:anchor="b302" w:history="1">
        <w:r>
          <w:rPr>
            <w:color w:val="0A3A8C"/>
            <w:u w:val="single"/>
          </w:rPr>
          <w:t xml:space="preserve">Art. 229 § 70 Übergangsvorschrift zum Schriftformerfordernis bei Gewerbemiet- und Landpachtverträgen</w:t>
        </w:r>
      </w:hyperlink>
    </w:p>
    <w:p>
      <w:pPr>
        <w:pStyle w:val="Übersicht"/>
        <w:ind w:left="680"/>
      </w:pPr>
      <w:hyperlink w:anchor="b303" w:history="1">
        <w:r>
          <w:rPr>
            <w:color w:val="0A3A8C"/>
            <w:u w:val="single"/>
          </w:rPr>
          <w:t xml:space="preserve">Art. 229 § 72 Übergangsvorschrift zum Gesetz zur Umsetzung der Richtlinie (EU) 2024/1799 zur Förderung der Reparatur von Waren sowie zur Verbesserung der Verfügbarkeit von Vorsorgeverfügungen</w:t>
        </w:r>
      </w:hyperlink>
    </w:p>
    <w:p>
      <w:pPr>
        <w:pStyle w:val="Übersicht"/>
        <w:ind w:left="0"/>
      </w:pPr>
      <w:hyperlink w:anchor="b304" w:history="1">
        <w:r>
          <w:rPr>
            <w:b/>
            <w:color w:val="0A3A8C"/>
            <w:u w:val="single"/>
          </w:rPr>
          <w:t xml:space="preserve">Sechster Teil Inkrafttreten und Übergangsrecht aus Anlaß der Einführung des Bürgerlichen Gesetzbuchs und dieses Einführungsgesetzes in dem in Art 3 des Einigungsvertrages genannten Gebiet</w:t>
        </w:r>
      </w:hyperlink>
    </w:p>
    <w:p>
      <w:pPr>
        <w:pStyle w:val="Übersicht"/>
        <w:ind w:left="340"/>
      </w:pPr>
      <w:hyperlink w:anchor="b305" w:history="1">
        <w:r>
          <w:rPr>
            <w:color w:val="0A3A8C"/>
            <w:u w:val="single"/>
          </w:rPr>
          <w:t xml:space="preserve">Art. 230 Inkrafttreten</w:t>
        </w:r>
      </w:hyperlink>
    </w:p>
    <w:p>
      <w:pPr>
        <w:pStyle w:val="Übersicht"/>
        <w:ind w:left="340"/>
      </w:pPr>
      <w:hyperlink w:anchor="b306" w:history="1">
        <w:r>
          <w:rPr>
            <w:b/>
            <w:color w:val="0A3A8C"/>
            <w:u w:val="single"/>
          </w:rPr>
          <w:t xml:space="preserve">Art 231 Erstes Buch. Allgemeiner Teil des Bürgerlichen Gesetzbuchs</w:t>
        </w:r>
      </w:hyperlink>
    </w:p>
    <w:p>
      <w:pPr>
        <w:pStyle w:val="Übersicht"/>
        <w:ind w:left="680"/>
      </w:pPr>
      <w:hyperlink w:anchor="b307" w:history="1">
        <w:r>
          <w:rPr>
            <w:color w:val="0A3A8C"/>
            <w:u w:val="single"/>
          </w:rPr>
          <w:t xml:space="preserve">Art. 231 § 1 (weggefallen)</w:t>
        </w:r>
      </w:hyperlink>
    </w:p>
    <w:p>
      <w:pPr>
        <w:pStyle w:val="Übersicht"/>
        <w:ind w:left="680"/>
      </w:pPr>
      <w:hyperlink w:anchor="b308" w:history="1">
        <w:r>
          <w:rPr>
            <w:color w:val="0A3A8C"/>
            <w:u w:val="single"/>
          </w:rPr>
          <w:t xml:space="preserve">Art. 231 § 2 Vereine</w:t>
        </w:r>
      </w:hyperlink>
    </w:p>
    <w:p>
      <w:pPr>
        <w:pStyle w:val="Übersicht"/>
        <w:ind w:left="680"/>
      </w:pPr>
      <w:hyperlink w:anchor="b309" w:history="1">
        <w:r>
          <w:rPr>
            <w:color w:val="0A3A8C"/>
            <w:u w:val="single"/>
          </w:rPr>
          <w:t xml:space="preserve">Art. 231 § 3 Stiftungen</w:t>
        </w:r>
      </w:hyperlink>
    </w:p>
    <w:p>
      <w:pPr>
        <w:pStyle w:val="Übersicht"/>
        <w:ind w:left="680"/>
      </w:pPr>
      <w:hyperlink w:anchor="b310" w:history="1">
        <w:r>
          <w:rPr>
            <w:color w:val="0A3A8C"/>
            <w:u w:val="single"/>
          </w:rPr>
          <w:t xml:space="preserve">Art. 231 § 4 Haftung juristischer Personen für ihre Organe</w:t>
        </w:r>
      </w:hyperlink>
    </w:p>
    <w:p>
      <w:pPr>
        <w:pStyle w:val="Übersicht"/>
        <w:ind w:left="680"/>
      </w:pPr>
      <w:hyperlink w:anchor="b311" w:history="1">
        <w:r>
          <w:rPr>
            <w:color w:val="0A3A8C"/>
            <w:u w:val="single"/>
          </w:rPr>
          <w:t xml:space="preserve">Art. 231 § 5 Sachen</w:t>
        </w:r>
      </w:hyperlink>
    </w:p>
    <w:p>
      <w:pPr>
        <w:pStyle w:val="Übersicht"/>
        <w:ind w:left="680"/>
      </w:pPr>
      <w:hyperlink w:anchor="b312" w:history="1">
        <w:r>
          <w:rPr>
            <w:color w:val="0A3A8C"/>
            <w:u w:val="single"/>
          </w:rPr>
          <w:t xml:space="preserve">Art. 231 § 6 Verjährung</w:t>
        </w:r>
      </w:hyperlink>
    </w:p>
    <w:p>
      <w:pPr>
        <w:pStyle w:val="Übersicht"/>
        <w:ind w:left="680"/>
      </w:pPr>
      <w:hyperlink w:anchor="b313" w:history="1">
        <w:r>
          <w:rPr>
            <w:color w:val="0A3A8C"/>
            <w:u w:val="single"/>
          </w:rPr>
          <w:t xml:space="preserve">Art. 231 § 7 Beurkundungen und Beglaubigungen</w:t>
        </w:r>
      </w:hyperlink>
    </w:p>
    <w:p>
      <w:pPr>
        <w:pStyle w:val="Übersicht"/>
        <w:ind w:left="680"/>
      </w:pPr>
      <w:hyperlink w:anchor="b314" w:history="1">
        <w:r>
          <w:rPr>
            <w:color w:val="0A3A8C"/>
            <w:u w:val="single"/>
          </w:rPr>
          <w:t xml:space="preserve">Art. 231 § 8 Vollmachtsurkunden staatlicher Organe, Falschbezeichnung von Kommunen</w:t>
        </w:r>
      </w:hyperlink>
    </w:p>
    <w:p>
      <w:pPr>
        <w:pStyle w:val="Übersicht"/>
        <w:ind w:left="680"/>
      </w:pPr>
      <w:hyperlink w:anchor="b315" w:history="1">
        <w:r>
          <w:rPr>
            <w:color w:val="0A3A8C"/>
            <w:u w:val="single"/>
          </w:rPr>
          <w:t xml:space="preserve">Art. 231 § 9 Heilung unwirksamer Vermögensübertragungen</w:t>
        </w:r>
      </w:hyperlink>
    </w:p>
    <w:p>
      <w:pPr>
        <w:pStyle w:val="Übersicht"/>
        <w:ind w:left="680"/>
      </w:pPr>
      <w:hyperlink w:anchor="b316" w:history="1">
        <w:r>
          <w:rPr>
            <w:color w:val="0A3A8C"/>
            <w:u w:val="single"/>
          </w:rPr>
          <w:t xml:space="preserve">Art. 231 § 10 Übergang volkseigener Forderungen, Grundpfandrechte und Verbindlichkeiten auf Kreditinstitute</w:t>
        </w:r>
      </w:hyperlink>
    </w:p>
    <w:p>
      <w:pPr>
        <w:pStyle w:val="Übersicht"/>
        <w:ind w:left="340"/>
      </w:pPr>
      <w:hyperlink w:anchor="b317" w:history="1">
        <w:r>
          <w:rPr>
            <w:b/>
            <w:color w:val="0A3A8C"/>
            <w:u w:val="single"/>
          </w:rPr>
          <w:t xml:space="preserve">Art 232 Zweites Buch. Recht der Schuldverhältnisse</w:t>
        </w:r>
      </w:hyperlink>
    </w:p>
    <w:p>
      <w:pPr>
        <w:pStyle w:val="Übersicht"/>
        <w:ind w:left="680"/>
      </w:pPr>
      <w:hyperlink w:anchor="b318" w:history="1">
        <w:r>
          <w:rPr>
            <w:color w:val="0A3A8C"/>
            <w:u w:val="single"/>
          </w:rPr>
          <w:t xml:space="preserve">Art. 232 § 1 Allgemeine Bestimmungen für Schuldverhältnisse</w:t>
        </w:r>
      </w:hyperlink>
    </w:p>
    <w:p>
      <w:pPr>
        <w:pStyle w:val="Übersicht"/>
        <w:ind w:left="680"/>
      </w:pPr>
      <w:hyperlink w:anchor="b319" w:history="1">
        <w:r>
          <w:rPr>
            <w:color w:val="0A3A8C"/>
            <w:u w:val="single"/>
          </w:rPr>
          <w:t xml:space="preserve">Art. 232 § 1a Überlassungsverträge</w:t>
        </w:r>
      </w:hyperlink>
    </w:p>
    <w:p>
      <w:pPr>
        <w:pStyle w:val="Übersicht"/>
        <w:ind w:left="680"/>
      </w:pPr>
      <w:hyperlink w:anchor="b320" w:history="1">
        <w:r>
          <w:rPr>
            <w:color w:val="0A3A8C"/>
            <w:u w:val="single"/>
          </w:rPr>
          <w:t xml:space="preserve">Art. 232 § 2 Mietverträge</w:t>
        </w:r>
      </w:hyperlink>
    </w:p>
    <w:p>
      <w:pPr>
        <w:pStyle w:val="Übersicht"/>
        <w:ind w:left="680"/>
      </w:pPr>
      <w:hyperlink w:anchor="b321" w:history="1">
        <w:r>
          <w:rPr>
            <w:color w:val="0A3A8C"/>
            <w:u w:val="single"/>
          </w:rPr>
          <w:t xml:space="preserve">Art. 232 § 3 Pachtverträge</w:t>
        </w:r>
      </w:hyperlink>
    </w:p>
    <w:p>
      <w:pPr>
        <w:pStyle w:val="Übersicht"/>
        <w:ind w:left="680"/>
      </w:pPr>
      <w:hyperlink w:anchor="b322" w:history="1">
        <w:r>
          <w:rPr>
            <w:color w:val="0A3A8C"/>
            <w:u w:val="single"/>
          </w:rPr>
          <w:t xml:space="preserve">Art. 232 § 4 Nutzung von Bodenflächen zur Erholung</w:t>
        </w:r>
      </w:hyperlink>
    </w:p>
    <w:p>
      <w:pPr>
        <w:pStyle w:val="Übersicht"/>
        <w:ind w:left="680"/>
      </w:pPr>
      <w:hyperlink w:anchor="b323" w:history="1">
        <w:r>
          <w:rPr>
            <w:color w:val="0A3A8C"/>
            <w:u w:val="single"/>
          </w:rPr>
          <w:t xml:space="preserve">Art. 232 § 4a Vertrags-Moratorium</w:t>
        </w:r>
      </w:hyperlink>
    </w:p>
    <w:p>
      <w:pPr>
        <w:pStyle w:val="Übersicht"/>
        <w:ind w:left="680"/>
      </w:pPr>
      <w:hyperlink w:anchor="b324" w:history="1">
        <w:r>
          <w:rPr>
            <w:color w:val="0A3A8C"/>
            <w:u w:val="single"/>
          </w:rPr>
          <w:t xml:space="preserve">Art. 232 § 5 Arbeitsverhältnisse</w:t>
        </w:r>
      </w:hyperlink>
    </w:p>
    <w:p>
      <w:pPr>
        <w:pStyle w:val="Übersicht"/>
        <w:ind w:left="680"/>
      </w:pPr>
      <w:hyperlink w:anchor="b325" w:history="1">
        <w:r>
          <w:rPr>
            <w:color w:val="0A3A8C"/>
            <w:u w:val="single"/>
          </w:rPr>
          <w:t xml:space="preserve">Art. 232 § 6 Verträge über wiederkehrende Dienstleistungen</w:t>
        </w:r>
      </w:hyperlink>
    </w:p>
    <w:p>
      <w:pPr>
        <w:pStyle w:val="Übersicht"/>
        <w:ind w:left="680"/>
      </w:pPr>
      <w:hyperlink w:anchor="b326" w:history="1">
        <w:r>
          <w:rPr>
            <w:color w:val="0A3A8C"/>
            <w:u w:val="single"/>
          </w:rPr>
          <w:t xml:space="preserve">Art. 232 § 7 Kontoverträge und Sparkontoverträge</w:t>
        </w:r>
      </w:hyperlink>
    </w:p>
    <w:p>
      <w:pPr>
        <w:pStyle w:val="Übersicht"/>
        <w:ind w:left="680"/>
      </w:pPr>
      <w:hyperlink w:anchor="b327" w:history="1">
        <w:r>
          <w:rPr>
            <w:color w:val="0A3A8C"/>
            <w:u w:val="single"/>
          </w:rPr>
          <w:t xml:space="preserve">Art. 232 § 8 Kreditverträge</w:t>
        </w:r>
      </w:hyperlink>
    </w:p>
    <w:p>
      <w:pPr>
        <w:pStyle w:val="Übersicht"/>
        <w:ind w:left="680"/>
      </w:pPr>
      <w:hyperlink w:anchor="b328" w:history="1">
        <w:r>
          <w:rPr>
            <w:color w:val="0A3A8C"/>
            <w:u w:val="single"/>
          </w:rPr>
          <w:t xml:space="preserve">Art. 232 § 9 Bruchteilsgemeinschaften</w:t>
        </w:r>
      </w:hyperlink>
    </w:p>
    <w:p>
      <w:pPr>
        <w:pStyle w:val="Übersicht"/>
        <w:ind w:left="680"/>
      </w:pPr>
      <w:hyperlink w:anchor="b329" w:history="1">
        <w:r>
          <w:rPr>
            <w:color w:val="0A3A8C"/>
            <w:u w:val="single"/>
          </w:rPr>
          <w:t xml:space="preserve">Art. 232 § 10 Unerlaubte Handlungen</w:t>
        </w:r>
      </w:hyperlink>
    </w:p>
    <w:p>
      <w:pPr>
        <w:pStyle w:val="Übersicht"/>
        <w:ind w:left="340"/>
      </w:pPr>
      <w:hyperlink w:anchor="b330" w:history="1">
        <w:r>
          <w:rPr>
            <w:b/>
            <w:color w:val="0A3A8C"/>
            <w:u w:val="single"/>
          </w:rPr>
          <w:t xml:space="preserve">Art 233 Drittes Buch. Sachenrecht</w:t>
        </w:r>
      </w:hyperlink>
    </w:p>
    <w:p>
      <w:pPr>
        <w:pStyle w:val="Übersicht"/>
        <w:ind w:left="680"/>
      </w:pPr>
      <w:hyperlink w:anchor="b331" w:history="1">
        <w:r>
          <w:rPr>
            <w:b/>
            <w:color w:val="0A3A8C"/>
            <w:u w:val="single"/>
          </w:rPr>
          <w:t xml:space="preserve">Erster Abschnitt Allgemeine Vorschriften</w:t>
        </w:r>
      </w:hyperlink>
    </w:p>
    <w:p>
      <w:pPr>
        <w:pStyle w:val="Übersicht"/>
        <w:ind w:left="1020"/>
      </w:pPr>
      <w:hyperlink w:anchor="b332" w:history="1">
        <w:r>
          <w:rPr>
            <w:color w:val="0A3A8C"/>
            <w:u w:val="single"/>
          </w:rPr>
          <w:t xml:space="preserve">Art. 233 § 1 Besitz</w:t>
        </w:r>
      </w:hyperlink>
    </w:p>
    <w:p>
      <w:pPr>
        <w:pStyle w:val="Übersicht"/>
        <w:ind w:left="1020"/>
      </w:pPr>
      <w:hyperlink w:anchor="b333" w:history="1">
        <w:r>
          <w:rPr>
            <w:color w:val="0A3A8C"/>
            <w:u w:val="single"/>
          </w:rPr>
          <w:t xml:space="preserve">Art. 233 § 2 Inhalt des Eigentums</w:t>
        </w:r>
      </w:hyperlink>
    </w:p>
    <w:p>
      <w:pPr>
        <w:pStyle w:val="Übersicht"/>
        <w:ind w:left="1020"/>
      </w:pPr>
      <w:hyperlink w:anchor="b334" w:history="1">
        <w:r>
          <w:rPr>
            <w:color w:val="0A3A8C"/>
            <w:u w:val="single"/>
          </w:rPr>
          <w:t xml:space="preserve">Art. 233 § 2a Moratorium</w:t>
        </w:r>
      </w:hyperlink>
    </w:p>
    <w:p>
      <w:pPr>
        <w:pStyle w:val="Übersicht"/>
        <w:ind w:left="1020"/>
      </w:pPr>
      <w:hyperlink w:anchor="b335" w:history="1">
        <w:r>
          <w:rPr>
            <w:color w:val="0A3A8C"/>
            <w:u w:val="single"/>
          </w:rPr>
          <w:t xml:space="preserve">Art. 233 § 2b Gebäudeeigentum ohne dingliches Nutzungsrecht</w:t>
        </w:r>
      </w:hyperlink>
    </w:p>
    <w:p>
      <w:pPr>
        <w:pStyle w:val="Übersicht"/>
        <w:ind w:left="1020"/>
      </w:pPr>
      <w:hyperlink w:anchor="b336" w:history="1">
        <w:r>
          <w:rPr>
            <w:color w:val="0A3A8C"/>
            <w:u w:val="single"/>
          </w:rPr>
          <w:t xml:space="preserve">Art. 233 § 2c Grundbucheintragung</w:t>
        </w:r>
      </w:hyperlink>
    </w:p>
    <w:p>
      <w:pPr>
        <w:pStyle w:val="Übersicht"/>
        <w:ind w:left="1020"/>
      </w:pPr>
      <w:hyperlink w:anchor="b337" w:history="1">
        <w:r>
          <w:rPr>
            <w:color w:val="0A3A8C"/>
            <w:u w:val="single"/>
          </w:rPr>
          <w:t xml:space="preserve">Art. 233 § 3 Inhalt und Rang beschränkter dinglicher Rechte</w:t>
        </w:r>
      </w:hyperlink>
    </w:p>
    <w:p>
      <w:pPr>
        <w:pStyle w:val="Übersicht"/>
        <w:ind w:left="1020"/>
      </w:pPr>
      <w:hyperlink w:anchor="b338" w:history="1">
        <w:r>
          <w:rPr>
            <w:color w:val="0A3A8C"/>
            <w:u w:val="single"/>
          </w:rPr>
          <w:t xml:space="preserve">Art. 233 § 4 Sondervorschriften für dingliche Nutzungsrechte und Gebäudeeigentum</w:t>
        </w:r>
      </w:hyperlink>
    </w:p>
    <w:p>
      <w:pPr>
        <w:pStyle w:val="Übersicht"/>
        <w:ind w:left="1020"/>
      </w:pPr>
      <w:hyperlink w:anchor="b339" w:history="1">
        <w:r>
          <w:rPr>
            <w:color w:val="0A3A8C"/>
            <w:u w:val="single"/>
          </w:rPr>
          <w:t xml:space="preserve">Art. 233 § 5 Mitbenutzungsrechte</w:t>
        </w:r>
      </w:hyperlink>
    </w:p>
    <w:p>
      <w:pPr>
        <w:pStyle w:val="Übersicht"/>
        <w:ind w:left="1020"/>
      </w:pPr>
      <w:hyperlink w:anchor="b340" w:history="1">
        <w:r>
          <w:rPr>
            <w:color w:val="0A3A8C"/>
            <w:u w:val="single"/>
          </w:rPr>
          <w:t xml:space="preserve">Art. 233 § 6 Hypotheken</w:t>
        </w:r>
      </w:hyperlink>
    </w:p>
    <w:p>
      <w:pPr>
        <w:pStyle w:val="Übersicht"/>
        <w:ind w:left="1020"/>
      </w:pPr>
      <w:hyperlink w:anchor="b341" w:history="1">
        <w:r>
          <w:rPr>
            <w:color w:val="0A3A8C"/>
            <w:u w:val="single"/>
          </w:rPr>
          <w:t xml:space="preserve">Art. 233 § 7 Am Tag des Wirksamwerdens des Beitritts schwebende Rechtsänderungen</w:t>
        </w:r>
      </w:hyperlink>
    </w:p>
    <w:p>
      <w:pPr>
        <w:pStyle w:val="Übersicht"/>
        <w:ind w:left="1020"/>
      </w:pPr>
      <w:hyperlink w:anchor="b342" w:history="1">
        <w:r>
          <w:rPr>
            <w:color w:val="0A3A8C"/>
            <w:u w:val="single"/>
          </w:rPr>
          <w:t xml:space="preserve">Art. 233 § 8 Rechtsverhältnisse nach § 459 des Zivilgesetzbuchs</w:t>
        </w:r>
      </w:hyperlink>
    </w:p>
    <w:p>
      <w:pPr>
        <w:pStyle w:val="Übersicht"/>
        <w:ind w:left="1020"/>
      </w:pPr>
      <w:hyperlink w:anchor="b343" w:history="1">
        <w:r>
          <w:rPr>
            <w:color w:val="0A3A8C"/>
            <w:u w:val="single"/>
          </w:rPr>
          <w:t xml:space="preserve">Art. 233 § 9 Rangbestimmung</w:t>
        </w:r>
      </w:hyperlink>
    </w:p>
    <w:p>
      <w:pPr>
        <w:pStyle w:val="Übersicht"/>
        <w:ind w:left="1020"/>
      </w:pPr>
      <w:hyperlink w:anchor="b344" w:history="1">
        <w:r>
          <w:rPr>
            <w:color w:val="0A3A8C"/>
            <w:u w:val="single"/>
          </w:rPr>
          <w:t xml:space="preserve">Art. 233 § 10 Vertretungsbefugnis für Personenzusammenschlüsse alten Rechts</w:t>
        </w:r>
      </w:hyperlink>
    </w:p>
    <w:p>
      <w:pPr>
        <w:pStyle w:val="Übersicht"/>
        <w:ind w:left="680"/>
      </w:pPr>
      <w:hyperlink w:anchor="b345" w:history="1">
        <w:r>
          <w:rPr>
            <w:b/>
            <w:color w:val="0A3A8C"/>
            <w:u w:val="single"/>
          </w:rPr>
          <w:t xml:space="preserve">Zweiter Abschnitt Abwicklung der Bodenreform</w:t>
        </w:r>
      </w:hyperlink>
    </w:p>
    <w:p>
      <w:pPr>
        <w:pStyle w:val="Übersicht"/>
        <w:ind w:left="1020"/>
      </w:pPr>
      <w:hyperlink w:anchor="b346" w:history="1">
        <w:r>
          <w:rPr>
            <w:color w:val="0A3A8C"/>
            <w:u w:val="single"/>
          </w:rPr>
          <w:t xml:space="preserve">Art. 233 § 11 Grundsatz</w:t>
        </w:r>
      </w:hyperlink>
    </w:p>
    <w:p>
      <w:pPr>
        <w:pStyle w:val="Übersicht"/>
        <w:ind w:left="1020"/>
      </w:pPr>
      <w:hyperlink w:anchor="b347" w:history="1">
        <w:r>
          <w:rPr>
            <w:color w:val="0A3A8C"/>
            <w:u w:val="single"/>
          </w:rPr>
          <w:t xml:space="preserve">Art. 233 § 12 Berechtigter</w:t>
        </w:r>
      </w:hyperlink>
    </w:p>
    <w:p>
      <w:pPr>
        <w:pStyle w:val="Übersicht"/>
        <w:ind w:left="1020"/>
      </w:pPr>
      <w:hyperlink w:anchor="b348" w:history="1">
        <w:r>
          <w:rPr>
            <w:color w:val="0A3A8C"/>
            <w:u w:val="single"/>
          </w:rPr>
          <w:t xml:space="preserve">Art. 233 § 13 Verfügungen des Eigentümers</w:t>
        </w:r>
      </w:hyperlink>
    </w:p>
    <w:p>
      <w:pPr>
        <w:pStyle w:val="Übersicht"/>
        <w:ind w:left="1020"/>
      </w:pPr>
      <w:hyperlink w:anchor="b349" w:history="1">
        <w:r>
          <w:rPr>
            <w:color w:val="0A3A8C"/>
            <w:u w:val="single"/>
          </w:rPr>
          <w:t xml:space="preserve">Art. 233 § 13a Vormerkung zugunsten des Fiskus</w:t>
        </w:r>
      </w:hyperlink>
    </w:p>
    <w:p>
      <w:pPr>
        <w:pStyle w:val="Übersicht"/>
        <w:ind w:left="1020"/>
      </w:pPr>
      <w:hyperlink w:anchor="b350" w:history="1">
        <w:r>
          <w:rPr>
            <w:color w:val="0A3A8C"/>
            <w:u w:val="single"/>
          </w:rPr>
          <w:t xml:space="preserve">Art. 233 § 14 Verjährung</w:t>
        </w:r>
      </w:hyperlink>
    </w:p>
    <w:p>
      <w:pPr>
        <w:pStyle w:val="Übersicht"/>
        <w:ind w:left="1020"/>
      </w:pPr>
      <w:hyperlink w:anchor="b351" w:history="1">
        <w:r>
          <w:rPr>
            <w:color w:val="0A3A8C"/>
            <w:u w:val="single"/>
          </w:rPr>
          <w:t xml:space="preserve">Art. 233 § 15 Verbindlichkeiten</w:t>
        </w:r>
      </w:hyperlink>
    </w:p>
    <w:p>
      <w:pPr>
        <w:pStyle w:val="Übersicht"/>
        <w:ind w:left="1020"/>
      </w:pPr>
      <w:hyperlink w:anchor="b352" w:history="1">
        <w:r>
          <w:rPr>
            <w:color w:val="0A3A8C"/>
            <w:u w:val="single"/>
          </w:rPr>
          <w:t xml:space="preserve">Art. 233 § 16 Verhältnis zu anderen Vorschriften, Übergangsvorschriften</w:t>
        </w:r>
      </w:hyperlink>
    </w:p>
    <w:p>
      <w:pPr>
        <w:pStyle w:val="Übersicht"/>
        <w:ind w:left="340"/>
      </w:pPr>
      <w:hyperlink w:anchor="b353" w:history="1">
        <w:r>
          <w:rPr>
            <w:b/>
            <w:color w:val="0A3A8C"/>
            <w:u w:val="single"/>
          </w:rPr>
          <w:t xml:space="preserve">Art 234 Viertes Buch. Familienrecht</w:t>
        </w:r>
      </w:hyperlink>
    </w:p>
    <w:p>
      <w:pPr>
        <w:pStyle w:val="Übersicht"/>
        <w:ind w:left="680"/>
      </w:pPr>
      <w:hyperlink w:anchor="b354" w:history="1">
        <w:r>
          <w:rPr>
            <w:color w:val="0A3A8C"/>
            <w:u w:val="single"/>
          </w:rPr>
          <w:t xml:space="preserve">Art. 234 § 1 Grundsatz</w:t>
        </w:r>
      </w:hyperlink>
    </w:p>
    <w:p>
      <w:pPr>
        <w:pStyle w:val="Übersicht"/>
        <w:ind w:left="680"/>
      </w:pPr>
      <w:hyperlink w:anchor="b355" w:history="1">
        <w:r>
          <w:rPr>
            <w:color w:val="0A3A8C"/>
            <w:u w:val="single"/>
          </w:rPr>
          <w:t xml:space="preserve">Art. 234 § 2 Verlöbnis</w:t>
        </w:r>
      </w:hyperlink>
    </w:p>
    <w:p>
      <w:pPr>
        <w:pStyle w:val="Übersicht"/>
        <w:ind w:left="680"/>
      </w:pPr>
      <w:hyperlink w:anchor="b356" w:history="1">
        <w:r>
          <w:rPr>
            <w:color w:val="0A3A8C"/>
            <w:u w:val="single"/>
          </w:rPr>
          <w:t xml:space="preserve">Art. 234 § 3 (weggefallen)</w:t>
        </w:r>
      </w:hyperlink>
    </w:p>
    <w:p>
      <w:pPr>
        <w:pStyle w:val="Übersicht"/>
        <w:ind w:left="680"/>
      </w:pPr>
      <w:hyperlink w:anchor="b357" w:history="1">
        <w:r>
          <w:rPr>
            <w:color w:val="0A3A8C"/>
            <w:u w:val="single"/>
          </w:rPr>
          <w:t xml:space="preserve">Art. 234 § 4 Eheliches Güterrecht</w:t>
        </w:r>
      </w:hyperlink>
    </w:p>
    <w:p>
      <w:pPr>
        <w:pStyle w:val="Übersicht"/>
        <w:ind w:left="680"/>
      </w:pPr>
      <w:hyperlink w:anchor="b358" w:history="1">
        <w:r>
          <w:rPr>
            <w:color w:val="0A3A8C"/>
            <w:u w:val="single"/>
          </w:rPr>
          <w:t xml:space="preserve">Art. 234 § 4a Gemeinschaftliches Eigentum</w:t>
        </w:r>
      </w:hyperlink>
    </w:p>
    <w:p>
      <w:pPr>
        <w:pStyle w:val="Übersicht"/>
        <w:ind w:left="680"/>
      </w:pPr>
      <w:hyperlink w:anchor="b359" w:history="1">
        <w:r>
          <w:rPr>
            <w:color w:val="0A3A8C"/>
            <w:u w:val="single"/>
          </w:rPr>
          <w:t xml:space="preserve">Art. 234 § 5 Unterhalt des geschiedenen Ehegatten</w:t>
        </w:r>
      </w:hyperlink>
    </w:p>
    <w:p>
      <w:pPr>
        <w:pStyle w:val="Übersicht"/>
        <w:ind w:left="680"/>
      </w:pPr>
      <w:hyperlink w:anchor="b360" w:history="1">
        <w:r>
          <w:rPr>
            <w:color w:val="0A3A8C"/>
            <w:u w:val="single"/>
          </w:rPr>
          <w:t xml:space="preserve">Art. 234 § 6 Versorgungsausgleich</w:t>
        </w:r>
      </w:hyperlink>
    </w:p>
    <w:p>
      <w:pPr>
        <w:pStyle w:val="Übersicht"/>
        <w:ind w:left="680"/>
      </w:pPr>
      <w:hyperlink w:anchor="b361" w:history="1">
        <w:r>
          <w:rPr>
            <w:color w:val="0A3A8C"/>
            <w:u w:val="single"/>
          </w:rPr>
          <w:t xml:space="preserve">Art. 234 § 7 Abstammung</w:t>
        </w:r>
      </w:hyperlink>
    </w:p>
    <w:p>
      <w:pPr>
        <w:pStyle w:val="Übersicht"/>
        <w:ind w:left="680"/>
      </w:pPr>
      <w:hyperlink w:anchor="b362" w:history="1">
        <w:r>
          <w:rPr>
            <w:color w:val="0A3A8C"/>
            <w:u w:val="single"/>
          </w:rPr>
          <w:t xml:space="preserve">Art. 234 §§ 8 und 9 (weggefallen)</w:t>
        </w:r>
      </w:hyperlink>
    </w:p>
    <w:p>
      <w:pPr>
        <w:pStyle w:val="Übersicht"/>
        <w:ind w:left="680"/>
      </w:pPr>
      <w:hyperlink w:anchor="b363" w:history="1">
        <w:r>
          <w:rPr>
            <w:color w:val="0A3A8C"/>
            <w:u w:val="single"/>
          </w:rPr>
          <w:t xml:space="preserve">Art. 234 § 10 Rechtsverhältnis zwischen den Eltern und dem Kind im allgemeinen</w:t>
        </w:r>
      </w:hyperlink>
    </w:p>
    <w:p>
      <w:pPr>
        <w:pStyle w:val="Übersicht"/>
        <w:ind w:left="680"/>
      </w:pPr>
      <w:hyperlink w:anchor="b364" w:history="1">
        <w:r>
          <w:rPr>
            <w:color w:val="0A3A8C"/>
            <w:u w:val="single"/>
          </w:rPr>
          <w:t xml:space="preserve">Art. 234 § 11 (weggefallen)</w:t>
        </w:r>
      </w:hyperlink>
    </w:p>
    <w:p>
      <w:pPr>
        <w:pStyle w:val="Übersicht"/>
        <w:ind w:left="680"/>
      </w:pPr>
      <w:hyperlink w:anchor="b365" w:history="1">
        <w:r>
          <w:rPr>
            <w:color w:val="0A3A8C"/>
            <w:u w:val="single"/>
          </w:rPr>
          <w:t xml:space="preserve">Art. 234 § 12 Legitimation nichtehelicher Kinder</w:t>
        </w:r>
      </w:hyperlink>
    </w:p>
    <w:p>
      <w:pPr>
        <w:pStyle w:val="Übersicht"/>
        <w:ind w:left="680"/>
      </w:pPr>
      <w:hyperlink w:anchor="b366" w:history="1">
        <w:r>
          <w:rPr>
            <w:color w:val="0A3A8C"/>
            <w:u w:val="single"/>
          </w:rPr>
          <w:t xml:space="preserve">Art. 234 § 13 Annahme als Kind</w:t>
        </w:r>
      </w:hyperlink>
    </w:p>
    <w:p>
      <w:pPr>
        <w:pStyle w:val="Übersicht"/>
        <w:ind w:left="680"/>
      </w:pPr>
      <w:hyperlink w:anchor="b367" w:history="1">
        <w:r>
          <w:rPr>
            <w:color w:val="0A3A8C"/>
            <w:u w:val="single"/>
          </w:rPr>
          <w:t xml:space="preserve">Art. 234 § 14 Vormundschaft</w:t>
        </w:r>
      </w:hyperlink>
    </w:p>
    <w:p>
      <w:pPr>
        <w:pStyle w:val="Übersicht"/>
        <w:ind w:left="680"/>
      </w:pPr>
      <w:hyperlink w:anchor="b368" w:history="1">
        <w:r>
          <w:rPr>
            <w:color w:val="0A3A8C"/>
            <w:u w:val="single"/>
          </w:rPr>
          <w:t xml:space="preserve">Art. 234 § 15 Pflegschaft</w:t>
        </w:r>
      </w:hyperlink>
    </w:p>
    <w:p>
      <w:pPr>
        <w:pStyle w:val="Übersicht"/>
        <w:ind w:left="340"/>
      </w:pPr>
      <w:hyperlink w:anchor="b369" w:history="1">
        <w:r>
          <w:rPr>
            <w:b/>
            <w:color w:val="0A3A8C"/>
            <w:u w:val="single"/>
          </w:rPr>
          <w:t xml:space="preserve">Art 235 Fünftes Buch. Erbrecht</w:t>
        </w:r>
      </w:hyperlink>
    </w:p>
    <w:p>
      <w:pPr>
        <w:pStyle w:val="Übersicht"/>
        <w:ind w:left="680"/>
      </w:pPr>
      <w:hyperlink w:anchor="b370" w:history="1">
        <w:r>
          <w:rPr>
            <w:color w:val="0A3A8C"/>
            <w:u w:val="single"/>
          </w:rPr>
          <w:t xml:space="preserve">Art. 235 § 1 Erbrechtliche Verhältnisse</w:t>
        </w:r>
      </w:hyperlink>
    </w:p>
    <w:p>
      <w:pPr>
        <w:pStyle w:val="Übersicht"/>
        <w:ind w:left="680"/>
      </w:pPr>
      <w:hyperlink w:anchor="b371" w:history="1">
        <w:r>
          <w:rPr>
            <w:color w:val="0A3A8C"/>
            <w:u w:val="single"/>
          </w:rPr>
          <w:t xml:space="preserve">Art. 235 § 2 Verfügungen von Todes wegen</w:t>
        </w:r>
      </w:hyperlink>
    </w:p>
    <w:p>
      <w:pPr>
        <w:pStyle w:val="Übersicht"/>
        <w:ind w:left="340"/>
      </w:pPr>
      <w:hyperlink w:anchor="b372" w:history="1">
        <w:r>
          <w:rPr>
            <w:b/>
            <w:color w:val="0A3A8C"/>
            <w:u w:val="single"/>
          </w:rPr>
          <w:t xml:space="preserve">Art 236 Einführungsgesetz - Internationales Privatrecht</w:t>
        </w:r>
      </w:hyperlink>
    </w:p>
    <w:p>
      <w:pPr>
        <w:pStyle w:val="Übersicht"/>
        <w:ind w:left="680"/>
      </w:pPr>
      <w:hyperlink w:anchor="b373" w:history="1">
        <w:r>
          <w:rPr>
            <w:color w:val="0A3A8C"/>
            <w:u w:val="single"/>
          </w:rPr>
          <w:t xml:space="preserve">Art. 236 § 1 Abgeschlossene Vorgänge</w:t>
        </w:r>
      </w:hyperlink>
    </w:p>
    <w:p>
      <w:pPr>
        <w:pStyle w:val="Übersicht"/>
        <w:ind w:left="680"/>
      </w:pPr>
      <w:hyperlink w:anchor="b374" w:history="1">
        <w:r>
          <w:rPr>
            <w:color w:val="0A3A8C"/>
            <w:u w:val="single"/>
          </w:rPr>
          <w:t xml:space="preserve">Art. 236 § 2 Wirkungen familienrechtlicher Rechtsverhältnisse</w:t>
        </w:r>
      </w:hyperlink>
    </w:p>
    <w:p>
      <w:pPr>
        <w:pStyle w:val="Übersicht"/>
        <w:ind w:left="680"/>
      </w:pPr>
      <w:hyperlink w:anchor="b375" w:history="1">
        <w:r>
          <w:rPr>
            <w:color w:val="0A3A8C"/>
            <w:u w:val="single"/>
          </w:rPr>
          <w:t xml:space="preserve">Art. 236 § 3 Güterstand</w:t>
        </w:r>
      </w:hyperlink>
    </w:p>
    <w:p>
      <w:pPr>
        <w:pStyle w:val="Übersicht"/>
        <w:ind w:left="340"/>
      </w:pPr>
      <w:hyperlink w:anchor="b376" w:history="1">
        <w:r>
          <w:rPr>
            <w:b/>
            <w:color w:val="0A3A8C"/>
            <w:u w:val="single"/>
          </w:rPr>
          <w:t xml:space="preserve">Art 237 Bestandsschutz, Ausschlußfrist</w:t>
        </w:r>
      </w:hyperlink>
    </w:p>
    <w:p>
      <w:pPr>
        <w:pStyle w:val="Übersicht"/>
        <w:ind w:left="680"/>
      </w:pPr>
      <w:hyperlink w:anchor="b377" w:history="1">
        <w:r>
          <w:rPr>
            <w:color w:val="0A3A8C"/>
            <w:u w:val="single"/>
          </w:rPr>
          <w:t xml:space="preserve">Art. 237 § 1 Bestandsschutz</w:t>
        </w:r>
      </w:hyperlink>
    </w:p>
    <w:p>
      <w:pPr>
        <w:pStyle w:val="Übersicht"/>
        <w:ind w:left="680"/>
      </w:pPr>
      <w:hyperlink w:anchor="b378" w:history="1">
        <w:r>
          <w:rPr>
            <w:color w:val="0A3A8C"/>
            <w:u w:val="single"/>
          </w:rPr>
          <w:t xml:space="preserve">Art. 237 § 2 Ausschlußfrist</w:t>
        </w:r>
      </w:hyperlink>
    </w:p>
    <w:p>
      <w:pPr>
        <w:pStyle w:val="Übersicht"/>
        <w:ind w:left="0"/>
      </w:pPr>
      <w:hyperlink w:anchor="b379" w:history="1">
        <w:r>
          <w:rPr>
            <w:b/>
            <w:color w:val="0A3A8C"/>
            <w:u w:val="single"/>
          </w:rPr>
          <w:t xml:space="preserve">Siebter Teil Durchführung des Bürgerlichen Gesetzbuchs, Verordnungsermächtigungen, Länderöffnungsklauseln, Informationspflichten</w:t>
        </w:r>
      </w:hyperlink>
    </w:p>
    <w:p>
      <w:pPr>
        <w:pStyle w:val="Übersicht"/>
        <w:ind w:left="340"/>
      </w:pPr>
      <w:hyperlink w:anchor="b380" w:history="1">
        <w:r>
          <w:rPr>
            <w:b/>
            <w:color w:val="0A3A8C"/>
            <w:u w:val="single"/>
          </w:rPr>
          <w:t xml:space="preserve">Art 238 Datenverarbeitung und Auskunftspflichten für qualifizierte Mietspiegel</w:t>
        </w:r>
      </w:hyperlink>
    </w:p>
    <w:p>
      <w:pPr>
        <w:pStyle w:val="Übersicht"/>
        <w:ind w:left="680"/>
      </w:pPr>
      <w:hyperlink w:anchor="b381" w:history="1">
        <w:r>
          <w:rPr>
            <w:color w:val="0A3A8C"/>
            <w:u w:val="single"/>
          </w:rPr>
          <w:t xml:space="preserve">Art. 238 § 1 Erhebung und Übermittlung von Daten</w:t>
        </w:r>
      </w:hyperlink>
    </w:p>
    <w:p>
      <w:pPr>
        <w:pStyle w:val="Übersicht"/>
        <w:ind w:left="680"/>
      </w:pPr>
      <w:hyperlink w:anchor="b382" w:history="1">
        <w:r>
          <w:rPr>
            <w:color w:val="0A3A8C"/>
            <w:u w:val="single"/>
          </w:rPr>
          <w:t xml:space="preserve">Art. 238 § 2 Auskunftspflichten</w:t>
        </w:r>
      </w:hyperlink>
    </w:p>
    <w:p>
      <w:pPr>
        <w:pStyle w:val="Übersicht"/>
        <w:ind w:left="680"/>
      </w:pPr>
      <w:hyperlink w:anchor="b383" w:history="1">
        <w:r>
          <w:rPr>
            <w:color w:val="0A3A8C"/>
            <w:u w:val="single"/>
          </w:rPr>
          <w:t xml:space="preserve">Art. 238 § 3 Datenverarbeitung</w:t>
        </w:r>
      </w:hyperlink>
    </w:p>
    <w:p>
      <w:pPr>
        <w:pStyle w:val="Übersicht"/>
        <w:ind w:left="680"/>
      </w:pPr>
      <w:hyperlink w:anchor="b384" w:history="1">
        <w:r>
          <w:rPr>
            <w:color w:val="0A3A8C"/>
            <w:u w:val="single"/>
          </w:rPr>
          <w:t xml:space="preserve">Art. 238 § 4 Bußgeldvorschriften</w:t>
        </w:r>
      </w:hyperlink>
    </w:p>
    <w:p>
      <w:pPr>
        <w:pStyle w:val="Übersicht"/>
        <w:ind w:left="680"/>
      </w:pPr>
      <w:hyperlink w:anchor="b385" w:history="1">
        <w:r>
          <w:rPr>
            <w:color w:val="0A3A8C"/>
            <w:u w:val="single"/>
          </w:rPr>
          <w:t xml:space="preserve">Art. 239 Länderöffnungsklausel</w:t>
        </w:r>
      </w:hyperlink>
    </w:p>
    <w:p>
      <w:pPr>
        <w:pStyle w:val="Übersicht"/>
        <w:ind w:left="340"/>
      </w:pPr>
      <w:hyperlink w:anchor="b386" w:history="1">
        <w:r>
          <w:rPr>
            <w:b/>
            <w:color w:val="0A3A8C"/>
            <w:u w:val="single"/>
          </w:rPr>
          <w:t xml:space="preserve">Art 240 (weggefallen)</w:t>
        </w:r>
      </w:hyperlink>
    </w:p>
    <w:p>
      <w:pPr>
        <w:pStyle w:val="Übersicht"/>
        <w:ind w:left="680"/>
      </w:pPr>
      <w:hyperlink w:anchor="b387" w:history="1">
        <w:r>
          <w:rPr>
            <w:color w:val="0A3A8C"/>
            <w:u w:val="single"/>
          </w:rPr>
          <w:t xml:space="preserve">Art. 240 § 1 (weggefallen)</w:t>
        </w:r>
      </w:hyperlink>
    </w:p>
    <w:p>
      <w:pPr>
        <w:pStyle w:val="Übersicht"/>
        <w:ind w:left="680"/>
      </w:pPr>
      <w:hyperlink w:anchor="b388" w:history="1">
        <w:r>
          <w:rPr>
            <w:color w:val="0A3A8C"/>
            <w:u w:val="single"/>
          </w:rPr>
          <w:t xml:space="preserve">Art. 240 § 2 (weggefallen)</w:t>
        </w:r>
      </w:hyperlink>
    </w:p>
    <w:p>
      <w:pPr>
        <w:pStyle w:val="Übersicht"/>
        <w:ind w:left="680"/>
      </w:pPr>
      <w:hyperlink w:anchor="b389" w:history="1">
        <w:r>
          <w:rPr>
            <w:color w:val="0A3A8C"/>
            <w:u w:val="single"/>
          </w:rPr>
          <w:t xml:space="preserve">Art. 240 § 3 (weggefallen)</w:t>
        </w:r>
      </w:hyperlink>
    </w:p>
    <w:p>
      <w:pPr>
        <w:pStyle w:val="Übersicht"/>
        <w:ind w:left="680"/>
      </w:pPr>
      <w:hyperlink w:anchor="b390" w:history="1">
        <w:r>
          <w:rPr>
            <w:color w:val="0A3A8C"/>
            <w:u w:val="single"/>
          </w:rPr>
          <w:t xml:space="preserve">Art. 240 § 4 (weggefallen)</w:t>
        </w:r>
      </w:hyperlink>
    </w:p>
    <w:p>
      <w:pPr>
        <w:pStyle w:val="Übersicht"/>
        <w:ind w:left="680"/>
      </w:pPr>
      <w:hyperlink w:anchor="b391" w:history="1">
        <w:r>
          <w:rPr>
            <w:color w:val="0A3A8C"/>
            <w:u w:val="single"/>
          </w:rPr>
          <w:t xml:space="preserve">Art. 240 § 5 (weggefallen)</w:t>
        </w:r>
      </w:hyperlink>
    </w:p>
    <w:p>
      <w:pPr>
        <w:pStyle w:val="Übersicht"/>
        <w:ind w:left="680"/>
      </w:pPr>
      <w:hyperlink w:anchor="b392" w:history="1">
        <w:r>
          <w:rPr>
            <w:color w:val="0A3A8C"/>
            <w:u w:val="single"/>
          </w:rPr>
          <w:t xml:space="preserve">Art. 240 § 6 (weggefallen)</w:t>
        </w:r>
      </w:hyperlink>
    </w:p>
    <w:p>
      <w:pPr>
        <w:pStyle w:val="Übersicht"/>
        <w:ind w:left="680"/>
      </w:pPr>
      <w:hyperlink w:anchor="b393" w:history="1">
        <w:r>
          <w:rPr>
            <w:color w:val="0A3A8C"/>
            <w:u w:val="single"/>
          </w:rPr>
          <w:t xml:space="preserve">Art. 240 § 7 (weggefallen)</w:t>
        </w:r>
      </w:hyperlink>
    </w:p>
    <w:p>
      <w:pPr>
        <w:pStyle w:val="Übersicht"/>
        <w:ind w:left="680"/>
      </w:pPr>
      <w:hyperlink w:anchor="b394" w:history="1">
        <w:r>
          <w:rPr>
            <w:color w:val="0A3A8C"/>
            <w:u w:val="single"/>
          </w:rPr>
          <w:t xml:space="preserve">Art. 241 (weggefallen)</w:t>
        </w:r>
      </w:hyperlink>
    </w:p>
    <w:p>
      <w:pPr>
        <w:pStyle w:val="Übersicht"/>
        <w:ind w:left="340"/>
      </w:pPr>
      <w:hyperlink w:anchor="b395" w:history="1">
        <w:r>
          <w:rPr>
            <w:b/>
            <w:color w:val="0A3A8C"/>
            <w:u w:val="single"/>
          </w:rPr>
          <w:t xml:space="preserve">Art 242 Informationspflichten bei Teilzeit-Wohnrechteverträgen, Verträgen über langfristige Urlaubsprodukte, Vermittlungsverträgen sowie Tauschsystemverträgen</w:t>
        </w:r>
      </w:hyperlink>
    </w:p>
    <w:p>
      <w:pPr>
        <w:pStyle w:val="Übersicht"/>
        <w:ind w:left="680"/>
      </w:pPr>
      <w:hyperlink w:anchor="b396" w:history="1">
        <w:r>
          <w:rPr>
            <w:color w:val="0A3A8C"/>
            <w:u w:val="single"/>
          </w:rPr>
          <w:t xml:space="preserve">Art. 242 § 1 Vorvertragliche und vertragliche Pflichtangaben</w:t>
        </w:r>
      </w:hyperlink>
    </w:p>
    <w:p>
      <w:pPr>
        <w:pStyle w:val="Übersicht"/>
        <w:ind w:left="680"/>
      </w:pPr>
      <w:hyperlink w:anchor="b397" w:history="1">
        <w:r>
          <w:rPr>
            <w:color w:val="0A3A8C"/>
            <w:u w:val="single"/>
          </w:rPr>
          <w:t xml:space="preserve">Art. 242 § 2 Informationen über das Widerrufsrecht</w:t>
        </w:r>
      </w:hyperlink>
    </w:p>
    <w:p>
      <w:pPr>
        <w:pStyle w:val="Übersicht"/>
        <w:ind w:left="680"/>
      </w:pPr>
      <w:hyperlink w:anchor="b398" w:history="1">
        <w:r>
          <w:rPr>
            <w:color w:val="0A3A8C"/>
            <w:u w:val="single"/>
          </w:rPr>
          <w:t xml:space="preserve">Art. 243 Ver- und Entsorgungsbedingungen</w:t>
        </w:r>
      </w:hyperlink>
    </w:p>
    <w:p>
      <w:pPr>
        <w:pStyle w:val="Übersicht"/>
        <w:ind w:left="680"/>
      </w:pPr>
      <w:hyperlink w:anchor="b399" w:history="1">
        <w:r>
          <w:rPr>
            <w:color w:val="0A3A8C"/>
            <w:u w:val="single"/>
          </w:rPr>
          <w:t xml:space="preserve">Art. 244 Abschlagszahlungen beim Hausbau</w:t>
        </w:r>
      </w:hyperlink>
    </w:p>
    <w:p>
      <w:pPr>
        <w:pStyle w:val="Übersicht"/>
        <w:ind w:left="340"/>
      </w:pPr>
      <w:hyperlink w:anchor="b400" w:history="1">
        <w:r>
          <w:rPr>
            <w:b/>
            <w:color w:val="0A3A8C"/>
            <w:u w:val="single"/>
          </w:rPr>
          <w:t xml:space="preserve">Art 245 Europäisches Formular für Reparaturinformationen</w:t>
        </w:r>
      </w:hyperlink>
    </w:p>
    <w:p>
      <w:pPr>
        <w:pStyle w:val="Übersicht"/>
        <w:ind w:left="680"/>
      </w:pPr>
      <w:hyperlink w:anchor="b401" w:history="1">
        <w:r>
          <w:rPr>
            <w:color w:val="0A3A8C"/>
            <w:u w:val="single"/>
          </w:rPr>
          <w:t xml:space="preserve">Art. 245 § 1 Freiwillige Verwendung</w:t>
        </w:r>
      </w:hyperlink>
    </w:p>
    <w:p>
      <w:pPr>
        <w:pStyle w:val="Übersicht"/>
        <w:ind w:left="680"/>
      </w:pPr>
      <w:hyperlink w:anchor="b402" w:history="1">
        <w:r>
          <w:rPr>
            <w:color w:val="0A3A8C"/>
            <w:u w:val="single"/>
          </w:rPr>
          <w:t xml:space="preserve">Art. 245 § 2 Übermittlung, Zeitpunkt und Kosten</w:t>
        </w:r>
      </w:hyperlink>
    </w:p>
    <w:p>
      <w:pPr>
        <w:pStyle w:val="Übersicht"/>
        <w:ind w:left="680"/>
      </w:pPr>
      <w:hyperlink w:anchor="b403" w:history="1">
        <w:r>
          <w:rPr>
            <w:color w:val="0A3A8C"/>
            <w:u w:val="single"/>
          </w:rPr>
          <w:t xml:space="preserve">Art. 245 § 3 Inhalt und Wirkung</w:t>
        </w:r>
      </w:hyperlink>
    </w:p>
    <w:p>
      <w:pPr>
        <w:pStyle w:val="Übersicht"/>
        <w:ind w:left="680"/>
      </w:pPr>
      <w:hyperlink w:anchor="b404" w:history="1">
        <w:r>
          <w:rPr>
            <w:color w:val="0A3A8C"/>
            <w:u w:val="single"/>
          </w:rPr>
          <w:t xml:space="preserve">Art. 245 § 4 Erfüllung von Informationspflichten</w:t>
        </w:r>
      </w:hyperlink>
    </w:p>
    <w:p>
      <w:pPr>
        <w:pStyle w:val="Übersicht"/>
        <w:ind w:left="680"/>
      </w:pPr>
      <w:hyperlink w:anchor="b405" w:history="1">
        <w:r>
          <w:rPr>
            <w:color w:val="0A3A8C"/>
            <w:u w:val="single"/>
          </w:rPr>
          <w:t xml:space="preserve">Art. 245 § 5 Abweichende Vereinbarungen</w:t>
        </w:r>
      </w:hyperlink>
    </w:p>
    <w:p>
      <w:pPr>
        <w:pStyle w:val="Übersicht"/>
        <w:ind w:left="680"/>
      </w:pPr>
      <w:hyperlink w:anchor="b406" w:history="1">
        <w:r>
          <w:rPr>
            <w:color w:val="0A3A8C"/>
            <w:u w:val="single"/>
          </w:rPr>
          <w:t xml:space="preserve">Art. 246 Informationspflichten beim Verbrauchervertrag</w:t>
        </w:r>
      </w:hyperlink>
    </w:p>
    <w:p>
      <w:pPr>
        <w:pStyle w:val="Übersicht"/>
        <w:ind w:left="340"/>
      </w:pPr>
      <w:hyperlink w:anchor="b407" w:history="1">
        <w:r>
          <w:rPr>
            <w:b/>
            <w:color w:val="0A3A8C"/>
            <w:u w:val="single"/>
          </w:rPr>
          <w:t xml:space="preserve">Art 246a Informationspflichten bei außerhalb von Geschäftsräumen geschlossenen Verträgen und Fernabsatzverträgen mit Ausnahme von Verträgen über Finanzdienstleistungen</w:t>
        </w:r>
      </w:hyperlink>
    </w:p>
    <w:p>
      <w:pPr>
        <w:pStyle w:val="Übersicht"/>
        <w:ind w:left="680"/>
      </w:pPr>
      <w:hyperlink w:anchor="b408" w:history="1">
        <w:r>
          <w:rPr>
            <w:color w:val="0A3A8C"/>
            <w:u w:val="single"/>
          </w:rPr>
          <w:t xml:space="preserve">Art. 246a § 1 Informationspflichten</w:t>
        </w:r>
      </w:hyperlink>
    </w:p>
    <w:p>
      <w:pPr>
        <w:pStyle w:val="Übersicht"/>
        <w:ind w:left="680"/>
      </w:pPr>
      <w:hyperlink w:anchor="b409" w:history="1">
        <w:r>
          <w:rPr>
            <w:color w:val="0A3A8C"/>
            <w:u w:val="single"/>
          </w:rPr>
          <w:t xml:space="preserve">Art. 246a § 2 Erleichterte Informationspflichten bei Reparatur- und Instandhaltungsarbeiten</w:t>
        </w:r>
      </w:hyperlink>
    </w:p>
    <w:p>
      <w:pPr>
        <w:pStyle w:val="Übersicht"/>
        <w:ind w:left="680"/>
      </w:pPr>
      <w:hyperlink w:anchor="b410" w:history="1">
        <w:r>
          <w:rPr>
            <w:color w:val="0A3A8C"/>
            <w:u w:val="single"/>
          </w:rPr>
          <w:t xml:space="preserve">Art. 246a § 3 Erleichterte Informationspflichten bei begrenzter Darstellungsmöglichkeit</w:t>
        </w:r>
      </w:hyperlink>
    </w:p>
    <w:p>
      <w:pPr>
        <w:pStyle w:val="Übersicht"/>
        <w:ind w:left="680"/>
      </w:pPr>
      <w:hyperlink w:anchor="b411" w:history="1">
        <w:r>
          <w:rPr>
            <w:color w:val="0A3A8C"/>
            <w:u w:val="single"/>
          </w:rPr>
          <w:t xml:space="preserve">Art. 246a § 4 Formale Anforderungen an die Erfüllung der Informationspflichten</w:t>
        </w:r>
      </w:hyperlink>
    </w:p>
    <w:p>
      <w:pPr>
        <w:pStyle w:val="Übersicht"/>
        <w:ind w:left="340"/>
      </w:pPr>
      <w:hyperlink w:anchor="b412" w:history="1">
        <w:r>
          <w:rPr>
            <w:b/>
            <w:color w:val="0A3A8C"/>
            <w:u w:val="single"/>
          </w:rPr>
          <w:t xml:space="preserve">Art 246b Informationspflichten bei außerhalb von Geschäftsräumen geschlossenen Verträgen und Fernabsatzverträgen über Finanzdienstleistungen; Gestaltung der Online-Benutzeroberfläche</w:t>
        </w:r>
      </w:hyperlink>
    </w:p>
    <w:p>
      <w:pPr>
        <w:pStyle w:val="Übersicht"/>
        <w:ind w:left="680"/>
      </w:pPr>
      <w:hyperlink w:anchor="b413" w:history="1">
        <w:r>
          <w:rPr>
            <w:color w:val="0A3A8C"/>
            <w:u w:val="single"/>
          </w:rPr>
          <w:t xml:space="preserve">Art. 246b § 1 Informationspflichten</w:t>
        </w:r>
      </w:hyperlink>
    </w:p>
    <w:p>
      <w:pPr>
        <w:pStyle w:val="Übersicht"/>
        <w:ind w:left="680"/>
      </w:pPr>
      <w:hyperlink w:anchor="b414" w:history="1">
        <w:r>
          <w:rPr>
            <w:color w:val="0A3A8C"/>
            <w:u w:val="single"/>
          </w:rPr>
          <w:t xml:space="preserve">Art. 246b § 2 Formale Anforderungen</w:t>
        </w:r>
      </w:hyperlink>
    </w:p>
    <w:p>
      <w:pPr>
        <w:pStyle w:val="Übersicht"/>
        <w:ind w:left="680"/>
      </w:pPr>
      <w:hyperlink w:anchor="b415" w:history="1">
        <w:r>
          <w:rPr>
            <w:color w:val="0A3A8C"/>
            <w:u w:val="single"/>
          </w:rPr>
          <w:t xml:space="preserve">Art. 246b § 3 Angemessene Erläuterungen</w:t>
        </w:r>
      </w:hyperlink>
    </w:p>
    <w:p>
      <w:pPr>
        <w:pStyle w:val="Übersicht"/>
        <w:ind w:left="680"/>
      </w:pPr>
      <w:hyperlink w:anchor="b416" w:history="1">
        <w:r>
          <w:rPr>
            <w:color w:val="0A3A8C"/>
            <w:u w:val="single"/>
          </w:rPr>
          <w:t xml:space="preserve">Art. 246b § 4 Gestaltung der Online-Benutzeroberfläche</w:t>
        </w:r>
      </w:hyperlink>
    </w:p>
    <w:p>
      <w:pPr>
        <w:pStyle w:val="Übersicht"/>
        <w:ind w:left="680"/>
      </w:pPr>
      <w:hyperlink w:anchor="b417" w:history="1">
        <w:r>
          <w:rPr>
            <w:color w:val="0A3A8C"/>
            <w:u w:val="single"/>
          </w:rPr>
          <w:t xml:space="preserve">Art. 246c Informationspflichten bei Verträgen im elektronischen Geschäftsverkehr</w:t>
        </w:r>
      </w:hyperlink>
    </w:p>
    <w:p>
      <w:pPr>
        <w:pStyle w:val="Übersicht"/>
        <w:ind w:left="340"/>
      </w:pPr>
      <w:hyperlink w:anchor="b418" w:history="1">
        <w:r>
          <w:rPr>
            <w:b/>
            <w:color w:val="0A3A8C"/>
            <w:u w:val="single"/>
          </w:rPr>
          <w:t xml:space="preserve">Art 246d Allgemeine Informationspflichten für Betreiber von Online-Marktplätzen</w:t>
        </w:r>
      </w:hyperlink>
    </w:p>
    <w:p>
      <w:pPr>
        <w:pStyle w:val="Übersicht"/>
        <w:ind w:left="680"/>
      </w:pPr>
      <w:hyperlink w:anchor="b419" w:history="1">
        <w:r>
          <w:rPr>
            <w:color w:val="0A3A8C"/>
            <w:u w:val="single"/>
          </w:rPr>
          <w:t xml:space="preserve">Art. 246d § 1 Informationspflichten</w:t>
        </w:r>
      </w:hyperlink>
    </w:p>
    <w:p>
      <w:pPr>
        <w:pStyle w:val="Übersicht"/>
        <w:ind w:left="680"/>
      </w:pPr>
      <w:hyperlink w:anchor="b420" w:history="1">
        <w:r>
          <w:rPr>
            <w:color w:val="0A3A8C"/>
            <w:u w:val="single"/>
          </w:rPr>
          <w:t xml:space="preserve">Art. 246d § 2 Formale Anforderungen</w:t>
        </w:r>
      </w:hyperlink>
    </w:p>
    <w:p>
      <w:pPr>
        <w:pStyle w:val="Übersicht"/>
        <w:ind w:left="340"/>
      </w:pPr>
      <w:hyperlink w:anchor="b421" w:history="1">
        <w:r>
          <w:rPr>
            <w:b/>
            <w:color w:val="0A3A8C"/>
            <w:u w:val="single"/>
          </w:rPr>
          <w:t xml:space="preserve">Art 246e Verbotene Verletzung von Verbraucherinteressen und Bußgeldvorschriften</w:t>
        </w:r>
      </w:hyperlink>
    </w:p>
    <w:p>
      <w:pPr>
        <w:pStyle w:val="Übersicht"/>
        <w:ind w:left="680"/>
      </w:pPr>
      <w:hyperlink w:anchor="b422" w:history="1">
        <w:r>
          <w:rPr>
            <w:color w:val="0A3A8C"/>
            <w:u w:val="single"/>
          </w:rPr>
          <w:t xml:space="preserve">Art. 246e § 1 Verbotene Verletzung von Verbraucherinteressen im Zusammenhang mit Verbraucherverträgen</w:t>
        </w:r>
      </w:hyperlink>
    </w:p>
    <w:p>
      <w:pPr>
        <w:pStyle w:val="Übersicht"/>
        <w:ind w:left="680"/>
      </w:pPr>
      <w:hyperlink w:anchor="b423" w:history="1">
        <w:r>
          <w:rPr>
            <w:color w:val="0A3A8C"/>
            <w:u w:val="single"/>
          </w:rPr>
          <w:t xml:space="preserve">Art. 246e § 2 Bußgeldvorschriften</w:t>
        </w:r>
      </w:hyperlink>
    </w:p>
    <w:p>
      <w:pPr>
        <w:pStyle w:val="Übersicht"/>
        <w:ind w:left="340"/>
      </w:pPr>
      <w:hyperlink w:anchor="b424" w:history="1">
        <w:r>
          <w:rPr>
            <w:b/>
            <w:color w:val="0A3A8C"/>
            <w:u w:val="single"/>
          </w:rPr>
          <w:t xml:space="preserve">Art 247 Informationspflichten bei Verbraucherdarlehensverträgen, entgeltlichen Finanzierungshilfen und Darlehensvermittlungsverträgen</w:t>
        </w:r>
      </w:hyperlink>
    </w:p>
    <w:p>
      <w:pPr>
        <w:pStyle w:val="Übersicht"/>
        <w:ind w:left="680"/>
      </w:pPr>
      <w:hyperlink w:anchor="b425" w:history="1">
        <w:r>
          <w:rPr>
            <w:color w:val="0A3A8C"/>
            <w:u w:val="single"/>
          </w:rPr>
          <w:t xml:space="preserve">Art. 247 § 1 Vorvertragliche Informationen bei Immobiliar-Verbraucherdarlehensverträgen</w:t>
        </w:r>
      </w:hyperlink>
    </w:p>
    <w:p>
      <w:pPr>
        <w:pStyle w:val="Übersicht"/>
        <w:ind w:left="680"/>
      </w:pPr>
      <w:hyperlink w:anchor="b426" w:history="1">
        <w:r>
          <w:rPr>
            <w:color w:val="0A3A8C"/>
            <w:u w:val="single"/>
          </w:rPr>
          <w:t xml:space="preserve">Art. 247 § 2 Form, Zeitpunkt und Muster der vorvertraglichen Informationen bei Allgemein-Verbraucherdarlehensverträgen</w:t>
        </w:r>
      </w:hyperlink>
    </w:p>
    <w:p>
      <w:pPr>
        <w:pStyle w:val="Übersicht"/>
        <w:ind w:left="680"/>
      </w:pPr>
      <w:hyperlink w:anchor="b427" w:history="1">
        <w:r>
          <w:rPr>
            <w:color w:val="0A3A8C"/>
            <w:u w:val="single"/>
          </w:rPr>
          <w:t xml:space="preserve">Art. 247 § 3 Inhalt der vorvertraglichen Information bei Allgemein-Verbraucherdarlehensverträgen</w:t>
        </w:r>
      </w:hyperlink>
    </w:p>
    <w:p>
      <w:pPr>
        <w:pStyle w:val="Übersicht"/>
        <w:ind w:left="680"/>
      </w:pPr>
      <w:hyperlink w:anchor="b428" w:history="1">
        <w:r>
          <w:rPr>
            <w:color w:val="0A3A8C"/>
            <w:u w:val="single"/>
          </w:rPr>
          <w:t xml:space="preserve">Art. 247 § 4 Weitere Angaben bei der vorvertraglichen Information bei Allgemein-Verbraucherdarlehensverträgen</w:t>
        </w:r>
      </w:hyperlink>
    </w:p>
    <w:p>
      <w:pPr>
        <w:pStyle w:val="Übersicht"/>
        <w:ind w:left="680"/>
      </w:pPr>
      <w:hyperlink w:anchor="b429" w:history="1">
        <w:r>
          <w:rPr>
            <w:color w:val="0A3A8C"/>
            <w:u w:val="single"/>
          </w:rPr>
          <w:t xml:space="preserve">Art. 247 § 5 Information bei besonderen Kommunikationsmitteln</w:t>
        </w:r>
      </w:hyperlink>
    </w:p>
    <w:p>
      <w:pPr>
        <w:pStyle w:val="Übersicht"/>
        <w:ind w:left="680"/>
      </w:pPr>
      <w:hyperlink w:anchor="b430" w:history="1">
        <w:r>
          <w:rPr>
            <w:color w:val="0A3A8C"/>
            <w:u w:val="single"/>
          </w:rPr>
          <w:t xml:space="preserve">Art. 247 § 6 Vertragsinhalt</w:t>
        </w:r>
      </w:hyperlink>
    </w:p>
    <w:p>
      <w:pPr>
        <w:pStyle w:val="Übersicht"/>
        <w:ind w:left="680"/>
      </w:pPr>
      <w:hyperlink w:anchor="b431" w:history="1">
        <w:r>
          <w:rPr>
            <w:color w:val="0A3A8C"/>
            <w:u w:val="single"/>
          </w:rPr>
          <w:t xml:space="preserve">Art. 247 § 7 Weitere Angaben im Vertrag</w:t>
        </w:r>
      </w:hyperlink>
    </w:p>
    <w:p>
      <w:pPr>
        <w:pStyle w:val="Übersicht"/>
        <w:ind w:left="680"/>
      </w:pPr>
      <w:hyperlink w:anchor="b432" w:history="1">
        <w:r>
          <w:rPr>
            <w:color w:val="0A3A8C"/>
            <w:u w:val="single"/>
          </w:rPr>
          <w:t xml:space="preserve">Art. 247 § 8 Verträge mit Zusatzleistungen</w:t>
        </w:r>
      </w:hyperlink>
    </w:p>
    <w:p>
      <w:pPr>
        <w:pStyle w:val="Übersicht"/>
        <w:ind w:left="680"/>
      </w:pPr>
      <w:hyperlink w:anchor="b433" w:history="1">
        <w:r>
          <w:rPr>
            <w:color w:val="0A3A8C"/>
            <w:u w:val="single"/>
          </w:rPr>
          <w:t xml:space="preserve">Art. 247 § 9 (weggefallen)</w:t>
        </w:r>
      </w:hyperlink>
    </w:p>
    <w:p>
      <w:pPr>
        <w:pStyle w:val="Übersicht"/>
        <w:ind w:left="680"/>
      </w:pPr>
      <w:hyperlink w:anchor="b434" w:history="1">
        <w:r>
          <w:rPr>
            <w:color w:val="0A3A8C"/>
            <w:u w:val="single"/>
          </w:rPr>
          <w:t xml:space="preserve">Art. 247 § 10 Abweichende Mitteilungspflichten bei Überziehungsmöglichkeiten gemäß § 504 Abs. 2 des Bürgerlichen Gesetzbuchs</w:t>
        </w:r>
      </w:hyperlink>
    </w:p>
    <w:p>
      <w:pPr>
        <w:pStyle w:val="Übersicht"/>
        <w:ind w:left="680"/>
      </w:pPr>
      <w:hyperlink w:anchor="b435" w:history="1">
        <w:r>
          <w:rPr>
            <w:color w:val="0A3A8C"/>
            <w:u w:val="single"/>
          </w:rPr>
          <w:t xml:space="preserve">Art. 247 § 11 Abweichende Mitteilungspflichten bei Allgemein-Verbraucherdarlehensverträgen zur Umschuldung gemäß § 495 Absatz 2 Nummer 1 des Bürgerlichen Gesetzbuchs</w:t>
        </w:r>
      </w:hyperlink>
    </w:p>
    <w:p>
      <w:pPr>
        <w:pStyle w:val="Übersicht"/>
        <w:ind w:left="680"/>
      </w:pPr>
      <w:hyperlink w:anchor="b436" w:history="1">
        <w:r>
          <w:rPr>
            <w:color w:val="0A3A8C"/>
            <w:u w:val="single"/>
          </w:rPr>
          <w:t xml:space="preserve">Art. 247 § 12 Verbundene Verträge und entgeltliche Finanzierungshilfen</w:t>
        </w:r>
      </w:hyperlink>
    </w:p>
    <w:p>
      <w:pPr>
        <w:pStyle w:val="Übersicht"/>
        <w:ind w:left="680"/>
      </w:pPr>
      <w:hyperlink w:anchor="b437" w:history="1">
        <w:r>
          <w:rPr>
            <w:color w:val="0A3A8C"/>
            <w:u w:val="single"/>
          </w:rPr>
          <w:t xml:space="preserve">Art. 247 § 13 Darlehensvermittler bei Verbraucherdarlehensverträgen</w:t>
        </w:r>
      </w:hyperlink>
    </w:p>
    <w:p>
      <w:pPr>
        <w:pStyle w:val="Übersicht"/>
        <w:ind w:left="680"/>
      </w:pPr>
      <w:hyperlink w:anchor="b438" w:history="1">
        <w:r>
          <w:rPr>
            <w:color w:val="0A3A8C"/>
            <w:u w:val="single"/>
          </w:rPr>
          <w:t xml:space="preserve">Art. 247 § 13a Besondere Regelungen für Darlehensvermittler bei Allgemein-Verbraucherdarlehensverträgen</w:t>
        </w:r>
      </w:hyperlink>
    </w:p>
    <w:p>
      <w:pPr>
        <w:pStyle w:val="Übersicht"/>
        <w:ind w:left="680"/>
      </w:pPr>
      <w:hyperlink w:anchor="b439" w:history="1">
        <w:r>
          <w:rPr>
            <w:color w:val="0A3A8C"/>
            <w:u w:val="single"/>
          </w:rPr>
          <w:t xml:space="preserve">Art. 247 § 13b Besondere Regelungen für Darlehensvermittler bei Immobiliar-Verbraucherdarlehensverträgen</w:t>
        </w:r>
      </w:hyperlink>
    </w:p>
    <w:p>
      <w:pPr>
        <w:pStyle w:val="Übersicht"/>
        <w:ind w:left="680"/>
      </w:pPr>
      <w:hyperlink w:anchor="b440" w:history="1">
        <w:r>
          <w:rPr>
            <w:color w:val="0A3A8C"/>
            <w:u w:val="single"/>
          </w:rPr>
          <w:t xml:space="preserve">Art. 247 § 14 Tilgungsplan</w:t>
        </w:r>
      </w:hyperlink>
    </w:p>
    <w:p>
      <w:pPr>
        <w:pStyle w:val="Übersicht"/>
        <w:ind w:left="680"/>
      </w:pPr>
      <w:hyperlink w:anchor="b441" w:history="1">
        <w:r>
          <w:rPr>
            <w:color w:val="0A3A8C"/>
            <w:u w:val="single"/>
          </w:rPr>
          <w:t xml:space="preserve">Art. 247 § 15 Unterrichtungen bei Zinsanpassungen</w:t>
        </w:r>
      </w:hyperlink>
    </w:p>
    <w:p>
      <w:pPr>
        <w:pStyle w:val="Übersicht"/>
        <w:ind w:left="680"/>
      </w:pPr>
      <w:hyperlink w:anchor="b442" w:history="1">
        <w:r>
          <w:rPr>
            <w:color w:val="0A3A8C"/>
            <w:u w:val="single"/>
          </w:rPr>
          <w:t xml:space="preserve">Art. 247 § 16 Unterrichtung bei Überziehungsmöglichkeiten</w:t>
        </w:r>
      </w:hyperlink>
    </w:p>
    <w:p>
      <w:pPr>
        <w:pStyle w:val="Übersicht"/>
        <w:ind w:left="680"/>
      </w:pPr>
      <w:hyperlink w:anchor="b443" w:history="1">
        <w:r>
          <w:rPr>
            <w:color w:val="0A3A8C"/>
            <w:u w:val="single"/>
          </w:rPr>
          <w:t xml:space="preserve">Art. 247 § 17 Angaben bei geduldeten Überziehungen</w:t>
        </w:r>
      </w:hyperlink>
    </w:p>
    <w:p>
      <w:pPr>
        <w:pStyle w:val="Übersicht"/>
        <w:ind w:left="680"/>
      </w:pPr>
      <w:hyperlink w:anchor="b444" w:history="1">
        <w:r>
          <w:rPr>
            <w:color w:val="0A3A8C"/>
            <w:u w:val="single"/>
          </w:rPr>
          <w:t xml:space="preserve">Art. 247 § 18 Vorvertragliche Informationen bei Beratungsleistungen für Immobiliar-Verbraucherdarlehensverträge</w:t>
        </w:r>
      </w:hyperlink>
    </w:p>
    <w:p>
      <w:pPr>
        <w:pStyle w:val="Übersicht"/>
        <w:ind w:left="340"/>
      </w:pPr>
      <w:hyperlink w:anchor="b445" w:history="1">
        <w:r>
          <w:rPr>
            <w:b/>
            <w:color w:val="0A3A8C"/>
            <w:u w:val="single"/>
          </w:rPr>
          <w:t xml:space="preserve">Art 247a Allgemeine Informationspflichten bei Verbraucherdarlehensverträgen, Verträgen über entgeltliche Finanzierungshilfen und deren Vermittlung</w:t>
        </w:r>
      </w:hyperlink>
    </w:p>
    <w:p>
      <w:pPr>
        <w:pStyle w:val="Übersicht"/>
        <w:ind w:left="680"/>
      </w:pPr>
      <w:hyperlink w:anchor="b446" w:history="1">
        <w:r>
          <w:rPr>
            <w:color w:val="0A3A8C"/>
            <w:u w:val="single"/>
          </w:rPr>
          <w:t xml:space="preserve">Art. 247a § 1 Allgemeine Informationspflichten bei Immobiliar-Verbraucherdarlehensverträgen und entsprechenden Finanzierungshilfen</w:t>
        </w:r>
      </w:hyperlink>
    </w:p>
    <w:p>
      <w:pPr>
        <w:pStyle w:val="Übersicht"/>
        <w:ind w:left="680"/>
      </w:pPr>
      <w:hyperlink w:anchor="b447" w:history="1">
        <w:r>
          <w:rPr>
            <w:color w:val="0A3A8C"/>
            <w:u w:val="single"/>
          </w:rPr>
          <w:t xml:space="preserve">Art. 247a § 2 Allgemeine Informationspflichten bei Überziehungsmöglichkeiten und Entgeltvereinbarungen für die Duldung einer Überziehung</w:t>
        </w:r>
      </w:hyperlink>
    </w:p>
    <w:p>
      <w:pPr>
        <w:pStyle w:val="Übersicht"/>
        <w:ind w:left="340"/>
      </w:pPr>
      <w:hyperlink w:anchor="b448" w:history="1">
        <w:r>
          <w:rPr>
            <w:b/>
            <w:color w:val="0A3A8C"/>
            <w:u w:val="single"/>
          </w:rPr>
          <w:t xml:space="preserve">Art 248 Informationspflichten bei der Erbringung von Zahlungsdienstleistungen</w:t>
        </w:r>
      </w:hyperlink>
    </w:p>
    <w:p>
      <w:pPr>
        <w:pStyle w:val="Übersicht"/>
        <w:ind w:left="680"/>
      </w:pPr>
      <w:hyperlink w:anchor="b449" w:history="1">
        <w:r>
          <w:rPr>
            <w:b/>
            <w:color w:val="0A3A8C"/>
            <w:u w:val="single"/>
          </w:rPr>
          <w:t xml:space="preserve">Abschnitt 1 Allgemeine Vorschriften</w:t>
        </w:r>
      </w:hyperlink>
    </w:p>
    <w:p>
      <w:pPr>
        <w:pStyle w:val="Übersicht"/>
        <w:ind w:left="1020"/>
      </w:pPr>
      <w:hyperlink w:anchor="b450" w:history="1">
        <w:r>
          <w:rPr>
            <w:color w:val="0A3A8C"/>
            <w:u w:val="single"/>
          </w:rPr>
          <w:t xml:space="preserve">Art. 248 § 1 Konkurrierende Informationspflichten</w:t>
        </w:r>
      </w:hyperlink>
    </w:p>
    <w:p>
      <w:pPr>
        <w:pStyle w:val="Übersicht"/>
        <w:ind w:left="1020"/>
      </w:pPr>
      <w:hyperlink w:anchor="b451" w:history="1">
        <w:r>
          <w:rPr>
            <w:color w:val="0A3A8C"/>
            <w:u w:val="single"/>
          </w:rPr>
          <w:t xml:space="preserve">Art. 248 § 2 Allgemeine Form</w:t>
        </w:r>
      </w:hyperlink>
    </w:p>
    <w:p>
      <w:pPr>
        <w:pStyle w:val="Übersicht"/>
        <w:ind w:left="680"/>
      </w:pPr>
      <w:hyperlink w:anchor="b452" w:history="1">
        <w:r>
          <w:rPr>
            <w:b/>
            <w:color w:val="0A3A8C"/>
            <w:u w:val="single"/>
          </w:rPr>
          <w:t xml:space="preserve">Abschnitt 2 Zahlungsdiensterahmenverträge</w:t>
        </w:r>
      </w:hyperlink>
    </w:p>
    <w:p>
      <w:pPr>
        <w:pStyle w:val="Übersicht"/>
        <w:ind w:left="1020"/>
      </w:pPr>
      <w:hyperlink w:anchor="b453" w:history="1">
        <w:r>
          <w:rPr>
            <w:color w:val="0A3A8C"/>
            <w:u w:val="single"/>
          </w:rPr>
          <w:t xml:space="preserve">Art. 248 § 3 Besondere Form</w:t>
        </w:r>
      </w:hyperlink>
    </w:p>
    <w:p>
      <w:pPr>
        <w:pStyle w:val="Übersicht"/>
        <w:ind w:left="1020"/>
      </w:pPr>
      <w:hyperlink w:anchor="b454" w:history="1">
        <w:r>
          <w:rPr>
            <w:color w:val="0A3A8C"/>
            <w:u w:val="single"/>
          </w:rPr>
          <w:t xml:space="preserve">Art. 248 § 4 Vorvertragliche Informationen</w:t>
        </w:r>
      </w:hyperlink>
    </w:p>
    <w:p>
      <w:pPr>
        <w:pStyle w:val="Übersicht"/>
        <w:ind w:left="1020"/>
      </w:pPr>
      <w:hyperlink w:anchor="b455" w:history="1">
        <w:r>
          <w:rPr>
            <w:color w:val="0A3A8C"/>
            <w:u w:val="single"/>
          </w:rPr>
          <w:t xml:space="preserve">Art. 248 § 5 Zugang zu Vertragsbedingungen und vorvertraglichen Informationen während der Vertragslaufzeit</w:t>
        </w:r>
      </w:hyperlink>
    </w:p>
    <w:p>
      <w:pPr>
        <w:pStyle w:val="Übersicht"/>
        <w:ind w:left="1020"/>
      </w:pPr>
      <w:hyperlink w:anchor="b456" w:history="1">
        <w:r>
          <w:rPr>
            <w:color w:val="0A3A8C"/>
            <w:u w:val="single"/>
          </w:rPr>
          <w:t xml:space="preserve">Art. 248 § 6 Informationen vor Ausführung einzelner Zahlungsvorgänge</w:t>
        </w:r>
      </w:hyperlink>
    </w:p>
    <w:p>
      <w:pPr>
        <w:pStyle w:val="Übersicht"/>
        <w:ind w:left="1020"/>
      </w:pPr>
      <w:hyperlink w:anchor="b457" w:history="1">
        <w:r>
          <w:rPr>
            <w:color w:val="0A3A8C"/>
            <w:u w:val="single"/>
          </w:rPr>
          <w:t xml:space="preserve">Art. 248 § 7 Informationen an den Zahler bei einzelnen Zahlungsvorgängen</w:t>
        </w:r>
      </w:hyperlink>
    </w:p>
    <w:p>
      <w:pPr>
        <w:pStyle w:val="Übersicht"/>
        <w:ind w:left="1020"/>
      </w:pPr>
      <w:hyperlink w:anchor="b458" w:history="1">
        <w:r>
          <w:rPr>
            <w:color w:val="0A3A8C"/>
            <w:u w:val="single"/>
          </w:rPr>
          <w:t xml:space="preserve">Art. 248 § 8 Informationen an den Zahlungsempfänger bei einzelnen Zahlungsvorgängen</w:t>
        </w:r>
      </w:hyperlink>
    </w:p>
    <w:p>
      <w:pPr>
        <w:pStyle w:val="Übersicht"/>
        <w:ind w:left="1020"/>
      </w:pPr>
      <w:hyperlink w:anchor="b459" w:history="1">
        <w:r>
          <w:rPr>
            <w:color w:val="0A3A8C"/>
            <w:u w:val="single"/>
          </w:rPr>
          <w:t xml:space="preserve">Art. 248 § 9 Sonstige Informationen während des Vertragsverhältnisses</w:t>
        </w:r>
      </w:hyperlink>
    </w:p>
    <w:p>
      <w:pPr>
        <w:pStyle w:val="Übersicht"/>
        <w:ind w:left="1020"/>
      </w:pPr>
      <w:hyperlink w:anchor="b460" w:history="1">
        <w:r>
          <w:rPr>
            <w:color w:val="0A3A8C"/>
            <w:u w:val="single"/>
          </w:rPr>
          <w:t xml:space="preserve">Art. 248 § 10 Abweichende Vereinbarungen</w:t>
        </w:r>
      </w:hyperlink>
    </w:p>
    <w:p>
      <w:pPr>
        <w:pStyle w:val="Übersicht"/>
        <w:ind w:left="1020"/>
      </w:pPr>
      <w:hyperlink w:anchor="b461" w:history="1">
        <w:r>
          <w:rPr>
            <w:color w:val="0A3A8C"/>
            <w:u w:val="single"/>
          </w:rPr>
          <w:t xml:space="preserve">Art. 248 § 11 Ausnahmen für Kleinbetragsinstrumente und E-Geld</w:t>
        </w:r>
      </w:hyperlink>
    </w:p>
    <w:p>
      <w:pPr>
        <w:pStyle w:val="Übersicht"/>
        <w:ind w:left="680"/>
      </w:pPr>
      <w:hyperlink w:anchor="b462" w:history="1">
        <w:r>
          <w:rPr>
            <w:b/>
            <w:color w:val="0A3A8C"/>
            <w:u w:val="single"/>
          </w:rPr>
          <w:t xml:space="preserve">Abschnitt 3 Einzelzahlungsverträge</w:t>
        </w:r>
      </w:hyperlink>
    </w:p>
    <w:p>
      <w:pPr>
        <w:pStyle w:val="Übersicht"/>
        <w:ind w:left="1020"/>
      </w:pPr>
      <w:hyperlink w:anchor="b463" w:history="1">
        <w:r>
          <w:rPr>
            <w:color w:val="0A3A8C"/>
            <w:u w:val="single"/>
          </w:rPr>
          <w:t xml:space="preserve">Art. 248 § 12 Besondere Form</w:t>
        </w:r>
      </w:hyperlink>
    </w:p>
    <w:p>
      <w:pPr>
        <w:pStyle w:val="Übersicht"/>
        <w:ind w:left="1020"/>
      </w:pPr>
      <w:hyperlink w:anchor="b464" w:history="1">
        <w:r>
          <w:rPr>
            <w:color w:val="0A3A8C"/>
            <w:u w:val="single"/>
          </w:rPr>
          <w:t xml:space="preserve">Art. 248 § 13 Vorvertragliche Informationen</w:t>
        </w:r>
      </w:hyperlink>
    </w:p>
    <w:p>
      <w:pPr>
        <w:pStyle w:val="Übersicht"/>
        <w:ind w:left="1020"/>
      </w:pPr>
      <w:hyperlink w:anchor="b465" w:history="1">
        <w:r>
          <w:rPr>
            <w:color w:val="0A3A8C"/>
            <w:u w:val="single"/>
          </w:rPr>
          <w:t xml:space="preserve">Art. 248 § 13a Informationen an den Zahler und den Zahlungsempfänger nach Auslösung des Zahlungsauftrags über einen Zahlungsauslösedienstleister</w:t>
        </w:r>
      </w:hyperlink>
    </w:p>
    <w:p>
      <w:pPr>
        <w:pStyle w:val="Übersicht"/>
        <w:ind w:left="1020"/>
      </w:pPr>
      <w:hyperlink w:anchor="b466" w:history="1">
        <w:r>
          <w:rPr>
            <w:color w:val="0A3A8C"/>
            <w:u w:val="single"/>
          </w:rPr>
          <w:t xml:space="preserve">Art. 248 § 14 Informationen an den Zahler nach Zugang des Zahlungsauftrags</w:t>
        </w:r>
      </w:hyperlink>
    </w:p>
    <w:p>
      <w:pPr>
        <w:pStyle w:val="Übersicht"/>
        <w:ind w:left="1020"/>
      </w:pPr>
      <w:hyperlink w:anchor="b467" w:history="1">
        <w:r>
          <w:rPr>
            <w:color w:val="0A3A8C"/>
            <w:u w:val="single"/>
          </w:rPr>
          <w:t xml:space="preserve">Art. 248 § 15 Informationen an den Zahlungsempfänger nach Ausführung des Zahlungsvorgangs</w:t>
        </w:r>
      </w:hyperlink>
    </w:p>
    <w:p>
      <w:pPr>
        <w:pStyle w:val="Übersicht"/>
        <w:ind w:left="1020"/>
      </w:pPr>
      <w:hyperlink w:anchor="b468" w:history="1">
        <w:r>
          <w:rPr>
            <w:color w:val="0A3A8C"/>
            <w:u w:val="single"/>
          </w:rPr>
          <w:t xml:space="preserve">Art. 248 § 16 Informationen bei Einzelzahlung mittels rahmenvertraglich geregelten Zahlungsinstruments</w:t>
        </w:r>
      </w:hyperlink>
    </w:p>
    <w:p>
      <w:pPr>
        <w:pStyle w:val="Übersicht"/>
        <w:ind w:left="680"/>
      </w:pPr>
      <w:hyperlink w:anchor="b469" w:history="1">
        <w:r>
          <w:rPr>
            <w:b/>
            <w:color w:val="0A3A8C"/>
            <w:u w:val="single"/>
          </w:rPr>
          <w:t xml:space="preserve">Abschnitt 4 Informationspflichten von Zahlungsempfängern, Bargeldabhebungsdienstleistern und Dritten</w:t>
        </w:r>
      </w:hyperlink>
    </w:p>
    <w:p>
      <w:pPr>
        <w:pStyle w:val="Übersicht"/>
        <w:ind w:left="1020"/>
      </w:pPr>
      <w:hyperlink w:anchor="b470" w:history="1">
        <w:r>
          <w:rPr>
            <w:color w:val="0A3A8C"/>
            <w:u w:val="single"/>
          </w:rPr>
          <w:t xml:space="preserve">Art. 248 § 17 Informationspflichten des Zahlungsempfängers</w:t>
        </w:r>
      </w:hyperlink>
    </w:p>
    <w:p>
      <w:pPr>
        <w:pStyle w:val="Übersicht"/>
        <w:ind w:left="1020"/>
      </w:pPr>
      <w:hyperlink w:anchor="b471" w:history="1">
        <w:r>
          <w:rPr>
            <w:color w:val="0A3A8C"/>
            <w:u w:val="single"/>
          </w:rPr>
          <w:t xml:space="preserve">Art. 248 § 17a Informationspflichten des Bargeldabhebungsdienstleisters</w:t>
        </w:r>
      </w:hyperlink>
    </w:p>
    <w:p>
      <w:pPr>
        <w:pStyle w:val="Übersicht"/>
        <w:ind w:left="1020"/>
      </w:pPr>
      <w:hyperlink w:anchor="b472" w:history="1">
        <w:r>
          <w:rPr>
            <w:color w:val="0A3A8C"/>
            <w:u w:val="single"/>
          </w:rPr>
          <w:t xml:space="preserve">Art. 248 § 18 Informationspflichten Dritter</w:t>
        </w:r>
      </w:hyperlink>
    </w:p>
    <w:p>
      <w:pPr>
        <w:pStyle w:val="Übersicht"/>
        <w:ind w:left="1020"/>
      </w:pPr>
      <w:hyperlink w:anchor="b473" w:history="1">
        <w:r>
          <w:rPr>
            <w:color w:val="0A3A8C"/>
            <w:u w:val="single"/>
          </w:rPr>
          <w:t xml:space="preserve">Art. 248 § 19 Abweichende Vereinbarungen</w:t>
        </w:r>
      </w:hyperlink>
    </w:p>
    <w:p>
      <w:pPr>
        <w:pStyle w:val="Übersicht"/>
        <w:ind w:left="340"/>
      </w:pPr>
      <w:hyperlink w:anchor="b474" w:history="1">
        <w:r>
          <w:rPr>
            <w:b/>
            <w:color w:val="0A3A8C"/>
            <w:u w:val="single"/>
          </w:rPr>
          <w:t xml:space="preserve">Art 249 Informationspflichten bei Verbraucherbauverträgen</w:t>
        </w:r>
      </w:hyperlink>
    </w:p>
    <w:p>
      <w:pPr>
        <w:pStyle w:val="Übersicht"/>
        <w:ind w:left="680"/>
      </w:pPr>
      <w:hyperlink w:anchor="b475" w:history="1">
        <w:r>
          <w:rPr>
            <w:color w:val="0A3A8C"/>
            <w:u w:val="single"/>
          </w:rPr>
          <w:t xml:space="preserve">Art. 249 § 1 Informationspflichten bei Verbraucherbauverträgen</w:t>
        </w:r>
      </w:hyperlink>
    </w:p>
    <w:p>
      <w:pPr>
        <w:pStyle w:val="Übersicht"/>
        <w:ind w:left="680"/>
      </w:pPr>
      <w:hyperlink w:anchor="b476" w:history="1">
        <w:r>
          <w:rPr>
            <w:color w:val="0A3A8C"/>
            <w:u w:val="single"/>
          </w:rPr>
          <w:t xml:space="preserve">Art. 249 § 2 Inhalt der Baubeschreibung</w:t>
        </w:r>
      </w:hyperlink>
    </w:p>
    <w:p>
      <w:pPr>
        <w:pStyle w:val="Übersicht"/>
        <w:ind w:left="680"/>
      </w:pPr>
      <w:hyperlink w:anchor="b477" w:history="1">
        <w:r>
          <w:rPr>
            <w:color w:val="0A3A8C"/>
            <w:u w:val="single"/>
          </w:rPr>
          <w:t xml:space="preserve">Art. 249 § 3 Widerrufsbelehrung</w:t>
        </w:r>
      </w:hyperlink>
    </w:p>
    <w:p>
      <w:pPr>
        <w:pStyle w:val="Übersicht"/>
        <w:ind w:left="340"/>
      </w:pPr>
      <w:hyperlink w:anchor="b478" w:history="1">
        <w:r>
          <w:rPr>
            <w:b/>
            <w:color w:val="0A3A8C"/>
            <w:u w:val="single"/>
          </w:rPr>
          <w:t xml:space="preserve">Art 250 Informationspflichten bei Pauschalreiseverträgen</w:t>
        </w:r>
      </w:hyperlink>
    </w:p>
    <w:p>
      <w:pPr>
        <w:pStyle w:val="Übersicht"/>
        <w:ind w:left="680"/>
      </w:pPr>
      <w:hyperlink w:anchor="b479" w:history="1">
        <w:r>
          <w:rPr>
            <w:color w:val="0A3A8C"/>
            <w:u w:val="single"/>
          </w:rPr>
          <w:t xml:space="preserve">Art. 250 § 1 Form und Zeitpunkt der vorvertraglichen Unterrichtung</w:t>
        </w:r>
      </w:hyperlink>
    </w:p>
    <w:p>
      <w:pPr>
        <w:pStyle w:val="Übersicht"/>
        <w:ind w:left="680"/>
      </w:pPr>
      <w:hyperlink w:anchor="b480" w:history="1">
        <w:r>
          <w:rPr>
            <w:color w:val="0A3A8C"/>
            <w:u w:val="single"/>
          </w:rPr>
          <w:t xml:space="preserve">Art. 250 § 2 Formblatt für die vorvertragliche Unterrichtung</w:t>
        </w:r>
      </w:hyperlink>
    </w:p>
    <w:p>
      <w:pPr>
        <w:pStyle w:val="Übersicht"/>
        <w:ind w:left="680"/>
      </w:pPr>
      <w:hyperlink w:anchor="b481" w:history="1">
        <w:r>
          <w:rPr>
            <w:color w:val="0A3A8C"/>
            <w:u w:val="single"/>
          </w:rPr>
          <w:t xml:space="preserve">Art. 250 § 3 Weitere Angaben bei der vorvertraglichen Unterrichtung</w:t>
        </w:r>
      </w:hyperlink>
    </w:p>
    <w:p>
      <w:pPr>
        <w:pStyle w:val="Übersicht"/>
        <w:ind w:left="680"/>
      </w:pPr>
      <w:hyperlink w:anchor="b482" w:history="1">
        <w:r>
          <w:rPr>
            <w:color w:val="0A3A8C"/>
            <w:u w:val="single"/>
          </w:rPr>
          <w:t xml:space="preserve">Art. 250 § 4 Vorvertragliche Unterrichtung in den Fällen des § 651c des Bürgerlichen Gesetzbuchs</w:t>
        </w:r>
      </w:hyperlink>
    </w:p>
    <w:p>
      <w:pPr>
        <w:pStyle w:val="Übersicht"/>
        <w:ind w:left="680"/>
      </w:pPr>
      <w:hyperlink w:anchor="b483" w:history="1">
        <w:r>
          <w:rPr>
            <w:color w:val="0A3A8C"/>
            <w:u w:val="single"/>
          </w:rPr>
          <w:t xml:space="preserve">Art. 250 § 5 Gestaltung des Vertrags</w:t>
        </w:r>
      </w:hyperlink>
    </w:p>
    <w:p>
      <w:pPr>
        <w:pStyle w:val="Übersicht"/>
        <w:ind w:left="680"/>
      </w:pPr>
      <w:hyperlink w:anchor="b484" w:history="1">
        <w:r>
          <w:rPr>
            <w:color w:val="0A3A8C"/>
            <w:u w:val="single"/>
          </w:rPr>
          <w:t xml:space="preserve">Art. 250 § 6 Abschrift oder Bestätigung des Vertrags</w:t>
        </w:r>
      </w:hyperlink>
    </w:p>
    <w:p>
      <w:pPr>
        <w:pStyle w:val="Übersicht"/>
        <w:ind w:left="680"/>
      </w:pPr>
      <w:hyperlink w:anchor="b485" w:history="1">
        <w:r>
          <w:rPr>
            <w:color w:val="0A3A8C"/>
            <w:u w:val="single"/>
          </w:rPr>
          <w:t xml:space="preserve">Art. 250 § 7 Reiseunterlagen, Unterrichtung vor Reisebeginn</w:t>
        </w:r>
      </w:hyperlink>
    </w:p>
    <w:p>
      <w:pPr>
        <w:pStyle w:val="Übersicht"/>
        <w:ind w:left="680"/>
      </w:pPr>
      <w:hyperlink w:anchor="b486" w:history="1">
        <w:r>
          <w:rPr>
            <w:color w:val="0A3A8C"/>
            <w:u w:val="single"/>
          </w:rPr>
          <w:t xml:space="preserve">Art. 250 § 8 Mitteilungspflichten anderer Unternehmer und Information des Reisenden nach Vertragsschluss in den Fällen des § 651c des Bürgerlichen Gesetzbuchs</w:t>
        </w:r>
      </w:hyperlink>
    </w:p>
    <w:p>
      <w:pPr>
        <w:pStyle w:val="Übersicht"/>
        <w:ind w:left="680"/>
      </w:pPr>
      <w:hyperlink w:anchor="b487" w:history="1">
        <w:r>
          <w:rPr>
            <w:color w:val="0A3A8C"/>
            <w:u w:val="single"/>
          </w:rPr>
          <w:t xml:space="preserve">Art. 250 § 9 Weitere Informationspflichten bei Verträgen über Gastschulaufenthalte</w:t>
        </w:r>
      </w:hyperlink>
    </w:p>
    <w:p>
      <w:pPr>
        <w:pStyle w:val="Übersicht"/>
        <w:ind w:left="680"/>
      </w:pPr>
      <w:hyperlink w:anchor="b488" w:history="1">
        <w:r>
          <w:rPr>
            <w:color w:val="0A3A8C"/>
            <w:u w:val="single"/>
          </w:rPr>
          <w:t xml:space="preserve">Art. 250 § 10 Unterrichtung bei erheblichen Vertragsänderungen</w:t>
        </w:r>
      </w:hyperlink>
    </w:p>
    <w:p>
      <w:pPr>
        <w:pStyle w:val="Übersicht"/>
        <w:ind w:left="340"/>
      </w:pPr>
      <w:hyperlink w:anchor="b489" w:history="1">
        <w:r>
          <w:rPr>
            <w:b/>
            <w:color w:val="0A3A8C"/>
            <w:u w:val="single"/>
          </w:rPr>
          <w:t xml:space="preserve">Art 251 Informationspflichten bei Vermittlung verbundener Reiseleistungen</w:t>
        </w:r>
      </w:hyperlink>
    </w:p>
    <w:p>
      <w:pPr>
        <w:pStyle w:val="Übersicht"/>
        <w:ind w:left="680"/>
      </w:pPr>
      <w:hyperlink w:anchor="b490" w:history="1">
        <w:r>
          <w:rPr>
            <w:color w:val="0A3A8C"/>
            <w:u w:val="single"/>
          </w:rPr>
          <w:t xml:space="preserve">Art. 251 § 1 Form und Zeitpunkt der Unterrichtung</w:t>
        </w:r>
      </w:hyperlink>
    </w:p>
    <w:p>
      <w:pPr>
        <w:pStyle w:val="Übersicht"/>
        <w:ind w:left="680"/>
      </w:pPr>
      <w:hyperlink w:anchor="b491" w:history="1">
        <w:r>
          <w:rPr>
            <w:color w:val="0A3A8C"/>
            <w:u w:val="single"/>
          </w:rPr>
          <w:t xml:space="preserve">Art. 251 § 2 Formblatt für die Unterrichtung des Reisenden</w:t>
        </w:r>
      </w:hyperlink>
    </w:p>
    <w:p>
      <w:pPr>
        <w:pStyle w:val="Übersicht"/>
        <w:ind w:left="680"/>
      </w:pPr>
      <w:hyperlink w:anchor="b492" w:history="1">
        <w:r>
          <w:rPr>
            <w:color w:val="0A3A8C"/>
            <w:u w:val="single"/>
          </w:rPr>
          <w:t xml:space="preserve">Art. 252 Sicherungsschein; Mitteilungspflicht des Absicherers</w:t>
        </w:r>
      </w:hyperlink>
    </w:p>
    <w:p>
      <w:pPr>
        <w:pStyle w:val="Übersicht"/>
        <w:ind w:left="340"/>
      </w:pPr>
      <w:hyperlink w:anchor="b493" w:history="1">
        <w:r>
          <w:rPr>
            <w:b/>
            <w:color w:val="0A3A8C"/>
            <w:u w:val="single"/>
          </w:rPr>
          <w:t xml:space="preserve">Art 253 Zentrale Kontaktstelle</w:t>
        </w:r>
      </w:hyperlink>
    </w:p>
    <w:p>
      <w:pPr>
        <w:pStyle w:val="Übersicht"/>
        <w:ind w:left="680"/>
      </w:pPr>
      <w:hyperlink w:anchor="b494" w:history="1">
        <w:r>
          <w:rPr>
            <w:color w:val="0A3A8C"/>
            <w:u w:val="single"/>
          </w:rPr>
          <w:t xml:space="preserve">Art. 253 § 1 Zentrale Kontaktstelle; Informationen über die Insolvenzsicherung</w:t>
        </w:r>
      </w:hyperlink>
    </w:p>
    <w:p>
      <w:pPr>
        <w:pStyle w:val="Übersicht"/>
        <w:ind w:left="680"/>
      </w:pPr>
      <w:hyperlink w:anchor="b495" w:history="1">
        <w:r>
          <w:rPr>
            <w:color w:val="0A3A8C"/>
            <w:u w:val="single"/>
          </w:rPr>
          <w:t xml:space="preserve">Art. 253 § 2 Ausgehende Ersuchen</w:t>
        </w:r>
      </w:hyperlink>
    </w:p>
    <w:p>
      <w:pPr>
        <w:pStyle w:val="Übersicht"/>
        <w:ind w:left="680"/>
      </w:pPr>
      <w:hyperlink w:anchor="b496" w:history="1">
        <w:r>
          <w:rPr>
            <w:color w:val="0A3A8C"/>
            <w:u w:val="single"/>
          </w:rPr>
          <w:t xml:space="preserve">Art. 253 § 3 Eingehende Ersuchen</w:t>
        </w:r>
      </w:hyperlink>
    </w:p>
    <w:p>
      <w:pPr>
        <w:pStyle w:val="Übersicht"/>
        <w:ind w:left="680"/>
      </w:pPr>
      <w:hyperlink w:anchor="b497" w:history="1">
        <w:r>
          <w:rPr>
            <w:color w:val="0A3A8C"/>
            <w:u w:val="single"/>
          </w:rPr>
          <w:t xml:space="preserve">Anlage 1 (zu Artikel 246a § 1 Absatz 2 Satz 2)Muster für die Widerrufsbelehrung bei außerhalb von Geschäftsräumen geschlossenen Verträgen und bei Fernabsatzverträgen mit Ausnahme von Verträgen über Finanzdienstleistungen</w:t>
        </w:r>
      </w:hyperlink>
    </w:p>
    <w:p>
      <w:pPr>
        <w:pStyle w:val="Übersicht"/>
        <w:ind w:left="680"/>
      </w:pPr>
      <w:hyperlink w:anchor="b498" w:history="1">
        <w:r>
          <w:rPr>
            <w:color w:val="0A3A8C"/>
            <w:u w:val="single"/>
          </w:rPr>
          <w:t xml:space="preserve">Anlage 2 (zu Artikel 246a § 1 Absatz 2 Satz 1 Nummer 1 und § 2 Absatz 2 Nummer 2)Muster für das Widerrufsformular</w:t>
        </w:r>
      </w:hyperlink>
    </w:p>
    <w:p>
      <w:pPr>
        <w:pStyle w:val="Übersicht"/>
        <w:ind w:left="680"/>
      </w:pPr>
      <w:hyperlink w:anchor="b499" w:history="1">
        <w:r>
          <w:rPr>
            <w:color w:val="0A3A8C"/>
            <w:u w:val="single"/>
          </w:rPr>
          <w:t xml:space="preserve">Anlage 3 (weggefallen)</w:t>
        </w:r>
      </w:hyperlink>
    </w:p>
    <w:p>
      <w:pPr>
        <w:pStyle w:val="Übersicht"/>
        <w:ind w:left="680"/>
      </w:pPr>
      <w:hyperlink w:anchor="b500" w:history="1">
        <w:r>
          <w:rPr>
            <w:color w:val="0A3A8C"/>
            <w:u w:val="single"/>
          </w:rPr>
          <w:t xml:space="preserve">Anlage 3a (weggefallen)</w:t>
        </w:r>
      </w:hyperlink>
    </w:p>
    <w:p>
      <w:pPr>
        <w:pStyle w:val="Übersicht"/>
        <w:ind w:left="680"/>
      </w:pPr>
      <w:hyperlink w:anchor="b501" w:history="1">
        <w:r>
          <w:rPr>
            <w:color w:val="0A3A8C"/>
            <w:u w:val="single"/>
          </w:rPr>
          <w:t xml:space="preserve">Anlage 3b (weggefallen)</w:t>
        </w:r>
      </w:hyperlink>
    </w:p>
    <w:p>
      <w:pPr>
        <w:pStyle w:val="Übersicht"/>
        <w:ind w:left="680"/>
      </w:pPr>
      <w:hyperlink w:anchor="b502" w:history="1">
        <w:r>
          <w:rPr>
            <w:color w:val="0A3A8C"/>
            <w:u w:val="single"/>
          </w:rPr>
          <w:t xml:space="preserve">Anlage 4 (zu Artikel 247 § 2)  Europäische Standardinformationen für Verbraucherkredite</w:t>
        </w:r>
      </w:hyperlink>
    </w:p>
    <w:p>
      <w:pPr>
        <w:pStyle w:val="Übersicht"/>
        <w:ind w:left="680"/>
      </w:pPr>
      <w:hyperlink w:anchor="b503" w:history="1">
        <w:r>
          <w:rPr>
            <w:color w:val="0A3A8C"/>
            <w:u w:val="single"/>
          </w:rPr>
          <w:t xml:space="preserve">Anlage 5 (zu Artikel 247 § 2)  Europäische Verbraucherkreditinformationen bei  1. Überziehungskrediten  2. Umschuldungen</w:t>
        </w:r>
      </w:hyperlink>
    </w:p>
    <w:p>
      <w:pPr>
        <w:pStyle w:val="Übersicht"/>
        <w:ind w:left="680"/>
      </w:pPr>
      <w:hyperlink w:anchor="b504" w:history="1">
        <w:r>
          <w:rPr>
            <w:color w:val="0A3A8C"/>
            <w:u w:val="single"/>
          </w:rPr>
          <w:t xml:space="preserve">Anlage 6 (zu Artikel 247 § 1 Absatz 2) Europäisches Standardisiertes Merkblatt (ESIS-Merkblatt)</w:t>
        </w:r>
      </w:hyperlink>
    </w:p>
    <w:p>
      <w:pPr>
        <w:pStyle w:val="Übersicht"/>
        <w:ind w:left="680"/>
      </w:pPr>
      <w:hyperlink w:anchor="b505" w:history="1">
        <w:r>
          <w:rPr>
            <w:color w:val="0A3A8C"/>
            <w:u w:val="single"/>
          </w:rPr>
          <w:t xml:space="preserve">Anlage 7 (zu Artikel 247 § 6 Absatz 2 und § 12 Absatz 1)Muster für eine Widerrufsinformation für Allgemein-Verbraucherdarlehensverträge</w:t>
        </w:r>
      </w:hyperlink>
    </w:p>
    <w:p>
      <w:pPr>
        <w:pStyle w:val="Übersicht"/>
        <w:ind w:left="680"/>
      </w:pPr>
      <w:hyperlink w:anchor="b506" w:history="1">
        <w:r>
          <w:rPr>
            <w:color w:val="0A3A8C"/>
            <w:u w:val="single"/>
          </w:rPr>
          <w:t xml:space="preserve">Anlage 8 (zu Artikel 247 § 6 Absatz 2 und § 12 Absatz 1)Muster für eine Widerrufsinformation für Immobiliar-Verbraucherdarlehensverträge</w:t>
        </w:r>
      </w:hyperlink>
    </w:p>
    <w:p>
      <w:pPr>
        <w:pStyle w:val="Übersicht"/>
        <w:ind w:left="680"/>
      </w:pPr>
      <w:hyperlink w:anchor="b507" w:history="1">
        <w:r>
          <w:rPr>
            <w:color w:val="0A3A8C"/>
            <w:u w:val="single"/>
          </w:rPr>
          <w:t xml:space="preserve">Anlage 9 (zu Artikel 246 Absatz 3)Muster für die Widerrufsbelehrung bei unentgeltlichen Darlehensverträgen zwischen einem Unternehmer als Darlehensgeber und einem Verbraucher als Darlehensnehmer</w:t>
        </w:r>
      </w:hyperlink>
    </w:p>
    <w:p>
      <w:pPr>
        <w:pStyle w:val="Übersicht"/>
        <w:ind w:left="680"/>
      </w:pPr>
      <w:hyperlink w:anchor="b508" w:history="1">
        <w:r>
          <w:rPr>
            <w:color w:val="0A3A8C"/>
            <w:u w:val="single"/>
          </w:rPr>
          <w:t xml:space="preserve">Anlage 10 (zu Artikel 249 § 3)Muster für die Widerrufsbelehrung bei Verbraucherbauverträgen</w:t>
        </w:r>
      </w:hyperlink>
    </w:p>
    <w:p>
      <w:pPr>
        <w:pStyle w:val="Übersicht"/>
        <w:ind w:left="680"/>
      </w:pPr>
      <w:hyperlink w:anchor="b509" w:history="1">
        <w:r>
          <w:rPr>
            <w:color w:val="0A3A8C"/>
            <w:u w:val="single"/>
          </w:rPr>
          <w:t xml:space="preserve">Anlage 11 (zu Artikel 250 § 2 Absatz 1)Muster für das Formblatt zur Unterrichtung des Reisenden bei einer Pauschalreise nach § 651a des Bürgerlichen Gesetzbuchs</w:t>
        </w:r>
      </w:hyperlink>
    </w:p>
    <w:p>
      <w:pPr>
        <w:pStyle w:val="Übersicht"/>
        <w:ind w:left="680"/>
      </w:pPr>
      <w:hyperlink w:anchor="b510" w:history="1">
        <w:r>
          <w:rPr>
            <w:color w:val="0A3A8C"/>
            <w:u w:val="single"/>
          </w:rPr>
          <w:t xml:space="preserve">Anlage 12 (zu Artikel 250 § 2 Absatz 2)Muster für das Formblatt zur Unterrichtung des Reisenden bei Verträgen über Gastschulaufenthalte nach § 651u des Bürgerlichen Gesetzbuchs</w:t>
        </w:r>
      </w:hyperlink>
    </w:p>
    <w:p>
      <w:pPr>
        <w:pStyle w:val="Übersicht"/>
        <w:ind w:left="680"/>
      </w:pPr>
      <w:hyperlink w:anchor="b511" w:history="1">
        <w:r>
          <w:rPr>
            <w:color w:val="0A3A8C"/>
            <w:u w:val="single"/>
          </w:rPr>
          <w:t xml:space="preserve">Anlage 13 (zu Artikel 250 § 4)Muster für das Formblatt zur Unterrichtung des Reisenden bei einer Pauschalreise nach § 651c des Bürgerlichen Gesetzbuchs</w:t>
        </w:r>
      </w:hyperlink>
    </w:p>
    <w:p>
      <w:pPr>
        <w:pStyle w:val="Übersicht"/>
        <w:ind w:left="680"/>
      </w:pPr>
      <w:hyperlink w:anchor="b512" w:history="1">
        <w:r>
          <w:rPr>
            <w:color w:val="0A3A8C"/>
            <w:u w:val="single"/>
          </w:rPr>
          <w:t xml:space="preserve">Anlage 14 (zu Artikel 251 § 2 Satz 1 Nummer 1 Buchstabe a)Muster für das Formblatt zur Unterrichtung des Reisenden, wenn der Vermittler verbundener Reiseleistungen ein Beförderer ist, mit dem der Reisende einen die Rückbeförderung umfassenden Vertrag geschlossen hat, und die Vermittlung nach § 651w Absatz 1 Satz 1 Nummer 1 des Bürgerlichen Gesetzbuchs erfolgt</w:t>
        </w:r>
      </w:hyperlink>
    </w:p>
    <w:p>
      <w:pPr>
        <w:pStyle w:val="Übersicht"/>
        <w:ind w:left="680"/>
      </w:pPr>
      <w:hyperlink w:anchor="b513" w:history="1">
        <w:r>
          <w:rPr>
            <w:color w:val="0A3A8C"/>
            <w:u w:val="single"/>
          </w:rPr>
          <w:t xml:space="preserve">Anlage 15 (zu Artikel 251 § 2 Satz 1 Nummer 1 Buchstabe b)Muster für das Formblatt zur Unterrichtung des Reisenden, wenn der Vermittler verbundener Reiseleistungen ein Beförderer ist, mit dem der Reisende einen die Rückbeförderung umfassenden Vertrag geschlossen hat, und die Vermittlung nach § 651w Absatz 1 Satz 1 Nummer 2 des Bürgerlichen Gesetzbuchs erfolgt</w:t>
        </w:r>
      </w:hyperlink>
    </w:p>
    <w:p>
      <w:pPr>
        <w:pStyle w:val="Übersicht"/>
        <w:ind w:left="680"/>
      </w:pPr>
      <w:hyperlink w:anchor="b514" w:history="1">
        <w:r>
          <w:rPr>
            <w:color w:val="0A3A8C"/>
            <w:u w:val="single"/>
          </w:rPr>
          <w:t xml:space="preserve">Anlage 16 (zu Artikel 251 § 2 Satz 1 Nummer 2 Buchstabe a)Muster für das Formblatt zur Unterrichtung des Reisenden, wenn der Vermittler verbundener Reiseleistungen kein Beförderer ist, mit dem der Reisende einen die Rückbeförderung umfassenden Vertrag geschlossen hat, und die Vermittlung nach § 651w Absatz 1 Satz 1 Nummer 1 des Bürgerlichen Gesetzbuchs erfolgt</w:t>
        </w:r>
      </w:hyperlink>
    </w:p>
    <w:p>
      <w:pPr>
        <w:pStyle w:val="Übersicht"/>
        <w:ind w:left="680"/>
      </w:pPr>
      <w:hyperlink w:anchor="b515" w:history="1">
        <w:r>
          <w:rPr>
            <w:color w:val="0A3A8C"/>
            <w:u w:val="single"/>
          </w:rPr>
          <w:t xml:space="preserve">Anlage 17 (zu Artikel 251 § 2 Satz 1 Nummer 2 Buchstabe b)Muster für das Formblatt zur Unterrichtung des Reisenden, wenn der Vermittler verbundener Reiseleistungen kein Beförderer ist, mit dem der Reisende einen die Rückbeförderung umfassenden Vertrag geschlossen hat, und die Vermittlung nach § 651w Absatz 1 Satz 1 Nummer 2 des Bürgerlichen Gesetzbuchs erfolgt</w:t>
        </w:r>
      </w:hyperlink>
    </w:p>
    <w:p>
      <w:pPr>
        <w:pStyle w:val="Übersicht"/>
        <w:ind w:left="680"/>
      </w:pPr>
      <w:hyperlink w:anchor="b516" w:history="1">
        <w:r>
          <w:rPr>
            <w:color w:val="0A3A8C"/>
            <w:u w:val="single"/>
          </w:rPr>
          <w:t xml:space="preserve">Anlage 18 (zu Artikel 252 Absatz 1 Satz 1)Muster für den Sicherungsschein</w:t>
        </w:r>
      </w:hyperlink>
    </w:p>
    <w:p>
      <w:pPr>
        <w:pStyle w:val="Übersicht"/>
        <w:ind w:left="680"/>
      </w:pPr>
      <w:hyperlink w:anchor="b517" w:history="1">
        <w:r>
          <w:rPr>
            <w:color w:val="0A3A8C"/>
            <w:u w:val="single"/>
          </w:rPr>
          <w:t xml:space="preserve">Anlage 19 (zu Artikel 245 § 1 Absatz 1)</w:t>
        </w:r>
      </w:hyperlink>
    </w:p>
    <w:p>
      <w:pPr>
        <w:pStyle w:val="Heading1"/>
      </w:pPr>
      <w:bookmarkStart w:id="1" w:name="b0"/>
      <w:r>
        <w:t>Erster Teil Allgemeine Vorschriften</w:t>
      </w:r>
      <w:bookmarkEnd w:id="1"/>
    </w:p>
    <w:p>
      <w:pPr>
        <w:pStyle w:val="Heading2"/>
      </w:pPr>
      <w:bookmarkStart w:id="2" w:name="b1"/>
      <w:r>
        <w:t>Erstes Kapitel Inkrafttreten. Vorbehalt für Landesrecht. Gesetzesbegriff</w:t>
      </w:r>
      <w:bookmarkEnd w:id="2"/>
    </w:p>
    <w:p>
      <w:pPr>
        <w:pStyle w:val="Heading3"/>
      </w:pPr>
      <w:bookmarkStart w:id="3" w:name="b2"/>
      <w:r>
        <w:t>Art 1</w:t>
      </w:r>
      <w:r>
        <w:t xml:space="preserve"> </w:t>
      </w:r>
      <w:r>
        <w:rPr>
          <w:rStyle w:val="Suchmarke"/>
        </w:rPr>
        <w:t>#1.#</w:t>
      </w:r>
      <w:bookmarkEnd w:id="3"/>
    </w:p>
    <w:p>
      <w:r>
        <w:t>(1) Das Bürgerliche Gesetzbuch tritt am 1. Januar 1900 gleichzeitig mit einem Gesetz, betreffend Änderungen des Gerichtsverfassungsgesetzes, der Zivilprozeßordnung und der Konkursordnung, einem Gesetz über die Zwangsversteigerung und die Zwangsverwaltung, einer Grundbuchordnung und einem Gesetz über die Angelegenheiten der freiwilligen Gerichtsbarkeit in Kraft.</w:t>
      </w:r>
    </w:p>
    <w:p>
      <w:r>
        <w:t>(2) Soweit in dem Bürgerlichen Gesetzbuch oder in diesem Gesetz die Regelung den Landesgesetzen vorbehalten oder bestimmt ist, daß landesgesetzliche Vorschriften unberührt bleiben oder erlassen werden können, bleiben die bestehenden landesgesetzlichen Vorschriften in Kraft und können neue landesgesetzliche Vorschriften erlassen werden.</w:t>
      </w:r>
    </w:p>
    <w:p>
      <w:pPr>
        <w:pStyle w:val="Heading3"/>
      </w:pPr>
      <w:bookmarkStart w:id="4" w:name="b3"/>
      <w:r>
        <w:t>Art 2</w:t>
      </w:r>
      <w:r>
        <w:t xml:space="preserve"> </w:t>
      </w:r>
      <w:r>
        <w:rPr>
          <w:rStyle w:val="Suchmarke"/>
        </w:rPr>
        <w:t>#2.#</w:t>
      </w:r>
      <w:bookmarkEnd w:id="4"/>
    </w:p>
    <w:p>
      <w:r>
        <w:t>Gesetz im Sinne des Bürgerlichen Gesetzbuchs und dieses Gesetzes ist jede Rechtsnorm.</w:t>
      </w:r>
    </w:p>
    <w:p>
      <w:pPr>
        <w:pStyle w:val="Heading2"/>
      </w:pPr>
      <w:bookmarkStart w:id="5" w:name="b4"/>
      <w:r>
        <w:t>Zweites Kapitel Internationales Privatrecht</w:t>
      </w:r>
      <w:bookmarkEnd w:id="5"/>
    </w:p>
    <w:p>
      <w:pPr>
        <w:pStyle w:val="Heading3"/>
      </w:pPr>
      <w:bookmarkStart w:id="6" w:name="b5"/>
      <w:r>
        <w:t>Erster Abschnitt Allgemeine Vorschriften</w:t>
      </w:r>
      <w:bookmarkEnd w:id="6"/>
    </w:p>
    <w:p>
      <w:pPr>
        <w:pStyle w:val="Heading4"/>
      </w:pPr>
      <w:bookmarkStart w:id="7" w:name="b6"/>
      <w:r>
        <w:t>Art 3 Anwendungsbereich; Verhältnis zu Regelungen der Europäischen Union und zu völkerrechtlichen Vereinbarungen</w:t>
      </w:r>
      <w:r>
        <w:t xml:space="preserve"> </w:t>
      </w:r>
      <w:r>
        <w:rPr>
          <w:rStyle w:val="Suchmarke"/>
        </w:rPr>
        <w:t>#3.#</w:t>
      </w:r>
      <w:bookmarkEnd w:id="7"/>
    </w:p>
    <w:p>
      <w:r>
        <w:t>Soweit nicht</w:t>
      </w:r>
    </w:p>
    <w:p>
      <w:pPr>
        <w:tabs>
          <w:tab w:pos="567" w:val="left"/>
        </w:tabs>
        <w:ind w:left="567" w:hanging="567"/>
      </w:pPr>
      <w:r>
        <w:t>1.</w:t>
      </w:r>
      <w:r>
        <w:tab/>
      </w:r>
      <w:r>
        <w:t>unmittelbar anwendbare Regelungen der Europäischen Union in ihrer jeweils geltenden Fassung, insbesondere</w:t>
      </w:r>
    </w:p>
    <w:p>
      <w:pPr>
        <w:tabs>
          <w:tab w:pos="1134" w:val="left"/>
        </w:tabs>
        <w:ind w:left="1134" w:hanging="567"/>
      </w:pPr>
      <w:r>
        <w:t>a)</w:t>
      </w:r>
      <w:r>
        <w:tab/>
      </w:r>
      <w:r>
        <w:t>die Verordnung (EG) Nr. 864/2007 des Europäischen Parlaments und des Rates vom 11. Juli 2007 über das auf außervertragliche Schuldverhältnisse anzuwendende Recht (Rom II),</w:t>
      </w:r>
    </w:p>
    <w:p>
      <w:pPr>
        <w:tabs>
          <w:tab w:pos="1134" w:val="left"/>
        </w:tabs>
        <w:ind w:left="1134" w:hanging="567"/>
      </w:pPr>
      <w:r>
        <w:t>b)</w:t>
      </w:r>
      <w:r>
        <w:tab/>
      </w:r>
      <w:r>
        <w:t>die Verordnung (EG) Nr. 593/2008 des Europäischen Parlaments und des Rates vom 17. Juni 2008 über das auf vertragliche Schuldverhältnisse anzuwendende Recht (Rom I),</w:t>
      </w:r>
    </w:p>
    <w:p>
      <w:pPr>
        <w:tabs>
          <w:tab w:pos="1134" w:val="left"/>
        </w:tabs>
        <w:ind w:left="1134" w:hanging="567"/>
      </w:pPr>
      <w:r>
        <w:t>c)</w:t>
      </w:r>
      <w:r>
        <w:tab/>
      </w:r>
      <w:r>
        <w:t>Artikel 15 der Verordnung (EG) Nr. 4/2009 des Rates vom 18. Dezember 2008 über die Zuständigkeit, das anwendbare Recht, die Anerkennung und Vollstreckung von Entscheidungen und die Zusammenarbeit in Unterhaltssachen in Verbindung mit dem Haager Protokoll vom 23. November 2007 über das auf Unterhaltspflichten anzuwendende Recht,</w:t>
      </w:r>
    </w:p>
    <w:p>
      <w:pPr>
        <w:tabs>
          <w:tab w:pos="1134" w:val="left"/>
        </w:tabs>
        <w:ind w:left="1134" w:hanging="567"/>
      </w:pPr>
      <w:r>
        <w:t>d)</w:t>
      </w:r>
      <w:r>
        <w:tab/>
      </w:r>
      <w:r>
        <w:t>die Verordnung (EU) Nr. 1259/2010 des Rates vom 20. Dezember 2010 zur Durchführung einer Verstärkten Zusammenarbeit im Bereich des auf die Ehescheidung und Trennung ohne Auflösung des Ehebandes anzuwendenden Rechts,</w:t>
      </w:r>
    </w:p>
    <w:p>
      <w:pPr>
        <w:tabs>
          <w:tab w:pos="1134" w:val="left"/>
        </w:tabs>
        <w:ind w:left="1134" w:hanging="567"/>
      </w:pPr>
      <w:r>
        <w:t>e)</w:t>
      </w:r>
      <w:r>
        <w:tab/>
      </w:r>
      <w:r>
        <w:t>die Verordnung (EU) Nr. 650/2012 des Europäischen Parlaments und des Rates vom 4. Juli 2012 über die Zuständigkeit, das anzuwendende Recht, die Anerkennung und Vollstreckung von Entscheidungen und die Annahme und Vollstreckung öffentlicher Urkunden in Erbsachen sowie zur Einführung eines Europäischen Nachlasszeugnisses,</w:t>
      </w:r>
    </w:p>
    <w:p>
      <w:pPr>
        <w:tabs>
          <w:tab w:pos="1134" w:val="left"/>
        </w:tabs>
        <w:ind w:left="1134" w:hanging="567"/>
      </w:pPr>
      <w:r>
        <w:t>f)</w:t>
      </w:r>
      <w:r>
        <w:tab/>
      </w:r>
      <w:r>
        <w:t>die Verordnung (EU) 2016/1103 des Rates vom 24. Juni 2016 zur Durchführung einer Verstärkten Zusammenarbeit im Bereich der Zuständigkeit, des anzuwendenden Rechts und der Anerkennung und Vollstreckung von Entscheidungen in Fragen des ehelichen Güterstands sowie</w:t>
      </w:r>
    </w:p>
    <w:p>
      <w:pPr>
        <w:tabs>
          <w:tab w:pos="1134" w:val="left"/>
        </w:tabs>
        <w:ind w:left="1134" w:hanging="567"/>
      </w:pPr>
      <w:r>
        <w:t>g)</w:t>
      </w:r>
      <w:r>
        <w:tab/>
      </w:r>
      <w:r>
        <w:t>die Verordnung (EU) 2016/1104 des Rates vom 24. Juni 2016 zur Durchführung der Verstärkten Zusammenarbeit im Bereich der Zuständigkeit, des anzuwendenden Rechts und der Anerkennung und Vollstreckung von Entscheidungen in Fragen güterrechtlicher Wirkungen eingetragener Partnerschaften oder</w:t>
      </w:r>
    </w:p>
    <w:p>
      <w:pPr>
        <w:tabs>
          <w:tab w:pos="567" w:val="left"/>
        </w:tabs>
        <w:ind w:left="567" w:hanging="567"/>
      </w:pPr>
      <w:r>
        <w:t>2.</w:t>
      </w:r>
      <w:r>
        <w:tab/>
      </w:r>
      <w:r>
        <w:t>Regelungen in völkerrechtlichen Vereinbarungen, soweit sie unmittelbar anwendbares innerstaatliches Recht geworden sind,</w:t>
      </w:r>
    </w:p>
    <w:p>
      <w:r>
        <w:t>maßgeblich sind, bestimmt sich das anzuwendende Recht bei Sachverhalten mit einer Verbindung zu einem ausländischen Staat nach den Vorschriften dieses Kapitels (Internationales Privatrecht).</w:t>
      </w:r>
    </w:p>
    <w:p>
      <w:pPr>
        <w:pStyle w:val="Heading4"/>
      </w:pPr>
      <w:bookmarkStart w:id="8" w:name="b7"/>
      <w:r>
        <w:t>Art 4 Verweisung</w:t>
      </w:r>
      <w:r>
        <w:t xml:space="preserve"> </w:t>
      </w:r>
      <w:r>
        <w:rPr>
          <w:rStyle w:val="Suchmarke"/>
        </w:rPr>
        <w:t>#4.#</w:t>
      </w:r>
      <w:bookmarkEnd w:id="8"/>
    </w:p>
    <w:p>
      <w:r>
        <w:t xml:space="preserve">(1) </w:t>
      </w:r>
      <w:r>
        <w:rPr>
          <w:rStyle w:val="Satznummer"/>
        </w:rPr>
        <w:t>1</w:t>
      </w:r>
      <w:r>
        <w:t xml:space="preserve">Wird auf das Recht eines anderen Staates verwiesen, so ist auch dessen Internationales Privatrecht anzuwenden, sofern dies nicht dem Sinn der Verweisung widerspricht. </w:t>
      </w:r>
      <w:r>
        <w:rPr>
          <w:rStyle w:val="Satznummer"/>
        </w:rPr>
        <w:t>2</w:t>
      </w:r>
      <w:r>
        <w:t>Verweist das Recht des anderen Staates auf deutsches Recht zurück, so sind die deutschen Sachvorschriften anzuwenden.</w:t>
      </w:r>
    </w:p>
    <w:p>
      <w:r>
        <w:t xml:space="preserve">(2) </w:t>
      </w:r>
      <w:r>
        <w:rPr>
          <w:rStyle w:val="Satznummer"/>
        </w:rPr>
        <w:t>1</w:t>
      </w:r>
      <w:r>
        <w:t xml:space="preserve">Verweisungen auf Sachvorschriften beziehen sich auf die Rechtsnormen der maßgebenden Rechtsordnung unter Ausschluss derjenigen des Internationalen Privatrechts. </w:t>
      </w:r>
      <w:r>
        <w:rPr>
          <w:rStyle w:val="Satznummer"/>
        </w:rPr>
        <w:t>2</w:t>
      </w:r>
      <w:r>
        <w:t>Soweit die Parteien das Recht eines Staates wählen können, können sie nur auf die Sachvorschriften verweisen.</w:t>
      </w:r>
    </w:p>
    <w:p>
      <w:r>
        <w:t xml:space="preserve">(3) </w:t>
      </w:r>
      <w:r>
        <w:rPr>
          <w:rStyle w:val="Satznummer"/>
        </w:rPr>
        <w:t>1</w:t>
      </w:r>
      <w:r>
        <w:t xml:space="preserve">Wird auf das Recht eines Staates mit mehreren Teilrechtsordnungen verwiesen, ohne die maßgebende zu bezeichnen, so bestimmt das Recht dieses Staates, welche Teilrechtsordnung anzuwenden ist. </w:t>
      </w:r>
      <w:r>
        <w:rPr>
          <w:rStyle w:val="Satznummer"/>
        </w:rPr>
        <w:t>2</w:t>
      </w:r>
      <w:r>
        <w:t>Fehlt eine solche Regelung, so ist die Teilrechtsordnung anzuwenden, mit welcher der Sachverhalt am engsten verbunden ist.</w:t>
      </w:r>
    </w:p>
    <w:p>
      <w:pPr>
        <w:pStyle w:val="Heading4"/>
      </w:pPr>
      <w:bookmarkStart w:id="9" w:name="b8"/>
      <w:r>
        <w:t>Art 5 Personalstatut</w:t>
      </w:r>
      <w:r>
        <w:t xml:space="preserve"> </w:t>
      </w:r>
      <w:r>
        <w:rPr>
          <w:rStyle w:val="Suchmarke"/>
        </w:rPr>
        <w:t>#5.#</w:t>
      </w:r>
      <w:bookmarkEnd w:id="9"/>
    </w:p>
    <w:p>
      <w:r>
        <w:t xml:space="preserve">(1) </w:t>
      </w:r>
      <w:r>
        <w:rPr>
          <w:rStyle w:val="Satznummer"/>
        </w:rPr>
        <w:t>1</w:t>
      </w:r>
      <w:r>
        <w:t xml:space="preserve">Wird auf das Recht des Staates verwiesen, dem eine Person angehört, und gehört sie mehreren Staaten an, so ist das Recht desjenigen dieser Staaten anzuwenden, mit dem die Person am engsten verbunden ist, insbesondere durch ihren gewöhnlichen Aufenthalt oder durch den Verlauf ihres Lebens. </w:t>
      </w:r>
      <w:r>
        <w:rPr>
          <w:rStyle w:val="Satznummer"/>
        </w:rPr>
        <w:t>2</w:t>
      </w:r>
      <w:r>
        <w:t>Ist die Person auch Deutscher, so geht diese Rechtsstellung vor.</w:t>
      </w:r>
    </w:p>
    <w:p>
      <w:r>
        <w:t>(2) Ist eine Person staatenlos oder kann ihre Staatsangehörigkeit nicht festgestellt werden, so ist das Recht des Staates anzuwenden, in dem sie ihren gewöhnlichen Aufenthalt oder, mangels eines solchen, ihren Aufenthalt hat.</w:t>
      </w:r>
    </w:p>
    <w:p>
      <w:r>
        <w:t>(3) Wird auf das Recht des Staates verwiesen, in dem eine Person ihren Aufenthalt oder ihren gewöhnlichen Aufenthalt hat, und ändert eine nicht voll geschäftsfähige Person den Aufenthalt ohne den Willen des gesetzlichen Vertreters, so führt diese Änderung allein nicht zur Anwendung eines anderen Rechts.</w:t>
      </w:r>
    </w:p>
    <w:p>
      <w:pPr>
        <w:pStyle w:val="Heading4"/>
      </w:pPr>
      <w:bookmarkStart w:id="10" w:name="b9"/>
      <w:r>
        <w:t>Art 6 Öffentliche Ordnung (ordre public)</w:t>
      </w:r>
      <w:r>
        <w:t xml:space="preserve"> </w:t>
      </w:r>
      <w:r>
        <w:rPr>
          <w:rStyle w:val="Suchmarke"/>
        </w:rPr>
        <w:t>#6.#</w:t>
      </w:r>
      <w:bookmarkEnd w:id="10"/>
    </w:p>
    <w:p>
      <w:r>
        <w:rPr>
          <w:rStyle w:val="Satznummer"/>
        </w:rPr>
        <w:t>1</w:t>
      </w:r>
      <w:r>
        <w:t xml:space="preserve">Eine Rechtsnorm eines anderen Staates ist nicht anzuwenden, wenn ihre Anwendung zu einem Ergebnis führt, das mit wesentlichen Grundsätzen des deutschen Rechts offensichtlich unvereinbar ist. </w:t>
      </w:r>
      <w:r>
        <w:rPr>
          <w:rStyle w:val="Satznummer"/>
        </w:rPr>
        <w:t>2</w:t>
      </w:r>
      <w:r>
        <w:t>Sie ist insbesondere nicht anzuwenden, wenn die Anwendung mit den Grundrechten unvereinbar ist.</w:t>
      </w:r>
    </w:p>
    <w:p>
      <w:pPr>
        <w:pStyle w:val="Heading3"/>
      </w:pPr>
      <w:bookmarkStart w:id="11" w:name="b10"/>
      <w:r>
        <w:t>Zweiter Abschnitt Recht der natürlichen Personen und der Rechtsgeschäfte</w:t>
      </w:r>
      <w:bookmarkEnd w:id="11"/>
    </w:p>
    <w:p>
      <w:pPr>
        <w:pStyle w:val="Heading4"/>
      </w:pPr>
      <w:bookmarkStart w:id="12" w:name="b11"/>
      <w:r>
        <w:t>Art 7 Rechts- und Geschäftsfähigkeit</w:t>
      </w:r>
      <w:r>
        <w:t xml:space="preserve"> </w:t>
      </w:r>
      <w:r>
        <w:rPr>
          <w:rStyle w:val="Suchmarke"/>
        </w:rPr>
        <w:t>#7.#</w:t>
      </w:r>
      <w:bookmarkEnd w:id="12"/>
    </w:p>
    <w:p>
      <w:r>
        <w:t xml:space="preserve">(1) </w:t>
      </w:r>
      <w:r>
        <w:rPr>
          <w:rStyle w:val="Satznummer"/>
        </w:rPr>
        <w:t>1</w:t>
      </w:r>
      <w:r>
        <w:t xml:space="preserve">Die Rechtsfähigkeit einer Person unterliegt dem Recht des Staates, dem die Person angehört. </w:t>
      </w:r>
      <w:r>
        <w:rPr>
          <w:rStyle w:val="Satznummer"/>
        </w:rPr>
        <w:t>2</w:t>
      </w:r>
      <w:r>
        <w:t>Die einmal erlangte Rechtsfähigkeit wird durch Erwerb oder Verlust einer Staatsangehörigkeit nicht beeinträchtigt.</w:t>
      </w:r>
    </w:p>
    <w:p>
      <w:r>
        <w:t xml:space="preserve">(2) </w:t>
      </w:r>
      <w:r>
        <w:rPr>
          <w:rStyle w:val="Satznummer"/>
        </w:rPr>
        <w:t>1</w:t>
      </w:r>
      <w:r>
        <w:t xml:space="preserve">Die Geschäftsfähigkeit einer Person unterliegt dem Recht des Staates, in dem die Person ihren gewöhnlichen Aufenthalt hat. </w:t>
      </w:r>
      <w:r>
        <w:rPr>
          <w:rStyle w:val="Satznummer"/>
        </w:rPr>
        <w:t>2</w:t>
      </w:r>
      <w:r>
        <w:t xml:space="preserve">Dies gilt auch, soweit die Geschäftsfähigkeit durch Eheschließung erweitert wird. </w:t>
      </w:r>
      <w:r>
        <w:rPr>
          <w:rStyle w:val="Satznummer"/>
        </w:rPr>
        <w:t>3</w:t>
      </w:r>
      <w:r>
        <w:t>Die einmal erlangte Geschäftsfähigkeit wird durch einen Wechsel des gewöhnlichen Aufenthalts nicht beeinträchtigt.</w:t>
      </w:r>
    </w:p>
    <w:p>
      <w:pPr>
        <w:pStyle w:val="Heading4"/>
      </w:pPr>
      <w:bookmarkStart w:id="13" w:name="b12"/>
      <w:r>
        <w:t>Art 7a Geschlechtszugehörigkeit</w:t>
      </w:r>
      <w:r>
        <w:t xml:space="preserve"> </w:t>
      </w:r>
      <w:r>
        <w:rPr>
          <w:rStyle w:val="Suchmarke"/>
        </w:rPr>
        <w:t>#7a.#</w:t>
      </w:r>
      <w:bookmarkEnd w:id="13"/>
    </w:p>
    <w:p>
      <w:r>
        <w:t>(1) Die Geschlechtszugehörigkeit einer Person unterliegt dem Recht des Staates, dem die Person angehört.</w:t>
      </w:r>
    </w:p>
    <w:p>
      <w:r>
        <w:t xml:space="preserve">(2) </w:t>
      </w:r>
      <w:r>
        <w:rPr>
          <w:rStyle w:val="Satznummer"/>
        </w:rPr>
        <w:t>1</w:t>
      </w:r>
      <w:r>
        <w:t xml:space="preserve">Eine Person mit gewöhnlichem Aufenthalt im Inland kann für die Änderung der Geschlechtszugehörigkeit deutsches Recht wählen. </w:t>
      </w:r>
      <w:r>
        <w:rPr>
          <w:rStyle w:val="Satznummer"/>
        </w:rPr>
        <w:t>2</w:t>
      </w:r>
      <w:r>
        <w:t>Gleiches gilt für einen Namenswechsel unter den Voraussetzungen oder im Zusammenhang mit der Änderung der Geschlechtszugehörigkeit.</w:t>
      </w:r>
    </w:p>
    <w:p>
      <w:r>
        <w:t>(3) Erklärungen zur Wahl nach Absatz 2 müssen öffentlich beglaubigt werden; sie können auch von den Standesbeamten beglaubigt oder beurkundet werden.</w:t>
      </w:r>
    </w:p>
    <w:p>
      <w:pPr>
        <w:pStyle w:val="Heading4"/>
      </w:pPr>
      <w:bookmarkStart w:id="14" w:name="b13"/>
      <w:r>
        <w:t>Art 8 Gewillkürte Stellvertretung</w:t>
      </w:r>
      <w:r>
        <w:t xml:space="preserve"> </w:t>
      </w:r>
      <w:r>
        <w:rPr>
          <w:rStyle w:val="Suchmarke"/>
        </w:rPr>
        <w:t>#8.#</w:t>
      </w:r>
      <w:bookmarkEnd w:id="14"/>
    </w:p>
    <w:p>
      <w:r>
        <w:t xml:space="preserve">(1) </w:t>
      </w:r>
      <w:r>
        <w:rPr>
          <w:rStyle w:val="Satznummer"/>
        </w:rPr>
        <w:t>1</w:t>
      </w:r>
      <w:r>
        <w:t xml:space="preserve">Auf die gewillkürte Stellvertretung ist das vom Vollmachtgeber vor der Ausübung der Vollmacht gewählte Recht anzuwenden, wenn die Rechtswahl dem Dritten und dem Bevollmächtigten bekannt ist. </w:t>
      </w:r>
      <w:r>
        <w:rPr>
          <w:rStyle w:val="Satznummer"/>
        </w:rPr>
        <w:t>2</w:t>
      </w:r>
      <w:r>
        <w:t xml:space="preserve">Der Vollmachtgeber, der Bevollmächtigte und der Dritte können das anzuwendende Recht jederzeit wählen. </w:t>
      </w:r>
      <w:r>
        <w:rPr>
          <w:rStyle w:val="Satznummer"/>
        </w:rPr>
        <w:t>3</w:t>
      </w:r>
      <w:r>
        <w:t>Die Wahl nach Satz 2 geht derjenigen nach Satz 1 vor.</w:t>
      </w:r>
    </w:p>
    <w:p>
      <w:r>
        <w:t>(2) Ist keine Rechtswahl nach Absatz 1 getroffen worden und handelt der Bevollmächtigte in Ausübung seiner unternehmerischen Tätigkeit, so sind die Sachvorschriften des Staates anzuwenden, in dem der Bevollmächtigte im Zeitpunkt der Ausübung der Vollmacht seinen gewöhnlichen Aufenthalt hat, es sei denn, dieser Ort ist für den Dritten nicht erkennbar.</w:t>
      </w:r>
    </w:p>
    <w:p>
      <w:r>
        <w:t>(3) Ist keine Rechtswahl nach Absatz 1 getroffen worden und handelt der Bevollmächtigte als Arbeitnehmer des Vollmachtgebers, so sind die Sachvorschriften des Staates anzuwenden, in dem der Vollmachtgeber im Zeitpunkt der Ausübung der Vollmacht seinen gewöhnlichen Aufenthalt hat, es sei denn, dieser Ort ist für den Dritten nicht erkennbar.</w:t>
      </w:r>
    </w:p>
    <w:p>
      <w:r>
        <w:t>(4) Ist keine Rechtswahl nach Absatz 1 getroffen worden und handelt der Bevollmächtigte weder in Ausübung seiner unternehmerischen Tätigkeit noch als Arbeitnehmer des Vollmachtgebers, so sind im Falle einer auf Dauer angelegten Vollmacht die Sachvorschriften des Staates anzuwenden, in dem der Bevollmächtigte von der Vollmacht gewöhnlich Gebrauch macht, es sei denn, dieser Ort ist für den Dritten nicht erkennbar.</w:t>
      </w:r>
    </w:p>
    <w:p>
      <w:r>
        <w:t xml:space="preserve">(5) </w:t>
      </w:r>
      <w:r>
        <w:rPr>
          <w:rStyle w:val="Satznummer"/>
        </w:rPr>
        <w:t>1</w:t>
      </w:r>
      <w:r>
        <w:t xml:space="preserve">Ergibt sich das anzuwendende Recht nicht aus den Absätzen 1 bis 4, so sind die Sachvorschriften des Staates anzuwenden, in dem der Bevollmächtigte von seiner Vollmacht im Einzelfall Gebrauch macht (Gebrauchsort). </w:t>
      </w:r>
      <w:r>
        <w:rPr>
          <w:rStyle w:val="Satznummer"/>
        </w:rPr>
        <w:t>2</w:t>
      </w:r>
      <w:r>
        <w:t xml:space="preserve">Mussten der Dritte und der Bevollmächtigte wissen, dass von der Vollmacht nur in einem bestimmten Staat Gebrauch gemacht werden sollte, so sind die Sachvorschriften dieses Staates anzuwenden. </w:t>
      </w:r>
      <w:r>
        <w:rPr>
          <w:rStyle w:val="Satznummer"/>
        </w:rPr>
        <w:t>3</w:t>
      </w:r>
      <w:r>
        <w:t>Ist der Gebrauchsort für den Dritten nicht erkennbar, so sind die Sachvorschriften des Staates anzuwenden, in dem der Vollmachtgeber im Zeitpunkt der Ausübung der Vollmacht seinen gewöhnlichen Aufenthalt hat.</w:t>
      </w:r>
    </w:p>
    <w:p>
      <w:r>
        <w:t xml:space="preserve">(6) Auf die gewillkürte Stellvertretung bei Verfügungen über Grundstücke oder Rechte an Grundstücken ist das nach </w:t>
      </w:r>
      <w:hyperlink w:anchor="b44" w:history="1">
        <w:r>
          <w:rPr>
            <w:color w:val="0A3A8C"/>
            <w:u w:val="single"/>
          </w:rPr>
          <w:t xml:space="preserve">Artikel 43</w:t>
        </w:r>
      </w:hyperlink>
      <w:r>
        <w:t xml:space="preserve"> Absatz 1 und </w:t>
      </w:r>
      <w:hyperlink w:anchor="b47" w:history="1">
        <w:r>
          <w:rPr>
            <w:color w:val="0A3A8C"/>
            <w:u w:val="single"/>
          </w:rPr>
          <w:t xml:space="preserve">Artikel 46</w:t>
        </w:r>
      </w:hyperlink>
      <w:r>
        <w:t xml:space="preserve"> zu bestimmende Recht anzuwenden.</w:t>
      </w:r>
    </w:p>
    <w:p>
      <w:r>
        <w:t>(7) Dieser Artikel findet keine Anwendung auf die gewillkürte Stellvertretung bei Börsengeschäften und Versteigerungen.</w:t>
      </w:r>
    </w:p>
    <w:p>
      <w:r>
        <w:t xml:space="preserve">(8) </w:t>
      </w:r>
      <w:r>
        <w:rPr>
          <w:rStyle w:val="Satznummer"/>
        </w:rPr>
        <w:t>1</w:t>
      </w:r>
      <w:r>
        <w:t xml:space="preserve">Auf die Bestimmung des gewöhnlichen Aufenthalts im Sinne dieses Artikels ist </w:t>
      </w:r>
      <w:hyperlink w:anchor="b27" w:history="1">
        <w:r>
          <w:rPr>
            <w:color w:val="0A3A8C"/>
            <w:u w:val="single"/>
          </w:rPr>
          <w:t xml:space="preserve">Artikel 19</w:t>
        </w:r>
      </w:hyperlink>
      <w:r>
        <w:t xml:space="preserve"> Absatz 1 und 2 erste Alternative der Verordnung (EG) Nr. 593/2008 mit der Maßgabe anzuwenden, dass an die Stelle des Vertragsschlusses die Ausübung der Vollmacht tritt. </w:t>
      </w:r>
      <w:r>
        <w:rPr>
          <w:rStyle w:val="Satznummer"/>
        </w:rPr>
        <w:t>2</w:t>
      </w:r>
      <w:hyperlink w:anchor="b27" w:history="1">
        <w:r>
          <w:rPr>
            <w:color w:val="0A3A8C"/>
            <w:u w:val="single"/>
          </w:rPr>
          <w:t xml:space="preserve">Artikel 19</w:t>
        </w:r>
      </w:hyperlink>
      <w:r>
        <w:t xml:space="preserve"> Absatz 2 erste Alternative der Verordnung (EG) Nr. 593/2008 ist nicht anzuwenden, wenn der nach dieser Vorschrift maßgebende Ort für den Dritten nicht erkennbar ist.</w:t>
      </w:r>
    </w:p>
    <w:p>
      <w:pPr>
        <w:pStyle w:val="Heading4"/>
      </w:pPr>
      <w:bookmarkStart w:id="15" w:name="b14"/>
      <w:r>
        <w:t>Art 9 Todeserklärung</w:t>
      </w:r>
      <w:r>
        <w:t xml:space="preserve"> </w:t>
      </w:r>
      <w:r>
        <w:rPr>
          <w:rStyle w:val="Suchmarke"/>
        </w:rPr>
        <w:t>#9.#</w:t>
      </w:r>
      <w:bookmarkEnd w:id="15"/>
    </w:p>
    <w:p>
      <w:r>
        <w:rPr>
          <w:rStyle w:val="Satznummer"/>
        </w:rPr>
        <w:t>1</w:t>
      </w:r>
      <w:r>
        <w:t xml:space="preserve">Die Todeserklärung, die Feststellung des Todes und des Todeszeitpunkts sowie Lebens- und Todesvermutungen unterliegen dem Recht des Staates, dem der Verschollene in dem letzten Zeitpunkt angehörte, in dem er nach den vorhandenen Nachrichten noch gelebt hat. </w:t>
      </w:r>
      <w:r>
        <w:rPr>
          <w:rStyle w:val="Satznummer"/>
        </w:rPr>
        <w:t>2</w:t>
      </w:r>
      <w:r>
        <w:t>War der Verschollene in diesem Zeitpunkt Angehöriger eines fremden Staates, so kann er nach deutschem Recht für tot erklärt werden, wenn hierfür ein berechtigtes Interesse besteht.</w:t>
      </w:r>
    </w:p>
    <w:p>
      <w:pPr>
        <w:pStyle w:val="Heading4"/>
      </w:pPr>
      <w:bookmarkStart w:id="16" w:name="b15"/>
      <w:r>
        <w:t>Art 10 Name</w:t>
      </w:r>
      <w:r>
        <w:t xml:space="preserve"> </w:t>
      </w:r>
      <w:r>
        <w:rPr>
          <w:rStyle w:val="Suchmarke"/>
        </w:rPr>
        <w:t>#10.#</w:t>
      </w:r>
      <w:bookmarkEnd w:id="16"/>
    </w:p>
    <w:p>
      <w:r>
        <w:t>(1) Der Name einer Person unterliegt den Sachvorschriften des Staates, in dem sie ihren gewöhnlichen Aufenthalt hat.</w:t>
      </w:r>
    </w:p>
    <w:p>
      <w:r>
        <w:t xml:space="preserve">(2) </w:t>
      </w:r>
      <w:r>
        <w:rPr>
          <w:rStyle w:val="Satznummer"/>
        </w:rPr>
        <w:t>1</w:t>
      </w:r>
      <w:r>
        <w:t>Ehegatten können bei oder nach der Eheschließung durch Erklärung gegenüber dem Standesamt ihren künftig zu führenden Namen nach dem Recht eines Staates wählen,</w:t>
      </w:r>
    </w:p>
    <w:p>
      <w:pPr>
        <w:tabs>
          <w:tab w:pos="567" w:val="left"/>
        </w:tabs>
        <w:ind w:left="567" w:hanging="567"/>
      </w:pPr>
      <w:r>
        <w:t>1.</w:t>
      </w:r>
      <w:r>
        <w:tab/>
      </w:r>
      <w:r>
        <w:t>dem einer von ihnen angehört oder</w:t>
      </w:r>
    </w:p>
    <w:p>
      <w:pPr>
        <w:tabs>
          <w:tab w:pos="567" w:val="left"/>
        </w:tabs>
        <w:ind w:left="567" w:hanging="567"/>
      </w:pPr>
      <w:r>
        <w:t>2.</w:t>
      </w:r>
      <w:r>
        <w:tab/>
      </w:r>
      <w:r>
        <w:t>in dem einer von ihnen seinen gewöhnlichen Aufenthalt hat.</w:t>
      </w:r>
    </w:p>
    <w:p>
      <w:r>
        <w:rPr>
          <w:rStyle w:val="Satznummer"/>
        </w:rPr>
        <w:t>2</w:t>
      </w:r>
      <w:r>
        <w:t>Nach der Eheschließung abgegebene Erklärungen müssen öffentlich beglaubigt werden.</w:t>
      </w:r>
    </w:p>
    <w:p>
      <w:r>
        <w:t xml:space="preserve">(3) </w:t>
      </w:r>
      <w:r>
        <w:rPr>
          <w:rStyle w:val="Satznummer"/>
        </w:rPr>
        <w:t>1</w:t>
      </w:r>
      <w:r>
        <w:t>Der Inhaber der elterlichen Sorge kann durch Erklärung gegenüber dem Standesamt bestimmen, dass ein Kind den Namen erhalten soll</w:t>
      </w:r>
    </w:p>
    <w:p>
      <w:pPr>
        <w:tabs>
          <w:tab w:pos="567" w:val="left"/>
        </w:tabs>
        <w:ind w:left="567" w:hanging="567"/>
      </w:pPr>
      <w:r>
        <w:t>1.</w:t>
      </w:r>
      <w:r>
        <w:tab/>
      </w:r>
      <w:r>
        <w:t>nach dem Recht des Staates, dem ein Elternteil oder das Kind angehört,</w:t>
      </w:r>
    </w:p>
    <w:p>
      <w:pPr>
        <w:tabs>
          <w:tab w:pos="567" w:val="left"/>
        </w:tabs>
        <w:ind w:left="567" w:hanging="567"/>
      </w:pPr>
      <w:r>
        <w:t>2.</w:t>
      </w:r>
      <w:r>
        <w:tab/>
      </w:r>
      <w:r>
        <w:t>nach deutschem Recht, wenn ein Elternteil seinen gewöhnlichen Aufenthalt im Inland hat, oder</w:t>
      </w:r>
    </w:p>
    <w:p>
      <w:pPr>
        <w:tabs>
          <w:tab w:pos="567" w:val="left"/>
        </w:tabs>
        <w:ind w:left="567" w:hanging="567"/>
      </w:pPr>
      <w:r>
        <w:t>3.</w:t>
      </w:r>
      <w:r>
        <w:tab/>
      </w:r>
      <w:r>
        <w:t>nach dem Recht des Staates, dem ein den Namen Erteilender angehört.</w:t>
      </w:r>
    </w:p>
    <w:p>
      <w:r>
        <w:rPr>
          <w:rStyle w:val="Satznummer"/>
        </w:rPr>
        <w:t>2</w:t>
      </w:r>
      <w:r>
        <w:t>Nach der Beurkundung der Geburt abgegebene Erklärungen müssen öffentlich beglaubigt werden.</w:t>
      </w:r>
    </w:p>
    <w:p>
      <w:r>
        <w:t xml:space="preserve">(4) </w:t>
      </w:r>
      <w:r>
        <w:rPr>
          <w:rStyle w:val="Satznummer"/>
        </w:rPr>
        <w:t>1</w:t>
      </w:r>
      <w:r>
        <w:t xml:space="preserve">Im Übrigen kann eine Person durch Erklärung gegenüber dem Standesamt für ihren Namen das Recht des Staates wählen, dem sie angehört. </w:t>
      </w:r>
      <w:r>
        <w:rPr>
          <w:rStyle w:val="Satznummer"/>
        </w:rPr>
        <w:t>2</w:t>
      </w:r>
      <w:r>
        <w:t>Die Erklärung muss öffentlich beglaubigt werden.</w:t>
      </w:r>
    </w:p>
    <w:p>
      <w:r>
        <w:t xml:space="preserve">(5) </w:t>
      </w:r>
      <w:r>
        <w:rPr>
          <w:rStyle w:val="Satznummer"/>
        </w:rPr>
        <w:t>1</w:t>
      </w:r>
      <w:hyperlink w:anchor="b8" w:history="1">
        <w:r>
          <w:rPr>
            <w:color w:val="0A3A8C"/>
            <w:u w:val="single"/>
          </w:rPr>
          <w:t xml:space="preserve">Artikel 5</w:t>
        </w:r>
      </w:hyperlink>
      <w:r>
        <w:t xml:space="preserve"> Absatz 1 findet bei der Rechtswahl keine Anwendung. </w:t>
      </w:r>
      <w:r>
        <w:rPr>
          <w:rStyle w:val="Satznummer"/>
        </w:rPr>
        <w:t>2</w:t>
      </w:r>
      <w:r>
        <w:t>Für die Auswirkungen der Wahl nach Absatz 2 oder 4 auf den Namen eines Kindes ist § 1617c des Bürgerlichen Gesetzbuchs sinngemäß anzuwenden.</w:t>
      </w:r>
    </w:p>
    <w:p>
      <w:pPr>
        <w:pStyle w:val="Heading4"/>
      </w:pPr>
      <w:bookmarkStart w:id="17" w:name="b16"/>
      <w:r>
        <w:t>Art 11 Form von Rechtsgeschäften</w:t>
      </w:r>
      <w:r>
        <w:t xml:space="preserve"> </w:t>
      </w:r>
      <w:r>
        <w:rPr>
          <w:rStyle w:val="Suchmarke"/>
        </w:rPr>
        <w:t>#11.#</w:t>
      </w:r>
      <w:bookmarkEnd w:id="17"/>
    </w:p>
    <w:p>
      <w:r>
        <w:t>(1) Ein Rechtsgeschäft ist formgültig, wenn es die Formerfordernisse des Rechts, das auf das seinen Gegenstand bildende Rechtsverhältnis anzuwenden ist, oder des Rechts des Staates erfüllt, in dem es vorgenommen wird.</w:t>
      </w:r>
    </w:p>
    <w:p>
      <w:r>
        <w:t>(2) Wird ein Vertrag zwischen Personen geschlossen, die sich in verschiedenen Staaten befinden, so ist er formgültig, wenn er die Formerfordernisse des Rechts, das auf das seinen Gegenstand bildende Rechtsverhältnis anzuwenden ist, oder des Rechts eines dieser Staaten erfüllt.</w:t>
      </w:r>
    </w:p>
    <w:p>
      <w:r>
        <w:t>(3) Wird der Vertrag durch einen Vertreter geschlossen, so ist bei Anwendung der Absätze 1 und 2 der Staat maßgebend, in dem sich der Vertreter befindet.</w:t>
      </w:r>
    </w:p>
    <w:p>
      <w:r>
        <w:t>(4) Ein Rechtsgeschäft, durch das ein Recht an einer Sache begründet oder über ein solches Recht verfügt wird, ist nur formgültig, wenn es die Formerfordernisse des Rechts erfüllt, das auf das seinen Gegenstand bildende Rechtsverhältnis anzuwenden ist.</w:t>
      </w:r>
    </w:p>
    <w:p>
      <w:pPr>
        <w:pStyle w:val="Heading4"/>
      </w:pPr>
      <w:bookmarkStart w:id="18" w:name="b17"/>
      <w:r>
        <w:t>Art 12 Schutz des anderen Vertragsteils</w:t>
      </w:r>
      <w:r>
        <w:t xml:space="preserve"> </w:t>
      </w:r>
      <w:r>
        <w:rPr>
          <w:rStyle w:val="Suchmarke"/>
        </w:rPr>
        <w:t>#12.#</w:t>
      </w:r>
      <w:bookmarkEnd w:id="18"/>
    </w:p>
    <w:p>
      <w:r>
        <w:rPr>
          <w:rStyle w:val="Satznummer"/>
        </w:rPr>
        <w:t>1</w:t>
      </w:r>
      <w:r>
        <w:t xml:space="preserve">Wird ein Vertrag zwischen Personen geschlossen, die sich in demselben Staat befinden, so kann sich eine natürliche Person, die nach den Sachvorschriften des Rechts dieses Staates rechts-, geschäfts- und handlungsfähig wäre, nur dann auf ihre aus den Sachvorschriften des Rechts eines anderen Staates abgeleitete Rechts-, Geschäfts- und Handlungsunfähigkeit berufen, wenn der andere Vertragsteil bei Vertragsabschluß diese Rechts-, Geschäfts- und Handlungsunfähigkeit kannte oder kennen mußte. </w:t>
      </w:r>
      <w:r>
        <w:rPr>
          <w:rStyle w:val="Satznummer"/>
        </w:rPr>
        <w:t>2</w:t>
      </w:r>
      <w:r>
        <w:t>Dies gilt nicht für familienrechtliche und erbrechtliche Rechtsgeschäfte sowie für Verfügungen über ein in einem anderen Staat belegenes Grundstück.</w:t>
      </w:r>
    </w:p>
    <w:p>
      <w:pPr>
        <w:pStyle w:val="Heading3"/>
      </w:pPr>
      <w:bookmarkStart w:id="19" w:name="b18"/>
      <w:r>
        <w:t>Dritter Abschnitt Familienrecht</w:t>
      </w:r>
      <w:bookmarkEnd w:id="19"/>
    </w:p>
    <w:p>
      <w:pPr>
        <w:pStyle w:val="Heading4"/>
      </w:pPr>
      <w:bookmarkStart w:id="20" w:name="b19"/>
      <w:r>
        <w:t>Art 13 Eheschließung</w:t>
      </w:r>
      <w:r>
        <w:t xml:space="preserve"> </w:t>
      </w:r>
      <w:r>
        <w:rPr>
          <w:rStyle w:val="Suchmarke"/>
        </w:rPr>
        <w:t>#13.#</w:t>
      </w:r>
      <w:bookmarkEnd w:id="20"/>
    </w:p>
    <w:p>
      <w:r>
        <w:t>(1) Die Voraussetzungen der Eheschließung unterliegen für jeden Verlobten dem Recht des Staates, dem er angehört.</w:t>
      </w:r>
    </w:p>
    <w:p>
      <w:r>
        <w:t>(2) Fehlt danach eine Voraussetzung, so ist insoweit deutsches Recht anzuwenden, wenn</w:t>
      </w:r>
    </w:p>
    <w:p>
      <w:pPr>
        <w:tabs>
          <w:tab w:pos="567" w:val="left"/>
        </w:tabs>
        <w:ind w:left="567" w:hanging="567"/>
      </w:pPr>
      <w:r>
        <w:t>1.</w:t>
      </w:r>
      <w:r>
        <w:tab/>
      </w:r>
      <w:r>
        <w:t>ein Verlobter seinen gewöhnlichen Aufenthalt im Inland hat oder Deutscher ist,</w:t>
      </w:r>
    </w:p>
    <w:p>
      <w:pPr>
        <w:tabs>
          <w:tab w:pos="567" w:val="left"/>
        </w:tabs>
        <w:ind w:left="567" w:hanging="567"/>
      </w:pPr>
      <w:r>
        <w:t>2.</w:t>
      </w:r>
      <w:r>
        <w:tab/>
      </w:r>
      <w:r>
        <w:t>die Verlobten die zumutbaren Schritte zur Erfüllung der Voraussetzung unternommen haben und</w:t>
      </w:r>
    </w:p>
    <w:p>
      <w:pPr>
        <w:tabs>
          <w:tab w:pos="567" w:val="left"/>
        </w:tabs>
        <w:ind w:left="567" w:hanging="567"/>
      </w:pPr>
      <w:r>
        <w:t>3.</w:t>
      </w:r>
      <w:r>
        <w:tab/>
      </w:r>
      <w:r>
        <w:t>es mit der Eheschließungsfreiheit unvereinbar ist, die Eheschließung zu versagen; insbesondere steht die frühere Ehe eines Verlobten nicht entgegen, wenn ihr Bestand durch eine hier erlassene oder anerkannte Entscheidung beseitigt oder der Ehegatte des Verlobten für tot erklärt ist.</w:t>
      </w:r>
    </w:p>
    <w:p>
      <w:r>
        <w:t>(3) Unterliegt die Ehemündigkeit eines Verlobten nach Absatz 1 ausländischem Recht, ist die Ehe nach deutschem Recht</w:t>
      </w:r>
    </w:p>
    <w:p>
      <w:pPr>
        <w:tabs>
          <w:tab w:pos="567" w:val="left"/>
        </w:tabs>
        <w:ind w:left="567" w:hanging="567"/>
      </w:pPr>
      <w:r>
        <w:t>1.</w:t>
      </w:r>
      <w:r>
        <w:tab/>
      </w:r>
      <w:r>
        <w:t>unwirksam, wenn der Verlobte im Zeitpunkt der Eheschließung das 16. Lebensjahr nicht vollendet hatte, und</w:t>
      </w:r>
    </w:p>
    <w:p>
      <w:pPr>
        <w:tabs>
          <w:tab w:pos="567" w:val="left"/>
        </w:tabs>
        <w:ind w:left="567" w:hanging="567"/>
      </w:pPr>
      <w:r>
        <w:t>2.</w:t>
      </w:r>
      <w:r>
        <w:tab/>
      </w:r>
      <w:r>
        <w:t>aufhebbar, wenn der Verlobte im Zeitpunkt der Eheschließung das 16., aber nicht das 18. Lebensjahr vollendet hatte.</w:t>
      </w:r>
    </w:p>
    <w:p>
      <w:r>
        <w:t xml:space="preserve">(4) </w:t>
      </w:r>
      <w:r>
        <w:rPr>
          <w:rStyle w:val="Satznummer"/>
        </w:rPr>
        <w:t>1</w:t>
      </w:r>
      <w:r>
        <w:t xml:space="preserve">Eine Ehe kann im Inland nur in der hier vorgeschriebenen Form geschlossen werden. </w:t>
      </w:r>
      <w:r>
        <w:rPr>
          <w:rStyle w:val="Satznummer"/>
        </w:rPr>
        <w:t>2</w:t>
      </w:r>
      <w:r>
        <w:t>Eine Ehe zwischen Verlobten, von denen keiner Deutscher ist, kann jedoch vor einer von der Regierung des Staates, dem einer der Verlobten angehört, ordnungsgemäß ermächtigten Person in der nach dem Recht dieses Staates vorgeschriebenen Form geschlossen werden; eine beglaubigte Abschrift der Eintragung der so geschlossenen Ehe in das Standesregister, das von der dazu ordnungsgemäß ermächtigten Person geführt wird, erbringt vollen Beweis der Eheschließung.</w:t>
      </w:r>
    </w:p>
    <w:p>
      <w:pPr>
        <w:pStyle w:val="Heading4"/>
      </w:pPr>
      <w:bookmarkStart w:id="21" w:name="b20"/>
      <w:r>
        <w:t>Art 14 Allgemeine Ehewirkungen</w:t>
      </w:r>
      <w:r>
        <w:t xml:space="preserve"> </w:t>
      </w:r>
      <w:r>
        <w:rPr>
          <w:rStyle w:val="Suchmarke"/>
        </w:rPr>
        <w:t>#14.#</w:t>
      </w:r>
      <w:bookmarkEnd w:id="21"/>
    </w:p>
    <w:p>
      <w:r>
        <w:t xml:space="preserve">(1) </w:t>
      </w:r>
      <w:r>
        <w:rPr>
          <w:rStyle w:val="Satznummer"/>
        </w:rPr>
        <w:t>1</w:t>
      </w:r>
      <w:r>
        <w:t xml:space="preserve">Soweit allgemeine Ehewirkungen nicht in den Anwendungsbereich der Verordnung (EU) 2016/1103 fallen, unterliegen sie dem von den Ehegatten gewählten Recht. </w:t>
      </w:r>
      <w:r>
        <w:rPr>
          <w:rStyle w:val="Satznummer"/>
        </w:rPr>
        <w:t>2</w:t>
      </w:r>
      <w:r>
        <w:t>Wählbar sind</w:t>
      </w:r>
    </w:p>
    <w:p>
      <w:pPr>
        <w:tabs>
          <w:tab w:pos="567" w:val="left"/>
        </w:tabs>
        <w:ind w:left="567" w:hanging="567"/>
      </w:pPr>
      <w:r>
        <w:t>1.</w:t>
      </w:r>
      <w:r>
        <w:tab/>
      </w:r>
      <w:r>
        <w:t>das Recht des Staates, in dem beide Ehegatten im Zeitpunkt der Rechtswahl ihren gewöhnlichen Aufenthalt haben,</w:t>
      </w:r>
    </w:p>
    <w:p>
      <w:pPr>
        <w:tabs>
          <w:tab w:pos="567" w:val="left"/>
        </w:tabs>
        <w:ind w:left="567" w:hanging="567"/>
      </w:pPr>
      <w:r>
        <w:t>2.</w:t>
      </w:r>
      <w:r>
        <w:tab/>
      </w:r>
      <w:r>
        <w:t>das Recht des Staates, in dem beide Ehegatten ihren gewöhnlichen Aufenthalt während der Ehe zuletzt hatten, wenn einer von ihnen im Zeitpunkt der Rechtswahl dort noch seinen gewöhnlichen Aufenthalt hat, oder</w:t>
      </w:r>
    </w:p>
    <w:p>
      <w:pPr>
        <w:tabs>
          <w:tab w:pos="567" w:val="left"/>
        </w:tabs>
        <w:ind w:left="567" w:hanging="567"/>
      </w:pPr>
      <w:r>
        <w:t>3.</w:t>
      </w:r>
      <w:r>
        <w:tab/>
      </w:r>
      <w:r>
        <w:t xml:space="preserve">ungeachtet des </w:t>
      </w:r>
      <w:hyperlink w:anchor="b8" w:history="1">
        <w:r>
          <w:rPr>
            <w:color w:val="0A3A8C"/>
            <w:u w:val="single"/>
          </w:rPr>
          <w:t xml:space="preserve">Artikels 5</w:t>
        </w:r>
      </w:hyperlink>
      <w:r>
        <w:t xml:space="preserve"> Absatz 1 das Recht des Staates, dem ein Ehegatte im Zeitpunkt der Rechtswahl angehört.</w:t>
      </w:r>
    </w:p>
    <w:p>
      <w:r>
        <w:rPr>
          <w:rStyle w:val="Satznummer"/>
        </w:rPr>
        <w:t>3</w:t>
      </w:r>
      <w:r>
        <w:t xml:space="preserve">Die Rechtswahl muss notariell beurkundet werden. </w:t>
      </w:r>
      <w:r>
        <w:rPr>
          <w:rStyle w:val="Satznummer"/>
        </w:rPr>
        <w:t>4</w:t>
      </w:r>
      <w:r>
        <w:t>Wird sie nicht im Inland vorgenommen, so genügt es, wenn sie den Formerfordernissen für einen Ehevertrag nach dem gewählten Recht oder am Ort der Rechtswahl entspricht.</w:t>
      </w:r>
    </w:p>
    <w:p>
      <w:r>
        <w:t>(2) Sofern die Ehegatten keine Rechtswahl getroffen haben, gilt</w:t>
      </w:r>
    </w:p>
    <w:p>
      <w:pPr>
        <w:tabs>
          <w:tab w:pos="567" w:val="left"/>
        </w:tabs>
        <w:ind w:left="567" w:hanging="567"/>
      </w:pPr>
      <w:r>
        <w:t>1.</w:t>
      </w:r>
      <w:r>
        <w:tab/>
      </w:r>
      <w:r>
        <w:t>das Recht des Staates, in dem beide Ehegatten ihren gewöhnlichen Aufenthalt haben, sonst</w:t>
      </w:r>
    </w:p>
    <w:p>
      <w:pPr>
        <w:tabs>
          <w:tab w:pos="567" w:val="left"/>
        </w:tabs>
        <w:ind w:left="567" w:hanging="567"/>
      </w:pPr>
      <w:r>
        <w:t>2.</w:t>
      </w:r>
      <w:r>
        <w:tab/>
      </w:r>
      <w:r>
        <w:t>das Recht des Staates, in dem beide Ehegatten ihren gewöhnlichen Aufenthalt während der Ehe zuletzt hatten, wenn einer von ihnen dort noch seinen gewöhnlichen Aufenthalt hat, sonst</w:t>
      </w:r>
    </w:p>
    <w:p>
      <w:pPr>
        <w:tabs>
          <w:tab w:pos="567" w:val="left"/>
        </w:tabs>
        <w:ind w:left="567" w:hanging="567"/>
      </w:pPr>
      <w:r>
        <w:t>3.</w:t>
      </w:r>
      <w:r>
        <w:tab/>
      </w:r>
      <w:r>
        <w:t>das Recht des Staates, dem beide Ehegatten angehören, sonst</w:t>
      </w:r>
    </w:p>
    <w:p>
      <w:pPr>
        <w:tabs>
          <w:tab w:pos="567" w:val="left"/>
        </w:tabs>
        <w:ind w:left="567" w:hanging="567"/>
      </w:pPr>
      <w:r>
        <w:t>4.</w:t>
      </w:r>
      <w:r>
        <w:tab/>
      </w:r>
      <w:r>
        <w:t>das Recht des Staates, mit dem die Ehegatten auf andere Weise gemeinsam am engsten verbunden sind.</w:t>
      </w:r>
    </w:p>
    <w:p>
      <w:pPr>
        <w:pStyle w:val="Heading4"/>
      </w:pPr>
      <w:bookmarkStart w:id="22" w:name="b21"/>
      <w:r>
        <w:t>Art 15 Gegenseitige Vertretung von Ehegatten</w:t>
      </w:r>
      <w:r>
        <w:t xml:space="preserve"> </w:t>
      </w:r>
      <w:r>
        <w:rPr>
          <w:rStyle w:val="Suchmarke"/>
        </w:rPr>
        <w:t>#15.#</w:t>
      </w:r>
      <w:bookmarkEnd w:id="22"/>
    </w:p>
    <w:p>
      <w:r>
        <w:t>In Angelegenheiten der Gesundheitssorge, die im Inland wahrgenommen werden, ist § 1358 des Bürgerlichen Gesetzbuchs auch dann anzuwenden, wenn nach anderen Vorschriften insoweit ausländisches Recht anwendbar wäre.</w:t>
      </w:r>
    </w:p>
    <w:p>
      <w:pPr>
        <w:pStyle w:val="Heading4"/>
      </w:pPr>
      <w:bookmarkStart w:id="23" w:name="b22"/>
      <w:r>
        <w:t>Art 16 (weggefallen)</w:t>
      </w:r>
      <w:r>
        <w:t xml:space="preserve"> </w:t>
      </w:r>
      <w:r>
        <w:rPr>
          <w:rStyle w:val="Suchmarke"/>
        </w:rPr>
        <w:t>#16.#</w:t>
      </w:r>
      <w:bookmarkEnd w:id="23"/>
    </w:p>
    <w:p>
      <w:pPr>
        <w:pStyle w:val="Heading4"/>
      </w:pPr>
      <w:bookmarkStart w:id="24" w:name="b23"/>
      <w:r>
        <w:t>Art 17 Sonderregelungen zur Scheidung</w:t>
      </w:r>
      <w:r>
        <w:t xml:space="preserve"> </w:t>
      </w:r>
      <w:r>
        <w:rPr>
          <w:rStyle w:val="Suchmarke"/>
        </w:rPr>
        <w:t>#17.#</w:t>
      </w:r>
      <w:bookmarkEnd w:id="24"/>
    </w:p>
    <w:p>
      <w:r>
        <w:t>(1) Soweit vermögensrechtliche Scheidungsfolgen nicht in den Anwendungsbereich der Verordnung (EU) 2016/1103 oder der Verordnung (EG) Nr. 4/2009 fallen oder von anderen Vorschriften dieses Abschnitts erfasst sind, unterliegen sie dem nach der Verordnung (EU) Nr. 1259/2010 auf die Scheidung anzuwendenden Recht.</w:t>
      </w:r>
    </w:p>
    <w:p>
      <w:r>
        <w:t>(2) Auf Scheidungen, die nicht in den Anwendungsbereich der Verordnung (EU) Nr. 1259/2010 fallen, finden die Vorschriften des Kapitels II dieser Verordnung mit folgenden Maßgaben entsprechende Anwendung:</w:t>
      </w:r>
    </w:p>
    <w:p>
      <w:pPr>
        <w:tabs>
          <w:tab w:pos="567" w:val="left"/>
        </w:tabs>
        <w:ind w:left="567" w:hanging="567"/>
      </w:pPr>
      <w:r>
        <w:t>1.</w:t>
      </w:r>
      <w:r>
        <w:tab/>
      </w:r>
      <w:r>
        <w:t>Artikel 5 Absatz 1 Buchstabe d der Verordnung (EU) Nr. 1259/2010 ist nicht anzuwenden;</w:t>
      </w:r>
    </w:p>
    <w:p>
      <w:pPr>
        <w:tabs>
          <w:tab w:pos="567" w:val="left"/>
        </w:tabs>
        <w:ind w:left="567" w:hanging="567"/>
      </w:pPr>
      <w:r>
        <w:t>2.</w:t>
      </w:r>
      <w:r>
        <w:tab/>
      </w:r>
      <w:r>
        <w:t>in Artikel 5 Absatz 2, Artikel 6 Absatz 2 und Artikel 8 Buchstabe a bis c der Verordnung (EU) Nr. 1259/2010 ist statt auf den Zeitpunkt der Anrufung des Gerichts auf den Zeitpunkt der Einleitung des Scheidungsverfahrens abzustellen;</w:t>
      </w:r>
    </w:p>
    <w:p>
      <w:pPr>
        <w:tabs>
          <w:tab w:pos="567" w:val="left"/>
        </w:tabs>
        <w:ind w:left="567" w:hanging="567"/>
      </w:pPr>
      <w:r>
        <w:t>3.</w:t>
      </w:r>
      <w:r>
        <w:tab/>
      </w:r>
      <w:r>
        <w:t xml:space="preserve">abweichend von Artikel 5 Absatz 3 der Verordnung (EU) Nr. 1259/2010 können die Ehegatten die Rechtswahl auch noch im Laufe des Verfahrens in der durch </w:t>
      </w:r>
      <w:hyperlink w:anchor="b11" w:history="1">
        <w:r>
          <w:rPr>
            <w:color w:val="0A3A8C"/>
            <w:u w:val="single"/>
          </w:rPr>
          <w:t xml:space="preserve">Artikel 7</w:t>
        </w:r>
      </w:hyperlink>
      <w:r>
        <w:t xml:space="preserve"> dieser Verordnung bestimmten Form vornehmen, wenn das gewählte Recht dies vorsieht;</w:t>
      </w:r>
    </w:p>
    <w:p>
      <w:pPr>
        <w:tabs>
          <w:tab w:pos="567" w:val="left"/>
        </w:tabs>
        <w:ind w:left="567" w:hanging="567"/>
      </w:pPr>
      <w:r>
        <w:t>4.</w:t>
      </w:r>
      <w:r>
        <w:tab/>
      </w:r>
      <w:r>
        <w:t>im Fall des Artikels 8 Buchstabe d der Verordnung (EU) Nr. 1259/2010 ist statt des Rechts des angerufenen Gerichts das Recht desjenigen Staates anzuwenden, mit dem die Ehegatten im Zeitpunkt der Einleitung des Scheidungsverfahrens auf andere Weise gemeinsam am engsten verbunden sind, und</w:t>
      </w:r>
    </w:p>
    <w:p>
      <w:pPr>
        <w:tabs>
          <w:tab w:pos="567" w:val="left"/>
        </w:tabs>
        <w:ind w:left="567" w:hanging="567"/>
      </w:pPr>
      <w:r>
        <w:t>5.</w:t>
      </w:r>
      <w:r>
        <w:tab/>
      </w:r>
      <w:r>
        <w:t>statt der Artikel 10 und 12 der Verordnung (EU) Nr. 1259/2010 findet Artikel 6 Anwendung.</w:t>
      </w:r>
    </w:p>
    <w:p>
      <w:r>
        <w:t>(3) Eine Ehe kann im Inland nur durch ein Gericht geschieden werden.</w:t>
      </w:r>
    </w:p>
    <w:p>
      <w:r>
        <w:t xml:space="preserve">(4) </w:t>
      </w:r>
      <w:r>
        <w:rPr>
          <w:rStyle w:val="Satznummer"/>
        </w:rPr>
        <w:t>1</w:t>
      </w:r>
      <w:r>
        <w:t xml:space="preserve">Der Versorgungsausgleich unterliegt dem nach der Verordnung (EU) Nr. 1259/2010 auf die Scheidung anzuwendenden Recht; er ist nur durchzuführen, wenn danach deutsches Recht anzuwenden ist und ihn das Recht eines der Staaten kennt, denen die Ehegatten im Zeitpunkt des Eintritts der Rechtshängigkeit des Scheidungsantrags angehören. </w:t>
      </w:r>
      <w:r>
        <w:rPr>
          <w:rStyle w:val="Satznummer"/>
        </w:rPr>
        <w:t>2</w:t>
      </w:r>
      <w:r>
        <w:t>Im Übrigen ist der Versorgungsausgleich auf Antrag eines Ehegatten nach deutschem Recht durchzuführen, wenn einer der Ehegatten in der Ehezeit ein Anrecht bei einem inländischen Versorgungsträger erworben hat, soweit die Durchführung des Versorgungsausgleichs insbesondere im Hinblick auf die beiderseitigen wirtschaftlichen Verhältnisse während der gesamten Ehezeit der Billigkeit nicht widerspricht.</w:t>
      </w:r>
    </w:p>
    <w:p>
      <w:pPr>
        <w:pStyle w:val="Heading4"/>
      </w:pPr>
      <w:bookmarkStart w:id="25" w:name="b24"/>
      <w:r>
        <w:t>Art 17a Ehewohnung</w:t>
      </w:r>
      <w:r>
        <w:t xml:space="preserve"> </w:t>
      </w:r>
      <w:r>
        <w:rPr>
          <w:rStyle w:val="Suchmarke"/>
        </w:rPr>
        <w:t>#17a.#</w:t>
      </w:r>
      <w:bookmarkEnd w:id="25"/>
    </w:p>
    <w:p>
      <w:r>
        <w:t>Betretungs-, Näherungs- und Kontaktverbote, die mit einer im Inland belegenen Ehewohnung zusammenhängen, unterliegen den deutschen Sachvorschriften.</w:t>
      </w:r>
    </w:p>
    <w:p>
      <w:pPr>
        <w:pStyle w:val="Heading4"/>
      </w:pPr>
      <w:bookmarkStart w:id="26" w:name="b25"/>
      <w:r>
        <w:t>Art 17b Eingetragene Lebenspartnerschaft und gleichgeschlechtliche Ehe</w:t>
      </w:r>
      <w:r>
        <w:t xml:space="preserve"> </w:t>
      </w:r>
      <w:r>
        <w:rPr>
          <w:rStyle w:val="Suchmarke"/>
        </w:rPr>
        <w:t>#17b.#</w:t>
      </w:r>
      <w:bookmarkEnd w:id="26"/>
    </w:p>
    <w:p>
      <w:r>
        <w:t xml:space="preserve">(1) </w:t>
      </w:r>
      <w:r>
        <w:rPr>
          <w:rStyle w:val="Satznummer"/>
        </w:rPr>
        <w:t>1</w:t>
      </w:r>
      <w:r>
        <w:t xml:space="preserve">Die Begründung, die Auflösung und die nicht in den Anwendungsbereich der Verordnung (EU) 2016/1104 fallenden allgemeinen Wirkungen einer eingetragenen Lebenspartnerschaft unterliegen den Sachvorschriften des Register führenden Staates. </w:t>
      </w:r>
      <w:r>
        <w:rPr>
          <w:rStyle w:val="Satznummer"/>
        </w:rPr>
        <w:t>2</w:t>
      </w:r>
      <w:r>
        <w:t xml:space="preserve">Der Versorgungsausgleich unterliegt dem nach Satz 1 anzuwendenden Recht; er ist nur durchzuführen, wenn danach deutsches Recht anzuwenden ist und das Recht eines der Staaten, denen die Lebenspartner im Zeitpunkt der Rechtshängigkeit des Antrags auf Aufhebung der Lebenspartnerschaft angehören, einen Versorgungsausgleich zwischen Lebenspartnern kennt. </w:t>
      </w:r>
      <w:r>
        <w:rPr>
          <w:rStyle w:val="Satznummer"/>
        </w:rPr>
        <w:t>3</w:t>
      </w:r>
      <w:r>
        <w:t>Im Übrigen ist der Versorgungsausgleich auf Antrag eines Lebenspartners nach deutschem Recht durchzuführen, wenn einer der Lebenspartner während der Zeit der Lebenspartnerschaft ein Anrecht bei einem inländischen Versorgungsträger erworben hat, soweit die Durchführung des Versorgungsausgleichs insbesondere im Hinblick auf die beiderseitigen wirtschaftlichen Verhältnisse während der gesamten Zeit der Lebenspartnerschaft der Billigkeit nicht widerspricht.</w:t>
      </w:r>
    </w:p>
    <w:p>
      <w:r>
        <w:t xml:space="preserve">(2) </w:t>
      </w:r>
      <w:hyperlink w:anchor="b15" w:history="1">
        <w:r>
          <w:rPr>
            <w:color w:val="0A3A8C"/>
            <w:u w:val="single"/>
          </w:rPr>
          <w:t xml:space="preserve">Artikel 10</w:t>
        </w:r>
      </w:hyperlink>
      <w:r>
        <w:t xml:space="preserve"> Absatz 2 sowie die </w:t>
      </w:r>
      <w:hyperlink w:anchor="b21" w:history="1">
        <w:r>
          <w:rPr>
            <w:color w:val="0A3A8C"/>
            <w:u w:val="single"/>
          </w:rPr>
          <w:t xml:space="preserve">Artikel 15</w:t>
        </w:r>
      </w:hyperlink>
      <w:r>
        <w:t xml:space="preserve"> und </w:t>
      </w:r>
      <w:hyperlink w:anchor="b24" w:history="1">
        <w:r>
          <w:rPr>
            <w:color w:val="0A3A8C"/>
            <w:u w:val="single"/>
          </w:rPr>
          <w:t xml:space="preserve">17a</w:t>
        </w:r>
      </w:hyperlink>
      <w:r>
        <w:t xml:space="preserve"> gelten entsprechend.</w:t>
      </w:r>
    </w:p>
    <w:p>
      <w:r>
        <w:t>(3) Bestehen zwischen denselben Personen eingetragene Lebenspartnerschaften in verschiedenen Staaten, so ist die zuletzt begründete Lebenspartnerschaft vom Zeitpunkt ihrer Begründung an für die in Absatz 1 umschriebenen Wirkungen und Folgen maßgebend.</w:t>
      </w:r>
    </w:p>
    <w:p>
      <w:r>
        <w:t xml:space="preserve">(4) </w:t>
      </w:r>
      <w:r>
        <w:rPr>
          <w:rStyle w:val="Satznummer"/>
        </w:rPr>
        <w:t>1</w:t>
      </w:r>
      <w:r>
        <w:t xml:space="preserve">Gehören die Ehegatten demselben Geschlecht an oder gehört zumindest ein Ehegatte weder dem weiblichen noch dem männlichen Geschlecht an, so gelten die Absätze 1 bis 3 mit der Maßgabe entsprechend, dass sich das auf die Ehescheidung und auf die Trennung ohne Auflösung des Ehebandes anzuwendende Recht nach der Verordnung (EU) Nr. 1259/2010 richtet. </w:t>
      </w:r>
      <w:r>
        <w:rPr>
          <w:rStyle w:val="Satznummer"/>
        </w:rPr>
        <w:t>2</w:t>
      </w:r>
      <w:r>
        <w:t>Die güterrechtlichen Wirkungen unterliegen dem nach der Verordnung (EU) 2016/1103 anzuwendenden Recht.</w:t>
      </w:r>
    </w:p>
    <w:p>
      <w:r>
        <w:t xml:space="preserve">(5) </w:t>
      </w:r>
      <w:r>
        <w:rPr>
          <w:rStyle w:val="Satznummer"/>
        </w:rPr>
        <w:t>1</w:t>
      </w:r>
      <w:r>
        <w:t xml:space="preserve">Für die in Absatz 4 genannten Ehen gelten </w:t>
      </w:r>
      <w:hyperlink w:anchor="b19" w:history="1">
        <w:r>
          <w:rPr>
            <w:color w:val="0A3A8C"/>
            <w:u w:val="single"/>
          </w:rPr>
          <w:t xml:space="preserve">Artikel 13</w:t>
        </w:r>
      </w:hyperlink>
      <w:r>
        <w:t xml:space="preserve"> Absatz 3, </w:t>
      </w:r>
      <w:hyperlink w:anchor="b23" w:history="1">
        <w:r>
          <w:rPr>
            <w:color w:val="0A3A8C"/>
            <w:u w:val="single"/>
          </w:rPr>
          <w:t xml:space="preserve">Artikel 17</w:t>
        </w:r>
      </w:hyperlink>
      <w:r>
        <w:t xml:space="preserve"> Absatz 1 bis 3, </w:t>
      </w:r>
      <w:hyperlink w:anchor="b27" w:history="1">
        <w:r>
          <w:rPr>
            <w:color w:val="0A3A8C"/>
            <w:u w:val="single"/>
          </w:rPr>
          <w:t xml:space="preserve">Artikel 19</w:t>
        </w:r>
      </w:hyperlink>
      <w:r>
        <w:t xml:space="preserve"> Absatz 1 Satz 3, </w:t>
      </w:r>
      <w:hyperlink w:anchor="b30" w:history="1">
        <w:r>
          <w:rPr>
            <w:color w:val="0A3A8C"/>
            <w:u w:val="single"/>
          </w:rPr>
          <w:t xml:space="preserve">Artikel 22</w:t>
        </w:r>
      </w:hyperlink>
      <w:r>
        <w:t xml:space="preserve"> Absatz 3 Satz 1 sowie </w:t>
      </w:r>
      <w:hyperlink w:anchor="b57" w:history="1">
        <w:r>
          <w:rPr>
            <w:color w:val="0A3A8C"/>
            <w:u w:val="single"/>
          </w:rPr>
          <w:t xml:space="preserve">Artikel 46e</w:t>
        </w:r>
      </w:hyperlink>
      <w:r>
        <w:t xml:space="preserve"> entsprechend. </w:t>
      </w:r>
      <w:r>
        <w:rPr>
          <w:rStyle w:val="Satznummer"/>
        </w:rPr>
        <w:t>2</w:t>
      </w:r>
      <w:r>
        <w:t xml:space="preserve">Die Ehegatten können für die allgemeinen Ehewirkungen eine Rechtswahl gemäß </w:t>
      </w:r>
      <w:hyperlink w:anchor="b20" w:history="1">
        <w:r>
          <w:rPr>
            <w:color w:val="0A3A8C"/>
            <w:u w:val="single"/>
          </w:rPr>
          <w:t xml:space="preserve">Artikel 14</w:t>
        </w:r>
      </w:hyperlink>
      <w:r>
        <w:t xml:space="preserve"> treffen.</w:t>
      </w:r>
    </w:p>
    <w:p>
      <w:pPr>
        <w:pStyle w:val="Heading4"/>
      </w:pPr>
      <w:bookmarkStart w:id="27" w:name="b26"/>
      <w:r>
        <w:t>Art 18 (weggefallen)</w:t>
      </w:r>
      <w:r>
        <w:t xml:space="preserve"> </w:t>
      </w:r>
      <w:r>
        <w:rPr>
          <w:rStyle w:val="Suchmarke"/>
        </w:rPr>
        <w:t>#18.#</w:t>
      </w:r>
      <w:bookmarkEnd w:id="27"/>
    </w:p>
    <w:p>
      <w:pPr>
        <w:pStyle w:val="Heading4"/>
      </w:pPr>
      <w:bookmarkStart w:id="28" w:name="b27"/>
      <w:r>
        <w:t>Art 19 Abstammung</w:t>
      </w:r>
      <w:r>
        <w:t xml:space="preserve"> </w:t>
      </w:r>
      <w:r>
        <w:rPr>
          <w:rStyle w:val="Suchmarke"/>
        </w:rPr>
        <w:t>#19.#</w:t>
      </w:r>
      <w:bookmarkEnd w:id="28"/>
    </w:p>
    <w:p>
      <w:r>
        <w:t xml:space="preserve">(1) </w:t>
      </w:r>
      <w:r>
        <w:rPr>
          <w:rStyle w:val="Satznummer"/>
        </w:rPr>
        <w:t>1</w:t>
      </w:r>
      <w:r>
        <w:t xml:space="preserve">Die Abstammung eines Kindes unterliegt dem Recht des Staates, in dem das Kind seinen gewöhnlichen Aufenthalt hat. </w:t>
      </w:r>
      <w:r>
        <w:rPr>
          <w:rStyle w:val="Satznummer"/>
        </w:rPr>
        <w:t>2</w:t>
      </w:r>
      <w:r>
        <w:t xml:space="preserve">Sie kann im Verhältnis zu jedem Elternteil auch nach dem Recht des Staates bestimmt werden, dem dieser Elternteil angehört. </w:t>
      </w:r>
      <w:r>
        <w:rPr>
          <w:rStyle w:val="Satznummer"/>
        </w:rPr>
        <w:t>3</w:t>
      </w:r>
      <w:r>
        <w:t xml:space="preserve">Ist die Mutter verheiratet, so kann die Abstammung ferner nach dem Recht bestimmt werden, dem die allgemeinen Wirkungen ihrer Ehe bei der Geburt nach </w:t>
      </w:r>
      <w:hyperlink w:anchor="b20" w:history="1">
        <w:r>
          <w:rPr>
            <w:color w:val="0A3A8C"/>
            <w:u w:val="single"/>
          </w:rPr>
          <w:t xml:space="preserve">Artikel 14</w:t>
        </w:r>
      </w:hyperlink>
      <w:r>
        <w:t xml:space="preserve"> Absatz 2 unterliegen; ist die Ehe vorher durch Tod aufgelöst worden, so ist der Zeitpunkt der Auflösung maßgebend.</w:t>
      </w:r>
    </w:p>
    <w:p>
      <w:r>
        <w:t>(2) Sind die Eltern nicht miteinander verheiratet, so unterliegen Verpflichtungen des Vaters gegenüber der Mutter auf Grund der Schwangerschaft dem Recht des Staates, in dem die Mutter ihren gewöhnlichen Aufenthalt hat.</w:t>
      </w:r>
    </w:p>
    <w:p>
      <w:pPr>
        <w:pStyle w:val="Heading4"/>
      </w:pPr>
      <w:bookmarkStart w:id="29" w:name="b28"/>
      <w:r>
        <w:t>Art 20 Anfechtung der Abstammung</w:t>
      </w:r>
      <w:r>
        <w:t xml:space="preserve"> </w:t>
      </w:r>
      <w:r>
        <w:rPr>
          <w:rStyle w:val="Suchmarke"/>
        </w:rPr>
        <w:t>#20.#</w:t>
      </w:r>
      <w:bookmarkEnd w:id="29"/>
    </w:p>
    <w:p>
      <w:r>
        <w:rPr>
          <w:rStyle w:val="Satznummer"/>
        </w:rPr>
        <w:t>1</w:t>
      </w:r>
      <w:r>
        <w:t xml:space="preserve">Die Abstammung kann nach jedem Recht angefochten werden, aus dem sich ihre Voraussetzungen ergeben. </w:t>
      </w:r>
      <w:r>
        <w:rPr>
          <w:rStyle w:val="Satznummer"/>
        </w:rPr>
        <w:t>2</w:t>
      </w:r>
      <w:r>
        <w:t>Das Kind kann die Abstammung in jedem Fall nach dem Recht des Staates anfechten, in dem es seinen gewöhnlichen Aufenthalt hat.</w:t>
      </w:r>
    </w:p>
    <w:p>
      <w:pPr>
        <w:pStyle w:val="Heading4"/>
      </w:pPr>
      <w:bookmarkStart w:id="30" w:name="b29"/>
      <w:r>
        <w:t>Art 21 Wirkungen des Eltern-Kind-Verhältnisses</w:t>
      </w:r>
      <w:r>
        <w:t xml:space="preserve"> </w:t>
      </w:r>
      <w:r>
        <w:rPr>
          <w:rStyle w:val="Suchmarke"/>
        </w:rPr>
        <w:t>#21.#</w:t>
      </w:r>
      <w:bookmarkEnd w:id="30"/>
    </w:p>
    <w:p>
      <w:r>
        <w:t>Das Rechtsverhältnis zwischen einem Kind und seinen Eltern unterliegt dem Recht des Staates, in dem das Kind seinen gewöhnlichen Aufenthalt hat.</w:t>
      </w:r>
    </w:p>
    <w:p>
      <w:pPr>
        <w:pStyle w:val="Heading4"/>
      </w:pPr>
      <w:bookmarkStart w:id="31" w:name="b30"/>
      <w:r>
        <w:t>Art 22 Annahme als Kind</w:t>
      </w:r>
      <w:r>
        <w:t xml:space="preserve"> </w:t>
      </w:r>
      <w:r>
        <w:rPr>
          <w:rStyle w:val="Suchmarke"/>
        </w:rPr>
        <w:t>#22.#</w:t>
      </w:r>
      <w:bookmarkEnd w:id="31"/>
    </w:p>
    <w:p>
      <w:r>
        <w:t xml:space="preserve">(1) </w:t>
      </w:r>
      <w:r>
        <w:rPr>
          <w:rStyle w:val="Satznummer"/>
        </w:rPr>
        <w:t>1</w:t>
      </w:r>
      <w:r>
        <w:t xml:space="preserve">Die Annahme als Kind im Inland unterliegt dem deutschen Recht. </w:t>
      </w:r>
      <w:r>
        <w:rPr>
          <w:rStyle w:val="Satznummer"/>
        </w:rPr>
        <w:t>2</w:t>
      </w:r>
      <w:r>
        <w:t>Im Übrigen unterliegt sie dem Recht des Staates, in dem der Anzunehmende zum Zeitpunkt der Annahme seinen gewöhnlichen Aufenthalt hat.</w:t>
      </w:r>
    </w:p>
    <w:p>
      <w:r>
        <w:t>(2) Die Folgen der Annahme in Bezug auf das Verwandtschaftsverhältnis zwischen dem Kind und dem Annehmenden sowie den Personen, zu denen das Kind in einem familienrechtlichen Verhältnis steht, unterliegen dem nach Absatz 1 anzuwendenden Recht.</w:t>
      </w:r>
    </w:p>
    <w:p>
      <w:r>
        <w:t xml:space="preserve">(3) </w:t>
      </w:r>
      <w:r>
        <w:rPr>
          <w:rStyle w:val="Satznummer"/>
        </w:rPr>
        <w:t>1</w:t>
      </w:r>
      <w:r>
        <w:t xml:space="preserve">In Ansehung der Rechtsnachfolge von Todes wegen nach dem Annehmenden, dessen Ehegatten, Lebenspartner oder Verwandten steht der Angenommene ungeachtet des nach den Absätzen 1 und 2 anzuwendenden Rechts einem nach den deutschen Sachvorschriften angenommenen Kind gleich, wenn der Erblasser dies in der Form einer Verfügung von Todes wegen angeordnet hat und die Rechtsnachfolge deutschem Recht unterliegt. </w:t>
      </w:r>
      <w:r>
        <w:rPr>
          <w:rStyle w:val="Satznummer"/>
        </w:rPr>
        <w:t>2</w:t>
      </w:r>
      <w:r>
        <w:t xml:space="preserve">Satz 1 gilt entsprechend, wenn die Annahme auf einer ausländischen Entscheidung beruht. </w:t>
      </w:r>
      <w:r>
        <w:rPr>
          <w:rStyle w:val="Satznummer"/>
        </w:rPr>
        <w:t>3</w:t>
      </w:r>
      <w:r>
        <w:t>Die Sätze 1 und 2 finden keine Anwendung, wenn der Angenommene im Zeitpunkt der Annahme das achtzehnte Lebensjahr vollendet hatte.</w:t>
      </w:r>
    </w:p>
    <w:p>
      <w:pPr>
        <w:pStyle w:val="Heading4"/>
      </w:pPr>
      <w:bookmarkStart w:id="32" w:name="b31"/>
      <w:r>
        <w:t>Art 23 Zustimmung</w:t>
      </w:r>
      <w:r>
        <w:t xml:space="preserve"> </w:t>
      </w:r>
      <w:r>
        <w:rPr>
          <w:rStyle w:val="Suchmarke"/>
        </w:rPr>
        <w:t>#23.#</w:t>
      </w:r>
      <w:bookmarkEnd w:id="32"/>
    </w:p>
    <w:p>
      <w:r>
        <w:rPr>
          <w:rStyle w:val="Satznummer"/>
        </w:rPr>
        <w:t>1</w:t>
      </w:r>
      <w:r>
        <w:t xml:space="preserve">Die Erforderlichkeit und die Erteilung der Zustimmung des Kindes und einer Person, zu der das Kind in einem familienrechtlichen Verhältnis steht, zu einer Abstammungserklärung unterliegen zusätzlich dem Recht des Staates, dem das Kind angehört. </w:t>
      </w:r>
      <w:r>
        <w:rPr>
          <w:rStyle w:val="Satznummer"/>
        </w:rPr>
        <w:t>2</w:t>
      </w:r>
      <w:r>
        <w:t>Soweit es zum Wohl des Kindes erforderlich ist, ist statt dessen das deutsche Recht anzuwenden.</w:t>
      </w:r>
    </w:p>
    <w:p>
      <w:pPr>
        <w:pStyle w:val="Heading4"/>
      </w:pPr>
      <w:bookmarkStart w:id="33" w:name="b32"/>
      <w:r>
        <w:t>Art 24 Vormundschaft, Betreuung und Pflegschaft</w:t>
      </w:r>
      <w:r>
        <w:t xml:space="preserve"> </w:t>
      </w:r>
      <w:r>
        <w:rPr>
          <w:rStyle w:val="Suchmarke"/>
        </w:rPr>
        <w:t>#24.#</w:t>
      </w:r>
      <w:bookmarkEnd w:id="33"/>
    </w:p>
    <w:p>
      <w:r>
        <w:t>(1) Die Entstehung, die Ausübung, die Änderung und das Ende eines Fürsorgeverhältnisses (Vormundschaft, Betreuung, Pflegschaft), das kraft Gesetzes oder durch Rechtsgeschäft begründet wird, unterliegen dem Recht des Staates, in dem der Fürsorgebedürftige seinen gewöhnlichen Aufenthalt hat.</w:t>
      </w:r>
    </w:p>
    <w:p>
      <w:r>
        <w:t xml:space="preserve">(2) </w:t>
      </w:r>
      <w:r>
        <w:rPr>
          <w:rStyle w:val="Satznummer"/>
        </w:rPr>
        <w:t>1</w:t>
      </w:r>
      <w:r>
        <w:t xml:space="preserve">Maßnahmen, die im Inland in Bezug auf ein Fürsorgeverhältnis angeordnet werden, und die Ausübung dieses Fürsorgeverhältnisses unterliegen deutschem Recht. </w:t>
      </w:r>
      <w:r>
        <w:rPr>
          <w:rStyle w:val="Satznummer"/>
        </w:rPr>
        <w:t>2</w:t>
      </w:r>
      <w:r>
        <w:t>Besteht mit dem Recht eines anderen Staates eine wesentlich engere Verbindung als mit dem deutschen Recht, so kann jenes Recht angewendet werden.</w:t>
      </w:r>
    </w:p>
    <w:p>
      <w:r>
        <w:t>(3) Die Ausübung eines Fürsorgeverhältnisses aufgrund einer anzuerkennenden ausländischen Entscheidung richtet sich im Inland nach deutschem Recht.</w:t>
      </w:r>
    </w:p>
    <w:p>
      <w:pPr>
        <w:pStyle w:val="Heading3"/>
      </w:pPr>
      <w:bookmarkStart w:id="34" w:name="b33"/>
      <w:r>
        <w:t>Vierter Abschnitt Erbrecht</w:t>
      </w:r>
      <w:bookmarkEnd w:id="34"/>
    </w:p>
    <w:p>
      <w:pPr>
        <w:pStyle w:val="Heading4"/>
      </w:pPr>
      <w:bookmarkStart w:id="35" w:name="b34"/>
      <w:r>
        <w:t>Art 25 Rechtsnachfolge von Todes wegen</w:t>
      </w:r>
      <w:r>
        <w:t xml:space="preserve"> </w:t>
      </w:r>
      <w:r>
        <w:rPr>
          <w:rStyle w:val="Suchmarke"/>
        </w:rPr>
        <w:t>#25.#</w:t>
      </w:r>
      <w:bookmarkEnd w:id="35"/>
    </w:p>
    <w:p>
      <w:r>
        <w:t>Soweit die Rechtsnachfolge von Todes wegen nicht in den Anwendungsbereich der Verordnung (EU) Nr. 650/2012 fällt, gelten die Vorschriften des Kapitels III dieser Verordnung entsprechend.</w:t>
      </w:r>
    </w:p>
    <w:p>
      <w:pPr>
        <w:pStyle w:val="Heading4"/>
      </w:pPr>
      <w:bookmarkStart w:id="36" w:name="b35"/>
      <w:r>
        <w:t>Art 26 Form von Verfügungen von Todes wegen</w:t>
      </w:r>
      <w:r>
        <w:t xml:space="preserve"> </w:t>
      </w:r>
      <w:r>
        <w:rPr>
          <w:rStyle w:val="Suchmarke"/>
        </w:rPr>
        <w:t>#26.#</w:t>
      </w:r>
      <w:bookmarkEnd w:id="36"/>
    </w:p>
    <w:p>
      <w:r>
        <w:t xml:space="preserve">(1) </w:t>
      </w:r>
      <w:r>
        <w:rPr>
          <w:rStyle w:val="Satznummer"/>
        </w:rPr>
        <w:t>1</w:t>
      </w:r>
      <w:r>
        <w:t xml:space="preserve">In Ausführung des Artikels 3 des Haager Übereinkommens vom 5. Oktober 1961 über das auf die Form letztwilliger Verfügungen anzuwendende Recht (BGBl. 1965 II S. 1144, 1145) ist eine letztwillige Verfügung, auch wenn sie von mehreren Personen in derselben Urkunde errichtet wird oder durch sie eine frühere letztwillige Verfügung widerrufen wird, hinsichtlich ihrer Form gültig, wenn sie den Formerfordernissen des Rechts entspricht, das auf die Rechtsnachfolge von Todes wegen anzuwenden ist oder im Zeitpunkt der Verfügung anzuwenden wäre. </w:t>
      </w:r>
      <w:r>
        <w:rPr>
          <w:rStyle w:val="Satznummer"/>
        </w:rPr>
        <w:t>2</w:t>
      </w:r>
      <w:r>
        <w:t>Die weiteren Vorschriften des Haager Übereinkommens bleiben unberührt.</w:t>
      </w:r>
    </w:p>
    <w:p>
      <w:r>
        <w:t>(2) Für die Form anderer Verfügungen von Todes wegen ist Artikel 27 der Verordnung (EU) Nr. 650/2012 maßgeblich.</w:t>
      </w:r>
    </w:p>
    <w:p>
      <w:pPr>
        <w:pStyle w:val="Heading3"/>
      </w:pPr>
      <w:bookmarkStart w:id="37" w:name="b36"/>
      <w:r>
        <w:t>Fünfter Abschnitt Außervertragliche Schuldverhältnisse</w:t>
      </w:r>
      <w:bookmarkEnd w:id="37"/>
    </w:p>
    <w:p>
      <w:pPr>
        <w:pStyle w:val="Heading4"/>
      </w:pPr>
      <w:bookmarkStart w:id="38" w:name="b37"/>
      <w:r>
        <w:t>Art 27 bis 37 (weggefallen)</w:t>
      </w:r>
      <w:bookmarkEnd w:id="38"/>
    </w:p>
    <w:p>
      <w:pPr>
        <w:pStyle w:val="Heading4"/>
      </w:pPr>
      <w:bookmarkStart w:id="39" w:name="b38"/>
      <w:r>
        <w:t>Art 38 Ungerechtfertigte Bereicherung</w:t>
      </w:r>
      <w:r>
        <w:t xml:space="preserve"> </w:t>
      </w:r>
      <w:r>
        <w:rPr>
          <w:rStyle w:val="Suchmarke"/>
        </w:rPr>
        <w:t>#38.#</w:t>
      </w:r>
      <w:bookmarkEnd w:id="39"/>
    </w:p>
    <w:p>
      <w:r>
        <w:t>(1) Bereicherungsansprüche wegen erbrachter Leistung unterliegen dem Recht, das auf das Rechtsverhältnis anzuwenden ist, auf das die Leistung bezogen ist.</w:t>
      </w:r>
    </w:p>
    <w:p>
      <w:r>
        <w:t>(2) Ansprüche wegen Bereicherung durch Eingriff in ein geschütztes Interesse unterliegen dem Recht des Staates, in dem der Eingriff geschehen ist.</w:t>
      </w:r>
    </w:p>
    <w:p>
      <w:r>
        <w:t>(3) In sonstigen Fällen unterliegen Ansprüche aus ungerechtfertigter Bereicherung dem Recht des Staates, in dem die Bereicherung eingetreten ist.</w:t>
      </w:r>
    </w:p>
    <w:p>
      <w:pPr>
        <w:pStyle w:val="Heading4"/>
      </w:pPr>
      <w:bookmarkStart w:id="40" w:name="b39"/>
      <w:r>
        <w:t>Art 39 Geschäftsführung ohne Auftrag</w:t>
      </w:r>
      <w:r>
        <w:t xml:space="preserve"> </w:t>
      </w:r>
      <w:r>
        <w:rPr>
          <w:rStyle w:val="Suchmarke"/>
        </w:rPr>
        <w:t>#39.#</w:t>
      </w:r>
      <w:bookmarkEnd w:id="40"/>
    </w:p>
    <w:p>
      <w:r>
        <w:t>(1) Gesetzliche Ansprüche aus der Besorgung eines fremden Geschäfts unterliegen dem Recht des Staates, in dem das Geschäft vorgenommen worden ist.</w:t>
      </w:r>
    </w:p>
    <w:p>
      <w:r>
        <w:t>(2) Ansprüche aus der Tilgung einer fremden Verbindlichkeit unterliegen dem Recht, das auf die Verbindlichkeit anzuwenden ist.</w:t>
      </w:r>
    </w:p>
    <w:p>
      <w:pPr>
        <w:pStyle w:val="Heading4"/>
      </w:pPr>
      <w:bookmarkStart w:id="41" w:name="b40"/>
      <w:r>
        <w:t>Art 40 Unerlaubte Handlung</w:t>
      </w:r>
      <w:r>
        <w:t xml:space="preserve"> </w:t>
      </w:r>
      <w:r>
        <w:rPr>
          <w:rStyle w:val="Suchmarke"/>
        </w:rPr>
        <w:t>#40.#</w:t>
      </w:r>
      <w:bookmarkEnd w:id="41"/>
    </w:p>
    <w:p>
      <w:r>
        <w:t xml:space="preserve">(1) </w:t>
      </w:r>
      <w:r>
        <w:rPr>
          <w:rStyle w:val="Satznummer"/>
        </w:rPr>
        <w:t>1</w:t>
      </w:r>
      <w:r>
        <w:t xml:space="preserve">Ansprüche aus unerlaubter Handlung unterliegen dem Recht des Staates, in dem der Ersatzpflichtige gehandelt hat. </w:t>
      </w:r>
      <w:r>
        <w:rPr>
          <w:rStyle w:val="Satznummer"/>
        </w:rPr>
        <w:t>2</w:t>
      </w:r>
      <w:r>
        <w:t xml:space="preserve">Der Verletzte kann verlangen, daß anstelle dieses Rechts das Recht des Staates angewandt wird, in dem der Erfolg eingetreten ist. </w:t>
      </w:r>
      <w:r>
        <w:rPr>
          <w:rStyle w:val="Satznummer"/>
        </w:rPr>
        <w:t>3</w:t>
      </w:r>
      <w:r>
        <w:t>Das Bestimmungsrecht kann nur im ersten Rechtszug bis zum Ende des frühen ersten Termins oder dem Ende des schriftlichen Vorverfahrens ausgeübt werden.</w:t>
      </w:r>
    </w:p>
    <w:p>
      <w:r>
        <w:t xml:space="preserve">(2) </w:t>
      </w:r>
      <w:r>
        <w:rPr>
          <w:rStyle w:val="Satznummer"/>
        </w:rPr>
        <w:t>1</w:t>
      </w:r>
      <w:r>
        <w:t xml:space="preserve">Hatten der Ersatzpflichtige und der Verletzte zur Zeit des Haftungsereignisses ihren gewöhnlichen Aufenthalt in demselben Staat, so ist das Recht dieses Staates anzuwenden. </w:t>
      </w:r>
      <w:r>
        <w:rPr>
          <w:rStyle w:val="Satznummer"/>
        </w:rPr>
        <w:t>2</w:t>
      </w:r>
      <w:r>
        <w:t>Handelt es sich um Gesellschaften, Vereine oder juristische Personen, so steht dem gewöhnlichen Aufenthalt der Ort gleich, an dem sich die Hauptverwaltung oder, wenn eine Niederlassung beteiligt ist, an dem sich diese befindet.</w:t>
      </w:r>
    </w:p>
    <w:p>
      <w:r>
        <w:t>(3) Ansprüche, die dem Recht eines anderen Staates unterliegen, können nicht geltend gemacht werden, soweit sie</w:t>
      </w:r>
    </w:p>
    <w:p>
      <w:pPr>
        <w:tabs>
          <w:tab w:pos="567" w:val="left"/>
        </w:tabs>
        <w:ind w:left="567" w:hanging="567"/>
      </w:pPr>
      <w:r>
        <w:t>1.</w:t>
      </w:r>
      <w:r>
        <w:tab/>
      </w:r>
      <w:r>
        <w:t>wesentlich weiter gehen als zur angemessenen Entschädigung des Verletzten erforderlich,</w:t>
      </w:r>
    </w:p>
    <w:p>
      <w:pPr>
        <w:tabs>
          <w:tab w:pos="567" w:val="left"/>
        </w:tabs>
        <w:ind w:left="567" w:hanging="567"/>
      </w:pPr>
      <w:r>
        <w:t>2.</w:t>
      </w:r>
      <w:r>
        <w:tab/>
      </w:r>
      <w:r>
        <w:t>offensichtlich anderen Zwecken als einer angemessenen Entschädigung des Verletzten dienen oder</w:t>
      </w:r>
    </w:p>
    <w:p>
      <w:pPr>
        <w:tabs>
          <w:tab w:pos="567" w:val="left"/>
        </w:tabs>
        <w:ind w:left="567" w:hanging="567"/>
      </w:pPr>
      <w:r>
        <w:t>3.</w:t>
      </w:r>
      <w:r>
        <w:tab/>
      </w:r>
      <w:r>
        <w:t>haftungsrechtlichen Regelungen eines für die Bundesrepublik Deutschland verbindlichen Übereinkommens widersprechen.</w:t>
      </w:r>
    </w:p>
    <w:p>
      <w:r>
        <w:t>(4) Der Verletzte kann seinen Anspruch unmittelbar gegen einen Versicherer des Ersatzpflichtigen geltend machen, wenn das auf die unerlaubte Handlung anzuwendende Recht oder das Recht, dem der Versicherungsvertrag unterliegt, dies vorsieht.</w:t>
      </w:r>
    </w:p>
    <w:p>
      <w:pPr>
        <w:pStyle w:val="Heading4"/>
      </w:pPr>
      <w:bookmarkStart w:id="42" w:name="b41"/>
      <w:r>
        <w:t>Art 41 Wesentlich engere Verbindung</w:t>
      </w:r>
      <w:r>
        <w:t xml:space="preserve"> </w:t>
      </w:r>
      <w:r>
        <w:rPr>
          <w:rStyle w:val="Suchmarke"/>
        </w:rPr>
        <w:t>#41.#</w:t>
      </w:r>
      <w:bookmarkEnd w:id="42"/>
    </w:p>
    <w:p>
      <w:r>
        <w:t xml:space="preserve">(1) Besteht mit dem Recht eines Staates eine wesentlich engere Verbindung als mit dem Recht, das nach den </w:t>
      </w:r>
      <w:hyperlink w:anchor="b38" w:history="1">
        <w:r>
          <w:rPr>
            <w:color w:val="0A3A8C"/>
            <w:u w:val="single"/>
          </w:rPr>
          <w:t xml:space="preserve">Artikeln 38</w:t>
        </w:r>
      </w:hyperlink>
      <w:r>
        <w:t xml:space="preserve"> bis </w:t>
      </w:r>
      <w:hyperlink w:anchor="b40" w:history="1">
        <w:r>
          <w:rPr>
            <w:color w:val="0A3A8C"/>
            <w:u w:val="single"/>
          </w:rPr>
          <w:t xml:space="preserve">40</w:t>
        </w:r>
      </w:hyperlink>
      <w:r>
        <w:t xml:space="preserve"> Abs. 2 maßgebend wäre, so ist jenes Recht anzuwenden.</w:t>
      </w:r>
    </w:p>
    <w:p>
      <w:r>
        <w:t>(2) Eine wesentlich engere Verbindung kann sich insbesondere ergeben</w:t>
      </w:r>
    </w:p>
    <w:p>
      <w:pPr>
        <w:tabs>
          <w:tab w:pos="567" w:val="left"/>
        </w:tabs>
        <w:ind w:left="567" w:hanging="567"/>
      </w:pPr>
      <w:r>
        <w:t>1.</w:t>
      </w:r>
      <w:r>
        <w:tab/>
      </w:r>
      <w:r>
        <w:t>aus einer besonderen rechtlichen oder tatsächlichen Beziehung zwischen den Beteiligten im Zusammenhang mit dem Schuldverhältnis oder</w:t>
      </w:r>
    </w:p>
    <w:p>
      <w:pPr>
        <w:tabs>
          <w:tab w:pos="567" w:val="left"/>
        </w:tabs>
        <w:ind w:left="567" w:hanging="567"/>
      </w:pPr>
      <w:r>
        <w:t>2.</w:t>
      </w:r>
      <w:r>
        <w:tab/>
      </w:r>
      <w:r>
        <w:t xml:space="preserve">in den Fällen des </w:t>
      </w:r>
      <w:hyperlink w:anchor="b38" w:history="1">
        <w:r>
          <w:rPr>
            <w:color w:val="0A3A8C"/>
            <w:u w:val="single"/>
          </w:rPr>
          <w:t xml:space="preserve">Artikels 38</w:t>
        </w:r>
      </w:hyperlink>
      <w:r>
        <w:t xml:space="preserve"> Abs. 2 und 3 und des Artikels 39 aus dem gewöhnlichen Aufenthalt der Beteiligten in demselben Staat im Zeitpunkt des rechtserheblichen Geschehens; </w:t>
      </w:r>
      <w:hyperlink w:anchor="b40" w:history="1">
        <w:r>
          <w:rPr>
            <w:color w:val="0A3A8C"/>
            <w:u w:val="single"/>
          </w:rPr>
          <w:t xml:space="preserve">Artikel 40</w:t>
        </w:r>
      </w:hyperlink>
      <w:r>
        <w:t xml:space="preserve"> Abs. 2 Satz 2 gilt entsprechend.</w:t>
      </w:r>
    </w:p>
    <w:p>
      <w:pPr>
        <w:pStyle w:val="Heading4"/>
      </w:pPr>
      <w:bookmarkStart w:id="43" w:name="b42"/>
      <w:r>
        <w:t>Art 42 Rechtswahl</w:t>
      </w:r>
      <w:r>
        <w:t xml:space="preserve"> </w:t>
      </w:r>
      <w:r>
        <w:rPr>
          <w:rStyle w:val="Suchmarke"/>
        </w:rPr>
        <w:t>#42.#</w:t>
      </w:r>
      <w:bookmarkEnd w:id="43"/>
    </w:p>
    <w:p>
      <w:r>
        <w:rPr>
          <w:rStyle w:val="Satznummer"/>
        </w:rPr>
        <w:t>1</w:t>
      </w:r>
      <w:r>
        <w:t xml:space="preserve">Nach Eintritt des Ereignisses, durch das ein außervertragliches Schuldverhältnis entstanden ist, können die Parteien das Recht wählen, dem es unterliegen soll. </w:t>
      </w:r>
      <w:r>
        <w:rPr>
          <w:rStyle w:val="Satznummer"/>
        </w:rPr>
        <w:t>2</w:t>
      </w:r>
      <w:r>
        <w:t>Rechte Dritter bleiben unberührt.</w:t>
      </w:r>
    </w:p>
    <w:p>
      <w:pPr>
        <w:pStyle w:val="Heading3"/>
      </w:pPr>
      <w:bookmarkStart w:id="44" w:name="b43"/>
      <w:r>
        <w:t>Sechster Abschnitt Sachenrecht</w:t>
      </w:r>
      <w:bookmarkEnd w:id="44"/>
    </w:p>
    <w:p>
      <w:pPr>
        <w:pStyle w:val="Heading4"/>
      </w:pPr>
      <w:bookmarkStart w:id="45" w:name="b44"/>
      <w:r>
        <w:t>Art 43 Rechte an einer Sache</w:t>
      </w:r>
      <w:r>
        <w:t xml:space="preserve"> </w:t>
      </w:r>
      <w:r>
        <w:rPr>
          <w:rStyle w:val="Suchmarke"/>
        </w:rPr>
        <w:t>#43.#</w:t>
      </w:r>
      <w:bookmarkEnd w:id="45"/>
    </w:p>
    <w:p>
      <w:r>
        <w:t>(1) Rechte an einer Sache unterliegen dem Recht des Staates, in dem sich die Sache befindet.</w:t>
      </w:r>
    </w:p>
    <w:p>
      <w:r>
        <w:t>(2) Gelangt eine Sache, an der Rechte begründet sind, in einen anderen Staat, so können diese Rechte nicht im Widerspruch zu der Rechtsordnung dieses Staates ausgeübt werden.</w:t>
      </w:r>
    </w:p>
    <w:p>
      <w:r>
        <w:t>(3) Ist ein Recht an einer Sache, die in das Inland gelangt, nicht schon vorher erworben worden, so sind für einen solchen Erwerb im Inland Vorgänge in einem anderen Staat wie inländische zu berücksichtigen.</w:t>
      </w:r>
    </w:p>
    <w:p>
      <w:pPr>
        <w:pStyle w:val="Heading4"/>
      </w:pPr>
      <w:bookmarkStart w:id="46" w:name="b45"/>
      <w:r>
        <w:t>Art 44 Von Grundstücken ausgehende Einwirkungen</w:t>
      </w:r>
      <w:r>
        <w:t xml:space="preserve"> </w:t>
      </w:r>
      <w:r>
        <w:rPr>
          <w:rStyle w:val="Suchmarke"/>
        </w:rPr>
        <w:t>#44.#</w:t>
      </w:r>
      <w:bookmarkEnd w:id="46"/>
    </w:p>
    <w:p>
      <w:r>
        <w:t>Für Ansprüche aus beeinträchtigenden Einwirkungen, die von einem Grundstück ausgehen, gelten die Vorschriften der Verordnung (EG) Nr. 864/2007 mit Ausnahme des Kapitels III entsprechend.</w:t>
      </w:r>
    </w:p>
    <w:p>
      <w:pPr>
        <w:pStyle w:val="Heading4"/>
      </w:pPr>
      <w:bookmarkStart w:id="47" w:name="b46"/>
      <w:r>
        <w:t>Art 45 Transportmittel</w:t>
      </w:r>
      <w:r>
        <w:t xml:space="preserve"> </w:t>
      </w:r>
      <w:r>
        <w:rPr>
          <w:rStyle w:val="Suchmarke"/>
        </w:rPr>
        <w:t>#45.#</w:t>
      </w:r>
      <w:bookmarkEnd w:id="47"/>
    </w:p>
    <w:p>
      <w:r>
        <w:t xml:space="preserve">(1) </w:t>
      </w:r>
      <w:r>
        <w:rPr>
          <w:rStyle w:val="Satznummer"/>
        </w:rPr>
        <w:t>1</w:t>
      </w:r>
      <w:r>
        <w:t xml:space="preserve">Rechte an Luft-, Wasser- und Schienenfahrzeugen unterliegen dem Recht des Herkunftsstaats. </w:t>
      </w:r>
      <w:r>
        <w:rPr>
          <w:rStyle w:val="Satznummer"/>
        </w:rPr>
        <w:t>2</w:t>
      </w:r>
      <w:r>
        <w:t>Das ist</w:t>
      </w:r>
    </w:p>
    <w:p>
      <w:pPr>
        <w:tabs>
          <w:tab w:pos="567" w:val="left"/>
        </w:tabs>
        <w:ind w:left="567" w:hanging="567"/>
      </w:pPr>
      <w:r>
        <w:t>1.</w:t>
      </w:r>
      <w:r>
        <w:tab/>
      </w:r>
      <w:r>
        <w:t>bei Luftfahrzeugen der Staat ihrer Staatszugehörigkeit,</w:t>
      </w:r>
    </w:p>
    <w:p>
      <w:pPr>
        <w:tabs>
          <w:tab w:pos="567" w:val="left"/>
        </w:tabs>
        <w:ind w:left="567" w:hanging="567"/>
      </w:pPr>
      <w:r>
        <w:t>2.</w:t>
      </w:r>
      <w:r>
        <w:tab/>
      </w:r>
      <w:r>
        <w:t>bei Wasserfahrzeugen der Staat der Registereintragung, sonst des Heimathafens oder des Heimatorts,</w:t>
      </w:r>
    </w:p>
    <w:p>
      <w:pPr>
        <w:tabs>
          <w:tab w:pos="567" w:val="left"/>
        </w:tabs>
        <w:ind w:left="567" w:hanging="567"/>
      </w:pPr>
      <w:r>
        <w:t>3.</w:t>
      </w:r>
      <w:r>
        <w:tab/>
      </w:r>
      <w:r>
        <w:t>bei Schienenfahrzeugen</w:t>
      </w:r>
    </w:p>
    <w:p>
      <w:pPr>
        <w:tabs>
          <w:tab w:pos="1134" w:val="left"/>
        </w:tabs>
        <w:ind w:left="1134" w:hanging="567"/>
      </w:pPr>
      <w:r>
        <w:t>a)</w:t>
      </w:r>
      <w:r>
        <w:tab/>
      </w:r>
      <w:r>
        <w:t>der Staat der Zulassung,</w:t>
      </w:r>
    </w:p>
    <w:p>
      <w:pPr>
        <w:tabs>
          <w:tab w:pos="1134" w:val="left"/>
        </w:tabs>
        <w:ind w:left="1134" w:hanging="567"/>
      </w:pPr>
      <w:r>
        <w:t>b)</w:t>
      </w:r>
      <w:r>
        <w:tab/>
      </w:r>
      <w:r>
        <w:t>mangels Zulassung der Staat der Registrierung oder</w:t>
      </w:r>
    </w:p>
    <w:p>
      <w:pPr>
        <w:tabs>
          <w:tab w:pos="1134" w:val="left"/>
        </w:tabs>
        <w:ind w:left="1134" w:hanging="567"/>
      </w:pPr>
      <w:r>
        <w:t>c)</w:t>
      </w:r>
      <w:r>
        <w:tab/>
      </w:r>
      <w:r>
        <w:t>bei Registrierung in einem supranationalen Register der Staat, dem das Schienenfahrzeug in diesem Register zugeordnet ist.</w:t>
      </w:r>
    </w:p>
    <w:p>
      <w:r>
        <w:t xml:space="preserve">(2) </w:t>
      </w:r>
      <w:r>
        <w:rPr>
          <w:rStyle w:val="Satznummer"/>
        </w:rPr>
        <w:t>1</w:t>
      </w:r>
      <w:r>
        <w:t xml:space="preserve">Die Entstehung gesetzlicher Sicherungsrechte an diesen Fahrzeugen unterliegt dem Recht, das auf die zu sichernde Forderung anzuwenden ist. </w:t>
      </w:r>
      <w:r>
        <w:rPr>
          <w:rStyle w:val="Satznummer"/>
        </w:rPr>
        <w:t>2</w:t>
      </w:r>
      <w:r>
        <w:t xml:space="preserve">Für die Rangfolge mehrerer Sicherungsrechte gilt </w:t>
      </w:r>
      <w:hyperlink w:anchor="b44" w:history="1">
        <w:r>
          <w:rPr>
            <w:color w:val="0A3A8C"/>
            <w:u w:val="single"/>
          </w:rPr>
          <w:t xml:space="preserve">Artikel 43</w:t>
        </w:r>
      </w:hyperlink>
      <w:r>
        <w:t xml:space="preserve"> Abs. 1.</w:t>
      </w:r>
    </w:p>
    <w:p>
      <w:pPr>
        <w:pStyle w:val="Heading4"/>
      </w:pPr>
      <w:bookmarkStart w:id="48" w:name="b47"/>
      <w:r>
        <w:t>Art 46 Wesentlich engere Verbindung</w:t>
      </w:r>
      <w:r>
        <w:t xml:space="preserve"> </w:t>
      </w:r>
      <w:r>
        <w:rPr>
          <w:rStyle w:val="Suchmarke"/>
        </w:rPr>
        <w:t>#46.#</w:t>
      </w:r>
      <w:bookmarkEnd w:id="48"/>
    </w:p>
    <w:p>
      <w:r>
        <w:t xml:space="preserve">Besteht mit dem Recht eines Staates eine wesentlich engere Verbindung als mit dem Recht, das nach den </w:t>
      </w:r>
      <w:hyperlink w:anchor="b44" w:history="1">
        <w:r>
          <w:rPr>
            <w:color w:val="0A3A8C"/>
            <w:u w:val="single"/>
          </w:rPr>
          <w:t xml:space="preserve">Artikeln 43</w:t>
        </w:r>
      </w:hyperlink>
      <w:r>
        <w:t xml:space="preserve"> und </w:t>
      </w:r>
      <w:hyperlink w:anchor="b46" w:history="1">
        <w:r>
          <w:rPr>
            <w:color w:val="0A3A8C"/>
            <w:u w:val="single"/>
          </w:rPr>
          <w:t xml:space="preserve">45</w:t>
        </w:r>
      </w:hyperlink>
      <w:r>
        <w:t xml:space="preserve"> maßgebend wäre, so ist jenes Recht anzuwenden.</w:t>
      </w:r>
    </w:p>
    <w:p>
      <w:pPr>
        <w:pStyle w:val="Heading3"/>
      </w:pPr>
      <w:bookmarkStart w:id="49" w:name="b48"/>
      <w:r>
        <w:t>Siebter Abschnitt Besondere Vorschriften zur Durchführung und Umsetzung international-privatrechtlicher Regelungen der Europäischen Union</w:t>
      </w:r>
      <w:bookmarkEnd w:id="49"/>
    </w:p>
    <w:p>
      <w:pPr>
        <w:pStyle w:val="Heading4"/>
      </w:pPr>
      <w:bookmarkStart w:id="50" w:name="b49"/>
      <w:r>
        <w:t>Erster Unterabschnitt Durchführung der Verordnung (EG) Nr. 864/2007</w:t>
      </w:r>
      <w:bookmarkEnd w:id="50"/>
    </w:p>
    <w:p>
      <w:pPr>
        <w:pStyle w:val="Heading5"/>
      </w:pPr>
      <w:bookmarkStart w:id="51" w:name="b50"/>
      <w:r>
        <w:t>Art 46a Umweltschädigungen</w:t>
      </w:r>
      <w:r>
        <w:t xml:space="preserve"> </w:t>
      </w:r>
      <w:r>
        <w:rPr>
          <w:rStyle w:val="Suchmarke"/>
        </w:rPr>
        <w:t>#46a.#</w:t>
      </w:r>
      <w:bookmarkEnd w:id="51"/>
    </w:p>
    <w:p>
      <w:r>
        <w:t>Die geschädigte Person kann das ihr nach Artikel 7 der Verordnung (EG) Nr. 864/2007 zustehende Recht, ihren Anspruch auf das Recht des Staates zu stützen, in dem das schadensbegründende Ereignis eingetreten ist, nur im ersten Rechtszug bis zum Ende des frühen ersten Termins oder dem Ende des schriftlichen Vorverfahrens ausüben.</w:t>
      </w:r>
    </w:p>
    <w:p>
      <w:pPr>
        <w:pStyle w:val="Heading4"/>
      </w:pPr>
      <w:bookmarkStart w:id="52" w:name="b51"/>
      <w:r>
        <w:t>Zweiter Unterabschnitt Umsetzung international-privatrechtlicher Regelungen im Verbraucherschutz</w:t>
      </w:r>
      <w:bookmarkEnd w:id="52"/>
    </w:p>
    <w:p>
      <w:pPr>
        <w:pStyle w:val="Heading5"/>
      </w:pPr>
      <w:bookmarkStart w:id="53" w:name="b52"/>
      <w:r>
        <w:t>Art 46b Verbraucherschutz für besondere Gebiete</w:t>
      </w:r>
      <w:r>
        <w:t xml:space="preserve"> </w:t>
      </w:r>
      <w:r>
        <w:rPr>
          <w:rStyle w:val="Suchmarke"/>
        </w:rPr>
        <w:t>#46b.#</w:t>
      </w:r>
      <w:bookmarkEnd w:id="53"/>
    </w:p>
    <w:p>
      <w:r>
        <w:t>(1) Unterliegt ein Vertrag auf Grund einer Rechtswahl nicht dem Recht eines Mitgliedstaats der Europäischen Union oder eines anderen Vertragsstaats des Abkommens über den Europäischen Wirtschaftsraum, weist der Vertrag jedoch einen engen Zusammenhang mit dem Gebiet eines dieser Staaten auf, so sind die im Gebiet dieses Staates geltenden Bestimmungen zur Umsetzung der Verbraucherschutzrichtlinien gleichwohl anzuwenden.</w:t>
      </w:r>
    </w:p>
    <w:p>
      <w:r>
        <w:t>(2) Ein enger Zusammenhang ist insbesondere anzunehmen, wenn der Unternehmer</w:t>
      </w:r>
    </w:p>
    <w:p>
      <w:pPr>
        <w:tabs>
          <w:tab w:pos="567" w:val="left"/>
        </w:tabs>
        <w:ind w:left="567" w:hanging="567"/>
      </w:pPr>
      <w:r>
        <w:t>1.</w:t>
      </w:r>
      <w:r>
        <w:tab/>
      </w:r>
      <w:r>
        <w:t>in dem Mitgliedstaat der Europäischen Union oder einem anderen Vertragsstaat des Abkommens über den Europäischen Wirtschaftsraum, in dem der Verbraucher seinen gewöhnlichen Aufenthalt hat, eine berufliche oder gewerbliche Tätigkeit ausübt oder</w:t>
      </w:r>
    </w:p>
    <w:p>
      <w:pPr>
        <w:tabs>
          <w:tab w:pos="567" w:val="left"/>
        </w:tabs>
        <w:ind w:left="567" w:hanging="567"/>
      </w:pPr>
      <w:r>
        <w:t>2.</w:t>
      </w:r>
      <w:r>
        <w:tab/>
      </w:r>
      <w:r>
        <w:t>eine solche Tätigkeit auf irgendeinem Wege auf diesen Mitgliedstaat der Europäischen Union oder einen anderen Vertragsstaat des Abkommens über den Europäischen Wirtschaftsraum oder auf mehrere Staaten, einschließlich dieses Staates, ausrichtet</w:t>
      </w:r>
    </w:p>
    <w:p>
      <w:r>
        <w:t>und der Vertrag in den Bereich dieser Tätigkeit fällt.</w:t>
      </w:r>
    </w:p>
    <w:p>
      <w:r>
        <w:t>(3) Verbraucherschutzrichtlinien im Sinne dieser Vorschrift sind in ihrer jeweils geltenden Fassung:</w:t>
      </w:r>
    </w:p>
    <w:p>
      <w:pPr>
        <w:tabs>
          <w:tab w:pos="567" w:val="left"/>
        </w:tabs>
        <w:ind w:left="567" w:hanging="567"/>
      </w:pPr>
      <w:r>
        <w:t>1.</w:t>
      </w:r>
      <w:r>
        <w:tab/>
      </w:r>
      <w:r>
        <w:t>die Richtlinie 93/13/EWG des Rates vom 5. April 1993 über missbräuchliche Klauseln in Verbraucherverträgen (ABl. L 95 vom 21.4.1993, S. 29);</w:t>
      </w:r>
    </w:p>
    <w:p>
      <w:pPr>
        <w:tabs>
          <w:tab w:pos="567" w:val="left"/>
        </w:tabs>
        <w:ind w:left="567" w:hanging="567"/>
      </w:pPr>
      <w:r>
        <w:t>2.</w:t>
      </w:r>
      <w:r>
        <w:tab/>
      </w:r>
      <w:r>
        <w:t>die Richtlinie 2008/48/EG des Europäischen Parlaments und des Rates vom 23. April 2008 über Verbraucherkreditverträge und zur Aufhebung der Richtlinie 87/102/EWG des Rates (ABl. L 133 vom 22.5.2008, S. 66).</w:t>
      </w:r>
    </w:p>
    <w:p>
      <w:r>
        <w:t>(4) Unterliegt ein Teilzeitnutzungsvertrag, ein Vertrag über ein langfristiges Urlaubsprodukt, ein Wiederverkaufsvertrag oder ein Tauschvertrag im Sinne von Artikel 2 Absatz 1 Buchstabe a bis d der Richtlinie 2008/122/EG des Europäischen Parlaments und des Rates vom 14. Januar 2009 über den Schutz der Verbraucher im Hinblick auf bestimmte Aspekte von Teilzeitnutzungsverträgen, Verträgen über langfristige Urlaubsprodukte sowie Wiederverkaufs- und Tauschverträgen (ABl. L 33 vom 3.2.2009, S. 10) nicht dem Recht eines Mitgliedstaats der Europäischen Union oder eines anderen Vertragsstaats des Abkommens über den Europäischen Wirtschaftsraum, so darf Verbrauchern der in Umsetzung dieser Richtlinie gewährte Schutz nicht vorenthalten werden, wenn</w:t>
      </w:r>
    </w:p>
    <w:p>
      <w:pPr>
        <w:tabs>
          <w:tab w:pos="567" w:val="left"/>
        </w:tabs>
        <w:ind w:left="567" w:hanging="567"/>
      </w:pPr>
      <w:r>
        <w:t>1.</w:t>
      </w:r>
      <w:r>
        <w:tab/>
      </w:r>
      <w:r>
        <w:t>eine der betroffenen Immobilien im Hoheitsgebiet eines Mitgliedstaats der Europäischen Union oder eines anderen Vertragsstaats des Abkommens über den Europäischen Wirtschaftsraum belegen ist oder</w:t>
      </w:r>
    </w:p>
    <w:p>
      <w:pPr>
        <w:tabs>
          <w:tab w:pos="567" w:val="left"/>
        </w:tabs>
        <w:ind w:left="567" w:hanging="567"/>
      </w:pPr>
      <w:r>
        <w:t>2.</w:t>
      </w:r>
      <w:r>
        <w:tab/>
      </w:r>
      <w:r>
        <w:t>im Falle eines Vertrags, der sich nicht unmittelbar auf eine Immobilie bezieht, der Unternehmer eine gewerbliche oder berufliche Tätigkeit in einem Mitgliedstaat der Europäischen Union oder einem anderen Vertragsstaat des Abkommens über den Europäischen Wirtschaftsraum ausübt oder diese Tätigkeit auf irgendeine Weise auf einen solchen Staat ausrichtet und der Vertrag in den Bereich dieser Tätigkeit fällt.</w:t>
      </w:r>
    </w:p>
    <w:p>
      <w:pPr>
        <w:pStyle w:val="Heading5"/>
      </w:pPr>
      <w:bookmarkStart w:id="54" w:name="b53"/>
      <w:r>
        <w:t>Art 46c Pauschalreisen und verbundene Reiseleistungen</w:t>
      </w:r>
      <w:r>
        <w:t xml:space="preserve"> </w:t>
      </w:r>
      <w:r>
        <w:rPr>
          <w:rStyle w:val="Suchmarke"/>
        </w:rPr>
        <w:t>#46c.#</w:t>
      </w:r>
      <w:bookmarkEnd w:id="54"/>
    </w:p>
    <w:p>
      <w:r>
        <w:t>(1) Hat der Reiseveranstalter im Zeitpunkt des Vertragsschlusses seine Niederlassung im Sinne des § 4 Absatz 3 der Gewerbeordnung weder in einem Mitgliedstaat der Europäischen Union noch in einem anderen Vertragsstaat des Abkommens über den Europäischen Wirtschaftsraum und</w:t>
      </w:r>
    </w:p>
    <w:p>
      <w:pPr>
        <w:tabs>
          <w:tab w:pos="567" w:val="left"/>
        </w:tabs>
        <w:ind w:left="567" w:hanging="567"/>
      </w:pPr>
      <w:r>
        <w:t>1.</w:t>
      </w:r>
      <w:r>
        <w:tab/>
      </w:r>
      <w:r>
        <w:t>schließt der Reiseveranstalter in einem Mitgliedstaat der Europäischen Union oder einem anderen Vertragsstaat des Abkommens über den Europäischen Wirtschaftsraum Pauschalreiseverträge oder bietet er in einem dieser Staaten an, solche Verträge zu schließen, oder</w:t>
      </w:r>
    </w:p>
    <w:p>
      <w:pPr>
        <w:tabs>
          <w:tab w:pos="567" w:val="left"/>
        </w:tabs>
        <w:ind w:left="567" w:hanging="567"/>
      </w:pPr>
      <w:r>
        <w:t>2.</w:t>
      </w:r>
      <w:r>
        <w:tab/>
      </w:r>
      <w:r>
        <w:t>richtet der Reiseveranstalter seine Tätigkeit im Sinne der Nummer 1 auf einen Mitgliedstaat der Europäischen Union oder einen anderen Vertragsstaat des Abkommens über den Europäischen Wirtschaftsraum aus,</w:t>
      </w:r>
    </w:p>
    <w:p>
      <w:r>
        <w:t>so sind die sachrechtlichen Vorschriften anzuwenden, die der in Nummer 1 oder Nummer 2 genannte Staat zur Umsetzung des Artikels 17 der Richtlinie (EU) 2015/2302 des Europäischen Parlaments und des Rates vom 25. November 2015 über Pauschalreisen und verbundene Reiseleistungen, zur Änderung der Verordnung (EG) Nr. 2006/2004 und der Richtlinie 2011/83/EU des Europäischen Parlaments und des Rates sowie zur Aufhebung der Richtlinie 90/314/EWG des Rates (ABl. L 326 vom 11.12.2015, S. 1) erlassen hat, sofern der Vertrag in den Bereich dieser Tätigkeit fällt.</w:t>
      </w:r>
    </w:p>
    <w:p>
      <w:r>
        <w:t>(2) Hat der Vermittler verbundener Reiseleistungen im Zeitpunkt des Vertragsschlusses seine Niederlassung im Sinne des § 4 Absatz 3 der Gewerbeordnung weder in einem Mitgliedstaat der Europäischen Union noch einem anderen Vertragsstaat des Abkommens über den Europäischen Wirtschaftsraum und</w:t>
      </w:r>
    </w:p>
    <w:p>
      <w:pPr>
        <w:tabs>
          <w:tab w:pos="567" w:val="left"/>
        </w:tabs>
        <w:ind w:left="567" w:hanging="567"/>
      </w:pPr>
      <w:r>
        <w:t>1.</w:t>
      </w:r>
      <w:r>
        <w:tab/>
      </w:r>
      <w:r>
        <w:t>vermittelt er verbundene Reiseleistungen in einem Mitgliedstaat der Europäischen Union oder einem anderen Vertragsstaat des Abkommens über den Europäischen Wirtschaftsraum oder bietet er sie dort zur Vermittlung an oder</w:t>
      </w:r>
    </w:p>
    <w:p>
      <w:pPr>
        <w:tabs>
          <w:tab w:pos="567" w:val="left"/>
        </w:tabs>
        <w:ind w:left="567" w:hanging="567"/>
      </w:pPr>
      <w:r>
        <w:t>2.</w:t>
      </w:r>
      <w:r>
        <w:tab/>
      </w:r>
      <w:r>
        <w:t>richtet er seine Vermittlungstätigkeit auf einen Mitgliedstaat der Europäischen Union oder einen anderen Vertragsstaat des Abkommens über den Europäischen Wirtschaftsraum aus,</w:t>
      </w:r>
    </w:p>
    <w:p>
      <w:r>
        <w:t xml:space="preserve">so sind die sachrechtlichen Vorschriften anzuwenden, die der in Nummer 1 oder Nummer 2 genannte Staat zur Umsetzung des </w:t>
      </w:r>
      <w:hyperlink w:anchor="b27" w:history="1">
        <w:r>
          <w:rPr>
            <w:color w:val="0A3A8C"/>
            <w:u w:val="single"/>
          </w:rPr>
          <w:t xml:space="preserve">Artikels 19</w:t>
        </w:r>
      </w:hyperlink>
      <w:r>
        <w:t xml:space="preserve"> Absatz 1 in Verbindung mit </w:t>
      </w:r>
      <w:hyperlink w:anchor="b23" w:history="1">
        <w:r>
          <w:rPr>
            <w:color w:val="0A3A8C"/>
            <w:u w:val="single"/>
          </w:rPr>
          <w:t xml:space="preserve">Artikel 17</w:t>
        </w:r>
      </w:hyperlink>
      <w:r>
        <w:t xml:space="preserve"> und des Artikels 19 Absatz 3 der Richtlinie (EU) 2015/2302 erlassen hat, sofern der Vertrag in den Bereich dieser Tätigkeit fällt.</w:t>
      </w:r>
    </w:p>
    <w:p>
      <w:r>
        <w:t xml:space="preserve">(3) Hat der Vermittler verbundener Reiseleistungen in dem nach </w:t>
      </w:r>
      <w:hyperlink w:anchor="b490" w:history="1">
        <w:r>
          <w:rPr>
            <w:color w:val="0A3A8C"/>
            <w:u w:val="single"/>
          </w:rPr>
          <w:t xml:space="preserve">Artikel 251 § 1</w:t>
        </w:r>
      </w:hyperlink>
      <w:r>
        <w:t xml:space="preserve"> maßgeblichen Zeitpunkt seine Niederlassung im Sinne des § 4 Absatz 3 der Gewerbeordnung weder in einem Mitgliedstaat der Europäischen Union noch in einem anderen Vertragsstaat des Abkommens über den Europäischen Wirtschaftsraum und richtet er seine Vermittlungstätigkeit auf einen Mitgliedstaat der Europäischen Union oder einen anderen Vertragsstaat des Abkommens über den Europäischen Wirtschaftsraum aus, so sind die sachrechtlichen Vorschriften anzuwenden, die der Staat, auf den die Vermittlungstätigkeit ausgerichtet ist, zur Umsetzung des Artikels 19 Absatz 2 und 3 der Richtlinie (EU) 2015/2302 erlassen hat, sofern der in Aussicht genommene Vertrag in den Bereich dieser Tätigkeit fällt.</w:t>
      </w:r>
    </w:p>
    <w:p>
      <w:pPr>
        <w:pStyle w:val="Heading4"/>
      </w:pPr>
      <w:bookmarkStart w:id="55" w:name="b54"/>
      <w:r>
        <w:t>Dritter Unterabschnitt Durchführung der Verordnung (EG) Nr. 593/2008</w:t>
      </w:r>
      <w:bookmarkEnd w:id="55"/>
    </w:p>
    <w:p>
      <w:pPr>
        <w:pStyle w:val="Heading5"/>
      </w:pPr>
      <w:bookmarkStart w:id="56" w:name="b55"/>
      <w:r>
        <w:t>Art 46d Pflichtversicherungsverträge</w:t>
      </w:r>
      <w:r>
        <w:t xml:space="preserve"> </w:t>
      </w:r>
      <w:r>
        <w:rPr>
          <w:rStyle w:val="Suchmarke"/>
        </w:rPr>
        <w:t>#46d.#</w:t>
      </w:r>
      <w:bookmarkEnd w:id="56"/>
    </w:p>
    <w:p>
      <w:r>
        <w:t>(1) Ein Versicherungsvertrag über Risiken, für die ein Mitgliedstaat der Europäischen Union oder ein anderer Vertragsstaat des Abkommens über den Europäischen Wirtschaftsraum eine Versicherungspflicht vorschreibt, unterliegt dem Recht dieses Staates, sofern dieser dessen Anwendung vorschreibt.</w:t>
      </w:r>
    </w:p>
    <w:p>
      <w:r>
        <w:t>(2) Ein über eine Pflichtversicherung abgeschlossener Vertrag unterliegt deutschem Recht, wenn die gesetzliche Verpflichtung zu seinem Abschluss auf deutschem Recht beruht.</w:t>
      </w:r>
    </w:p>
    <w:p>
      <w:pPr>
        <w:pStyle w:val="Heading4"/>
      </w:pPr>
      <w:bookmarkStart w:id="57" w:name="b56"/>
      <w:r>
        <w:t>Vierter Unterabschnitt Durchführung der Verordnung (EU) Nr. 1259/2010</w:t>
      </w:r>
      <w:bookmarkEnd w:id="57"/>
    </w:p>
    <w:p>
      <w:pPr>
        <w:pStyle w:val="Heading5"/>
      </w:pPr>
      <w:bookmarkStart w:id="58" w:name="b57"/>
      <w:r>
        <w:t>Art 46e Rechtswahl</w:t>
      </w:r>
      <w:r>
        <w:t xml:space="preserve"> </w:t>
      </w:r>
      <w:r>
        <w:rPr>
          <w:rStyle w:val="Suchmarke"/>
        </w:rPr>
        <w:t>#46e.#</w:t>
      </w:r>
      <w:bookmarkEnd w:id="58"/>
    </w:p>
    <w:p>
      <w:r>
        <w:t>(1) Eine Rechtswahlvereinbarung nach Artikel 5 der Verordnung (EU) Nr. 1259/2010 ist notariell zu beurkunden.</w:t>
      </w:r>
    </w:p>
    <w:p>
      <w:r>
        <w:t xml:space="preserve">(2) </w:t>
      </w:r>
      <w:r>
        <w:rPr>
          <w:rStyle w:val="Satznummer"/>
        </w:rPr>
        <w:t>1</w:t>
      </w:r>
      <w:r>
        <w:t xml:space="preserve">Die Ehegatten können die Rechtswahl nach Absatz 1 auch noch bis zum Schluss der mündlichen Verhandlung im ersten Rechtszug vornehmen. </w:t>
      </w:r>
      <w:r>
        <w:rPr>
          <w:rStyle w:val="Satznummer"/>
        </w:rPr>
        <w:t>2</w:t>
      </w:r>
      <w:r>
        <w:t>§ 127a des Bürgerlichen Gesetzbuchs gilt entsprechend.</w:t>
      </w:r>
    </w:p>
    <w:p>
      <w:pPr>
        <w:pStyle w:val="Heading2"/>
      </w:pPr>
      <w:bookmarkStart w:id="59" w:name="b58"/>
      <w:r>
        <w:t>Drittes Kapitel Angleichung; Wahl eines in einem anderen Mitgliedstaat der Europäischen Union erworbenen Namens</w:t>
      </w:r>
      <w:bookmarkEnd w:id="59"/>
    </w:p>
    <w:p>
      <w:pPr>
        <w:pStyle w:val="Heading3"/>
      </w:pPr>
      <w:bookmarkStart w:id="60" w:name="b59"/>
      <w:r>
        <w:t>Art 47 Vor- und Familiennamen</w:t>
      </w:r>
      <w:r>
        <w:t xml:space="preserve"> </w:t>
      </w:r>
      <w:r>
        <w:rPr>
          <w:rStyle w:val="Suchmarke"/>
        </w:rPr>
        <w:t>#47.#</w:t>
      </w:r>
      <w:bookmarkEnd w:id="60"/>
    </w:p>
    <w:p>
      <w:r>
        <w:t xml:space="preserve">(1) </w:t>
      </w:r>
      <w:r>
        <w:rPr>
          <w:rStyle w:val="Satznummer"/>
        </w:rPr>
        <w:t>1</w:t>
      </w:r>
      <w:r>
        <w:t>Hat eine Person nach einem anwendbaren ausländischen Recht einen Namen erworben und richtet sich ihr Name fortan nach deutschem Recht, so kann sie durch Erklärung gegenüber dem Standesamt</w:t>
      </w:r>
    </w:p>
    <w:p>
      <w:pPr>
        <w:tabs>
          <w:tab w:pos="567" w:val="left"/>
        </w:tabs>
        <w:ind w:left="567" w:hanging="567"/>
      </w:pPr>
      <w:r>
        <w:t>1.</w:t>
      </w:r>
      <w:r>
        <w:tab/>
      </w:r>
      <w:r>
        <w:t>aus dem Namen Vor- und Familiennamen bestimmen,</w:t>
      </w:r>
    </w:p>
    <w:p>
      <w:pPr>
        <w:tabs>
          <w:tab w:pos="567" w:val="left"/>
        </w:tabs>
        <w:ind w:left="567" w:hanging="567"/>
      </w:pPr>
      <w:r>
        <w:t>2.</w:t>
      </w:r>
      <w:r>
        <w:tab/>
      </w:r>
      <w:r>
        <w:t>bei Fehlen von Vor- oder Familiennamen einen solchen Namen wählen,</w:t>
      </w:r>
    </w:p>
    <w:p>
      <w:pPr>
        <w:tabs>
          <w:tab w:pos="567" w:val="left"/>
        </w:tabs>
        <w:ind w:left="567" w:hanging="567"/>
      </w:pPr>
      <w:r>
        <w:t>3.</w:t>
      </w:r>
      <w:r>
        <w:tab/>
      </w:r>
      <w:r>
        <w:t>Bestandteile des Namens ablegen, die das deutsche Recht nicht vorsieht,</w:t>
      </w:r>
    </w:p>
    <w:p>
      <w:pPr>
        <w:tabs>
          <w:tab w:pos="567" w:val="left"/>
        </w:tabs>
        <w:ind w:left="567" w:hanging="567"/>
      </w:pPr>
      <w:r>
        <w:t>4.</w:t>
      </w:r>
      <w:r>
        <w:tab/>
      </w:r>
      <w:r>
        <w:t>die ursprüngliche Form eines nach dem Geschlecht oder dem Verwandtschaftsverhältnis abgewandelten Namens annehmen,</w:t>
      </w:r>
    </w:p>
    <w:p>
      <w:pPr>
        <w:tabs>
          <w:tab w:pos="567" w:val="left"/>
        </w:tabs>
        <w:ind w:left="567" w:hanging="567"/>
      </w:pPr>
      <w:r>
        <w:t>5.</w:t>
      </w:r>
      <w:r>
        <w:tab/>
      </w:r>
      <w:r>
        <w:t>eine deutschsprachige Form ihres Vor- oder ihres Familiennamens annehmen; gibt es eine solche Form des Vornamens nicht, so kann sie neue Vornamen annehmen.</w:t>
      </w:r>
    </w:p>
    <w:p>
      <w:r>
        <w:rPr>
          <w:rStyle w:val="Satznummer"/>
        </w:rPr>
        <w:t>2</w:t>
      </w:r>
      <w:r>
        <w:t>Ist der Name Ehename oder Lebenspartnerschaftsname, so kann die Erklärung während des Bestehens der Ehe oder Lebenspartnerschaft nur von beiden Ehegatten oder Lebenspartnern abgegeben werden.</w:t>
      </w:r>
    </w:p>
    <w:p>
      <w:r>
        <w:t>(2) Absatz 1 gilt entsprechend für die Bildung eines Namens nach deutschem Recht, wenn dieser von einem Namen abgeleitet werden soll, der nach einem anwendbaren ausländischen Recht erworben worden ist.</w:t>
      </w:r>
    </w:p>
    <w:p>
      <w:r>
        <w:t>(3) § 1617c des Bürgerlichen Gesetzbuchs gilt entsprechend.</w:t>
      </w:r>
    </w:p>
    <w:p>
      <w:r>
        <w:t>(4) Die Erklärungen nach den Absätzen 1 und 2 müssen öffentlich beglaubigt oder beurkundet werden, wenn sie nicht bei der Eheschließung oder bei der Begründung der Lebenspartnerschaft gegenüber einem deutschen Standesamt abgegeben werden.</w:t>
      </w:r>
    </w:p>
    <w:p>
      <w:pPr>
        <w:pStyle w:val="Heading3"/>
      </w:pPr>
      <w:bookmarkStart w:id="61" w:name="b60"/>
      <w:r>
        <w:t>Art 48 Namenswahl</w:t>
      </w:r>
      <w:r>
        <w:t xml:space="preserve"> </w:t>
      </w:r>
      <w:r>
        <w:rPr>
          <w:rStyle w:val="Suchmarke"/>
        </w:rPr>
        <w:t>#48.#</w:t>
      </w:r>
      <w:bookmarkEnd w:id="61"/>
    </w:p>
    <w:p>
      <w:r>
        <w:rPr>
          <w:rStyle w:val="Satznummer"/>
        </w:rPr>
        <w:t>1</w:t>
      </w:r>
      <w:r>
        <w:t xml:space="preserve">Unterliegt der Name einer Person deutschem Recht, so kann sie durch Erklärung gegenüber dem Standesamt den Namen wählen, der in einem Mitgliedstaat der Europäischen Union in ein Personenstandsregister eingetragen ist, wenn die Person bei der Eintragung ihren gewöhnlichen Aufenthalt in diesem Mitgliedstaat hatte oder wenn sie diesem Mitgliedstaat angehört, ungeachtet des </w:t>
      </w:r>
      <w:hyperlink w:anchor="b8" w:history="1">
        <w:r>
          <w:rPr>
            <w:color w:val="0A3A8C"/>
            <w:u w:val="single"/>
          </w:rPr>
          <w:t xml:space="preserve">Artikels 5</w:t>
        </w:r>
      </w:hyperlink>
      <w:r>
        <w:t xml:space="preserve"> Absatz 1. </w:t>
      </w:r>
      <w:r>
        <w:rPr>
          <w:rStyle w:val="Satznummer"/>
        </w:rPr>
        <w:t>2</w:t>
      </w:r>
      <w:r>
        <w:t xml:space="preserve">Die Namenswahl ist unzulässig, sofern sie mit wesentlichen Grundsätzen des deutschen Rechts unvereinbar ist. </w:t>
      </w:r>
      <w:r>
        <w:rPr>
          <w:rStyle w:val="Satznummer"/>
        </w:rPr>
        <w:t>3</w:t>
      </w:r>
      <w:r>
        <w:t xml:space="preserve">Die Namenswahl wirkt zurück auf den Zeitpunkt der Eintragung in das Personenstandsregister des anderen Mitgliedstaats, es sei denn, die Person erklärt ausdrücklich, dass die Namenswahl nur für die Zukunft wirken soll. </w:t>
      </w:r>
      <w:r>
        <w:rPr>
          <w:rStyle w:val="Satznummer"/>
        </w:rPr>
        <w:t>4</w:t>
      </w:r>
      <w:r>
        <w:t xml:space="preserve">Die Erklärung muss öffentlich beglaubigt oder beurkundet werden. </w:t>
      </w:r>
      <w:r>
        <w:rPr>
          <w:rStyle w:val="Satznummer"/>
        </w:rPr>
        <w:t>5</w:t>
      </w:r>
      <w:hyperlink w:anchor="b59" w:history="1">
        <w:r>
          <w:rPr>
            <w:color w:val="0A3A8C"/>
            <w:u w:val="single"/>
          </w:rPr>
          <w:t xml:space="preserve">Artikel 47</w:t>
        </w:r>
      </w:hyperlink>
      <w:r>
        <w:t xml:space="preserve"> Absatz 1 und 3 gilt entsprechend.</w:t>
      </w:r>
    </w:p>
    <w:p>
      <w:pPr>
        <w:pStyle w:val="Heading3"/>
      </w:pPr>
      <w:bookmarkStart w:id="62" w:name="b61"/>
      <w:r>
        <w:t>Art 49 (Änderung anderer Vorschriften)</w:t>
      </w:r>
      <w:r>
        <w:t xml:space="preserve"> </w:t>
      </w:r>
      <w:r>
        <w:rPr>
          <w:rStyle w:val="Suchmarke"/>
        </w:rPr>
        <w:t>#49.#</w:t>
      </w:r>
      <w:bookmarkEnd w:id="62"/>
    </w:p>
    <w:p>
      <w:pPr>
        <w:pStyle w:val="Heading1"/>
      </w:pPr>
      <w:bookmarkStart w:id="63" w:name="b62"/>
      <w:r>
        <w:t>Zweiter Teil Verhältnis des Bürgerlichen Gesetzbuchs zu den Reichsgesetzen</w:t>
      </w:r>
      <w:bookmarkEnd w:id="63"/>
    </w:p>
    <w:p>
      <w:pPr>
        <w:pStyle w:val="Heading2"/>
      </w:pPr>
      <w:bookmarkStart w:id="64" w:name="b63"/>
      <w:r>
        <w:t>Art 50</w:t>
      </w:r>
      <w:r>
        <w:t xml:space="preserve"> </w:t>
      </w:r>
      <w:r>
        <w:rPr>
          <w:rStyle w:val="Suchmarke"/>
        </w:rPr>
        <w:t>#50.#</w:t>
      </w:r>
      <w:bookmarkEnd w:id="64"/>
    </w:p>
    <w:p>
      <w:r>
        <w:rPr>
          <w:rStyle w:val="Satznummer"/>
        </w:rPr>
        <w:t>1</w:t>
      </w:r>
      <w:r>
        <w:t xml:space="preserve">Die Vorschriften der Reichsgesetze bleiben in Kraft. </w:t>
      </w:r>
      <w:r>
        <w:rPr>
          <w:rStyle w:val="Satznummer"/>
        </w:rPr>
        <w:t>2</w:t>
      </w:r>
      <w:r>
        <w:t>Sie treten jedoch insoweit außer Kraft, als sich aus dem Bürgerlichen Gesetzbuch oder aus diesem Gesetz die Aufhebung ergibt.</w:t>
      </w:r>
    </w:p>
    <w:p>
      <w:pPr>
        <w:pStyle w:val="Heading2"/>
      </w:pPr>
      <w:bookmarkStart w:id="65" w:name="b64"/>
      <w:r>
        <w:t>Art 51</w:t>
      </w:r>
      <w:r>
        <w:t xml:space="preserve"> </w:t>
      </w:r>
      <w:r>
        <w:rPr>
          <w:rStyle w:val="Suchmarke"/>
        </w:rPr>
        <w:t>#51.#</w:t>
      </w:r>
      <w:bookmarkEnd w:id="65"/>
    </w:p>
    <w:p>
      <w:r>
        <w:t>Soweit in dem Gerichtsverfassungsgesetz, der Zivilprozeßordnung, der Strafprozeßordnung, der Insolvenzordnung und in dem Anfechtungsgesetz an die Verwandtschaft oder die Schwägerschaft rechtliche Folgen geknüpft sind, finden die Vorschriften des Bürgerlichen Gesetzbuchs oder des Lebenspartnerschaftsgesetzes über Verwandtschaft oder Schwägerschaft Anwendung.</w:t>
      </w:r>
    </w:p>
    <w:p>
      <w:pPr>
        <w:pStyle w:val="Heading2"/>
      </w:pPr>
      <w:bookmarkStart w:id="66" w:name="b65"/>
      <w:r>
        <w:t>Art 52</w:t>
      </w:r>
      <w:r>
        <w:t xml:space="preserve"> </w:t>
      </w:r>
      <w:r>
        <w:rPr>
          <w:rStyle w:val="Suchmarke"/>
        </w:rPr>
        <w:t>#52.#</w:t>
      </w:r>
      <w:bookmarkEnd w:id="66"/>
    </w:p>
    <w:p>
      <w:r>
        <w:t>Ist auf Grund eines Reichsgesetzes dem Eigentümer einer Sache wegen der im öffentlichen Interesse erfolgenden Entziehung, Beschädigung oder Benutzung der Sache oder wegen Beschränkung des Eigentums eine Entschädigung zu gewähren und steht einem Dritten ein Recht an der Sache zu, für welches nicht eine besondere Entschädigung gewährt wird, so hat der Dritte, soweit sein Recht beeinträchtigt wird, an dem Entschädigungsanspruch dieselben Rechte, die ihm im Falle des Erlöschens seines Rechts durch Zwangsversteigerung an dem Erlös zustehen.</w:t>
      </w:r>
    </w:p>
    <w:p>
      <w:pPr>
        <w:pStyle w:val="Heading2"/>
      </w:pPr>
      <w:bookmarkStart w:id="67" w:name="b66"/>
      <w:r>
        <w:t>Art 53</w:t>
      </w:r>
      <w:r>
        <w:t xml:space="preserve"> </w:t>
      </w:r>
      <w:r>
        <w:rPr>
          <w:rStyle w:val="Suchmarke"/>
        </w:rPr>
        <w:t>#53.#</w:t>
      </w:r>
      <w:bookmarkEnd w:id="67"/>
    </w:p>
    <w:p>
      <w:r>
        <w:t xml:space="preserve">(1) </w:t>
      </w:r>
      <w:r>
        <w:rPr>
          <w:rStyle w:val="Satznummer"/>
        </w:rPr>
        <w:t>1</w:t>
      </w:r>
      <w:r>
        <w:t xml:space="preserve">Ist in einem Falle des </w:t>
      </w:r>
      <w:hyperlink w:anchor="b65" w:history="1">
        <w:r>
          <w:rPr>
            <w:color w:val="0A3A8C"/>
            <w:u w:val="single"/>
          </w:rPr>
          <w:t xml:space="preserve">Artikel 52</w:t>
        </w:r>
      </w:hyperlink>
      <w:r>
        <w:t xml:space="preserve"> die Entschädigung dem Eigentümer eines Grundstücks zu gewähren, so finden auf den Entschädigungsanspruch die Vorschriften des § 1128 des Bürgerlichen Gesetzbuchs entsprechende Anwendung. </w:t>
      </w:r>
      <w:r>
        <w:rPr>
          <w:rStyle w:val="Satznummer"/>
        </w:rPr>
        <w:t>2</w:t>
      </w:r>
      <w:r>
        <w:t xml:space="preserve">Erhebt ein Berechtigter innerhalb der im § 1128 bestimmten Frist Widerspruch gegen die Zahlung der Entschädigung an den Eigentümer, so kann der Eigentümer und jeder Berechtigte die Eröffnung eines Verteilungsverfahrens nach den für die Verteilung des Erlöses im Falle der Zwangsversteigerung geltenden Vorschriften beantragen. </w:t>
      </w:r>
      <w:r>
        <w:rPr>
          <w:rStyle w:val="Satznummer"/>
        </w:rPr>
        <w:t>3</w:t>
      </w:r>
      <w:r>
        <w:t>Die Zahlung hat in diesem Fall an das für das Verteilungsverfahren zuständige Gericht zu erfolgen.</w:t>
      </w:r>
    </w:p>
    <w:p>
      <w:r>
        <w:t xml:space="preserve">(2) </w:t>
      </w:r>
      <w:r>
        <w:rPr>
          <w:rStyle w:val="Satznummer"/>
        </w:rPr>
        <w:t>1</w:t>
      </w:r>
      <w:r>
        <w:t xml:space="preserve">Ist das Recht des Dritten eine Reallast, eine Hypothek, eine Grundschuld oder eine Rentenschuld, so erlischt die Haftung des Entschädigungsanspruchs, wenn der beschädigte Gegenstand wiederhergestellt oder für die entzogene bewegliche Sache Ersatz beschafft ist. </w:t>
      </w:r>
      <w:r>
        <w:rPr>
          <w:rStyle w:val="Satznummer"/>
        </w:rPr>
        <w:t>2</w:t>
      </w:r>
      <w:r>
        <w:t>Ist die Entschädigung wegen Benutzung des Grundstücks oder wegen Entziehung oder Beschädigung von Früchten oder von Zubehörstücken zu gewähren, so finden die Vorschriften des § 1123 Abs. 2 Satz 1 und des § 1124 Abs. 1 und 3 des Bürgerlichen Gesetzbuchs entsprechende Anwendung.</w:t>
      </w:r>
    </w:p>
    <w:p>
      <w:pPr>
        <w:pStyle w:val="Heading2"/>
      </w:pPr>
      <w:bookmarkStart w:id="68" w:name="b67"/>
      <w:r>
        <w:t>Art 53a</w:t>
      </w:r>
      <w:r>
        <w:t xml:space="preserve"> </w:t>
      </w:r>
      <w:r>
        <w:rPr>
          <w:rStyle w:val="Suchmarke"/>
        </w:rPr>
        <w:t>#53a.#</w:t>
      </w:r>
      <w:bookmarkEnd w:id="68"/>
    </w:p>
    <w:p>
      <w:r>
        <w:t xml:space="preserve">(1) Ist in einem Falle des </w:t>
      </w:r>
      <w:hyperlink w:anchor="b65" w:history="1">
        <w:r>
          <w:rPr>
            <w:color w:val="0A3A8C"/>
            <w:u w:val="single"/>
          </w:rPr>
          <w:t xml:space="preserve">Artikels 52</w:t>
        </w:r>
      </w:hyperlink>
      <w:r>
        <w:t xml:space="preserve"> die Entschädigung dem Eigentümer eines eingetragenen Schiffs oder Schiffsbauwerks zu gewähren, so sind auf den Entschädigungsanspruch die Vorschriften der §§ 32 und 33 des Gesetzes über Rechte an eingetragenen Schiffen und Schiffsbauwerken vom 15. November 1940 (Reichsgesetzbl. I S. 1499) entsprechend anzuwenden.</w:t>
      </w:r>
    </w:p>
    <w:p>
      <w:r>
        <w:t xml:space="preserve">(2) </w:t>
      </w:r>
      <w:hyperlink w:anchor="b66" w:history="1">
        <w:r>
          <w:rPr>
            <w:color w:val="0A3A8C"/>
            <w:u w:val="single"/>
          </w:rPr>
          <w:t xml:space="preserve">Artikel 53</w:t>
        </w:r>
      </w:hyperlink>
      <w:r>
        <w:t xml:space="preserve"> Abs. 1 Satz 2 und 3 gilt entsprechend.</w:t>
      </w:r>
    </w:p>
    <w:p>
      <w:pPr>
        <w:pStyle w:val="Heading2"/>
      </w:pPr>
      <w:bookmarkStart w:id="69" w:name="b68"/>
      <w:r>
        <w:t>Art 54 (gegenstandslos)</w:t>
      </w:r>
      <w:r>
        <w:t xml:space="preserve"> </w:t>
      </w:r>
      <w:r>
        <w:rPr>
          <w:rStyle w:val="Suchmarke"/>
        </w:rPr>
        <w:t>#54.#</w:t>
      </w:r>
      <w:bookmarkEnd w:id="69"/>
    </w:p>
    <w:p>
      <w:pPr>
        <w:pStyle w:val="Heading1"/>
      </w:pPr>
      <w:bookmarkStart w:id="70" w:name="b69"/>
      <w:r>
        <w:t>Dritter Teil Verhältnis des Bürgerlichen Gesetzbuchs zu den Landesgesetzen</w:t>
      </w:r>
      <w:bookmarkEnd w:id="70"/>
    </w:p>
    <w:p>
      <w:pPr>
        <w:pStyle w:val="Heading2"/>
      </w:pPr>
      <w:bookmarkStart w:id="71" w:name="b70"/>
      <w:r>
        <w:t>Art 55</w:t>
      </w:r>
      <w:r>
        <w:t xml:space="preserve"> </w:t>
      </w:r>
      <w:r>
        <w:rPr>
          <w:rStyle w:val="Suchmarke"/>
        </w:rPr>
        <w:t>#55.#</w:t>
      </w:r>
      <w:bookmarkEnd w:id="71"/>
    </w:p>
    <w:p>
      <w:r>
        <w:t>Die privatrechtlichen Vorschriften der Landesgesetze treten außer Kraft, soweit nicht in dem Bürgerlichen Gesetzbuch oder in diesem Gesetz ein anderes bestimmt ist.</w:t>
      </w:r>
    </w:p>
    <w:p>
      <w:pPr>
        <w:pStyle w:val="Heading2"/>
      </w:pPr>
      <w:bookmarkStart w:id="72" w:name="b71"/>
      <w:r>
        <w:t>Art 56</w:t>
      </w:r>
      <w:r>
        <w:t xml:space="preserve"> </w:t>
      </w:r>
      <w:r>
        <w:rPr>
          <w:rStyle w:val="Suchmarke"/>
        </w:rPr>
        <w:t>#56.#</w:t>
      </w:r>
      <w:bookmarkEnd w:id="72"/>
    </w:p>
    <w:p>
      <w:r>
        <w:t>Unberührt bleiben die Bestimmungen der Staatsverträge, die ein Bundesstaat mit einem ausländischen Staat vor dem Inkrafttreten des Bürgerlichen Gesetzbuchs geschlossen hat.</w:t>
      </w:r>
    </w:p>
    <w:p>
      <w:pPr>
        <w:pStyle w:val="Heading2"/>
      </w:pPr>
      <w:bookmarkStart w:id="73" w:name="b72"/>
      <w:r>
        <w:t>Art 57 und 58 (gegenstandslos)</w:t>
      </w:r>
      <w:bookmarkEnd w:id="73"/>
    </w:p>
    <w:p>
      <w:pPr>
        <w:pStyle w:val="Heading2"/>
      </w:pPr>
      <w:bookmarkStart w:id="74" w:name="b73"/>
      <w:r>
        <w:t>Art 59</w:t>
      </w:r>
      <w:r>
        <w:t xml:space="preserve"> </w:t>
      </w:r>
      <w:r>
        <w:rPr>
          <w:rStyle w:val="Suchmarke"/>
        </w:rPr>
        <w:t>#59.#</w:t>
      </w:r>
      <w:bookmarkEnd w:id="74"/>
    </w:p>
    <w:p>
      <w:r>
        <w:t>Unberührt bleiben die landesgesetzlichen Vorschriften über Familienfideikommisse und Lehen, mit Einschluß der allodifizierten Lehen, sowie über Stammgüter.</w:t>
      </w:r>
    </w:p>
    <w:p>
      <w:pPr>
        <w:pStyle w:val="Heading2"/>
      </w:pPr>
      <w:bookmarkStart w:id="75" w:name="b74"/>
      <w:r>
        <w:t>Art 60</w:t>
      </w:r>
      <w:r>
        <w:t xml:space="preserve"> </w:t>
      </w:r>
      <w:r>
        <w:rPr>
          <w:rStyle w:val="Suchmarke"/>
        </w:rPr>
        <w:t>#60.#</w:t>
      </w:r>
      <w:bookmarkEnd w:id="75"/>
    </w:p>
    <w:p>
      <w:r>
        <w:t xml:space="preserve">Unberührt bleiben die landesgesetzlichen Vorschriften, welche die Bestellung einer Hypothek, Grundschuld oder Rentenschuld an einem Grundstück, dessen Belastung nach den in den Artikeln 57 bis </w:t>
      </w:r>
      <w:hyperlink w:anchor="b73" w:history="1">
        <w:r>
          <w:rPr>
            <w:color w:val="0A3A8C"/>
            <w:u w:val="single"/>
          </w:rPr>
          <w:t xml:space="preserve">59</w:t>
        </w:r>
      </w:hyperlink>
      <w:r>
        <w:t xml:space="preserve"> bezeichneten Vorschriften nur beschränkt zulässig ist, dahin gestatten, daß der Gläubiger Befriedigung aus dem Grundstück lediglich im Wege der Zwangsverwaltung suchen kann.</w:t>
      </w:r>
    </w:p>
    <w:p>
      <w:pPr>
        <w:pStyle w:val="Heading2"/>
      </w:pPr>
      <w:bookmarkStart w:id="76" w:name="b75"/>
      <w:r>
        <w:t>Art 61</w:t>
      </w:r>
      <w:r>
        <w:t xml:space="preserve"> </w:t>
      </w:r>
      <w:r>
        <w:rPr>
          <w:rStyle w:val="Suchmarke"/>
        </w:rPr>
        <w:t>#61.#</w:t>
      </w:r>
      <w:bookmarkEnd w:id="76"/>
    </w:p>
    <w:p>
      <w:r>
        <w:t xml:space="preserve">Ist die Veräußerung oder Belastung eines Gegenstandes nach den in den Artikeln 57 bis </w:t>
      </w:r>
      <w:hyperlink w:anchor="b73" w:history="1">
        <w:r>
          <w:rPr>
            <w:color w:val="0A3A8C"/>
            <w:u w:val="single"/>
          </w:rPr>
          <w:t xml:space="preserve">59</w:t>
        </w:r>
      </w:hyperlink>
      <w:r>
        <w:t xml:space="preserve"> bezeichneten Vorschriften unzulässig oder nur beschränkt zulässig, so finden auf einen Erwerb, dem diese Vorschriften entgegenstehen, die Vorschriften des Bürgerlichen Gesetzbuchs zugunsten derjenigen, welche Rechte von einem Nichtberechtigten herleiten, entsprechende Anwendung.</w:t>
      </w:r>
    </w:p>
    <w:p>
      <w:pPr>
        <w:pStyle w:val="Heading2"/>
      </w:pPr>
      <w:bookmarkStart w:id="77" w:name="b76"/>
      <w:r>
        <w:t>Art 62</w:t>
      </w:r>
      <w:r>
        <w:t xml:space="preserve"> </w:t>
      </w:r>
      <w:r>
        <w:rPr>
          <w:rStyle w:val="Suchmarke"/>
        </w:rPr>
        <w:t>#62.#</w:t>
      </w:r>
      <w:bookmarkEnd w:id="77"/>
    </w:p>
    <w:p>
      <w:r>
        <w:t>Unberührt bleiben die landesgesetzlichen Vorschriften über Rentengüter.</w:t>
      </w:r>
    </w:p>
    <w:p>
      <w:pPr>
        <w:pStyle w:val="Heading2"/>
      </w:pPr>
      <w:bookmarkStart w:id="78" w:name="b77"/>
      <w:r>
        <w:t>Art 63</w:t>
      </w:r>
      <w:r>
        <w:t xml:space="preserve"> </w:t>
      </w:r>
      <w:r>
        <w:rPr>
          <w:rStyle w:val="Suchmarke"/>
        </w:rPr>
        <w:t>#63.#</w:t>
      </w:r>
      <w:bookmarkEnd w:id="78"/>
    </w:p>
    <w:p>
      <w:r>
        <w:rPr>
          <w:rStyle w:val="Satznummer"/>
        </w:rPr>
        <w:t>1</w:t>
      </w:r>
      <w:r>
        <w:t xml:space="preserve">Unberührt bleiben die landesgesetzlichen Vorschriften über das Erbpachtrecht, mit Einschluß des Büdnerrechts und des Häuslerrechts, in denjenigen Bundesstaaten, in welchen solche Rechte bestehen. </w:t>
      </w:r>
      <w:r>
        <w:rPr>
          <w:rStyle w:val="Satznummer"/>
        </w:rPr>
        <w:t>2</w:t>
      </w:r>
      <w:r>
        <w:t>Die Vorschriften des § 1017 des Bürgerlichen Gesetzbuchs finden auf diese Rechte entsprechende Anwendung.</w:t>
      </w:r>
    </w:p>
    <w:p>
      <w:pPr>
        <w:pStyle w:val="Heading2"/>
      </w:pPr>
      <w:bookmarkStart w:id="79" w:name="b78"/>
      <w:r>
        <w:t>Art 64</w:t>
      </w:r>
      <w:r>
        <w:t xml:space="preserve"> </w:t>
      </w:r>
      <w:r>
        <w:rPr>
          <w:rStyle w:val="Suchmarke"/>
        </w:rPr>
        <w:t>#64.#</w:t>
      </w:r>
      <w:bookmarkEnd w:id="79"/>
    </w:p>
    <w:p>
      <w:r>
        <w:t>(1) Unberührt bleiben die landesgesetzlichen Vorschriften über das Anerbenrecht in Ansehung landwirtschaftlicher und forstwirtschaftlicher Grundstücke nebst deren Zubehör.</w:t>
      </w:r>
    </w:p>
    <w:p>
      <w:r>
        <w:t>(2) Die Landesgesetze können das Recht des Erblassers, über das dem Anerbenrecht unterliegende Grundstück von Todes wegen zu verfügen, nicht beschränken.</w:t>
      </w:r>
    </w:p>
    <w:p>
      <w:pPr>
        <w:pStyle w:val="Heading2"/>
      </w:pPr>
      <w:bookmarkStart w:id="80" w:name="b79"/>
      <w:r>
        <w:t>Art 65 (weggefallen)</w:t>
      </w:r>
      <w:r>
        <w:t xml:space="preserve"> </w:t>
      </w:r>
      <w:r>
        <w:rPr>
          <w:rStyle w:val="Suchmarke"/>
        </w:rPr>
        <w:t>#65.#</w:t>
      </w:r>
      <w:bookmarkEnd w:id="80"/>
    </w:p>
    <w:p>
      <w:pPr>
        <w:pStyle w:val="Heading2"/>
      </w:pPr>
      <w:bookmarkStart w:id="81" w:name="b80"/>
      <w:r>
        <w:t>Art 66</w:t>
      </w:r>
      <w:r>
        <w:t xml:space="preserve"> </w:t>
      </w:r>
      <w:r>
        <w:rPr>
          <w:rStyle w:val="Suchmarke"/>
        </w:rPr>
        <w:t>#66.#</w:t>
      </w:r>
      <w:bookmarkEnd w:id="81"/>
    </w:p>
    <w:p>
      <w:r>
        <w:t>Unberührt bleiben die landesgesetzlichen Vorschriften, welche dem Deich- und Sielrecht angehören.</w:t>
      </w:r>
    </w:p>
    <w:p>
      <w:pPr>
        <w:pStyle w:val="Heading2"/>
      </w:pPr>
      <w:bookmarkStart w:id="82" w:name="b81"/>
      <w:r>
        <w:t>Art 67</w:t>
      </w:r>
      <w:r>
        <w:t xml:space="preserve"> </w:t>
      </w:r>
      <w:r>
        <w:rPr>
          <w:rStyle w:val="Suchmarke"/>
        </w:rPr>
        <w:t>#67.#</w:t>
      </w:r>
      <w:bookmarkEnd w:id="82"/>
    </w:p>
    <w:p>
      <w:r>
        <w:t>(1) Unberührt bleiben die landesgesetzlichen Vorschriften, welche dem Bergrecht angehören.</w:t>
      </w:r>
    </w:p>
    <w:p>
      <w:r>
        <w:t>(2) Ist nach landesgesetzlicher Vorschrift wegen Beschädigung eines Grundstücks durch Bergbau eine Entschädigung zu gewähren, so finden die Vorschriften der Artikel 52 und 53 Anwendung, soweit nicht die Landesgesetze ein anderes bestimmen.</w:t>
      </w:r>
    </w:p>
    <w:p>
      <w:pPr>
        <w:pStyle w:val="Heading2"/>
      </w:pPr>
      <w:bookmarkStart w:id="83" w:name="b82"/>
      <w:r>
        <w:t>Art 68</w:t>
      </w:r>
      <w:r>
        <w:t xml:space="preserve"> </w:t>
      </w:r>
      <w:r>
        <w:rPr>
          <w:rStyle w:val="Suchmarke"/>
        </w:rPr>
        <w:t>#68.#</w:t>
      </w:r>
      <w:bookmarkEnd w:id="83"/>
    </w:p>
    <w:p>
      <w:r>
        <w:rPr>
          <w:rStyle w:val="Satznummer"/>
        </w:rPr>
        <w:t>1</w:t>
      </w:r>
      <w:r>
        <w:t xml:space="preserve">Unberührt bleiben die landesgesetzlichen Vorschriften, welche die Belastung eines Grundstücks mit dem vererblichen und veräußerlichen Recht zur Gewinnung eines den bergrechtlichen Vorschriften nicht unterliegenden Minerals gestatten und den Inhalt dieses Rechtes näher bestimmen. </w:t>
      </w:r>
      <w:r>
        <w:rPr>
          <w:rStyle w:val="Satznummer"/>
        </w:rPr>
        <w:t>2</w:t>
      </w:r>
      <w:r>
        <w:t>Die Vorschriften der §§ 874, 875, 876, 1015, 1017 des Bürgerlichen Gesetzbuchs finden entsprechende Anwendung.</w:t>
      </w:r>
    </w:p>
    <w:p>
      <w:pPr>
        <w:pStyle w:val="Heading2"/>
      </w:pPr>
      <w:bookmarkStart w:id="84" w:name="b83"/>
      <w:r>
        <w:t>Art 69</w:t>
      </w:r>
      <w:r>
        <w:t xml:space="preserve"> </w:t>
      </w:r>
      <w:r>
        <w:rPr>
          <w:rStyle w:val="Suchmarke"/>
        </w:rPr>
        <w:t>#69.#</w:t>
      </w:r>
      <w:bookmarkEnd w:id="84"/>
    </w:p>
    <w:p>
      <w:r>
        <w:t xml:space="preserve">Unberührt bleiben die landesgesetzlichen Vorschriften über </w:t>
      </w:r>
      <w:r>
        <w:rPr>
          <w:i/>
        </w:rPr>
        <w:t>Jagd und</w:t>
      </w:r>
      <w:r>
        <w:t xml:space="preserve"> Fischerei, unbeschadet der Vorschrift des § 958 Abs. 2 des Bürgerlichen Gesetzbuchs und der Vorschriften des Bürgerlichen Gesetzbuchs über den Ersatz des Wildschadens.</w:t>
      </w:r>
    </w:p>
    <w:p>
      <w:pPr>
        <w:pStyle w:val="Heading2"/>
      </w:pPr>
      <w:bookmarkStart w:id="85" w:name="b84"/>
      <w:r>
        <w:t>Art 70 bis 72 (weggefallen)</w:t>
      </w:r>
      <w:bookmarkEnd w:id="85"/>
    </w:p>
    <w:p>
      <w:pPr>
        <w:pStyle w:val="Heading2"/>
      </w:pPr>
      <w:bookmarkStart w:id="86" w:name="b85"/>
      <w:r>
        <w:t>Art 73</w:t>
      </w:r>
      <w:r>
        <w:t xml:space="preserve"> </w:t>
      </w:r>
      <w:r>
        <w:rPr>
          <w:rStyle w:val="Suchmarke"/>
        </w:rPr>
        <w:t>#73.#</w:t>
      </w:r>
      <w:bookmarkEnd w:id="86"/>
    </w:p>
    <w:p>
      <w:r>
        <w:t>Unberührt bleiben die landesgesetzlichen Vorschriften über Regalien.</w:t>
      </w:r>
    </w:p>
    <w:p>
      <w:pPr>
        <w:pStyle w:val="Heading2"/>
      </w:pPr>
      <w:bookmarkStart w:id="87" w:name="b86"/>
      <w:r>
        <w:t>Art 74</w:t>
      </w:r>
      <w:r>
        <w:t xml:space="preserve"> </w:t>
      </w:r>
      <w:r>
        <w:rPr>
          <w:rStyle w:val="Suchmarke"/>
        </w:rPr>
        <w:t>#74.#</w:t>
      </w:r>
      <w:bookmarkEnd w:id="87"/>
    </w:p>
    <w:p>
      <w:r>
        <w:t>Unberührt bleiben die landesgesetzlichen Vorschriften über Zwangsrechte, Bannrechte und Realgewerbeberechtigungen.</w:t>
      </w:r>
    </w:p>
    <w:p>
      <w:pPr>
        <w:pStyle w:val="Heading2"/>
      </w:pPr>
      <w:bookmarkStart w:id="88" w:name="b87"/>
      <w:r>
        <w:t>Art 75 (gegenstandslos)</w:t>
      </w:r>
      <w:r>
        <w:t xml:space="preserve"> </w:t>
      </w:r>
      <w:r>
        <w:rPr>
          <w:rStyle w:val="Suchmarke"/>
        </w:rPr>
        <w:t>#75.#</w:t>
      </w:r>
      <w:bookmarkEnd w:id="88"/>
    </w:p>
    <w:p>
      <w:pPr>
        <w:pStyle w:val="Heading2"/>
      </w:pPr>
      <w:bookmarkStart w:id="89" w:name="b88"/>
      <w:r>
        <w:t>Art 76</w:t>
      </w:r>
      <w:r>
        <w:t xml:space="preserve"> </w:t>
      </w:r>
      <w:r>
        <w:rPr>
          <w:rStyle w:val="Suchmarke"/>
        </w:rPr>
        <w:t>#76.#</w:t>
      </w:r>
      <w:bookmarkEnd w:id="89"/>
    </w:p>
    <w:p>
      <w:r>
        <w:t>Unberührt bleiben die landesgesetzlichen Vorschriften, welche dem Verlagsrecht angehören.</w:t>
      </w:r>
    </w:p>
    <w:p>
      <w:pPr>
        <w:pStyle w:val="Heading2"/>
      </w:pPr>
      <w:bookmarkStart w:id="90" w:name="b89"/>
      <w:r>
        <w:t>Art 77</w:t>
      </w:r>
      <w:r>
        <w:t xml:space="preserve"> </w:t>
      </w:r>
      <w:r>
        <w:rPr>
          <w:rStyle w:val="Suchmarke"/>
        </w:rPr>
        <w:t>#77.#</w:t>
      </w:r>
      <w:bookmarkEnd w:id="90"/>
    </w:p>
    <w:p>
      <w:r>
        <w:t>Unberührt bleiben die landesgesetzlichen Vorschriften über die Haftung des Staates, der Gemeinden und anderer Kommunalverbände (Provinzial-, Kreis-, Amtsverbände) für den von ihren Beamten in Ausübung der diesen anvertrauten öffentlichen Gewalt zugefügten Schaden sowie die landesgesetzlichen Vorschriften, welche das Recht des Beschädigten, von dem Beamten den Ersatz eines solchen Schadens zu verlangen, insoweit ausschließen, als der Staat oder der Kommunalverband haftet.</w:t>
      </w:r>
    </w:p>
    <w:p>
      <w:pPr>
        <w:pStyle w:val="Heading2"/>
      </w:pPr>
      <w:bookmarkStart w:id="91" w:name="b90"/>
      <w:r>
        <w:t>Art 78</w:t>
      </w:r>
      <w:r>
        <w:t xml:space="preserve"> </w:t>
      </w:r>
      <w:r>
        <w:rPr>
          <w:rStyle w:val="Suchmarke"/>
        </w:rPr>
        <w:t>#78.#</w:t>
      </w:r>
      <w:bookmarkEnd w:id="91"/>
    </w:p>
    <w:p>
      <w:r>
        <w:t>Unberührt bleiben die landesgesetzlichen Vorschriften, nach welchen die Beamten für die von ihnen angenommenen Stellvertreter und Gehilfen in weiterem Umfang als nach dem Bürgerlichen Gesetzbuch haften.</w:t>
      </w:r>
    </w:p>
    <w:p>
      <w:pPr>
        <w:pStyle w:val="Heading2"/>
      </w:pPr>
      <w:bookmarkStart w:id="92" w:name="b91"/>
      <w:r>
        <w:t>Art 79</w:t>
      </w:r>
      <w:r>
        <w:t xml:space="preserve"> </w:t>
      </w:r>
      <w:r>
        <w:rPr>
          <w:rStyle w:val="Suchmarke"/>
        </w:rPr>
        <w:t>#79.#</w:t>
      </w:r>
      <w:bookmarkEnd w:id="92"/>
    </w:p>
    <w:p>
      <w:r>
        <w:t>Unberührt bleiben die landesgesetzlichen Vorschriften, nach welchen die zur amtlichen Feststellung des Wertes von Grundstücken bestellten Sachverständigen für den aus einer Verletzung ihrer Berufspflicht entstandenen Schaden in weiterem Umfang als nach dem Bürgerlichen Gesetzbuch haften.</w:t>
      </w:r>
    </w:p>
    <w:p>
      <w:pPr>
        <w:pStyle w:val="Heading2"/>
      </w:pPr>
      <w:bookmarkStart w:id="93" w:name="b92"/>
      <w:r>
        <w:t>Art 80</w:t>
      </w:r>
      <w:r>
        <w:t xml:space="preserve"> </w:t>
      </w:r>
      <w:r>
        <w:rPr>
          <w:rStyle w:val="Suchmarke"/>
        </w:rPr>
        <w:t>#80.#</w:t>
      </w:r>
      <w:bookmarkEnd w:id="93"/>
    </w:p>
    <w:p>
      <w:r>
        <w:t>(1) Unberührt bleiben, soweit nicht in dem Bürgerlichen Gesetzbuch eine besondere Bestimmung getroffen ist, die landesgesetzlichen Vorschriften über die vermögensrechtlichen Ansprüche und Verbindlichkeiten der Beamten, der Geistlichen und der Lehrer an öffentlichen Unterrichtsanstalten aus dem Amts- oder Dienstverhältnis mit Einschluß der Ansprüche der Hinterbliebenen.</w:t>
      </w:r>
    </w:p>
    <w:p>
      <w:r>
        <w:t>(2) Unberührt bleiben die landesgesetzlichen Vorschriften über das Pfründenrecht.</w:t>
      </w:r>
    </w:p>
    <w:p>
      <w:pPr>
        <w:pStyle w:val="Heading2"/>
      </w:pPr>
      <w:bookmarkStart w:id="94" w:name="b93"/>
      <w:r>
        <w:t>Art 81</w:t>
      </w:r>
      <w:r>
        <w:t xml:space="preserve"> </w:t>
      </w:r>
      <w:r>
        <w:rPr>
          <w:rStyle w:val="Suchmarke"/>
        </w:rPr>
        <w:t>#81.#</w:t>
      </w:r>
      <w:bookmarkEnd w:id="94"/>
    </w:p>
    <w:p>
      <w:r>
        <w:t xml:space="preserve">Unberührt bleiben die landesgesetzlichen Vorschriften, welche die Übertragbarkeit der Ansprüche der in </w:t>
      </w:r>
      <w:hyperlink w:anchor="b92" w:history="1">
        <w:r>
          <w:rPr>
            <w:color w:val="0A3A8C"/>
            <w:u w:val="single"/>
          </w:rPr>
          <w:t xml:space="preserve">Artikel 80</w:t>
        </w:r>
      </w:hyperlink>
      <w:r>
        <w:t xml:space="preserve"> Abs. 1 bezeichneten Personen auf Besoldung, Wartegeld, Ruhegehalt, Witwen- und Waisengeld beschränken, sowie die landesgesetzlichen Vorschriften, welche die Aufrechnung gegen solche Ansprüche abweichend von der Vorschrift des § 394 des Bürgerlichen Gesetzbuchs zulassen.</w:t>
      </w:r>
    </w:p>
    <w:p>
      <w:pPr>
        <w:pStyle w:val="Heading2"/>
      </w:pPr>
      <w:bookmarkStart w:id="95" w:name="b94"/>
      <w:r>
        <w:t>Art 82</w:t>
      </w:r>
      <w:r>
        <w:t xml:space="preserve"> </w:t>
      </w:r>
      <w:r>
        <w:rPr>
          <w:rStyle w:val="Suchmarke"/>
        </w:rPr>
        <w:t>#82.#</w:t>
      </w:r>
      <w:bookmarkEnd w:id="95"/>
    </w:p>
    <w:p>
      <w:r>
        <w:t>Unberührt bleiben die Vorschriften der Landesgesetze über die Verfassung solcher Vereine, deren Rechtsfähigkeit auf staatlicher Verleihung beruht.</w:t>
      </w:r>
    </w:p>
    <w:p>
      <w:pPr>
        <w:pStyle w:val="Heading2"/>
      </w:pPr>
      <w:bookmarkStart w:id="96" w:name="b95"/>
      <w:r>
        <w:t>Art 83</w:t>
      </w:r>
      <w:r>
        <w:t xml:space="preserve"> </w:t>
      </w:r>
      <w:r>
        <w:rPr>
          <w:rStyle w:val="Suchmarke"/>
        </w:rPr>
        <w:t>#83.#</w:t>
      </w:r>
      <w:bookmarkEnd w:id="96"/>
    </w:p>
    <w:p>
      <w:r>
        <w:t>Unberührt bleiben die landesgesetzlichen Vorschriften über Waldgenossenschaften.</w:t>
      </w:r>
    </w:p>
    <w:p>
      <w:pPr>
        <w:pStyle w:val="Heading2"/>
      </w:pPr>
      <w:bookmarkStart w:id="97" w:name="b96"/>
      <w:r>
        <w:t>Art 84</w:t>
      </w:r>
      <w:r>
        <w:t xml:space="preserve"> </w:t>
      </w:r>
      <w:r>
        <w:rPr>
          <w:rStyle w:val="Suchmarke"/>
        </w:rPr>
        <w:t>#84.#</w:t>
      </w:r>
      <w:bookmarkEnd w:id="97"/>
    </w:p>
    <w:p>
      <w:r>
        <w:t>(gegenstandslos)</w:t>
      </w:r>
    </w:p>
    <w:p>
      <w:pPr>
        <w:pStyle w:val="Heading2"/>
      </w:pPr>
      <w:bookmarkStart w:id="98" w:name="b97"/>
      <w:r>
        <w:t>Art 85</w:t>
      </w:r>
      <w:r>
        <w:t xml:space="preserve"> </w:t>
      </w:r>
      <w:r>
        <w:rPr>
          <w:rStyle w:val="Suchmarke"/>
        </w:rPr>
        <w:t>#85.#</w:t>
      </w:r>
      <w:bookmarkEnd w:id="98"/>
    </w:p>
    <w:p>
      <w:r>
        <w:t>Unberührt bleiben die landesgesetzlichen Vorschriften, nach welchen im Falle des § 45 Abs. 3 des Bürgerlichen Gesetzbuchs das Vermögen des aufgelösten Vereins an Stelle des Fiskus einer Körperschaft, Stiftung oder Anstalt des öffentlichen Rechts anfällt.</w:t>
      </w:r>
    </w:p>
    <w:p>
      <w:pPr>
        <w:pStyle w:val="Heading2"/>
      </w:pPr>
      <w:bookmarkStart w:id="99" w:name="b98"/>
      <w:r>
        <w:t>Art 86</w:t>
      </w:r>
      <w:r>
        <w:t xml:space="preserve"> </w:t>
      </w:r>
      <w:r>
        <w:rPr>
          <w:rStyle w:val="Suchmarke"/>
        </w:rPr>
        <w:t>#86.#</w:t>
      </w:r>
      <w:bookmarkEnd w:id="99"/>
    </w:p>
    <w:p>
      <w:r>
        <w:rPr>
          <w:rStyle w:val="Satznummer"/>
        </w:rPr>
        <w:t>1</w:t>
      </w:r>
      <w:r>
        <w:t xml:space="preserve">Vorschriften, die den Erwerb von Rechten durch Ausländer oder durch juristische Personen, die ihren satzungsmäßigen Sitz, ihre Hauptverwaltung oder ihre Hauptniederlassung nicht im Bundesgebiet haben (ausländische juristische Personen), beschränken oder von einer Genehmigung abhängig machen, finden vom 30. Juli 1998 keine Anwendung mehr. </w:t>
      </w:r>
      <w:r>
        <w:rPr>
          <w:rStyle w:val="Satznummer"/>
        </w:rPr>
        <w:t>2</w:t>
      </w:r>
      <w:r>
        <w:t xml:space="preserve">Die Bundesregierung wird ermächtigt, durch Rechtsverordnung mit Zustimmung des Bundesrates den Erwerb von Rechten durch Ausländer oder ausländische juristische Personen zu beschränken und von der Erteilung einer Genehmigung abhängig zu machen, wenn Deutsche und inländische juristische Personen in dem betreffenden Staat in dem Erwerb von Rechten eingeschränkt werden und außenpolitische Gründe, insbesondere das Retorsionsrecht, dies erfordern. </w:t>
      </w:r>
      <w:r>
        <w:rPr>
          <w:rStyle w:val="Satznummer"/>
        </w:rPr>
        <w:t>3</w:t>
      </w:r>
      <w:r>
        <w:t>Satz 2 gilt nicht für Ausländer und ausländische juristische Personen aus Mitgliedstaaten der Europäischen Union.</w:t>
      </w:r>
    </w:p>
    <w:p>
      <w:pPr>
        <w:pStyle w:val="Heading2"/>
      </w:pPr>
      <w:bookmarkStart w:id="100" w:name="b99"/>
      <w:r>
        <w:t>Art 87 (weggefallen)</w:t>
      </w:r>
      <w:r>
        <w:t xml:space="preserve"> </w:t>
      </w:r>
      <w:r>
        <w:rPr>
          <w:rStyle w:val="Suchmarke"/>
        </w:rPr>
        <w:t>#87.#</w:t>
      </w:r>
      <w:bookmarkEnd w:id="100"/>
    </w:p>
    <w:p>
      <w:pPr>
        <w:pStyle w:val="Heading2"/>
      </w:pPr>
      <w:bookmarkStart w:id="101" w:name="b100"/>
      <w:r>
        <w:t>Art 88 (weggefallen)</w:t>
      </w:r>
      <w:r>
        <w:t xml:space="preserve"> </w:t>
      </w:r>
      <w:r>
        <w:rPr>
          <w:rStyle w:val="Suchmarke"/>
        </w:rPr>
        <w:t>#88.#</w:t>
      </w:r>
      <w:bookmarkEnd w:id="101"/>
    </w:p>
    <w:p>
      <w:pPr>
        <w:pStyle w:val="Heading2"/>
      </w:pPr>
      <w:bookmarkStart w:id="102" w:name="b101"/>
      <w:r>
        <w:t>Art 89</w:t>
      </w:r>
      <w:r>
        <w:t xml:space="preserve"> </w:t>
      </w:r>
      <w:r>
        <w:rPr>
          <w:rStyle w:val="Suchmarke"/>
        </w:rPr>
        <w:t>#89.#</w:t>
      </w:r>
      <w:bookmarkEnd w:id="102"/>
    </w:p>
    <w:p>
      <w:r>
        <w:t>Unberührt bleiben die landesgesetzlichen Vorschriften über die zum Schutz der Grundstücke und der Erzeugnisse von Grundstücken gestattete Pfändung von Sachen, mit Einschluß der Vorschriften über die Entrichtung von Pfandgeld oder Ersatzgeld.</w:t>
      </w:r>
    </w:p>
    <w:p>
      <w:pPr>
        <w:pStyle w:val="Heading2"/>
      </w:pPr>
      <w:bookmarkStart w:id="103" w:name="b102"/>
      <w:r>
        <w:t>Art 90</w:t>
      </w:r>
      <w:r>
        <w:t xml:space="preserve"> </w:t>
      </w:r>
      <w:r>
        <w:rPr>
          <w:rStyle w:val="Suchmarke"/>
        </w:rPr>
        <w:t>#90.#</w:t>
      </w:r>
      <w:bookmarkEnd w:id="103"/>
    </w:p>
    <w:p>
      <w:r>
        <w:t>Unberührt bleiben die landesgesetzlichen Vorschriften über die Rechtsverhältnisse, welche sich aus einer auf Grund des öffentlichen Rechts wegen der Führung eines Amtes oder wegen eines Gewerbebetriebs erfolgten Sicherheitsleistung ergeben.</w:t>
      </w:r>
    </w:p>
    <w:p>
      <w:pPr>
        <w:pStyle w:val="Heading2"/>
      </w:pPr>
      <w:bookmarkStart w:id="104" w:name="b103"/>
      <w:r>
        <w:t>Art 91</w:t>
      </w:r>
      <w:r>
        <w:t xml:space="preserve"> </w:t>
      </w:r>
      <w:r>
        <w:rPr>
          <w:rStyle w:val="Suchmarke"/>
        </w:rPr>
        <w:t>#91.#</w:t>
      </w:r>
      <w:bookmarkEnd w:id="104"/>
    </w:p>
    <w:p>
      <w:r>
        <w:rPr>
          <w:rStyle w:val="Satznummer"/>
        </w:rPr>
        <w:t>1</w:t>
      </w:r>
      <w:r>
        <w:t xml:space="preserve">Unberührt bleiben die landesgesetzlichen Vorschriften, nach welchen der Fiskus, eine Körperschaft, Stiftung oder Anstalt des öffentlichen Rechts oder eine unter der Verwaltung einer öffentlichen Behörde stehende Stiftung berechtigt ist, zur Sicherung gewisser Forderungen die Eintragung einer Hypothek an Grundstücken des Schuldners zu verlangen, und nach welchen die Eintragung der Hypothek auf Ersuchen einer bestimmten Behörde zu erfolgen hat. </w:t>
      </w:r>
      <w:r>
        <w:rPr>
          <w:rStyle w:val="Satznummer"/>
        </w:rPr>
        <w:t>2</w:t>
      </w:r>
      <w:r>
        <w:t>Die Hypothek kann nur als Sicherungshypothek eingetragen werden; sie entsteht mit der Eintragung.</w:t>
      </w:r>
    </w:p>
    <w:p>
      <w:pPr>
        <w:pStyle w:val="Heading2"/>
      </w:pPr>
      <w:bookmarkStart w:id="105" w:name="b104"/>
      <w:r>
        <w:t>Art 92 (weggefallen)</w:t>
      </w:r>
      <w:r>
        <w:t xml:space="preserve"> </w:t>
      </w:r>
      <w:r>
        <w:rPr>
          <w:rStyle w:val="Suchmarke"/>
        </w:rPr>
        <w:t>#92.#</w:t>
      </w:r>
      <w:bookmarkEnd w:id="105"/>
    </w:p>
    <w:p>
      <w:pPr>
        <w:pStyle w:val="Heading2"/>
      </w:pPr>
      <w:bookmarkStart w:id="106" w:name="b105"/>
      <w:r>
        <w:t>Art 93</w:t>
      </w:r>
      <w:r>
        <w:t xml:space="preserve"> </w:t>
      </w:r>
      <w:r>
        <w:rPr>
          <w:rStyle w:val="Suchmarke"/>
        </w:rPr>
        <w:t>#93.#</w:t>
      </w:r>
      <w:bookmarkEnd w:id="106"/>
    </w:p>
    <w:p>
      <w:r>
        <w:t>Unberührt bleiben die landesgesetzlichen Vorschriften über die Fristen, bis zu deren Ablauf gemietete Räume bei Beendigung des Mietverhältnisses zu räumen sind.</w:t>
      </w:r>
    </w:p>
    <w:p>
      <w:pPr>
        <w:pStyle w:val="Heading2"/>
      </w:pPr>
      <w:bookmarkStart w:id="107" w:name="b106"/>
      <w:r>
        <w:t>Art 94</w:t>
      </w:r>
      <w:r>
        <w:t xml:space="preserve"> </w:t>
      </w:r>
      <w:r>
        <w:rPr>
          <w:rStyle w:val="Suchmarke"/>
        </w:rPr>
        <w:t>#94.#</w:t>
      </w:r>
      <w:bookmarkEnd w:id="107"/>
    </w:p>
    <w:p>
      <w:r>
        <w:t>(1) Unberührt bleiben die landesgesetzlichen Vorschriften, welche den Geschäftsbetrieb der Pfandleihanstalten betreffen.</w:t>
      </w:r>
    </w:p>
    <w:p>
      <w:r>
        <w:t>(2) Unberührt bleiben die landesgesetzlichen Vorschriften, nach welchen öffentlichen Pfandleihanstalten das Recht zusteht, die ihnen verpfändeten Sachen dem Berechtigten nur gegen Bezahlung des auf die Sache gewährten Darlehens herauszugeben.</w:t>
      </w:r>
    </w:p>
    <w:p>
      <w:pPr>
        <w:pStyle w:val="Heading2"/>
      </w:pPr>
      <w:bookmarkStart w:id="108" w:name="b107"/>
      <w:r>
        <w:t>Art 95 (gegenstandslos)</w:t>
      </w:r>
      <w:r>
        <w:t xml:space="preserve"> </w:t>
      </w:r>
      <w:r>
        <w:rPr>
          <w:rStyle w:val="Suchmarke"/>
        </w:rPr>
        <w:t>#95.#</w:t>
      </w:r>
      <w:bookmarkEnd w:id="108"/>
    </w:p>
    <w:p>
      <w:pPr>
        <w:pStyle w:val="Heading2"/>
      </w:pPr>
      <w:bookmarkStart w:id="109" w:name="b108"/>
      <w:r>
        <w:t>Art 96</w:t>
      </w:r>
      <w:r>
        <w:t xml:space="preserve"> </w:t>
      </w:r>
      <w:r>
        <w:rPr>
          <w:rStyle w:val="Suchmarke"/>
        </w:rPr>
        <w:t>#96.#</w:t>
      </w:r>
      <w:bookmarkEnd w:id="109"/>
    </w:p>
    <w:p>
      <w:r>
        <w:t>Unberührt bleiben die landesgesetzlichen Vorschriften über einen mit der Überlassung eines Grundstücks in Verbindung stehenden Leibgedings-, Leibzuchts-, Altenteils- oder Auszugsvertrag, soweit sie das sich aus dem Vertrag ergebende Schuldverhältnis für den Fall regeln, daß nicht besondere Vereinbarungen getroffen werden.</w:t>
      </w:r>
    </w:p>
    <w:p>
      <w:pPr>
        <w:pStyle w:val="Heading2"/>
      </w:pPr>
      <w:bookmarkStart w:id="110" w:name="b109"/>
      <w:r>
        <w:t>Art 97</w:t>
      </w:r>
      <w:r>
        <w:t xml:space="preserve"> </w:t>
      </w:r>
      <w:r>
        <w:rPr>
          <w:rStyle w:val="Suchmarke"/>
        </w:rPr>
        <w:t>#97.#</w:t>
      </w:r>
      <w:bookmarkEnd w:id="110"/>
    </w:p>
    <w:p>
      <w:r>
        <w:t>(1) Unberührt bleiben die landesgesetzlichen Vorschriften, welche die Eintragung von Gläubigern des Bundesstaats in ein Staatsschuldbuch und die aus der Eintragung sich ergebenden Rechtsverhältnisse, insbesondere die Übertragung und Belastung einer Buchforderung, regeln.</w:t>
      </w:r>
    </w:p>
    <w:p>
      <w:r>
        <w:t xml:space="preserve">(2) </w:t>
      </w:r>
      <w:r>
        <w:rPr>
          <w:rStyle w:val="Satznummer"/>
        </w:rPr>
        <w:t>1</w:t>
      </w:r>
      <w:r>
        <w:t xml:space="preserve">Soweit nach diesen Vorschriften eine Ehefrau berechtigt ist, selbständig Anträge zu stellen, ist dieses Recht ausgeschlossen, wenn ein Vermerk zugunsten des Ehemanns im Schuldbuch eingetragen ist. </w:t>
      </w:r>
      <w:r>
        <w:rPr>
          <w:rStyle w:val="Satznummer"/>
        </w:rPr>
        <w:t>2</w:t>
      </w:r>
      <w:r>
        <w:t xml:space="preserve">Ein solcher Vermerk ist einzutragen, wenn die Ehefrau oder mit ihrer Zustimmung der Ehemann die Eintragung beantragt. </w:t>
      </w:r>
      <w:r>
        <w:rPr>
          <w:rStyle w:val="Satznummer"/>
        </w:rPr>
        <w:t>3</w:t>
      </w:r>
      <w:r>
        <w:t>Die Ehefrau ist dem Ehemann gegenüber zur Erteilung der Zustimmung verpflichtet, wenn sie nach dem unter ihnen bestehenden Güterstand über die Buchforderung nur mit Zustimmung des Ehemanns verfügen kann.</w:t>
      </w:r>
    </w:p>
    <w:p>
      <w:pPr>
        <w:pStyle w:val="Heading2"/>
      </w:pPr>
      <w:bookmarkStart w:id="111" w:name="b110"/>
      <w:r>
        <w:t>Art 98</w:t>
      </w:r>
      <w:r>
        <w:t xml:space="preserve"> </w:t>
      </w:r>
      <w:r>
        <w:rPr>
          <w:rStyle w:val="Suchmarke"/>
        </w:rPr>
        <w:t>#98.#</w:t>
      </w:r>
      <w:bookmarkEnd w:id="111"/>
    </w:p>
    <w:p>
      <w:r>
        <w:t>Unberührt bleiben die landesgesetzlichen Vorschriften über die Rückzahlung oder Umwandlung verzinslicher Staatsschulden, für die Inhaberpapiere ausgegeben oder die im Staatsschuldbuch eingetragen sind.</w:t>
      </w:r>
    </w:p>
    <w:p>
      <w:pPr>
        <w:pStyle w:val="Heading2"/>
      </w:pPr>
      <w:bookmarkStart w:id="112" w:name="b111"/>
      <w:r>
        <w:t>Art 99</w:t>
      </w:r>
      <w:r>
        <w:t xml:space="preserve"> </w:t>
      </w:r>
      <w:r>
        <w:rPr>
          <w:rStyle w:val="Suchmarke"/>
        </w:rPr>
        <w:t>#99.#</w:t>
      </w:r>
      <w:bookmarkEnd w:id="112"/>
    </w:p>
    <w:p>
      <w:r>
        <w:t>Unberührt bleiben die landesgesetzlichen Vorschriften über die öffentlichen Sparkassen, unbeschadet der Vorschriften des § 808 des Bürgerlichen Gesetzbuchs und der Vorschriften des Bürgerlichen Gesetzbuchs über die Anlegung von Mündelgeld.</w:t>
      </w:r>
    </w:p>
    <w:p>
      <w:pPr>
        <w:pStyle w:val="Heading2"/>
      </w:pPr>
      <w:bookmarkStart w:id="113" w:name="b112"/>
      <w:r>
        <w:t>Art 100</w:t>
      </w:r>
      <w:r>
        <w:t xml:space="preserve"> </w:t>
      </w:r>
      <w:r>
        <w:rPr>
          <w:rStyle w:val="Suchmarke"/>
        </w:rPr>
        <w:t>#100.#</w:t>
      </w:r>
      <w:bookmarkEnd w:id="113"/>
    </w:p>
    <w:p>
      <w:r>
        <w:t>Unberührt bleiben die landesgesetzlichen Vorschriften, nach welchen bei Schuldverschreibungen auf den Inhaber, die der Bundesstaat oder eine ihm angehörende Körperschaft, Stiftung oder Anstalt des öffentlichen Rechts ausstellt:</w:t>
      </w:r>
    </w:p>
    <w:p>
      <w:pPr>
        <w:tabs>
          <w:tab w:pos="567" w:val="left"/>
        </w:tabs>
        <w:ind w:left="567" w:hanging="567"/>
      </w:pPr>
      <w:r>
        <w:t>1.</w:t>
      </w:r>
      <w:r>
        <w:tab/>
      </w:r>
      <w:r>
        <w:t>die Gültigkeit der Unterzeichnung von der Beobachtung einer besonderen Form abhängt, auch wenn eine solche Bestimmung in die Urkunde nicht aufgenommen ist;</w:t>
      </w:r>
    </w:p>
    <w:p>
      <w:pPr>
        <w:tabs>
          <w:tab w:pos="567" w:val="left"/>
        </w:tabs>
        <w:ind w:left="567" w:hanging="567"/>
      </w:pPr>
      <w:r>
        <w:t>2.</w:t>
      </w:r>
      <w:r>
        <w:tab/>
      </w:r>
      <w:r>
        <w:t>der im § 804 Abs. 1 des Bürgerlichen Gesetzbuchs bezeichnete Anspruch ausgeschlossen ist, auch wenn die Ausschließung in dem Zins- oder Rentenschein nicht bestimmt ist.</w:t>
      </w:r>
    </w:p>
    <w:p>
      <w:pPr>
        <w:pStyle w:val="Heading2"/>
      </w:pPr>
      <w:bookmarkStart w:id="114" w:name="b113"/>
      <w:r>
        <w:t>Art 101</w:t>
      </w:r>
      <w:r>
        <w:t xml:space="preserve"> </w:t>
      </w:r>
      <w:r>
        <w:rPr>
          <w:rStyle w:val="Suchmarke"/>
        </w:rPr>
        <w:t>#101.#</w:t>
      </w:r>
      <w:bookmarkEnd w:id="114"/>
    </w:p>
    <w:p>
      <w:r>
        <w:t>Unberührt bleiben die landesgesetzlichen Vorschriften, welche den Bundesstaat oder ihm angehörende Körperschaften, Stiftungen und Anstalten des öffentlichen Rechts abweichend von der Vorschrift des § 806 Satz 2 des Bürgerlichen Gesetzbuchs verpflichten, die von ihnen ausgestellten, auf den Inhaber lautenden Schuldverschreibungen auf den Namen eines bestimmten Berechtigten umzuschreiben, sowie die landesgesetzlichen Vorschriften, welche die sich aus der Umschreibung einer solchen Schuldverschreibung ergebenden Rechtsverhältnisse, mit Einschluß der Kraftloserklärung, regeln.</w:t>
      </w:r>
    </w:p>
    <w:p>
      <w:pPr>
        <w:pStyle w:val="Heading2"/>
      </w:pPr>
      <w:bookmarkStart w:id="115" w:name="b114"/>
      <w:r>
        <w:t>Art 102</w:t>
      </w:r>
      <w:r>
        <w:t xml:space="preserve"> </w:t>
      </w:r>
      <w:r>
        <w:rPr>
          <w:rStyle w:val="Suchmarke"/>
        </w:rPr>
        <w:t>#102.#</w:t>
      </w:r>
      <w:bookmarkEnd w:id="115"/>
    </w:p>
    <w:p>
      <w:r>
        <w:t>(1) Unberührt bleiben die landesgesetzlichen Vorschriften über die Kraftloserklärung und die Zahlungssperre in Ansehung der im § 807 des Bürgerlichen Gesetzbuchs bezeichneten Urkunden.</w:t>
      </w:r>
    </w:p>
    <w:p>
      <w:r>
        <w:t>(2) Unberührt bleiben die landesgesetzlichen Vorschriften, welche für die Kraftloserklärung der im § 808 des Bürgerlichen Gesetzbuchs bezeichneten Urkunden ein anderes Verfahren als das Aufgebotsverfahren bestimmen.</w:t>
      </w:r>
    </w:p>
    <w:p>
      <w:pPr>
        <w:pStyle w:val="Heading2"/>
      </w:pPr>
      <w:bookmarkStart w:id="116" w:name="b115"/>
      <w:r>
        <w:t>Art 103 (gegenstandslos)</w:t>
      </w:r>
      <w:r>
        <w:t xml:space="preserve"> </w:t>
      </w:r>
      <w:r>
        <w:rPr>
          <w:rStyle w:val="Suchmarke"/>
        </w:rPr>
        <w:t>#103.#</w:t>
      </w:r>
      <w:bookmarkEnd w:id="116"/>
    </w:p>
    <w:p>
      <w:pPr>
        <w:pStyle w:val="Heading2"/>
      </w:pPr>
      <w:bookmarkStart w:id="117" w:name="b116"/>
      <w:r>
        <w:t>Art 104</w:t>
      </w:r>
      <w:r>
        <w:t xml:space="preserve"> </w:t>
      </w:r>
      <w:r>
        <w:rPr>
          <w:rStyle w:val="Suchmarke"/>
        </w:rPr>
        <w:t>#104.#</w:t>
      </w:r>
      <w:bookmarkEnd w:id="117"/>
    </w:p>
    <w:p>
      <w:r>
        <w:t>Unberührt bleiben die landesgesetzlichen Vorschriften über den Anspruch auf Rückerstattung mit Unrecht erhobener öffentlicher Abgaben oder Kosten eines Verfahrens.</w:t>
      </w:r>
    </w:p>
    <w:p>
      <w:pPr>
        <w:pStyle w:val="Heading2"/>
      </w:pPr>
      <w:bookmarkStart w:id="118" w:name="b117"/>
      <w:r>
        <w:t>Art 105</w:t>
      </w:r>
      <w:r>
        <w:t xml:space="preserve"> </w:t>
      </w:r>
      <w:r>
        <w:rPr>
          <w:rStyle w:val="Suchmarke"/>
        </w:rPr>
        <w:t>#105.#</w:t>
      </w:r>
      <w:bookmarkEnd w:id="118"/>
    </w:p>
    <w:p>
      <w:r>
        <w:t xml:space="preserve">Unberührt bleiben die landesgesetzlichen Vorschriften, nach welchen der Unternehmer eines </w:t>
      </w:r>
      <w:r>
        <w:rPr>
          <w:i/>
        </w:rPr>
        <w:t>Eisenbahnbetriebs oder eines anderen</w:t>
      </w:r>
      <w:r>
        <w:t xml:space="preserve"> mit gemeiner Gefahr verbundenen Betriebs für den aus dem Betrieb entstehenden Schaden in weiterem Umfang als nach den Vorschriften des Bürgerlichen Gesetzbuchs verantwortlich ist.</w:t>
      </w:r>
    </w:p>
    <w:p>
      <w:pPr>
        <w:pStyle w:val="Heading2"/>
      </w:pPr>
      <w:bookmarkStart w:id="119" w:name="b118"/>
      <w:r>
        <w:t>Art 106</w:t>
      </w:r>
      <w:r>
        <w:t xml:space="preserve"> </w:t>
      </w:r>
      <w:r>
        <w:rPr>
          <w:rStyle w:val="Suchmarke"/>
        </w:rPr>
        <w:t>#106.#</w:t>
      </w:r>
      <w:bookmarkEnd w:id="119"/>
    </w:p>
    <w:p>
      <w:r>
        <w:t>Unberührt bleiben die landesgesetzlichen Vorschriften, nach welchen, wenn ein dem öffentlichen Gebrauch dienendes Grundstück zu einer Anlage oder zu einem Betrieb benutzt werden darf, der Unternehmer der Anlage oder des Betriebs für den Schaden verantwortlich ist, der bei dem öffentlichen Gebrauch des Grundstücks durch die Anlage oder den Betrieb verursacht wird.</w:t>
      </w:r>
    </w:p>
    <w:p>
      <w:pPr>
        <w:pStyle w:val="Heading2"/>
      </w:pPr>
      <w:bookmarkStart w:id="120" w:name="b119"/>
      <w:r>
        <w:t>Art 107</w:t>
      </w:r>
      <w:r>
        <w:t xml:space="preserve"> </w:t>
      </w:r>
      <w:r>
        <w:rPr>
          <w:rStyle w:val="Suchmarke"/>
        </w:rPr>
        <w:t>#107.#</w:t>
      </w:r>
      <w:bookmarkEnd w:id="120"/>
    </w:p>
    <w:p>
      <w:r>
        <w:t>Unberührt bleiben die landesgesetzlichen Vorschriften über die Verpflichtung zum Ersatz des Schadens, der durch das Zuwiderhandeln gegen ein zum Schutz von Grundstücken erlassenes Strafgesetz verursacht wird.</w:t>
      </w:r>
    </w:p>
    <w:p>
      <w:pPr>
        <w:pStyle w:val="Heading2"/>
      </w:pPr>
      <w:bookmarkStart w:id="121" w:name="b120"/>
      <w:r>
        <w:t>Art 108</w:t>
      </w:r>
      <w:r>
        <w:t xml:space="preserve"> </w:t>
      </w:r>
      <w:r>
        <w:rPr>
          <w:rStyle w:val="Suchmarke"/>
        </w:rPr>
        <w:t>#108.#</w:t>
      </w:r>
      <w:bookmarkEnd w:id="121"/>
    </w:p>
    <w:p>
      <w:r>
        <w:t>Unberührt bleiben die landesgesetzlichen Vorschriften über die Verpflichtung zum Ersatz des Schadens, der bei einer Zusammenrottung, einem Auflauf oder einem Aufruhr entsteht.</w:t>
      </w:r>
    </w:p>
    <w:p>
      <w:pPr>
        <w:pStyle w:val="Heading2"/>
      </w:pPr>
      <w:bookmarkStart w:id="122" w:name="b121"/>
      <w:r>
        <w:t>Art 109</w:t>
      </w:r>
      <w:r>
        <w:t xml:space="preserve"> </w:t>
      </w:r>
      <w:r>
        <w:rPr>
          <w:rStyle w:val="Suchmarke"/>
        </w:rPr>
        <w:t>#109.#</w:t>
      </w:r>
      <w:bookmarkEnd w:id="122"/>
    </w:p>
    <w:p>
      <w:r>
        <w:rPr>
          <w:rStyle w:val="Satznummer"/>
        </w:rPr>
        <w:t>1</w:t>
      </w:r>
      <w:r>
        <w:t xml:space="preserve">Unberührt bleiben die landesgesetzlichen Vorschriften über die im öffentlichen Interesse erfolgende Entziehung, Beschädigung oder Benutzung einer Sache, Beschränkung des Eigentums und Entziehung oder Beschränkung von Rechten. </w:t>
      </w:r>
      <w:r>
        <w:rPr>
          <w:rStyle w:val="Satznummer"/>
        </w:rPr>
        <w:t>2</w:t>
      </w:r>
      <w:r>
        <w:t xml:space="preserve">Auf die nach landesgesetzlicher Vorschrift wegen eines solchen Eingriffs zu gewährende Entschädigung finden die Vorschriften der Artikel 52 und 53 Anwendung, soweit nicht die Landesgesetze ein anderes bestimmen. </w:t>
      </w:r>
      <w:r>
        <w:rPr>
          <w:rStyle w:val="Satznummer"/>
        </w:rPr>
        <w:t>3</w:t>
      </w:r>
      <w:r>
        <w:t>Die landesgesetzlichen Vorschriften können nicht bestimmen, daß für ein Rechtsgeschäft, für das notarielle Beurkundung vorgeschrieben ist, eine andere Form genügt.</w:t>
      </w:r>
    </w:p>
    <w:p>
      <w:pPr>
        <w:pStyle w:val="Heading2"/>
      </w:pPr>
      <w:bookmarkStart w:id="123" w:name="b122"/>
      <w:r>
        <w:t>Art 110</w:t>
      </w:r>
      <w:r>
        <w:t xml:space="preserve"> </w:t>
      </w:r>
      <w:r>
        <w:rPr>
          <w:rStyle w:val="Suchmarke"/>
        </w:rPr>
        <w:t>#110.#</w:t>
      </w:r>
      <w:bookmarkEnd w:id="123"/>
    </w:p>
    <w:p>
      <w:r>
        <w:t>Unberührt bleiben die landesgesetzlichen Vorschriften, welche für den Fall, daß zerstörte Gebäude in anderer Lage wiederhergestellt werden, die Rechte an den beteiligten Grundstücken regeln.</w:t>
      </w:r>
    </w:p>
    <w:p>
      <w:pPr>
        <w:pStyle w:val="Heading2"/>
      </w:pPr>
      <w:bookmarkStart w:id="124" w:name="b123"/>
      <w:r>
        <w:t>Art 111</w:t>
      </w:r>
      <w:r>
        <w:t xml:space="preserve"> </w:t>
      </w:r>
      <w:r>
        <w:rPr>
          <w:rStyle w:val="Suchmarke"/>
        </w:rPr>
        <w:t>#111.#</w:t>
      </w:r>
      <w:bookmarkEnd w:id="124"/>
    </w:p>
    <w:p>
      <w:r>
        <w:t>Unberührt bleiben die landesgesetzlichen Vorschriften, welche im öffentlichen Interesse das Eigentum in Ansehung tatsächlicher Verfügungen beschränken.</w:t>
      </w:r>
    </w:p>
    <w:p>
      <w:pPr>
        <w:pStyle w:val="Heading2"/>
      </w:pPr>
      <w:bookmarkStart w:id="125" w:name="b124"/>
      <w:r>
        <w:t>Art 112</w:t>
      </w:r>
      <w:r>
        <w:t xml:space="preserve"> </w:t>
      </w:r>
      <w:r>
        <w:rPr>
          <w:rStyle w:val="Suchmarke"/>
        </w:rPr>
        <w:t>#112.#</w:t>
      </w:r>
      <w:bookmarkEnd w:id="125"/>
    </w:p>
    <w:p>
      <w:r>
        <w:t>Unberührt bleiben die landesgesetzlichen Vorschriften über die Behandlung der einem Eisenbahn- oder Kleinbahnunternehmen gewidmeten Grundstücke und sonstiger Vermögensgegenstände als Einheit (Bahneinheit), über die Veräußerung und Belastung einer solchen Bahneinheit oder ihrer Bestandteile, insbesondere die Belastung im Falle der Ausstellung von Teilschuldverschreibungen auf den Inhaber, und die sich dabei ergebenden Rechtsverhältnisse sowie über die Liquidation zum Zwecke der Befriedigung der Gläubiger, denen ein Recht auf abgesonderte Befriedigung aus den Bestandteilen der Bahneinheit zusteht.</w:t>
      </w:r>
    </w:p>
    <w:p>
      <w:pPr>
        <w:pStyle w:val="Heading2"/>
      </w:pPr>
      <w:bookmarkStart w:id="126" w:name="b125"/>
      <w:r>
        <w:t>Art 113</w:t>
      </w:r>
      <w:r>
        <w:t xml:space="preserve"> </w:t>
      </w:r>
      <w:r>
        <w:rPr>
          <w:rStyle w:val="Suchmarke"/>
        </w:rPr>
        <w:t>#113.#</w:t>
      </w:r>
      <w:bookmarkEnd w:id="126"/>
    </w:p>
    <w:p>
      <w:r>
        <w:rPr>
          <w:rStyle w:val="Satznummer"/>
        </w:rPr>
        <w:t>1</w:t>
      </w:r>
      <w:r>
        <w:t xml:space="preserve">Unberührt bleiben die landesgesetzlichen Vorschriften über die Zusammenlegung von Grundstücken, über die Gemeinheitsteilung, die Regulierung der Wege, die Ordnung der gutsherrlich-bäuerlichen Verhältnisse sowie über die Ablösung, Umwandlung oder Einschränkung von Dienstbarkeiten und Reallasten. </w:t>
      </w:r>
      <w:r>
        <w:rPr>
          <w:rStyle w:val="Satznummer"/>
        </w:rPr>
        <w:t>2</w:t>
      </w:r>
      <w:r>
        <w:t>Dies gilt insbesondere auch von den Vorschriften, welche die durch ein Verfahren dieser Art begründeten gemeinschaftlichen Angelegenheiten zum Gegenstand haben oder welche sich auf den Erwerb des Eigentums, auf die Begründung, Änderung und Aufhebung von anderen Rechten an Grundstücken und auf die Berichtigung des Grundbuchs beziehen.</w:t>
      </w:r>
    </w:p>
    <w:p>
      <w:pPr>
        <w:pStyle w:val="Heading2"/>
      </w:pPr>
      <w:bookmarkStart w:id="127" w:name="b126"/>
      <w:r>
        <w:t>Art 114</w:t>
      </w:r>
      <w:r>
        <w:t xml:space="preserve"> </w:t>
      </w:r>
      <w:r>
        <w:rPr>
          <w:rStyle w:val="Suchmarke"/>
        </w:rPr>
        <w:t>#114.#</w:t>
      </w:r>
      <w:bookmarkEnd w:id="127"/>
    </w:p>
    <w:p>
      <w:r>
        <w:t>Unberührt bleiben die landesgesetzlichen Vorschriften, nach welchen die dem Staat oder einer öffentlichen Anstalt infolge der Ordnung der gutsherrlich-bäuerlichen Verhältnisse oder der Ablösung von Dienstbarkeiten, Reallasten oder der Oberlehnsherrlichkeit zustehenden Ablösungsrenten und sonstigen Reallasten zu ihrer Begründung und zur Wirksamkeit gegenüber dem öffentlichen Glauben des Grundbuchs nicht der Eintragung bedürfen.</w:t>
      </w:r>
    </w:p>
    <w:p>
      <w:pPr>
        <w:pStyle w:val="Heading2"/>
      </w:pPr>
      <w:bookmarkStart w:id="128" w:name="b127"/>
      <w:r>
        <w:t>Art 115</w:t>
      </w:r>
      <w:r>
        <w:t xml:space="preserve"> </w:t>
      </w:r>
      <w:r>
        <w:rPr>
          <w:rStyle w:val="Suchmarke"/>
        </w:rPr>
        <w:t>#115.#</w:t>
      </w:r>
      <w:bookmarkEnd w:id="128"/>
    </w:p>
    <w:p>
      <w:r>
        <w:t>Unberührt bleiben die landesgesetzlichen Vorschriften, welche die Belastung eines Grundstücks mit gewissen Grunddienstbarkeiten oder beschränkten persönlichen Dienstbarkeiten oder mit Reallasten untersagen oder beschränken, sowie die landesgesetzlichen Vorschriften, welche den Inhalt und das Maß solcher Rechte näher bestimmen.</w:t>
      </w:r>
    </w:p>
    <w:p>
      <w:pPr>
        <w:pStyle w:val="Heading2"/>
      </w:pPr>
      <w:bookmarkStart w:id="129" w:name="b128"/>
      <w:r>
        <w:t>Art 116</w:t>
      </w:r>
      <w:r>
        <w:t xml:space="preserve"> </w:t>
      </w:r>
      <w:r>
        <w:rPr>
          <w:rStyle w:val="Suchmarke"/>
        </w:rPr>
        <w:t>#116.#</w:t>
      </w:r>
      <w:bookmarkEnd w:id="129"/>
    </w:p>
    <w:p>
      <w:r>
        <w:t xml:space="preserve">Die in den </w:t>
      </w:r>
      <w:hyperlink w:anchor="b125" w:history="1">
        <w:r>
          <w:rPr>
            <w:color w:val="0A3A8C"/>
            <w:u w:val="single"/>
          </w:rPr>
          <w:t xml:space="preserve">Artikeln 113</w:t>
        </w:r>
      </w:hyperlink>
      <w:r>
        <w:t xml:space="preserve"> bis </w:t>
      </w:r>
      <w:hyperlink w:anchor="b127" w:history="1">
        <w:r>
          <w:rPr>
            <w:color w:val="0A3A8C"/>
            <w:u w:val="single"/>
          </w:rPr>
          <w:t xml:space="preserve">115</w:t>
        </w:r>
      </w:hyperlink>
      <w:r>
        <w:t xml:space="preserve"> bezeichneten landesgesetzlichen Vorschriften finden keine Anwendung auf die nach den §§ 912, 916 und 917 des Bürgerlichen Gesetzbuchs zu entrichtenden Geldrenten und auf die in den §§ 1021 und 1022 des Bürgerlichen Gesetzbuchs bestimmten Unterhaltungspflichten.</w:t>
      </w:r>
    </w:p>
    <w:p>
      <w:pPr>
        <w:pStyle w:val="Heading2"/>
      </w:pPr>
      <w:bookmarkStart w:id="130" w:name="b129"/>
      <w:r>
        <w:t>Art 117</w:t>
      </w:r>
      <w:r>
        <w:t xml:space="preserve"> </w:t>
      </w:r>
      <w:r>
        <w:rPr>
          <w:rStyle w:val="Suchmarke"/>
        </w:rPr>
        <w:t>#117.#</w:t>
      </w:r>
      <w:bookmarkEnd w:id="130"/>
    </w:p>
    <w:p>
      <w:r>
        <w:t>(1) Unberührt bleiben die landesgesetzlichen Vorschriften, welche die Belastung eines Grundstücks über eine bestimmte Wertgrenze hinaus untersagen.</w:t>
      </w:r>
    </w:p>
    <w:p>
      <w:r>
        <w:t>(2) Unberührt bleiben die landesgesetzlichen Vorschriften, welche die Belastung eines Grundstücks mit einer unkündbaren Hypothek oder Grundschuld untersagen oder die Ausschließung des Kündigungsrechts des Eigentümers bei Hypothekenforderungen und Grundschulden zeitlich beschränken und bei Rentenschulden nur für eine kürzere als die in § 1202 Abs. 2 des Bürgerlichen Gesetzbuchs bestimmte Zeit zulassen.</w:t>
      </w:r>
    </w:p>
    <w:p>
      <w:pPr>
        <w:pStyle w:val="Heading2"/>
      </w:pPr>
      <w:bookmarkStart w:id="131" w:name="b130"/>
      <w:r>
        <w:t>Art 118</w:t>
      </w:r>
      <w:r>
        <w:t xml:space="preserve"> </w:t>
      </w:r>
      <w:r>
        <w:rPr>
          <w:rStyle w:val="Suchmarke"/>
        </w:rPr>
        <w:t>#118.#</w:t>
      </w:r>
      <w:bookmarkEnd w:id="131"/>
    </w:p>
    <w:p>
      <w:r>
        <w:rPr>
          <w:rStyle w:val="Satznummer"/>
        </w:rPr>
        <w:t>1</w:t>
      </w:r>
      <w:r>
        <w:t xml:space="preserve">Unberührt bleiben die landesgesetzlichen Vorschriften, welche einer Geldrente, Hypothek, Grundschuld oder Rentenschuld, die dem Staat oder einer öffentlichen Anstalt wegen eines zur Verbesserung des belasteten Grundstücks gewährten Darlehens zusteht, den Vorrang vor anderen Belastungen des Grundstücks einräumen. </w:t>
      </w:r>
      <w:r>
        <w:rPr>
          <w:rStyle w:val="Satznummer"/>
        </w:rPr>
        <w:t>2</w:t>
      </w:r>
      <w:r>
        <w:t>Zugunsten eines Dritten finden die Vorschriften der §§ 892 und 893 des Bürgerlichen Gesetzbuchs Anwendung.</w:t>
      </w:r>
    </w:p>
    <w:p>
      <w:pPr>
        <w:pStyle w:val="Heading2"/>
      </w:pPr>
      <w:bookmarkStart w:id="132" w:name="b131"/>
      <w:r>
        <w:t>Art 119</w:t>
      </w:r>
      <w:r>
        <w:t xml:space="preserve"> </w:t>
      </w:r>
      <w:r>
        <w:rPr>
          <w:rStyle w:val="Suchmarke"/>
        </w:rPr>
        <w:t>#119.#</w:t>
      </w:r>
      <w:bookmarkEnd w:id="132"/>
    </w:p>
    <w:p>
      <w:r>
        <w:t>Unberührt bleiben die landesgesetzlichen Vorschriften, welche</w:t>
      </w:r>
    </w:p>
    <w:p>
      <w:pPr>
        <w:tabs>
          <w:tab w:pos="567" w:val="left"/>
        </w:tabs>
        <w:ind w:left="567" w:hanging="567"/>
      </w:pPr>
      <w:r>
        <w:t>1.</w:t>
      </w:r>
      <w:r>
        <w:tab/>
      </w:r>
      <w:r>
        <w:t>die Veräußerung eines Grundstücks beschränken;</w:t>
      </w:r>
    </w:p>
    <w:p>
      <w:pPr>
        <w:tabs>
          <w:tab w:pos="567" w:val="left"/>
        </w:tabs>
        <w:ind w:left="567" w:hanging="567"/>
      </w:pPr>
      <w:r>
        <w:t>2.</w:t>
      </w:r>
      <w:r>
        <w:tab/>
      </w:r>
      <w:r>
        <w:t>die Teilung eines Grundstücks oder die getrennte Veräußerung von Grundstücken, die bisher zusammen bewirtschaftet worden sind, untersagen oder beschränken.</w:t>
      </w:r>
    </w:p>
    <w:p>
      <w:pPr>
        <w:pStyle w:val="Heading2"/>
      </w:pPr>
      <w:bookmarkStart w:id="133" w:name="b132"/>
      <w:r>
        <w:t>Art 120</w:t>
      </w:r>
      <w:r>
        <w:t xml:space="preserve"> </w:t>
      </w:r>
      <w:r>
        <w:rPr>
          <w:rStyle w:val="Suchmarke"/>
        </w:rPr>
        <w:t>#120.#</w:t>
      </w:r>
      <w:bookmarkEnd w:id="133"/>
    </w:p>
    <w:p>
      <w:r>
        <w:t>(1) Unberührt bleiben die landesgesetzlichen Vorschriften, nach welchen im Falle der Veräußerung eines Teiles eines Grundstücks dieser Teil von den Belastungen des Grundstücks befreit wird, wenn von der zuständigen Behörde festgestellt wird, daß die Rechtsänderung für die Berechtigten unschädlich ist.</w:t>
      </w:r>
    </w:p>
    <w:p>
      <w:r>
        <w:t>(2) Unberührt bleiben die landesgesetzlichen Vorschriften, nach welchen unter der gleichen Voraussetzung:</w:t>
      </w:r>
    </w:p>
    <w:p>
      <w:pPr>
        <w:tabs>
          <w:tab w:pos="567" w:val="left"/>
        </w:tabs>
        <w:ind w:left="567" w:hanging="567"/>
      </w:pPr>
      <w:r>
        <w:t>1.</w:t>
      </w:r>
      <w:r>
        <w:tab/>
      </w:r>
      <w:r>
        <w:t>im Falle der Teilung eines mit einer Reallast belasteten Grundstücks die Reallast auf die einzelnen Teile des Grundstücks verteilt wird;</w:t>
      </w:r>
    </w:p>
    <w:p>
      <w:pPr>
        <w:tabs>
          <w:tab w:pos="567" w:val="left"/>
        </w:tabs>
        <w:ind w:left="567" w:hanging="567"/>
      </w:pPr>
      <w:r>
        <w:t>2.</w:t>
      </w:r>
      <w:r>
        <w:tab/>
      </w:r>
      <w:r>
        <w:t>im Falle der Aufhebung eines dem jeweiligen Eigentümer eines Grundstücks an einem anderen Grundstück zustehenden Rechts die Zustimmung derjenigen nicht erforderlich ist, zu deren Gunsten das Grundstück des Berechtigten belastet ist;</w:t>
      </w:r>
    </w:p>
    <w:p>
      <w:pPr>
        <w:tabs>
          <w:tab w:pos="567" w:val="left"/>
        </w:tabs>
        <w:ind w:left="567" w:hanging="567"/>
      </w:pPr>
      <w:r>
        <w:t>3.</w:t>
      </w:r>
      <w:r>
        <w:tab/>
      </w:r>
      <w:r>
        <w:t xml:space="preserve">in den Fällen des § 1128 des Bürgerlichen Gesetzbuchs und des </w:t>
      </w:r>
      <w:hyperlink w:anchor="b65" w:history="1">
        <w:r>
          <w:rPr>
            <w:color w:val="0A3A8C"/>
            <w:u w:val="single"/>
          </w:rPr>
          <w:t xml:space="preserve">Artikel 52</w:t>
        </w:r>
      </w:hyperlink>
      <w:r>
        <w:t xml:space="preserve"> dieses Gesetzes der dem Eigentümer zustehende Entschädigungsanspruch von dem einem Dritten an dem Anspruch zustehenden Recht befreit wird.</w:t>
      </w:r>
    </w:p>
    <w:p>
      <w:pPr>
        <w:pStyle w:val="Heading2"/>
      </w:pPr>
      <w:bookmarkStart w:id="134" w:name="b133"/>
      <w:r>
        <w:t>Art 121</w:t>
      </w:r>
      <w:r>
        <w:t xml:space="preserve"> </w:t>
      </w:r>
      <w:r>
        <w:rPr>
          <w:rStyle w:val="Suchmarke"/>
        </w:rPr>
        <w:t>#121.#</w:t>
      </w:r>
      <w:bookmarkEnd w:id="134"/>
    </w:p>
    <w:p>
      <w:r>
        <w:t>Unberührt bleiben die landesgesetzlichen Vorschriften, nach welchen im Falle der Teilung eines für den Staat oder eine öffentliche Anstalt mit einer Reallast belasteten Grundstücks nur ein Teil des Grundstücks mit der Reallast belastet bleibt und dafür zugunsten des jeweiligen Eigentümers dieses Teiles die übrigen Teile mit gleichartigen Reallasten belastet werden.</w:t>
      </w:r>
    </w:p>
    <w:p>
      <w:pPr>
        <w:pStyle w:val="Heading2"/>
      </w:pPr>
      <w:bookmarkStart w:id="135" w:name="b134"/>
      <w:r>
        <w:t>Art 122</w:t>
      </w:r>
      <w:r>
        <w:t xml:space="preserve"> </w:t>
      </w:r>
      <w:r>
        <w:rPr>
          <w:rStyle w:val="Suchmarke"/>
        </w:rPr>
        <w:t>#122.#</w:t>
      </w:r>
      <w:bookmarkEnd w:id="135"/>
    </w:p>
    <w:p>
      <w:r>
        <w:t>Unberührt bleiben die landesgesetzlichen Vorschriften, welche die Rechte des Eigentümers eines Grundstücks in Ansehung der auf der Grenze oder auf dem Nachbargrundstück stehenden Obstbäume abweichend von den Vorschriften des § 910 und des § 923 Abs. 2 des Bürgerlichen Gesetzbuchs bestimmen.</w:t>
      </w:r>
    </w:p>
    <w:p>
      <w:pPr>
        <w:pStyle w:val="Heading2"/>
      </w:pPr>
      <w:bookmarkStart w:id="136" w:name="b135"/>
      <w:r>
        <w:t>Art 123</w:t>
      </w:r>
      <w:r>
        <w:t xml:space="preserve"> </w:t>
      </w:r>
      <w:r>
        <w:rPr>
          <w:rStyle w:val="Suchmarke"/>
        </w:rPr>
        <w:t>#123.#</w:t>
      </w:r>
      <w:bookmarkEnd w:id="136"/>
    </w:p>
    <w:p>
      <w:r>
        <w:t>Unberührt bleiben die landesgesetzlichen Vorschriften, welche das Recht des Notwegs zum Zwecke der Verbindung eines Grundstücks mit einer Wasserstraße oder einer Eisenbahn gewähren.</w:t>
      </w:r>
    </w:p>
    <w:p>
      <w:pPr>
        <w:pStyle w:val="Heading2"/>
      </w:pPr>
      <w:bookmarkStart w:id="137" w:name="b136"/>
      <w:r>
        <w:t>Art 124</w:t>
      </w:r>
      <w:r>
        <w:t xml:space="preserve"> </w:t>
      </w:r>
      <w:r>
        <w:rPr>
          <w:rStyle w:val="Suchmarke"/>
        </w:rPr>
        <w:t>#124.#</w:t>
      </w:r>
      <w:bookmarkEnd w:id="137"/>
    </w:p>
    <w:p>
      <w:r>
        <w:rPr>
          <w:rStyle w:val="Satznummer"/>
        </w:rPr>
        <w:t>1</w:t>
      </w:r>
      <w:r>
        <w:t xml:space="preserve">Unberührt bleiben die landesgesetzlichen Vorschriften, welche das Eigentum an Grundstücken zugunsten der Nachbarn noch anderen als den im Bürgerlichen Gesetzbuch bestimmten Beschränkungen unterwerfen. </w:t>
      </w:r>
      <w:r>
        <w:rPr>
          <w:rStyle w:val="Satznummer"/>
        </w:rPr>
        <w:t>2</w:t>
      </w:r>
      <w:r>
        <w:t>Dies gilt insbesondere auch von den Vorschriften, nach welchen Anlagen sowie Bäume und Sträucher nur in einem bestimmten Abstand von der Grenze gehalten werden dürfen.</w:t>
      </w:r>
    </w:p>
    <w:p>
      <w:pPr>
        <w:pStyle w:val="Heading2"/>
      </w:pPr>
      <w:bookmarkStart w:id="138" w:name="b137"/>
      <w:r>
        <w:t>Art 125</w:t>
      </w:r>
      <w:r>
        <w:t xml:space="preserve"> </w:t>
      </w:r>
      <w:r>
        <w:rPr>
          <w:rStyle w:val="Suchmarke"/>
        </w:rPr>
        <w:t>#125.#</w:t>
      </w:r>
      <w:bookmarkEnd w:id="138"/>
    </w:p>
    <w:p>
      <w:r>
        <w:t>Unberührt bleiben die landesgesetzlichen Vorschriften, welche die Vorschrift des § 26 der Gewerbeordnung auf Eisenbahn-, Dampfschiffahrts- und ähnliche Verkehrsunternehmungen erstrecken.</w:t>
      </w:r>
    </w:p>
    <w:p>
      <w:pPr>
        <w:pStyle w:val="Heading2"/>
      </w:pPr>
      <w:bookmarkStart w:id="139" w:name="b138"/>
      <w:r>
        <w:t>Art 126</w:t>
      </w:r>
      <w:r>
        <w:t xml:space="preserve"> </w:t>
      </w:r>
      <w:r>
        <w:rPr>
          <w:rStyle w:val="Suchmarke"/>
        </w:rPr>
        <w:t>#126.#</w:t>
      </w:r>
      <w:bookmarkEnd w:id="139"/>
    </w:p>
    <w:p>
      <w:r>
        <w:t>Durch Landesgesetz kann das dem Staat an einem Grundstück zustehende Eigentum auf einen Kommunalverband und das einem Kommunalverband an einem Grundstück zustehende Eigentum auf einen anderen Kommunalverband oder auf den Staat übertragen werden.</w:t>
      </w:r>
    </w:p>
    <w:p>
      <w:pPr>
        <w:pStyle w:val="Heading2"/>
      </w:pPr>
      <w:bookmarkStart w:id="140" w:name="b139"/>
      <w:r>
        <w:t>Art 127</w:t>
      </w:r>
      <w:r>
        <w:t xml:space="preserve"> </w:t>
      </w:r>
      <w:r>
        <w:rPr>
          <w:rStyle w:val="Suchmarke"/>
        </w:rPr>
        <w:t>#127.#</w:t>
      </w:r>
      <w:bookmarkEnd w:id="140"/>
    </w:p>
    <w:p>
      <w:r>
        <w:t>Unberührt bleiben die landesgesetzlichen Vorschriften über die Übertragung des Eigentums an einem Grundstück, das im Grundbuch nicht eingetragen ist und nach den Vorschriften der Grundbuchordnung auch nach der Übertragung nicht eingetragen zu werden braucht.</w:t>
      </w:r>
    </w:p>
    <w:p>
      <w:pPr>
        <w:pStyle w:val="Heading2"/>
      </w:pPr>
      <w:bookmarkStart w:id="141" w:name="b140"/>
      <w:r>
        <w:t>Art 128</w:t>
      </w:r>
      <w:r>
        <w:t xml:space="preserve"> </w:t>
      </w:r>
      <w:r>
        <w:rPr>
          <w:rStyle w:val="Suchmarke"/>
        </w:rPr>
        <w:t>#128.#</w:t>
      </w:r>
      <w:bookmarkEnd w:id="141"/>
    </w:p>
    <w:p>
      <w:r>
        <w:t>Unberührt bleiben die landesgesetzlichen Vorschriften über die Begründung und Aufhebung einer Dienstbarkeit an einem Grundstück, das im Grundbuch nicht eingetragen ist und nach den Vorschriften der Grundbuchordnung nicht eingetragen zu werden braucht.</w:t>
      </w:r>
    </w:p>
    <w:p>
      <w:pPr>
        <w:pStyle w:val="Heading2"/>
      </w:pPr>
      <w:bookmarkStart w:id="142" w:name="b141"/>
      <w:r>
        <w:t>Art 129</w:t>
      </w:r>
      <w:r>
        <w:t xml:space="preserve"> </w:t>
      </w:r>
      <w:r>
        <w:rPr>
          <w:rStyle w:val="Suchmarke"/>
        </w:rPr>
        <w:t>#129.#</w:t>
      </w:r>
      <w:bookmarkEnd w:id="142"/>
    </w:p>
    <w:p>
      <w:r>
        <w:t>Unberührt bleiben die landesgesetzlichen Vorschriften, nach welchen das Recht zur Aneignung eines nach § 928 des Bürgerlichen Gesetzbuchs aufgegebenen Grundstücks an Stelle des Fiskus einer bestimmten anderen Person zusteht.</w:t>
      </w:r>
    </w:p>
    <w:p>
      <w:pPr>
        <w:pStyle w:val="Heading2"/>
      </w:pPr>
      <w:bookmarkStart w:id="143" w:name="b142"/>
      <w:r>
        <w:t>Art 130</w:t>
      </w:r>
      <w:r>
        <w:t xml:space="preserve"> </w:t>
      </w:r>
      <w:r>
        <w:rPr>
          <w:rStyle w:val="Suchmarke"/>
        </w:rPr>
        <w:t>#130.#</w:t>
      </w:r>
      <w:bookmarkEnd w:id="143"/>
    </w:p>
    <w:p>
      <w:r>
        <w:t>Unberührt bleiben die landesgesetzlichen Vorschriften über das Recht zur Aneignung der einem anderen gehörenden, im Freien betroffenen Tauben.</w:t>
      </w:r>
    </w:p>
    <w:p>
      <w:pPr>
        <w:pStyle w:val="Heading2"/>
      </w:pPr>
      <w:bookmarkStart w:id="144" w:name="b143"/>
      <w:r>
        <w:t>Art 131</w:t>
      </w:r>
      <w:r>
        <w:t xml:space="preserve"> </w:t>
      </w:r>
      <w:r>
        <w:rPr>
          <w:rStyle w:val="Suchmarke"/>
        </w:rPr>
        <w:t>#131.#</w:t>
      </w:r>
      <w:bookmarkEnd w:id="144"/>
    </w:p>
    <w:p>
      <w:r>
        <w:t>Unberührt bleiben die landesgesetzlichen Vorschriften, welche für den Fall, daß jedem der Miteigentümer eines mit einem Gebäude versehenen Grundstücks die ausschließliche Benutzung eines Teiles des Gebäudes eingeräumt ist, das Gemeinschaftsverhältnis näher bestimmen, die Anwendung der §§ 749 bis 751 des Bürgerlichen Gesetzbuchs ausschließen und für den Fall des Insolvenzverfahrens über das Vermögen eines Miteigentümers das Recht, für die Insolvenzmasse die Aufhebung der Gemeinschaft zu verlangen, versagen.</w:t>
      </w:r>
    </w:p>
    <w:p>
      <w:pPr>
        <w:pStyle w:val="Heading2"/>
      </w:pPr>
      <w:bookmarkStart w:id="145" w:name="b144"/>
      <w:r>
        <w:t>Art 132</w:t>
      </w:r>
      <w:r>
        <w:t xml:space="preserve"> </w:t>
      </w:r>
      <w:r>
        <w:rPr>
          <w:rStyle w:val="Suchmarke"/>
        </w:rPr>
        <w:t>#132.#</w:t>
      </w:r>
      <w:bookmarkEnd w:id="145"/>
    </w:p>
    <w:p>
      <w:r>
        <w:t>Unberührt bleiben die landesgesetzlichen Vorschriften über die Kirchenbaulast und die Schulbaulast.</w:t>
      </w:r>
    </w:p>
    <w:p>
      <w:pPr>
        <w:pStyle w:val="Heading2"/>
      </w:pPr>
      <w:bookmarkStart w:id="146" w:name="b145"/>
      <w:r>
        <w:t>Art 133</w:t>
      </w:r>
      <w:r>
        <w:t xml:space="preserve"> </w:t>
      </w:r>
      <w:r>
        <w:rPr>
          <w:rStyle w:val="Suchmarke"/>
        </w:rPr>
        <w:t>#133.#</w:t>
      </w:r>
      <w:bookmarkEnd w:id="146"/>
    </w:p>
    <w:p>
      <w:r>
        <w:t>Unberührt bleiben die landesgesetzlichen Vorschriften über das Recht zur Benutzung eines Platzes in einem dem öffentlichen Gottesdienst gewidmeten Gebäude oder auf einer öffentlichen Begräbnisstätte.</w:t>
      </w:r>
    </w:p>
    <w:p>
      <w:pPr>
        <w:pStyle w:val="Heading2"/>
      </w:pPr>
      <w:bookmarkStart w:id="147" w:name="b146"/>
      <w:r>
        <w:t>Art 134 bis 136 (weggefallen)</w:t>
      </w:r>
      <w:bookmarkEnd w:id="147"/>
    </w:p>
    <w:p>
      <w:pPr>
        <w:pStyle w:val="Heading2"/>
      </w:pPr>
      <w:bookmarkStart w:id="148" w:name="b147"/>
      <w:r>
        <w:t>Art 137</w:t>
      </w:r>
      <w:r>
        <w:t xml:space="preserve"> </w:t>
      </w:r>
      <w:r>
        <w:rPr>
          <w:rStyle w:val="Suchmarke"/>
        </w:rPr>
        <w:t>#137.#</w:t>
      </w:r>
      <w:bookmarkEnd w:id="148"/>
    </w:p>
    <w:p>
      <w:r>
        <w:t>Unberührt bleiben die landesgesetzlichen Vorschriften über die Grundsätze, nach denen in den Fällen des § 1376 Abs. 4, § 1515 Abs. 2 und 3, § 1934b Abs. 1 und der §§ 2049 und 2312 des Bürgerlichen Gesetzbuchs sowie des § 16 Abs. 1 des Grundstücksverkehrsgesetzes in der im Bundesgesetzblatt Teil III, Gliederungsnummer 7810-1, veröffentlichten bereinigten Fassung, das zuletzt durch Artikel 2 Nr. 22 des Gesetzes vom 8. Dezember 1986 (BGBl. I S. 2191) geändert worden ist, der Ertragswert eines Landguts festzustellen ist.</w:t>
      </w:r>
    </w:p>
    <w:p>
      <w:pPr>
        <w:pStyle w:val="Heading2"/>
      </w:pPr>
      <w:bookmarkStart w:id="149" w:name="b148"/>
      <w:r>
        <w:t>Art 138</w:t>
      </w:r>
      <w:r>
        <w:t xml:space="preserve"> </w:t>
      </w:r>
      <w:r>
        <w:rPr>
          <w:rStyle w:val="Suchmarke"/>
        </w:rPr>
        <w:t>#138.#</w:t>
      </w:r>
      <w:bookmarkEnd w:id="149"/>
    </w:p>
    <w:p>
      <w:r>
        <w:t>Unberührt bleiben die landesgesetzlichen Vorschriften, nach welchen im Falle des § 1936 des Bürgerlichen Gesetzbuchs an Stelle des Fiskus eine Körperschaft, Stiftung oder Anstalt des öffentlichen Rechts gesetzlicher Erbe ist.</w:t>
      </w:r>
    </w:p>
    <w:p>
      <w:pPr>
        <w:pStyle w:val="Heading2"/>
      </w:pPr>
      <w:bookmarkStart w:id="150" w:name="b149"/>
      <w:r>
        <w:t>Art 139</w:t>
      </w:r>
      <w:r>
        <w:t xml:space="preserve"> </w:t>
      </w:r>
      <w:r>
        <w:rPr>
          <w:rStyle w:val="Suchmarke"/>
        </w:rPr>
        <w:t>#139.#</w:t>
      </w:r>
      <w:bookmarkEnd w:id="150"/>
    </w:p>
    <w:p>
      <w:r>
        <w:t>Unberührt bleiben die landesgesetzlichen Vorschriften, nach welchen dem Fiskus oder einer anderen juristischen Person in Ansehung des Nachlasses einer verpflegten oder unterstützten Person ein Erbrecht, ein Pflichtteilsanspruch oder ein Recht auf bestimmte Sachen zusteht.</w:t>
      </w:r>
    </w:p>
    <w:p>
      <w:pPr>
        <w:pStyle w:val="Heading2"/>
      </w:pPr>
      <w:bookmarkStart w:id="151" w:name="b150"/>
      <w:r>
        <w:t>Art 140</w:t>
      </w:r>
      <w:r>
        <w:t xml:space="preserve"> </w:t>
      </w:r>
      <w:r>
        <w:rPr>
          <w:rStyle w:val="Suchmarke"/>
        </w:rPr>
        <w:t>#140.#</w:t>
      </w:r>
      <w:bookmarkEnd w:id="151"/>
    </w:p>
    <w:p>
      <w:r>
        <w:t>Unberührt bleiben die landesgesetzlichen Vorschriften, nach welchen das Nachlaßgericht auch unter anderen als den in § 1960 Abs. 1 des Bürgerlichen Gesetzbuchs bezeichneten Voraussetzungen die Anfertigung eines Nachlaßverzeichnisses sowie bis zu dessen Vollendung die erforderlichen Sicherungsmaßregeln, insbesondere die Anlegung von Siegeln, von Amts wegen anordnen kann oder soll.</w:t>
      </w:r>
    </w:p>
    <w:p>
      <w:pPr>
        <w:pStyle w:val="Heading2"/>
      </w:pPr>
      <w:bookmarkStart w:id="152" w:name="b151"/>
      <w:r>
        <w:t>Art 141 und 142 (weggefallen)</w:t>
      </w:r>
      <w:bookmarkEnd w:id="152"/>
    </w:p>
    <w:p>
      <w:pPr>
        <w:pStyle w:val="Heading2"/>
      </w:pPr>
      <w:bookmarkStart w:id="153" w:name="b152"/>
      <w:r>
        <w:t>Art 143</w:t>
      </w:r>
      <w:r>
        <w:t xml:space="preserve"> </w:t>
      </w:r>
      <w:r>
        <w:rPr>
          <w:rStyle w:val="Suchmarke"/>
        </w:rPr>
        <w:t>#143.#</w:t>
      </w:r>
      <w:bookmarkEnd w:id="153"/>
    </w:p>
    <w:p>
      <w:r>
        <w:t>(1) (weggefallen)</w:t>
      </w:r>
    </w:p>
    <w:p>
      <w:r>
        <w:t>(2) Unberührt bleiben die landesgesetzlichen Vorschriften, nach welchen es bei der Auflassung eines Grundstücks der gleichzeitigen Anwesenheit beider Teile nicht bedarf, wenn das Grundstück durch einen Notar versteigert worden ist und die Auflassung noch in dem Versteigerungstermin stattfindet.</w:t>
      </w:r>
    </w:p>
    <w:p>
      <w:pPr>
        <w:pStyle w:val="Heading2"/>
      </w:pPr>
      <w:bookmarkStart w:id="154" w:name="b153"/>
      <w:r>
        <w:t>Art 144</w:t>
      </w:r>
      <w:r>
        <w:t xml:space="preserve"> </w:t>
      </w:r>
      <w:r>
        <w:rPr>
          <w:rStyle w:val="Suchmarke"/>
        </w:rPr>
        <w:t>#144.#</w:t>
      </w:r>
      <w:bookmarkEnd w:id="154"/>
    </w:p>
    <w:p>
      <w:r>
        <w:t>Die Landesgesetze können bestimmen, daß das Jugendamt die Beistandschaft mit Zustimmung des Elternteils auf einen nach § 54 des Achten Buches Sozialgesetzbuch anerkannten Vormundschaftsverein übertragen kann.</w:t>
      </w:r>
    </w:p>
    <w:p>
      <w:pPr>
        <w:pStyle w:val="Heading2"/>
      </w:pPr>
      <w:bookmarkStart w:id="155" w:name="b154"/>
      <w:r>
        <w:t>Art 145 und 146 (weggefallen)</w:t>
      </w:r>
      <w:bookmarkEnd w:id="155"/>
    </w:p>
    <w:p>
      <w:pPr>
        <w:pStyle w:val="Heading2"/>
      </w:pPr>
      <w:bookmarkStart w:id="156" w:name="b155"/>
      <w:r>
        <w:t>Art 147</w:t>
      </w:r>
      <w:r>
        <w:t xml:space="preserve"> </w:t>
      </w:r>
      <w:r>
        <w:rPr>
          <w:rStyle w:val="Suchmarke"/>
        </w:rPr>
        <w:t>#147.#</w:t>
      </w:r>
      <w:bookmarkEnd w:id="156"/>
    </w:p>
    <w:p>
      <w:r>
        <w:t>Unberührt bleiben die landesgesetzlichen Vorschriften, nach denen für die Aufgaben des Betreuungsgerichts oder des Nachlassgerichts andere Stellen als Gerichte zuständig sind.</w:t>
      </w:r>
    </w:p>
    <w:p>
      <w:pPr>
        <w:pStyle w:val="Heading2"/>
      </w:pPr>
      <w:bookmarkStart w:id="157" w:name="b156"/>
      <w:r>
        <w:t>Art 148 (weggefallen)</w:t>
      </w:r>
      <w:r>
        <w:t xml:space="preserve"> </w:t>
      </w:r>
      <w:r>
        <w:rPr>
          <w:rStyle w:val="Suchmarke"/>
        </w:rPr>
        <w:t>#148.#</w:t>
      </w:r>
      <w:bookmarkEnd w:id="157"/>
    </w:p>
    <w:p>
      <w:pPr>
        <w:pStyle w:val="Heading2"/>
      </w:pPr>
      <w:bookmarkStart w:id="158" w:name="b157"/>
      <w:r>
        <w:t>Art 149 bis 151 (weggefallen)</w:t>
      </w:r>
      <w:bookmarkEnd w:id="158"/>
    </w:p>
    <w:p>
      <w:pPr>
        <w:pStyle w:val="Heading2"/>
      </w:pPr>
      <w:bookmarkStart w:id="159" w:name="b158"/>
      <w:r>
        <w:t>Art 152</w:t>
      </w:r>
      <w:r>
        <w:t xml:space="preserve"> </w:t>
      </w:r>
      <w:r>
        <w:rPr>
          <w:rStyle w:val="Suchmarke"/>
        </w:rPr>
        <w:t>#152.#</w:t>
      </w:r>
      <w:bookmarkEnd w:id="159"/>
    </w:p>
    <w:p>
      <w:r>
        <w:rPr>
          <w:rStyle w:val="Satznummer"/>
        </w:rPr>
        <w:t>1</w:t>
      </w:r>
      <w:r>
        <w:t xml:space="preserve">Unberührt bleiben die landesgesetzlichen Vorschriften, welche für die nicht nach den Vorschriften der Zivilprozeßordnung zu erledigenden Rechtsstreitigkeiten die Vorgänge bestimmen, mit denen die nach den Vorschriften des Bürgerlichen Gesetzbuchs an die Klageerhebung und an die Rechtshängigkeit geknüpften Wirkungen eintreten. </w:t>
      </w:r>
      <w:r>
        <w:rPr>
          <w:rStyle w:val="Satznummer"/>
        </w:rPr>
        <w:t>2</w:t>
      </w:r>
      <w:r>
        <w:t>Soweit solche Vorschriften fehlen, finden die Vorschriften der Zivilprozeßordnung entsprechende Anwendung.</w:t>
      </w:r>
    </w:p>
    <w:p>
      <w:pPr>
        <w:pStyle w:val="Heading1"/>
      </w:pPr>
      <w:bookmarkStart w:id="160" w:name="b159"/>
      <w:r>
        <w:t>Vierter Teil Übergangsvorschriften</w:t>
      </w:r>
      <w:bookmarkEnd w:id="160"/>
    </w:p>
    <w:p>
      <w:pPr>
        <w:pStyle w:val="Heading2"/>
      </w:pPr>
      <w:bookmarkStart w:id="161" w:name="b160"/>
      <w:r>
        <w:t>Art 153 bis 156 (gegenstandslos)</w:t>
      </w:r>
      <w:bookmarkEnd w:id="161"/>
    </w:p>
    <w:p>
      <w:pPr>
        <w:pStyle w:val="Heading2"/>
      </w:pPr>
      <w:bookmarkStart w:id="162" w:name="b161"/>
      <w:r>
        <w:t>Art 157</w:t>
      </w:r>
      <w:r>
        <w:t xml:space="preserve"> </w:t>
      </w:r>
      <w:r>
        <w:rPr>
          <w:rStyle w:val="Suchmarke"/>
        </w:rPr>
        <w:t>#157.#</w:t>
      </w:r>
      <w:bookmarkEnd w:id="162"/>
    </w:p>
    <w:p>
      <w:r>
        <w:t>Die Vorschriften der französischen und der badischen Gesetze über den erwählten Wohnsitz bleiben für Rechtsverhältnisse, die sich nach diesen Gesetzen bestimmen, in Kraft, sofern der Wohnsitz vor dem Inkrafttreten des Bürgerlichen Gesetzbuchs erwählt worden ist.</w:t>
      </w:r>
    </w:p>
    <w:p>
      <w:pPr>
        <w:pStyle w:val="Heading2"/>
      </w:pPr>
      <w:bookmarkStart w:id="163" w:name="b162"/>
      <w:r>
        <w:t>Art 158 bis 162 (gegenstandslos)</w:t>
      </w:r>
      <w:bookmarkEnd w:id="163"/>
    </w:p>
    <w:p>
      <w:pPr>
        <w:pStyle w:val="Heading2"/>
      </w:pPr>
      <w:bookmarkStart w:id="164" w:name="b163"/>
      <w:r>
        <w:t>Art 163</w:t>
      </w:r>
      <w:r>
        <w:t xml:space="preserve"> </w:t>
      </w:r>
      <w:r>
        <w:rPr>
          <w:rStyle w:val="Suchmarke"/>
        </w:rPr>
        <w:t>#163.#</w:t>
      </w:r>
      <w:bookmarkEnd w:id="164"/>
    </w:p>
    <w:p>
      <w:r>
        <w:t xml:space="preserve">Auf die zur Zeit des Inkrafttretens des Bürgerlichen Gesetzbuchs bestehenden juristischen Personen finden von dieser Zeit an die Vorschriften der §§ 25 bis 53 und 85 bis 89 des Bürgerlichen Gesetzbuchs Anwendung, soweit sich nicht aus den </w:t>
      </w:r>
      <w:hyperlink w:anchor="b164" w:history="1">
        <w:r>
          <w:rPr>
            <w:color w:val="0A3A8C"/>
            <w:u w:val="single"/>
          </w:rPr>
          <w:t xml:space="preserve">Artikeln 164</w:t>
        </w:r>
      </w:hyperlink>
      <w:r>
        <w:t xml:space="preserve"> bis </w:t>
      </w:r>
      <w:hyperlink w:anchor="b166" w:history="1">
        <w:r>
          <w:rPr>
            <w:color w:val="0A3A8C"/>
            <w:u w:val="single"/>
          </w:rPr>
          <w:t xml:space="preserve">166</w:t>
        </w:r>
      </w:hyperlink>
      <w:r>
        <w:t xml:space="preserve"> ein anderes ergibt.</w:t>
      </w:r>
    </w:p>
    <w:p>
      <w:pPr>
        <w:pStyle w:val="Heading2"/>
      </w:pPr>
      <w:bookmarkStart w:id="165" w:name="b164"/>
      <w:r>
        <w:t>Art 164</w:t>
      </w:r>
      <w:r>
        <w:t xml:space="preserve"> </w:t>
      </w:r>
      <w:r>
        <w:rPr>
          <w:rStyle w:val="Suchmarke"/>
        </w:rPr>
        <w:t>#164.#</w:t>
      </w:r>
      <w:bookmarkEnd w:id="165"/>
    </w:p>
    <w:p>
      <w:r>
        <w:rPr>
          <w:rStyle w:val="Satznummer"/>
        </w:rPr>
        <w:t>1</w:t>
      </w:r>
      <w:r>
        <w:t xml:space="preserve">In Kraft bleiben die landesgesetzlichen Vorschriften über die zur Zeit des Inkrafttretens des Bürgerlichen Gesetzbuchs bestehenden Realgemeinden und ähnlichen Verbände, deren Mitglieder als solche zu Nutzungen an land- und forstwirtschaftlichen Grundstücken, an Mühlen, Brauhäusern und ähnlichen Anlagen berechtigt sind. </w:t>
      </w:r>
      <w:r>
        <w:rPr>
          <w:rStyle w:val="Satznummer"/>
        </w:rPr>
        <w:t>2</w:t>
      </w:r>
      <w:r>
        <w:t>Es macht keinen Unterschied, ob die Realgemeinden oder sonstigen Verbände juristische Personen sind oder nicht und ob die Berechtigung der Mitglieder an Grundbesitz geknüpft ist oder nicht.</w:t>
      </w:r>
    </w:p>
    <w:p>
      <w:pPr>
        <w:pStyle w:val="Heading2"/>
      </w:pPr>
      <w:bookmarkStart w:id="166" w:name="b165"/>
      <w:r>
        <w:t>Art 165</w:t>
      </w:r>
      <w:r>
        <w:t xml:space="preserve"> </w:t>
      </w:r>
      <w:r>
        <w:rPr>
          <w:rStyle w:val="Suchmarke"/>
        </w:rPr>
        <w:t>#165.#</w:t>
      </w:r>
      <w:bookmarkEnd w:id="166"/>
    </w:p>
    <w:p>
      <w:r>
        <w:t>In Kraft bleiben die Vorschriften der bayerischen Gesetze, betreffend die privatrechtliche Stellung der Vereine sowie der Erwerbs- und Wirtschaftsgesellschaften, vom 29. April 1869 in Ansehung derjenigen Vereine und registrierten Gesellschaften, welche auf Grund dieser Gesetze zur Zeit des Inkrafttretens des Bürgerlichen Gesetzbuchs bestehen.</w:t>
      </w:r>
    </w:p>
    <w:p>
      <w:pPr>
        <w:pStyle w:val="Heading2"/>
      </w:pPr>
      <w:bookmarkStart w:id="167" w:name="b166"/>
      <w:r>
        <w:t>Art 166</w:t>
      </w:r>
      <w:r>
        <w:t xml:space="preserve"> </w:t>
      </w:r>
      <w:r>
        <w:rPr>
          <w:rStyle w:val="Suchmarke"/>
        </w:rPr>
        <w:t>#166.#</w:t>
      </w:r>
      <w:bookmarkEnd w:id="167"/>
    </w:p>
    <w:p>
      <w:r>
        <w:t>In Kraft bleiben die Vorschriften des sächsischen Gesetzes vom 15. Juni 1868, betreffend die juristischen Personen, in Ansehung derjenigen Personenvereine, welche zur Zeit des Inkrafttretens des Bürgerlichen Gesetzbuchs die Rechtsfähigkeit durch Eintragung in das Genossenschaftsregister erlangt haben.</w:t>
      </w:r>
    </w:p>
    <w:p>
      <w:pPr>
        <w:pStyle w:val="Heading2"/>
      </w:pPr>
      <w:bookmarkStart w:id="168" w:name="b167"/>
      <w:r>
        <w:t>Art 167</w:t>
      </w:r>
      <w:r>
        <w:t xml:space="preserve"> </w:t>
      </w:r>
      <w:r>
        <w:rPr>
          <w:rStyle w:val="Suchmarke"/>
        </w:rPr>
        <w:t>#167.#</w:t>
      </w:r>
      <w:bookmarkEnd w:id="168"/>
    </w:p>
    <w:p>
      <w:r>
        <w:t>In Kraft bleiben die landesgesetzlichen Vorschriften, welche die zur Zeit des Inkrafttretens des Bürgerlichen Gesetzbuchs bestehenden landschaftlichen oder ritterschaftlichen Kreditanstalten betreffen.</w:t>
      </w:r>
    </w:p>
    <w:p>
      <w:pPr>
        <w:pStyle w:val="Heading2"/>
      </w:pPr>
      <w:bookmarkStart w:id="169" w:name="b168"/>
      <w:r>
        <w:t>Art 168</w:t>
      </w:r>
      <w:r>
        <w:t xml:space="preserve"> </w:t>
      </w:r>
      <w:r>
        <w:rPr>
          <w:rStyle w:val="Suchmarke"/>
        </w:rPr>
        <w:t>#168.#</w:t>
      </w:r>
      <w:bookmarkEnd w:id="169"/>
    </w:p>
    <w:p>
      <w:r>
        <w:t>Eine zur Zeit des Inkrafttretens des Bürgerlichen Gesetzbuchs bestehende Verfügungsbeschränkung bleibt wirksam, unbeschadet der Vorschriften des Bürgerlichen Gesetzbuchs zugunsten derjenigen, welche Rechte von einem Nichtberechtigten herleiten.</w:t>
      </w:r>
    </w:p>
    <w:p>
      <w:pPr>
        <w:pStyle w:val="Heading2"/>
      </w:pPr>
      <w:bookmarkStart w:id="170" w:name="b169"/>
      <w:r>
        <w:t>Art 169</w:t>
      </w:r>
      <w:r>
        <w:t xml:space="preserve"> </w:t>
      </w:r>
      <w:r>
        <w:rPr>
          <w:rStyle w:val="Suchmarke"/>
        </w:rPr>
        <w:t>#169.#</w:t>
      </w:r>
      <w:bookmarkEnd w:id="170"/>
    </w:p>
    <w:p>
      <w:r>
        <w:t xml:space="preserve">(1) </w:t>
      </w:r>
      <w:r>
        <w:rPr>
          <w:rStyle w:val="Satznummer"/>
        </w:rPr>
        <w:t>1</w:t>
      </w:r>
      <w:r>
        <w:t xml:space="preserve">Die Vorschriften des Bürgerlichen Gesetzbuchs über die Verjährung finden auf die vor dem Inkrafttreten des Bürgerlichen Gesetzbuchs entstandenen, noch nicht verjährten Ansprüche Anwendung. </w:t>
      </w:r>
      <w:r>
        <w:rPr>
          <w:rStyle w:val="Satznummer"/>
        </w:rPr>
        <w:t>2</w:t>
      </w:r>
      <w:r>
        <w:t>Der Beginn sowie die Hemmung und Unterbrechung der Verjährung bestimmen sich jedoch für die Zeit vor dem Inkrafttreten des Bürgerlichen Gesetzbuchs nach den bisherigen Gesetzen.</w:t>
      </w:r>
    </w:p>
    <w:p>
      <w:r>
        <w:t xml:space="preserve">(2) </w:t>
      </w:r>
      <w:r>
        <w:rPr>
          <w:rStyle w:val="Satznummer"/>
        </w:rPr>
        <w:t>1</w:t>
      </w:r>
      <w:r>
        <w:t xml:space="preserve">Ist die Verjährungsfrist nach dem Bürgerlichen Gesetzbuch kürzer als nach den bisherigen Gesetzen, so wird die kürzere Frist von dem Inkrafttreten des Bürgerlichen Gesetzbuchs an berechnet. </w:t>
      </w:r>
      <w:r>
        <w:rPr>
          <w:rStyle w:val="Satznummer"/>
        </w:rPr>
        <w:t>2</w:t>
      </w:r>
      <w:r>
        <w:t>Läuft jedoch die in den bisherigen Gesetzen bestimmte längere Frist früher als die im Bürgerlichen Gesetzbuch bestimmte kürzere Frist ab, so ist die Verjährung mit dem Ablauf der längeren Frist vollendet.</w:t>
      </w:r>
    </w:p>
    <w:p>
      <w:pPr>
        <w:pStyle w:val="Heading2"/>
      </w:pPr>
      <w:bookmarkStart w:id="171" w:name="b170"/>
      <w:r>
        <w:t>Art 170</w:t>
      </w:r>
      <w:r>
        <w:t xml:space="preserve"> </w:t>
      </w:r>
      <w:r>
        <w:rPr>
          <w:rStyle w:val="Suchmarke"/>
        </w:rPr>
        <w:t>#170.#</w:t>
      </w:r>
      <w:bookmarkEnd w:id="171"/>
    </w:p>
    <w:p>
      <w:r>
        <w:t>Für ein Schuldverhältnis, das vor dem Inkrafttreten des Bürgerlichen Gesetzbuchs entstanden ist, bleiben die bisherigen Gesetze maßgebend.</w:t>
      </w:r>
    </w:p>
    <w:p>
      <w:pPr>
        <w:pStyle w:val="Heading2"/>
      </w:pPr>
      <w:bookmarkStart w:id="172" w:name="b171"/>
      <w:r>
        <w:t>Art 171</w:t>
      </w:r>
      <w:r>
        <w:t xml:space="preserve"> </w:t>
      </w:r>
      <w:r>
        <w:rPr>
          <w:rStyle w:val="Suchmarke"/>
        </w:rPr>
        <w:t>#171.#</w:t>
      </w:r>
      <w:bookmarkEnd w:id="172"/>
    </w:p>
    <w:p>
      <w:r>
        <w:t>Ein zur Zeit des Inkrafttretens des Bürgerlichen Gesetzbuchs bestehendes Miet-, Pacht- oder Dienstverhältnis bestimmt sich, wenn nicht die Kündigung nach dem Inkrafttreten des Bürgerlichen Gesetzbuchs für den ersten Termin erfolgt, für den sie nach den bisherigen Gesetzen zulässig ist, von diesem Termin an nach den Vorschriften des Bürgerlichen Gesetzbuchs.</w:t>
      </w:r>
    </w:p>
    <w:p>
      <w:pPr>
        <w:pStyle w:val="Heading2"/>
      </w:pPr>
      <w:bookmarkStart w:id="173" w:name="b172"/>
      <w:r>
        <w:t>Art 172</w:t>
      </w:r>
      <w:r>
        <w:t xml:space="preserve"> </w:t>
      </w:r>
      <w:r>
        <w:rPr>
          <w:rStyle w:val="Suchmarke"/>
        </w:rPr>
        <w:t>#172.#</w:t>
      </w:r>
      <w:bookmarkEnd w:id="173"/>
    </w:p>
    <w:p>
      <w:r>
        <w:rPr>
          <w:rStyle w:val="Satznummer"/>
        </w:rPr>
        <w:t>1</w:t>
      </w:r>
      <w:r>
        <w:t xml:space="preserve">Wird eine Sache, die zur Zeit des Inkrafttretens des Bürgerlichen Gesetzbuchs vermietet oder verpachtet war, nach dieser Zeit veräußert oder mit einem Recht belastet, so hat der Mieter oder Pächter dem Erwerber der Sache oder des Rechts gegenüber die im Bürgerlichen Gesetzbuch bestimmten Rechte. </w:t>
      </w:r>
      <w:r>
        <w:rPr>
          <w:rStyle w:val="Satznummer"/>
        </w:rPr>
        <w:t>2</w:t>
      </w:r>
      <w:r>
        <w:t xml:space="preserve">Weitergehende Rechte des Mieters oder Pächters, die sich aus den bisherigen Gesetzen ergeben, bleiben unberührt, unbeschadet der Vorschrift des </w:t>
      </w:r>
      <w:hyperlink w:anchor="b171" w:history="1">
        <w:r>
          <w:rPr>
            <w:color w:val="0A3A8C"/>
            <w:u w:val="single"/>
          </w:rPr>
          <w:t xml:space="preserve">Artikels 171</w:t>
        </w:r>
      </w:hyperlink>
      <w:r>
        <w:t>.</w:t>
      </w:r>
    </w:p>
    <w:p>
      <w:pPr>
        <w:pStyle w:val="Heading2"/>
      </w:pPr>
      <w:bookmarkStart w:id="174" w:name="b173"/>
      <w:r>
        <w:t>Art 173</w:t>
      </w:r>
      <w:r>
        <w:t xml:space="preserve"> </w:t>
      </w:r>
      <w:r>
        <w:rPr>
          <w:rStyle w:val="Suchmarke"/>
        </w:rPr>
        <w:t>#173.#</w:t>
      </w:r>
      <w:bookmarkEnd w:id="174"/>
    </w:p>
    <w:p>
      <w:r>
        <w:t>Auf eine zur Zeit des Inkrafttretens des Bürgerlichen Gesetzbuchs bestehende Gemeinschaft nach Bruchteilen finden von dieser Zeit an die Vorschriften des Bürgerlichen Gesetzbuchs Anwendung.</w:t>
      </w:r>
    </w:p>
    <w:p>
      <w:pPr>
        <w:pStyle w:val="Heading2"/>
      </w:pPr>
      <w:bookmarkStart w:id="175" w:name="b174"/>
      <w:r>
        <w:t>Art 174</w:t>
      </w:r>
      <w:r>
        <w:t xml:space="preserve"> </w:t>
      </w:r>
      <w:r>
        <w:rPr>
          <w:rStyle w:val="Suchmarke"/>
        </w:rPr>
        <w:t>#174.#</w:t>
      </w:r>
      <w:bookmarkEnd w:id="175"/>
    </w:p>
    <w:p>
      <w:r>
        <w:t xml:space="preserve">(1) </w:t>
      </w:r>
      <w:r>
        <w:rPr>
          <w:rStyle w:val="Satznummer"/>
        </w:rPr>
        <w:t>1</w:t>
      </w:r>
      <w:r>
        <w:t xml:space="preserve">Von dem Inkrafttreten des Bürgerlichen Gesetzbuchs an gelten für die vorher ausgestellten Schuldverschreibungen auf den Inhaber die Vorschriften der §§ 798 bis 800, 802 und 804 und des § 806 Satz 1 des Bürgerlichen Gesetzbuchs. </w:t>
      </w:r>
      <w:r>
        <w:rPr>
          <w:rStyle w:val="Satznummer"/>
        </w:rPr>
        <w:t>2</w:t>
      </w:r>
      <w:r>
        <w:t xml:space="preserve">Bei den auf Sicht zahlbaren unverzinslichen Schuldverschreibungen sowie bei </w:t>
      </w:r>
      <w:r>
        <w:rPr>
          <w:i/>
        </w:rPr>
        <w:t>Zins, Renten- und Gewinnanteilscheinen</w:t>
      </w:r>
      <w:r>
        <w:t xml:space="preserve"> bleiben jedoch für die Kraftloserklärung und die Zahlungssperre die bisherigen Gesetze maßgebend.</w:t>
      </w:r>
    </w:p>
    <w:p>
      <w:r>
        <w:t>(2) Die Verjährung der Ansprüche aus den vor dem Inkrafttreten des Bürgerlichen Gesetzbuchs ausgestellten Schuldverschreibungen auf den Inhaber bestimmt sich, unbeschadet der Vorschriften des § 802 des Bürgerlichen Gesetzbuchs, nach den bisherigen Gesetzen.</w:t>
      </w:r>
    </w:p>
    <w:p>
      <w:pPr>
        <w:pStyle w:val="Heading2"/>
      </w:pPr>
      <w:bookmarkStart w:id="176" w:name="b175"/>
      <w:r>
        <w:t>Art 175</w:t>
      </w:r>
      <w:r>
        <w:t xml:space="preserve"> </w:t>
      </w:r>
      <w:r>
        <w:rPr>
          <w:rStyle w:val="Suchmarke"/>
        </w:rPr>
        <w:t>#175.#</w:t>
      </w:r>
      <w:bookmarkEnd w:id="176"/>
    </w:p>
    <w:p>
      <w:r>
        <w:t>Für Zins-, Renten- und Gewinnanteilscheine, die nach dem Inkrafttreten des Bürgerlichen Gesetzbuchs für ein vor dieser Zeit ausgestelltes Inhaberpapier ausgegeben werden, sind die Gesetze maßgebend, welche für die vor dem Inkrafttreten des Bürgerlichen Gesetzbuchs ausgegebenen Scheine gleicher Art gelten.</w:t>
      </w:r>
    </w:p>
    <w:p>
      <w:pPr>
        <w:pStyle w:val="Heading2"/>
      </w:pPr>
      <w:bookmarkStart w:id="177" w:name="b176"/>
      <w:r>
        <w:t>Art 176</w:t>
      </w:r>
      <w:r>
        <w:t xml:space="preserve"> </w:t>
      </w:r>
      <w:r>
        <w:rPr>
          <w:rStyle w:val="Suchmarke"/>
        </w:rPr>
        <w:t>#176.#</w:t>
      </w:r>
      <w:bookmarkEnd w:id="177"/>
    </w:p>
    <w:p>
      <w:r>
        <w:rPr>
          <w:rStyle w:val="Satznummer"/>
        </w:rPr>
        <w:t>1</w:t>
      </w:r>
      <w:r>
        <w:t xml:space="preserve">Die Außerkurssetzung von Schuldverschreibungen auf den Inhaber findet nach dem Inkrafttreten des Bürgerlichen Gesetzbuchs nicht mehr statt. </w:t>
      </w:r>
      <w:r>
        <w:rPr>
          <w:rStyle w:val="Satznummer"/>
        </w:rPr>
        <w:t>2</w:t>
      </w:r>
      <w:r>
        <w:t>Eine vorher erfolgte Außerkurssetzung verliert mit dem Inkrafttreten des Bürgerlichen Gesetzbuchs ihre Wirkung.</w:t>
      </w:r>
    </w:p>
    <w:p>
      <w:pPr>
        <w:pStyle w:val="Heading2"/>
      </w:pPr>
      <w:bookmarkStart w:id="178" w:name="b177"/>
      <w:r>
        <w:t>Art 177</w:t>
      </w:r>
      <w:r>
        <w:t xml:space="preserve"> </w:t>
      </w:r>
      <w:r>
        <w:rPr>
          <w:rStyle w:val="Suchmarke"/>
        </w:rPr>
        <w:t>#177.#</w:t>
      </w:r>
      <w:bookmarkEnd w:id="178"/>
    </w:p>
    <w:p>
      <w:r>
        <w:t xml:space="preserve">Von dem Inkrafttreten des Bürgerlichen Gesetzbuchs an gelten für vorher ausgegebene Urkunden der in § 808 des Bürgerlichen Gesetzbuchs bezeichneten Art, sofern der Schuldner nur gegen Aushändigung der Urkunde zur Leistung verpflichtet ist, die Vorschriften des § 808 Abs. 2 Satz 2 und 3 des Bürgerlichen Gesetzbuchs und des </w:t>
      </w:r>
      <w:hyperlink w:anchor="b114" w:history="1">
        <w:r>
          <w:rPr>
            <w:color w:val="0A3A8C"/>
            <w:u w:val="single"/>
          </w:rPr>
          <w:t xml:space="preserve">Artikels 102</w:t>
        </w:r>
      </w:hyperlink>
      <w:r>
        <w:t xml:space="preserve"> Abs. 2 dieses Gesetzes.</w:t>
      </w:r>
    </w:p>
    <w:p>
      <w:pPr>
        <w:pStyle w:val="Heading2"/>
      </w:pPr>
      <w:bookmarkStart w:id="179" w:name="b178"/>
      <w:r>
        <w:t>Art 178</w:t>
      </w:r>
      <w:r>
        <w:t xml:space="preserve"> </w:t>
      </w:r>
      <w:r>
        <w:rPr>
          <w:rStyle w:val="Suchmarke"/>
        </w:rPr>
        <w:t>#178.#</w:t>
      </w:r>
      <w:bookmarkEnd w:id="179"/>
    </w:p>
    <w:p>
      <w:r>
        <w:rPr>
          <w:rStyle w:val="Satznummer"/>
        </w:rPr>
        <w:t>1</w:t>
      </w:r>
      <w:r>
        <w:t xml:space="preserve">Ein zur Zeit des Inkrafttretens des Bürgerlichen Gesetzbuchs anhängiges Verfahren, das die Kraftloserklärung einer Schuldverschreibung auf den Inhaber oder einer Urkunde der in § 808 des Bürgerlichen Gesetzbuchs bezeichneten Art oder die Zahlungssperre für ein solches Papier zum Gegenstand hat, ist nach den bisherigen Gesetzen zu erledigen. </w:t>
      </w:r>
      <w:r>
        <w:rPr>
          <w:rStyle w:val="Satznummer"/>
        </w:rPr>
        <w:t>2</w:t>
      </w:r>
      <w:r>
        <w:t>Nach diesen Gesetzen bestimmen sich auch die Wirkungen des Verfahrens und der Entscheidung.</w:t>
      </w:r>
    </w:p>
    <w:p>
      <w:pPr>
        <w:pStyle w:val="Heading2"/>
      </w:pPr>
      <w:bookmarkStart w:id="180" w:name="b179"/>
      <w:r>
        <w:t>Art 179</w:t>
      </w:r>
      <w:r>
        <w:t xml:space="preserve"> </w:t>
      </w:r>
      <w:r>
        <w:rPr>
          <w:rStyle w:val="Suchmarke"/>
        </w:rPr>
        <w:t>#179.#</w:t>
      </w:r>
      <w:bookmarkEnd w:id="180"/>
    </w:p>
    <w:p>
      <w:r>
        <w:t>Hat ein Anspruch aus einem Schuldverhältnis nach den bisherigen Gesetzen durch Eintragung in ein öffentliches Buch Wirksamkeit gegen Dritte erlangt, so behält er diese Wirksamkeit auch nach dem Inkrafttreten des Bürgerlichen Gesetzbuchs.</w:t>
      </w:r>
    </w:p>
    <w:p>
      <w:pPr>
        <w:pStyle w:val="Heading2"/>
      </w:pPr>
      <w:bookmarkStart w:id="181" w:name="b180"/>
      <w:r>
        <w:t>Art 180</w:t>
      </w:r>
      <w:r>
        <w:t xml:space="preserve"> </w:t>
      </w:r>
      <w:r>
        <w:rPr>
          <w:rStyle w:val="Suchmarke"/>
        </w:rPr>
        <w:t>#180.#</w:t>
      </w:r>
      <w:bookmarkEnd w:id="181"/>
    </w:p>
    <w:p>
      <w:r>
        <w:t xml:space="preserve">Auf ein zur Zeit des Inkrafttretens des Bürgerlichen Gesetzbuchs bestehendes Besitzverhältnis finden von dieser Zeit an, unbeschadet des </w:t>
      </w:r>
      <w:hyperlink w:anchor="b191" w:history="1">
        <w:r>
          <w:rPr>
            <w:color w:val="0A3A8C"/>
            <w:u w:val="single"/>
          </w:rPr>
          <w:t xml:space="preserve">Artikels 191</w:t>
        </w:r>
      </w:hyperlink>
      <w:r>
        <w:t>, die Vorschriften des Bürgerlichen Gesetzbuchs Anwendung.</w:t>
      </w:r>
    </w:p>
    <w:p>
      <w:pPr>
        <w:pStyle w:val="Heading2"/>
      </w:pPr>
      <w:bookmarkStart w:id="182" w:name="b181"/>
      <w:r>
        <w:t>Art 181</w:t>
      </w:r>
      <w:r>
        <w:t xml:space="preserve"> </w:t>
      </w:r>
      <w:r>
        <w:rPr>
          <w:rStyle w:val="Suchmarke"/>
        </w:rPr>
        <w:t>#181.#</w:t>
      </w:r>
      <w:bookmarkEnd w:id="182"/>
    </w:p>
    <w:p>
      <w:r>
        <w:t>(1) Auf das zur Zeit des Inkrafttretens des Bürgerlichen Gesetzbuchs bestehende Eigentum finden von dieser Zeit an die Vorschriften des Bürgerlichen Gesetzbuchs Anwendung.</w:t>
      </w:r>
    </w:p>
    <w:p>
      <w:r>
        <w:t>(2) Steht zur Zeit des Inkrafttretens des Bürgerlichen Gesetzbuchs das Eigentum an einer Sache mehreren nicht nach Bruchteilen zu oder ist zu dieser Zeit ein Sondereigentum an stehenden Erzeugnissen eines Grundstücks, insbesondere an Bäumen, begründet, so bleiben diese Rechte bestehen.</w:t>
      </w:r>
    </w:p>
    <w:p>
      <w:pPr>
        <w:pStyle w:val="Heading2"/>
      </w:pPr>
      <w:bookmarkStart w:id="183" w:name="b182"/>
      <w:r>
        <w:t>Art 182</w:t>
      </w:r>
      <w:r>
        <w:t xml:space="preserve"> </w:t>
      </w:r>
      <w:r>
        <w:rPr>
          <w:rStyle w:val="Suchmarke"/>
        </w:rPr>
        <w:t>#182.#</w:t>
      </w:r>
      <w:bookmarkEnd w:id="183"/>
    </w:p>
    <w:p>
      <w:r>
        <w:rPr>
          <w:rStyle w:val="Satznummer"/>
        </w:rPr>
        <w:t>1</w:t>
      </w:r>
      <w:r>
        <w:t xml:space="preserve">Das zur Zeit des Inkrafttretens des Bürgerlichen Gesetzbuchs bestehende Stockwerkseigentum bleibt bestehen. </w:t>
      </w:r>
      <w:r>
        <w:rPr>
          <w:rStyle w:val="Satznummer"/>
        </w:rPr>
        <w:t>2</w:t>
      </w:r>
      <w:r>
        <w:t>Das Rechtsverhältnis der Beteiligten untereinander bestimmt sich nach den bisherigen Gesetzen.</w:t>
      </w:r>
    </w:p>
    <w:p>
      <w:pPr>
        <w:pStyle w:val="Heading2"/>
      </w:pPr>
      <w:bookmarkStart w:id="184" w:name="b183"/>
      <w:r>
        <w:t>Art 183</w:t>
      </w:r>
      <w:r>
        <w:t xml:space="preserve"> </w:t>
      </w:r>
      <w:r>
        <w:rPr>
          <w:rStyle w:val="Suchmarke"/>
        </w:rPr>
        <w:t>#183.#</w:t>
      </w:r>
      <w:bookmarkEnd w:id="184"/>
    </w:p>
    <w:p>
      <w:r>
        <w:t>Zugunsten eines Grundstücks, das zur Zeit des Inkrafttretens des Bürgerlichen Gesetzbuchs mit Wald bestanden ist, bleiben die landesgesetzlichen Vorschriften, welche die Rechte des Eigentümers eines Nachbargrundstücks in Ansehung der auf der Grenze oder auf dem Waldgrundstück stehenden Bäume und Sträucher abweichend von den Vorschriften des § 910 und des § 923 Abs. 2 und 3 des Bürgerlichen Gesetzbuchs bestimmen, bis zur nächsten Verjüngung des Waldes in Kraft.</w:t>
      </w:r>
    </w:p>
    <w:p>
      <w:pPr>
        <w:pStyle w:val="Heading2"/>
      </w:pPr>
      <w:bookmarkStart w:id="185" w:name="b184"/>
      <w:r>
        <w:t>Art 184</w:t>
      </w:r>
      <w:r>
        <w:t xml:space="preserve"> </w:t>
      </w:r>
      <w:r>
        <w:rPr>
          <w:rStyle w:val="Suchmarke"/>
        </w:rPr>
        <w:t>#184.#</w:t>
      </w:r>
      <w:bookmarkEnd w:id="185"/>
    </w:p>
    <w:p>
      <w:r>
        <w:rPr>
          <w:rStyle w:val="Satznummer"/>
        </w:rPr>
        <w:t>1</w:t>
      </w:r>
      <w:r>
        <w:t xml:space="preserve">Rechte, mit denen eine Sache oder ein Recht zur Zeit des Inkrafttretens des Bürgerlichen Gesetzbuchs belastet ist, bleiben mit dem sich aus den bisherigen Gesetzen ergebenden Inhalt und Rang bestehen, soweit sich nicht aus den </w:t>
      </w:r>
      <w:hyperlink w:anchor="b192" w:history="1">
        <w:r>
          <w:rPr>
            <w:color w:val="0A3A8C"/>
            <w:u w:val="single"/>
          </w:rPr>
          <w:t xml:space="preserve">Artikeln 192</w:t>
        </w:r>
      </w:hyperlink>
      <w:r>
        <w:t xml:space="preserve"> bis </w:t>
      </w:r>
      <w:hyperlink w:anchor="b195" w:history="1">
        <w:r>
          <w:rPr>
            <w:color w:val="0A3A8C"/>
            <w:u w:val="single"/>
          </w:rPr>
          <w:t xml:space="preserve">195</w:t>
        </w:r>
      </w:hyperlink>
      <w:r>
        <w:t xml:space="preserve"> ein anderes ergibt. </w:t>
      </w:r>
      <w:r>
        <w:rPr>
          <w:rStyle w:val="Satznummer"/>
        </w:rPr>
        <w:t>2</w:t>
      </w:r>
      <w:r>
        <w:t>Von dem Inkrafttreten des Bürgerlichen Gesetzbuchs an gelten jedoch für ein Erbbaurecht die Vorschriften des § 1017, für eine Grunddienstbarkeit die Vorschriften der §§ 1020 bis 1028 des Bürgerlichen Gesetzbuchs.</w:t>
      </w:r>
    </w:p>
    <w:p>
      <w:pPr>
        <w:pStyle w:val="Heading2"/>
      </w:pPr>
      <w:bookmarkStart w:id="186" w:name="b185"/>
      <w:r>
        <w:t>Art 185</w:t>
      </w:r>
      <w:r>
        <w:t xml:space="preserve"> </w:t>
      </w:r>
      <w:r>
        <w:rPr>
          <w:rStyle w:val="Suchmarke"/>
        </w:rPr>
        <w:t>#185.#</w:t>
      </w:r>
      <w:bookmarkEnd w:id="186"/>
    </w:p>
    <w:p>
      <w:r>
        <w:t xml:space="preserve">Ist zur Zeit des Inkrafttretens des Bürgerlichen Gesetzbuchs die Ersitzung des Eigentums oder Nießbrauchs an einer beweglichen Sache noch nicht vollendet, so finden auf die Ersitzung die Vorschriften </w:t>
      </w:r>
      <w:r>
        <w:rPr>
          <w:i/>
        </w:rPr>
        <w:t>des Artikel</w:t>
      </w:r>
      <w:r>
        <w:t xml:space="preserve"> 169 entsprechende Anwendung.</w:t>
      </w:r>
    </w:p>
    <w:p>
      <w:pPr>
        <w:pStyle w:val="Heading2"/>
      </w:pPr>
      <w:bookmarkStart w:id="187" w:name="b186"/>
      <w:r>
        <w:t>Art 186</w:t>
      </w:r>
      <w:r>
        <w:t xml:space="preserve"> </w:t>
      </w:r>
      <w:r>
        <w:rPr>
          <w:rStyle w:val="Suchmarke"/>
        </w:rPr>
        <w:t>#186.#</w:t>
      </w:r>
      <w:bookmarkEnd w:id="187"/>
    </w:p>
    <w:p>
      <w:r>
        <w:t>(1) Das Verfahren, in welchem die Anlegung der Grundbücher erfolgt, sowie der Zeitpunkt, in welchem das Grundbuch für einen Bezirk als angelegt anzusehen ist, werden für jeden Bundesstaat durch landesherrliche Verordnung bestimmt.</w:t>
      </w:r>
    </w:p>
    <w:p>
      <w:r>
        <w:t>(2) Ist das Grundbuch für einen Bezirk als angelegt anzusehen, so ist die Anlegung auch für solche zu dem Bezirk gehörende Grundstücke, die noch kein Blatt im Grundbuch haben, als erfolgt anzusehen, soweit nicht bestimmte Grundstücke durch besondere Anordnung ausgenommen sind.</w:t>
      </w:r>
    </w:p>
    <w:p>
      <w:pPr>
        <w:pStyle w:val="Heading2"/>
      </w:pPr>
      <w:bookmarkStart w:id="188" w:name="b187"/>
      <w:r>
        <w:t>Art 187</w:t>
      </w:r>
      <w:r>
        <w:t xml:space="preserve"> </w:t>
      </w:r>
      <w:r>
        <w:rPr>
          <w:rStyle w:val="Suchmarke"/>
        </w:rPr>
        <w:t>#187.#</w:t>
      </w:r>
      <w:bookmarkEnd w:id="188"/>
    </w:p>
    <w:p>
      <w:r>
        <w:t xml:space="preserve">(1) </w:t>
      </w:r>
      <w:r>
        <w:rPr>
          <w:rStyle w:val="Satznummer"/>
        </w:rPr>
        <w:t>1</w:t>
      </w:r>
      <w:r>
        <w:t xml:space="preserve">Eine Grunddienstbarkeit, die zu der Zeit besteht, zu welcher das Grundbuch als angelegt anzusehen ist, bedarf zur Erhaltung der Wirksamkeit gegenüber dem öffentlichen Glauben des Grundbuchs nicht der Eintragung. </w:t>
      </w:r>
      <w:r>
        <w:rPr>
          <w:rStyle w:val="Satznummer"/>
        </w:rPr>
        <w:t>2</w:t>
      </w:r>
      <w:r>
        <w:t>Die Eintragung hat jedoch zu erfolgen, wenn sie von dem Berechtigten oder von dem Eigentümer des belasteten Grundstücks verlangt wird; die Kosten sind von demjenigen zu tragen und vorzuschießen, welcher die Eintragung verlangt.</w:t>
      </w:r>
    </w:p>
    <w:p>
      <w:r>
        <w:t xml:space="preserve">(2) </w:t>
      </w:r>
      <w:r>
        <w:rPr>
          <w:rStyle w:val="Satznummer"/>
        </w:rPr>
        <w:t>1</w:t>
      </w:r>
      <w:r>
        <w:t xml:space="preserve">Durch Landesgesetz kann bestimmt werden, daß die bestehenden Grunddienstbarkeiten oder einzelne Arten zur Erhaltung der Wirksamkeit gegenüber dem öffentlichen Glauben des Grundbuchs bei der Anlegung des Grundbuchs oder später in das Grundbuch eingetragen werden müssen. </w:t>
      </w:r>
      <w:r>
        <w:rPr>
          <w:rStyle w:val="Satznummer"/>
        </w:rPr>
        <w:t>2</w:t>
      </w:r>
      <w:r>
        <w:t>Die Bestimmung kann auf einzelne Grundbuchbezirke beschränkt werden.</w:t>
      </w:r>
    </w:p>
    <w:p>
      <w:pPr>
        <w:pStyle w:val="Heading2"/>
      </w:pPr>
      <w:bookmarkStart w:id="189" w:name="b188"/>
      <w:r>
        <w:t>Art 188</w:t>
      </w:r>
      <w:r>
        <w:t xml:space="preserve"> </w:t>
      </w:r>
      <w:r>
        <w:rPr>
          <w:rStyle w:val="Suchmarke"/>
        </w:rPr>
        <w:t>#188.#</w:t>
      </w:r>
      <w:bookmarkEnd w:id="189"/>
    </w:p>
    <w:p>
      <w:r>
        <w:t>(1) Durch landesherrliche Verordnung kann bestimmt werden, daß gesetzliche Pfandrechte, die zu der Zeit bestehen, zu welcher das Grundbuch als angelegt anzusehen ist, zur Erhaltung der Wirksamkeit gegenüber dem öffentlichen Glauben des Grundbuchs während einer zehn Jahre nicht übersteigenden, von dem Inkrafttreten des Bürgerlichen Gesetzbuchs an zu berechnenden Frist nicht der Eintragung bedürfen.</w:t>
      </w:r>
    </w:p>
    <w:p>
      <w:r>
        <w:t>(2) Durch landesherrliche Verordnung kann bestimmt werden, daß Mietrechte und Pachtrechte, welche zu der im Absatz 1 bezeichneten Zeit als Rechte an einem Grundstück bestehen, zur Erhaltung der Wirksamkeit gegenüber dem öffentlichen Glauben des Grundbuchs nicht der Eintragung bedürfen.</w:t>
      </w:r>
    </w:p>
    <w:p>
      <w:pPr>
        <w:pStyle w:val="Heading2"/>
      </w:pPr>
      <w:bookmarkStart w:id="190" w:name="b189"/>
      <w:r>
        <w:t>Art 189</w:t>
      </w:r>
      <w:r>
        <w:t xml:space="preserve"> </w:t>
      </w:r>
      <w:r>
        <w:rPr>
          <w:rStyle w:val="Suchmarke"/>
        </w:rPr>
        <w:t>#189.#</w:t>
      </w:r>
      <w:bookmarkEnd w:id="190"/>
    </w:p>
    <w:p>
      <w:r>
        <w:t xml:space="preserve">(1) </w:t>
      </w:r>
      <w:r>
        <w:rPr>
          <w:rStyle w:val="Satznummer"/>
        </w:rPr>
        <w:t>1</w:t>
      </w:r>
      <w:r>
        <w:t xml:space="preserve">Der Erwerb und Verlust des Eigentums sowie die Begründung, Übertragung, Belastung und Aufhebung eines anderen Rechts an einem Grundstück oder eines Rechts an einem solchen Recht erfolgen auch nach dem Inkrafttreten des Bürgerlichen Gesetzbuchs nach den bisherigen Gesetzen, bis das Grundbuch als angelegt anzusehen ist. </w:t>
      </w:r>
      <w:r>
        <w:rPr>
          <w:rStyle w:val="Satznummer"/>
        </w:rPr>
        <w:t>2</w:t>
      </w:r>
      <w:r>
        <w:t xml:space="preserve">Das gleiche gilt von der Änderung des Inhalts und des Ranges der Rechte. </w:t>
      </w:r>
      <w:r>
        <w:rPr>
          <w:rStyle w:val="Satznummer"/>
        </w:rPr>
        <w:t>3</w:t>
      </w:r>
      <w:r>
        <w:t>Ein nach den Vorschriften des Bürgerlichen Gesetzbuchs unzulässiges Recht kann nach dem Inkrafttreten des Bürgerlichen Gesetzbuchs nicht mehr begründet werden.</w:t>
      </w:r>
    </w:p>
    <w:p>
      <w:r>
        <w:t xml:space="preserve">(2) Ist zu der Zeit, zu welcher das Grundbuch als angelegt anzusehen ist, der Besitzer als der Berechtigte im Grundbuch eingetragen, so finden auf eine zu dieser Zeit noch nicht vollendete, nach § 900 des Bürgerlichen Gesetzbuchs zulässige Ersitzung die Vorschriften des </w:t>
      </w:r>
      <w:hyperlink w:anchor="b169" w:history="1">
        <w:r>
          <w:rPr>
            <w:color w:val="0A3A8C"/>
            <w:u w:val="single"/>
          </w:rPr>
          <w:t xml:space="preserve">Artikels 169</w:t>
        </w:r>
      </w:hyperlink>
      <w:r>
        <w:t xml:space="preserve"> entsprechende Anwendung.</w:t>
      </w:r>
    </w:p>
    <w:p>
      <w:r>
        <w:t>(3) Die Aufhebung eines Rechts, mit dem ein Grundstück oder ein Recht an einem Grundstück zu der Zeit belastet ist, zu welcher das Grundbuch als angelegt anzusehen ist, erfolgt auch nach dieser Zeit nach den bisherigen Gesetzen, bis das Recht in das Grundbuch eingetragen wird.</w:t>
      </w:r>
    </w:p>
    <w:p>
      <w:pPr>
        <w:pStyle w:val="Heading2"/>
      </w:pPr>
      <w:bookmarkStart w:id="191" w:name="b190"/>
      <w:r>
        <w:t>Art 190</w:t>
      </w:r>
      <w:r>
        <w:t xml:space="preserve"> </w:t>
      </w:r>
      <w:r>
        <w:rPr>
          <w:rStyle w:val="Suchmarke"/>
        </w:rPr>
        <w:t>#190.#</w:t>
      </w:r>
      <w:bookmarkEnd w:id="191"/>
    </w:p>
    <w:p>
      <w:r>
        <w:rPr>
          <w:rStyle w:val="Satznummer"/>
        </w:rPr>
        <w:t>1</w:t>
      </w:r>
      <w:r>
        <w:t xml:space="preserve">Das nach § 928 Abs. 2 des Bürgerlichen Gesetzbuchs dem Fiskus zustehende Aneignungsrecht erstreckt sich auf alle Grundstücke, die zu der Zeit herrenlos sind, zu welcher das Grundbuch als angelegt anzusehen ist. </w:t>
      </w:r>
      <w:r>
        <w:rPr>
          <w:rStyle w:val="Satznummer"/>
        </w:rPr>
        <w:t>2</w:t>
      </w:r>
      <w:r>
        <w:t xml:space="preserve">Die Vorschrift des </w:t>
      </w:r>
      <w:hyperlink w:anchor="b141" w:history="1">
        <w:r>
          <w:rPr>
            <w:color w:val="0A3A8C"/>
            <w:u w:val="single"/>
          </w:rPr>
          <w:t xml:space="preserve">Artikels 129</w:t>
        </w:r>
      </w:hyperlink>
      <w:r>
        <w:t xml:space="preserve"> findet entsprechende Anwendung.</w:t>
      </w:r>
    </w:p>
    <w:p>
      <w:pPr>
        <w:pStyle w:val="Heading2"/>
      </w:pPr>
      <w:bookmarkStart w:id="192" w:name="b191"/>
      <w:r>
        <w:t>Art 191</w:t>
      </w:r>
      <w:r>
        <w:t xml:space="preserve"> </w:t>
      </w:r>
      <w:r>
        <w:rPr>
          <w:rStyle w:val="Suchmarke"/>
        </w:rPr>
        <w:t>#191.#</w:t>
      </w:r>
      <w:bookmarkEnd w:id="192"/>
    </w:p>
    <w:p>
      <w:r>
        <w:t>(1) Die bisherigen Gesetze über den Schutz im Besitz einer Grunddienstbarkeit oder einer beschränkten persönlichen Dienstbarkeit finden auch nach dem Inkrafttreten des Bürgerlichen Gesetzbuchs Anwendung, bis das Grundbuch für das belastete Grundstück als angelegt anzusehen ist.</w:t>
      </w:r>
    </w:p>
    <w:p>
      <w:r>
        <w:t xml:space="preserve">(2) </w:t>
      </w:r>
      <w:r>
        <w:rPr>
          <w:rStyle w:val="Satznummer"/>
        </w:rPr>
        <w:t>1</w:t>
      </w:r>
      <w:r>
        <w:t xml:space="preserve">Von der Zeit an, zu welcher das Grundbuch als angelegt anzusehen ist, finden zum Schutz der Ausübung einer Grunddienstbarkeit, mit welcher das Halten einer dauernden Anlage verbunden ist, die für den Besitzschutz geltenden Vorschriften des Bürgerlichen Gesetzbuchs entsprechende Anwendung, solange Dienstbarkeiten dieser Art nach Artikel 128 oder Artikel 187 zur Erhaltung der Wirksamkeit gegenüber dem öffentlichen Glauben des Grundbuchs nicht der Eintragung bedürfen. </w:t>
      </w:r>
      <w:r>
        <w:rPr>
          <w:rStyle w:val="Satznummer"/>
        </w:rPr>
        <w:t>2</w:t>
      </w:r>
      <w:r>
        <w:t>Das gleiche gilt für Grunddienstbarkeiten anderer Art mit der Maßgabe, daß der Besitzschutz nur gewährt wird, wenn die Dienstbarkeit in jedem der drei letzten Jahre vor der Störung mindestens einmal ausgeübt worden ist.</w:t>
      </w:r>
    </w:p>
    <w:p>
      <w:pPr>
        <w:pStyle w:val="Heading2"/>
      </w:pPr>
      <w:bookmarkStart w:id="193" w:name="b192"/>
      <w:r>
        <w:t>Art 192</w:t>
      </w:r>
      <w:r>
        <w:t xml:space="preserve"> </w:t>
      </w:r>
      <w:r>
        <w:rPr>
          <w:rStyle w:val="Suchmarke"/>
        </w:rPr>
        <w:t>#192.#</w:t>
      </w:r>
      <w:bookmarkEnd w:id="193"/>
    </w:p>
    <w:p>
      <w:r>
        <w:t xml:space="preserve">(1) </w:t>
      </w:r>
      <w:r>
        <w:rPr>
          <w:rStyle w:val="Satznummer"/>
        </w:rPr>
        <w:t>1</w:t>
      </w:r>
      <w:r>
        <w:t xml:space="preserve">Ein zu der Zeit, zu welcher das Grundbuch als angelegt anzusehen ist, an einem Grundstück bestehendes Pfandrecht gilt von dieser Zeit an als eine Hypothek, für welche die Erteilung des Hypothekenbriefs ausgeschlossen ist. </w:t>
      </w:r>
      <w:r>
        <w:rPr>
          <w:rStyle w:val="Satznummer"/>
        </w:rPr>
        <w:t>2</w:t>
      </w:r>
      <w:r>
        <w:t>Ist der Betrag der Forderung, für die das Pfandrecht besteht, nicht bestimmt, so gilt das Pfandrecht als Sicherungshypothek.</w:t>
      </w:r>
    </w:p>
    <w:p>
      <w:r>
        <w:t>(2) Ist das Pfandrecht dahin beschränkt, daß der Gläubiger Befriedigung aus dem Grundstück nur im Wege der Zwangsverwaltung suchen kann, so bleibt diese Beschränkung bestehen.</w:t>
      </w:r>
    </w:p>
    <w:p>
      <w:pPr>
        <w:pStyle w:val="Heading2"/>
      </w:pPr>
      <w:bookmarkStart w:id="194" w:name="b193"/>
      <w:r>
        <w:t>Art 193</w:t>
      </w:r>
      <w:r>
        <w:t xml:space="preserve"> </w:t>
      </w:r>
      <w:r>
        <w:rPr>
          <w:rStyle w:val="Suchmarke"/>
        </w:rPr>
        <w:t>#193.#</w:t>
      </w:r>
      <w:bookmarkEnd w:id="194"/>
    </w:p>
    <w:p>
      <w:r>
        <w:t xml:space="preserve">Durch Landesgesetz kann bestimmt werden, daß ein Pfandrecht, welches nach </w:t>
      </w:r>
      <w:hyperlink w:anchor="b192" w:history="1">
        <w:r>
          <w:rPr>
            <w:color w:val="0A3A8C"/>
            <w:u w:val="single"/>
          </w:rPr>
          <w:t xml:space="preserve">Artikel 192</w:t>
        </w:r>
      </w:hyperlink>
      <w:r>
        <w:t xml:space="preserve"> nicht als Sicherungshypothek gilt, als Sicherungshypothek oder als eine Hypothek gelten soll, für welche die Erteilung des Hypothekenbriefs nicht ausgeschlossen ist, und daß eine über das Pfandrecht erteilte Urkunde als Hypothekenbrief gelten soll.</w:t>
      </w:r>
    </w:p>
    <w:p>
      <w:pPr>
        <w:pStyle w:val="Heading2"/>
      </w:pPr>
      <w:bookmarkStart w:id="195" w:name="b194"/>
      <w:r>
        <w:t>Art 194</w:t>
      </w:r>
      <w:r>
        <w:t xml:space="preserve"> </w:t>
      </w:r>
      <w:r>
        <w:rPr>
          <w:rStyle w:val="Suchmarke"/>
        </w:rPr>
        <w:t>#194.#</w:t>
      </w:r>
      <w:bookmarkEnd w:id="195"/>
    </w:p>
    <w:p>
      <w:r>
        <w:t xml:space="preserve">Durch Landesgesetz kann bestimmt werden, daß ein Gläubiger, dessen Pfandrecht zu der im </w:t>
      </w:r>
      <w:hyperlink w:anchor="b192" w:history="1">
        <w:r>
          <w:rPr>
            <w:color w:val="0A3A8C"/>
            <w:u w:val="single"/>
          </w:rPr>
          <w:t xml:space="preserve">Artikel 192</w:t>
        </w:r>
      </w:hyperlink>
      <w:r>
        <w:t xml:space="preserve"> bezeichneten Zeit besteht, die Löschung eines im Rang vorgehenden oder gleichstehenden Pfandrechts, falls dieses sich mit dem Eigentum in einer Person vereinigt, in gleicher Weise zu verlangen berechtigt ist, wie wenn zur Sicherung des Rechts auf Löschung eine Vormerkung im Grundbuch eingetragen wäre.</w:t>
      </w:r>
    </w:p>
    <w:p>
      <w:pPr>
        <w:pStyle w:val="Heading2"/>
      </w:pPr>
      <w:bookmarkStart w:id="196" w:name="b195"/>
      <w:r>
        <w:t>Art 195</w:t>
      </w:r>
      <w:r>
        <w:t xml:space="preserve"> </w:t>
      </w:r>
      <w:r>
        <w:rPr>
          <w:rStyle w:val="Suchmarke"/>
        </w:rPr>
        <w:t>#195.#</w:t>
      </w:r>
      <w:bookmarkEnd w:id="196"/>
    </w:p>
    <w:p>
      <w:r>
        <w:t xml:space="preserve">(1) </w:t>
      </w:r>
      <w:r>
        <w:rPr>
          <w:rStyle w:val="Satznummer"/>
        </w:rPr>
        <w:t>1</w:t>
      </w:r>
      <w:r>
        <w:t xml:space="preserve">Eine zu der Zeit, zu welcher das Grundbuch als angelegt anzusehen ist, bestehende Grundschuld gilt von dieser Zeit an als Grundschuld im Sinne des Bürgerlichen Gesetzbuchs und eine über die Grundschuld erteilte Urkunde als Grundschuldbrief. </w:t>
      </w:r>
      <w:r>
        <w:rPr>
          <w:rStyle w:val="Satznummer"/>
        </w:rPr>
        <w:t>2</w:t>
      </w:r>
      <w:r>
        <w:t xml:space="preserve">Die Vorschrift des </w:t>
      </w:r>
      <w:hyperlink w:anchor="b192" w:history="1">
        <w:r>
          <w:rPr>
            <w:color w:val="0A3A8C"/>
            <w:u w:val="single"/>
          </w:rPr>
          <w:t xml:space="preserve">Artikels 192</w:t>
        </w:r>
      </w:hyperlink>
      <w:r>
        <w:t xml:space="preserve"> Abs. 2 findet entsprechende Anwendung.</w:t>
      </w:r>
    </w:p>
    <w:p>
      <w:r>
        <w:t>(2) Durch Landesgesetz kann bestimmt werden, daß eine zu der im Absatz 1 bezeichneten Zeit bestehende Grundschuld als eine Hypothek, für welche die Erteilung des Hypothekenbriefs nicht ausgeschlossen ist, oder als Sicherungshypothek gelten soll und daß eine über die Grundschuld erteilte Urkunde als Hypothekenbrief gelten soll.</w:t>
      </w:r>
    </w:p>
    <w:p>
      <w:pPr>
        <w:pStyle w:val="Heading2"/>
      </w:pPr>
      <w:bookmarkStart w:id="197" w:name="b196"/>
      <w:r>
        <w:t>Art 196</w:t>
      </w:r>
      <w:r>
        <w:t xml:space="preserve"> </w:t>
      </w:r>
      <w:r>
        <w:rPr>
          <w:rStyle w:val="Suchmarke"/>
        </w:rPr>
        <w:t>#196.#</w:t>
      </w:r>
      <w:bookmarkEnd w:id="197"/>
    </w:p>
    <w:p>
      <w:r>
        <w:t>Durch Landesgesetz kann bestimmt werden, daß auf ein an einem Grundstück bestehendes vererbliches und übertragbares Nutzungsrecht die sich auf Grundstücke beziehenden Vorschriften und auf den Erwerb eines solchen Rechts die für den Erwerb des Eigentums an einem Grundstück geltenden Vorschriften des Bürgerlichen Gesetzbuchs Anwendung finden.</w:t>
      </w:r>
    </w:p>
    <w:p>
      <w:pPr>
        <w:pStyle w:val="Heading2"/>
      </w:pPr>
      <w:bookmarkStart w:id="198" w:name="b197"/>
      <w:r>
        <w:t>Art 197</w:t>
      </w:r>
      <w:r>
        <w:t xml:space="preserve"> </w:t>
      </w:r>
      <w:r>
        <w:rPr>
          <w:rStyle w:val="Suchmarke"/>
        </w:rPr>
        <w:t>#197.#</w:t>
      </w:r>
      <w:bookmarkEnd w:id="198"/>
    </w:p>
    <w:p>
      <w:r>
        <w:t xml:space="preserve">In Kraft bleiben die landesgesetzlichen Vorschriften, nach welchen in Ansehung solcher Grundstücke, bezüglich deren zur Zeit des Inkrafttretens des Bürgerlichen Gesetzbuchs ein nicht unter den </w:t>
      </w:r>
      <w:hyperlink w:anchor="b77" w:history="1">
        <w:r>
          <w:rPr>
            <w:color w:val="0A3A8C"/>
            <w:u w:val="single"/>
          </w:rPr>
          <w:t xml:space="preserve">Artikel 63</w:t>
        </w:r>
      </w:hyperlink>
      <w:r>
        <w:t xml:space="preserve"> fallendes bäuerliches Nutzungsrecht besteht, nach der Beendigung des Nutzungsrechts ein Recht gleicher Art neu begründet werden kann und der Gutsherr zu der Begründung verpflichtet ist.</w:t>
      </w:r>
    </w:p>
    <w:p>
      <w:pPr>
        <w:pStyle w:val="Heading2"/>
      </w:pPr>
      <w:bookmarkStart w:id="199" w:name="b198"/>
      <w:r>
        <w:t>Art 198</w:t>
      </w:r>
      <w:r>
        <w:t xml:space="preserve"> </w:t>
      </w:r>
      <w:r>
        <w:rPr>
          <w:rStyle w:val="Suchmarke"/>
        </w:rPr>
        <w:t>#198.#</w:t>
      </w:r>
      <w:bookmarkEnd w:id="199"/>
    </w:p>
    <w:p>
      <w:r>
        <w:t>(1) Die Gültigkeit einer vor dem Inkrafttreten des Bürgerlichen Gesetzbuchs geschlossenen Ehe bestimmt sich nach den bisherigen Gesetzen.</w:t>
      </w:r>
    </w:p>
    <w:p>
      <w:r>
        <w:t xml:space="preserve">(2) </w:t>
      </w:r>
      <w:r>
        <w:rPr>
          <w:rStyle w:val="Satznummer"/>
        </w:rPr>
        <w:t>1</w:t>
      </w:r>
      <w:r>
        <w:t xml:space="preserve">Eine nach den bisherigen Gesetzen nichtige oder ungültige Ehe ist als von Anfang an gültig anzusehen, wenn die Ehegatten zur Zeit des Inkrafttretens des Bürgerlichen Gesetzbuchs noch als Ehegatten miteinander leben und der Grund, auf dem die Nichtigkeit oder die Ungültigkeit beruht, nach den Vorschriften des Bürgerlichen Gesetzbuchs die Nichtigkeit oder die Anfechtbarkeit der Ehe nicht zur Folge haben oder diese Wirkung verloren haben würde. </w:t>
      </w:r>
      <w:r>
        <w:rPr>
          <w:rStyle w:val="Satznummer"/>
        </w:rPr>
        <w:t>2</w:t>
      </w:r>
      <w:r>
        <w:t>Die für die Anfechtung im Bürgerlichen Gesetzbuch bestimmte Frist beginnt nicht vor dem Inkrafttreten des Bürgerlichen Gesetzbuchs.</w:t>
      </w:r>
    </w:p>
    <w:p>
      <w:r>
        <w:t>(3) Die nach den bisherigen Gesetzen erfolgte Ungültigkeitserklärung einer Ehe steht der Nichtigkeitserklärung nach dem Bürgerlichen Gesetzbuch gleich.</w:t>
      </w:r>
    </w:p>
    <w:p>
      <w:pPr>
        <w:pStyle w:val="Heading2"/>
      </w:pPr>
      <w:bookmarkStart w:id="200" w:name="b199"/>
      <w:r>
        <w:t>Art 199</w:t>
      </w:r>
      <w:r>
        <w:t xml:space="preserve"> </w:t>
      </w:r>
      <w:r>
        <w:rPr>
          <w:rStyle w:val="Suchmarke"/>
        </w:rPr>
        <w:t>#199.#</w:t>
      </w:r>
      <w:bookmarkEnd w:id="200"/>
    </w:p>
    <w:p>
      <w:r>
        <w:t>Die persönlichen Rechtsbeziehungen der Ehegatten zueinander, insbesondere die gegenseitige Unterhaltspflicht, bestimmen sich auch für die zur Zeit des Inkrafttretens des Bürgerlichen Gesetzbuchs bestehenden Ehen nach dessen Vorschriften.</w:t>
      </w:r>
    </w:p>
    <w:p>
      <w:pPr>
        <w:pStyle w:val="Heading2"/>
      </w:pPr>
      <w:bookmarkStart w:id="201" w:name="b200"/>
      <w:r>
        <w:t>Art 200</w:t>
      </w:r>
      <w:r>
        <w:t xml:space="preserve"> </w:t>
      </w:r>
      <w:r>
        <w:rPr>
          <w:rStyle w:val="Suchmarke"/>
        </w:rPr>
        <w:t>#200.#</w:t>
      </w:r>
      <w:bookmarkEnd w:id="201"/>
    </w:p>
    <w:p>
      <w:r>
        <w:t xml:space="preserve">(1) </w:t>
      </w:r>
      <w:r>
        <w:rPr>
          <w:rStyle w:val="Satznummer"/>
        </w:rPr>
        <w:t>1</w:t>
      </w:r>
      <w:r>
        <w:t xml:space="preserve">Für den Güterstand einer zur Zeit des Inkrafttretens des Bürgerlichen Gesetzbuchs bestehenden Ehe bleiben die bisherigen Gesetze maßgebend. </w:t>
      </w:r>
      <w:r>
        <w:rPr>
          <w:rStyle w:val="Satznummer"/>
        </w:rPr>
        <w:t>2</w:t>
      </w:r>
      <w:r>
        <w:t>Dies gilt insbesondere auch von den Vorschriften über die erbrechtlichen Wirkungen des Güterstands und von den Vorschriften der französischen und der badischen Gesetze über das Verfahren bei Vermögensabsonderungen unter Ehegatten.</w:t>
      </w:r>
    </w:p>
    <w:p>
      <w:r>
        <w:t>(2) Eine nach den Vorschriften des Bürgerlichen Gesetzbuchs zulässige Regelung des Güterstands kann durch Ehevertrag auch dann getroffen werden, wenn nach den bisherigen Gesetzen ein Ehevertrag unzulässig sein würde.</w:t>
      </w:r>
    </w:p>
    <w:p>
      <w:r>
        <w:t>(3) (gegenstandslos)</w:t>
      </w:r>
    </w:p>
    <w:p>
      <w:pPr>
        <w:pStyle w:val="Heading2"/>
      </w:pPr>
      <w:bookmarkStart w:id="202" w:name="b201"/>
      <w:r>
        <w:t>Art 201</w:t>
      </w:r>
      <w:r>
        <w:t xml:space="preserve"> </w:t>
      </w:r>
      <w:r>
        <w:rPr>
          <w:rStyle w:val="Suchmarke"/>
        </w:rPr>
        <w:t>#201.#</w:t>
      </w:r>
      <w:bookmarkEnd w:id="202"/>
    </w:p>
    <w:p>
      <w:r>
        <w:t>(1) Die Scheidung und die Aufhebung der ehelichen Gemeinschaft erfolgen von dem Inkrafttreten des Bürgerlichen Gesetzbuchs an nach dessen Vorschriften.</w:t>
      </w:r>
    </w:p>
    <w:p>
      <w:r>
        <w:t>(2) (weggefallen)</w:t>
      </w:r>
    </w:p>
    <w:p>
      <w:pPr>
        <w:pStyle w:val="Heading2"/>
      </w:pPr>
      <w:bookmarkStart w:id="203" w:name="b202"/>
      <w:r>
        <w:t>Art 202</w:t>
      </w:r>
      <w:r>
        <w:t xml:space="preserve"> </w:t>
      </w:r>
      <w:r>
        <w:rPr>
          <w:rStyle w:val="Suchmarke"/>
        </w:rPr>
        <w:t>#202.#</w:t>
      </w:r>
      <w:bookmarkEnd w:id="203"/>
    </w:p>
    <w:p>
      <w:r>
        <w:rPr>
          <w:rStyle w:val="Satznummer"/>
        </w:rPr>
        <w:t>1</w:t>
      </w:r>
      <w:r>
        <w:t xml:space="preserve">Für die Wirkungen einer beständigen oder zeitweiligen Trennung von Tisch und Bett, auf welche vor dem Inkrafttreten des Bürgerlichen Gesetzbuchs erkannt worden ist, bleiben die bisherigen Gesetze maßgebend. </w:t>
      </w:r>
      <w:r>
        <w:rPr>
          <w:rStyle w:val="Satznummer"/>
        </w:rPr>
        <w:t>2</w:t>
      </w:r>
      <w:r>
        <w:t>Dies gilt insbesondere auch von den Vorschriften, nach denen eine bis zu dem Tod eines der Ehegatten fortbestehende Trennung in allen oder einzelnen Beziehungen der Auflösung der Ehe gleichsteht.</w:t>
      </w:r>
    </w:p>
    <w:p>
      <w:pPr>
        <w:pStyle w:val="Heading2"/>
      </w:pPr>
      <w:bookmarkStart w:id="204" w:name="b203"/>
      <w:r>
        <w:t>Art 203</w:t>
      </w:r>
      <w:r>
        <w:t xml:space="preserve"> </w:t>
      </w:r>
      <w:r>
        <w:rPr>
          <w:rStyle w:val="Suchmarke"/>
        </w:rPr>
        <w:t>#203.#</w:t>
      </w:r>
      <w:bookmarkEnd w:id="204"/>
    </w:p>
    <w:p>
      <w:r>
        <w:t>Das Rechtsverhältnis zwischen den Eltern und einem vor dem Inkrafttreten des Bürgerlichen Gesetzbuchs geborenen ehelichen Kind bestimmt sich von dem Inkrafttreten des Bürgerlichen Gesetzbuchs an nach dessen Vorschriften.</w:t>
      </w:r>
    </w:p>
    <w:p>
      <w:pPr>
        <w:pStyle w:val="Heading2"/>
      </w:pPr>
      <w:bookmarkStart w:id="205" w:name="b204"/>
      <w:r>
        <w:t>Art 204 bis 206 (gegenstandslos)</w:t>
      </w:r>
      <w:bookmarkEnd w:id="205"/>
    </w:p>
    <w:p>
      <w:pPr>
        <w:pStyle w:val="Heading2"/>
      </w:pPr>
      <w:bookmarkStart w:id="206" w:name="b205"/>
      <w:r>
        <w:t>Art 207</w:t>
      </w:r>
      <w:r>
        <w:t xml:space="preserve"> </w:t>
      </w:r>
      <w:r>
        <w:rPr>
          <w:rStyle w:val="Suchmarke"/>
        </w:rPr>
        <w:t>#207.#</w:t>
      </w:r>
      <w:bookmarkEnd w:id="206"/>
    </w:p>
    <w:p>
      <w:r>
        <w:t>Inwieweit die Kinder aus einer vor dem Inkrafttreten des Bürgerlichen Gesetzbuchs geschlossenen nichtigen oder ungültigen Ehe als eheliche Kinder anzusehen sind und inwieweit der Vater und die Mutter die Pflichten und Rechte ehelicher Eltern haben, bestimmt sich nach den bisherigen Gesetzen.</w:t>
      </w:r>
    </w:p>
    <w:p>
      <w:pPr>
        <w:pStyle w:val="Heading2"/>
      </w:pPr>
      <w:bookmarkStart w:id="207" w:name="b206"/>
      <w:r>
        <w:t>Art 208</w:t>
      </w:r>
      <w:r>
        <w:t xml:space="preserve"> </w:t>
      </w:r>
      <w:r>
        <w:rPr>
          <w:rStyle w:val="Suchmarke"/>
        </w:rPr>
        <w:t>#208.#</w:t>
      </w:r>
      <w:bookmarkEnd w:id="207"/>
    </w:p>
    <w:p>
      <w:r>
        <w:t>(1) Die rechtliche Stellung eines vor dem Inkrafttreten des Bürgerlichen Gesetzbuchs geborenen nichtehelichen Kindes bestimmt sich von dem Inkrafttreten des Bürgerlichen Gesetzbuchs an nach dessen Vorschriften; für die Erforschung der Vaterschaft, für das Recht des Kindes, den Familiennamen des Vaters zu führen, sowie für die Unterhaltspflicht des Vaters bleiben jedoch die bisherigen Gesetze maßgebend.</w:t>
      </w:r>
    </w:p>
    <w:p>
      <w:r>
        <w:t>(2) Inwieweit einem vor dem Inkrafttreten des Bürgerlichen Gesetzbuchs außerehelich erzeugten Kind aus einem besonderen Grund, insbesondere wegen Erzeugung im Brautstand, die rechtliche Stellung eines ehelichen Kindes zukommt und inwieweit der Vater und die Mutter eines solchen Kindes die Pflichten und Rechte ehelicher Eltern haben, bestimmt sich nach den bisherigen Gesetzen.</w:t>
      </w:r>
    </w:p>
    <w:p>
      <w:r>
        <w:t>(3) Die Vorschriften des Absatzes 1 gelten auch für ein nach den französischen oder den badischen Gesetzen anerkanntes Kind.</w:t>
      </w:r>
    </w:p>
    <w:p>
      <w:pPr>
        <w:pStyle w:val="Heading2"/>
      </w:pPr>
      <w:bookmarkStart w:id="208" w:name="b207"/>
      <w:r>
        <w:t>Art 209</w:t>
      </w:r>
      <w:r>
        <w:t xml:space="preserve"> </w:t>
      </w:r>
      <w:r>
        <w:rPr>
          <w:rStyle w:val="Suchmarke"/>
        </w:rPr>
        <w:t>#209.#</w:t>
      </w:r>
      <w:bookmarkEnd w:id="208"/>
    </w:p>
    <w:p>
      <w:r>
        <w:t>Inwieweit ein vor dem Inkrafttreten des Bürgerlichen Gesetzbuchs legitimiertes oder an Kindes Statt angenommenes Kind die rechtliche Stellung eines ehelichen Kindes hat und inwieweit der Vater und die Mutter die Pflichten und Rechte ehelicher Eltern haben, bestimmt sich nach den bisherigen Gesetzen.</w:t>
      </w:r>
    </w:p>
    <w:p>
      <w:pPr>
        <w:pStyle w:val="Heading2"/>
      </w:pPr>
      <w:bookmarkStart w:id="209" w:name="b208"/>
      <w:r>
        <w:t>Art 210</w:t>
      </w:r>
      <w:r>
        <w:t xml:space="preserve"> </w:t>
      </w:r>
      <w:r>
        <w:rPr>
          <w:rStyle w:val="Suchmarke"/>
        </w:rPr>
        <w:t>#210.#</w:t>
      </w:r>
      <w:bookmarkEnd w:id="209"/>
    </w:p>
    <w:p>
      <w:r>
        <w:t xml:space="preserve">(1) </w:t>
      </w:r>
      <w:r>
        <w:rPr>
          <w:rStyle w:val="Satznummer"/>
        </w:rPr>
        <w:t>1</w:t>
      </w:r>
      <w:r>
        <w:t xml:space="preserve">Auf eine zur Zeit des Inkrafttretens des Bürgerlichen Gesetzbuchs bestehende Vormundschaft oder Pflegschaft finden von dieser Zeit an die Vorschriften des Bürgerlichen Gesetzbuchs Anwendung. </w:t>
      </w:r>
      <w:r>
        <w:rPr>
          <w:rStyle w:val="Satznummer"/>
        </w:rPr>
        <w:t>2</w:t>
      </w:r>
      <w:r>
        <w:t xml:space="preserve">Ist die Vormundschaft wegen eines körperlichen Gebrechens angeordnet, so gilt sie als eine nach § 1910 Abs. 1 des Bürgerlichen Gesetzbuchs angeordnete Pflegschaft. </w:t>
      </w:r>
      <w:r>
        <w:rPr>
          <w:rStyle w:val="Satznummer"/>
        </w:rPr>
        <w:t>3</w:t>
      </w:r>
      <w:r>
        <w:t>Ist die Vormundschaft wegen Geistesschwäche angeordnet, ohne daß eine Entmündigung erfolgt ist, so gilt sie als eine nach § 1910 Abs. 2 des Bürgerlichen Gesetzbuchs für die Vermögensangelegenheiten des Geistesschwachen angeordnete Pflegschaft.</w:t>
      </w:r>
    </w:p>
    <w:p>
      <w:r>
        <w:t xml:space="preserve">(2) </w:t>
      </w:r>
      <w:r>
        <w:rPr>
          <w:rStyle w:val="Satznummer"/>
        </w:rPr>
        <w:t>1</w:t>
      </w:r>
      <w:r>
        <w:t xml:space="preserve">Die bisherigen Vormünder und Pfleger bleiben im Amt. </w:t>
      </w:r>
      <w:r>
        <w:rPr>
          <w:rStyle w:val="Satznummer"/>
        </w:rPr>
        <w:t>2</w:t>
      </w:r>
      <w:r>
        <w:t xml:space="preserve">Das gleiche gilt im Geltungsbereich der preußischen Vormundschaftsordnung vom 5. Juli 1875 für den Familienrat und dessen Mitglieder. </w:t>
      </w:r>
      <w:r>
        <w:rPr>
          <w:rStyle w:val="Satznummer"/>
        </w:rPr>
        <w:t>3</w:t>
      </w:r>
      <w:r>
        <w:t>Ein Gegenvormund ist zu entlassen, wenn nach den Vorschriften des Bürgerlichen Gesetzbuchs ein Gegenvormund nicht zu bestellen sein würde.</w:t>
      </w:r>
    </w:p>
    <w:p>
      <w:pPr>
        <w:pStyle w:val="Heading2"/>
      </w:pPr>
      <w:bookmarkStart w:id="210" w:name="b209"/>
      <w:r>
        <w:t>Art 211 (gegenstandslos)</w:t>
      </w:r>
      <w:r>
        <w:t xml:space="preserve"> </w:t>
      </w:r>
      <w:r>
        <w:rPr>
          <w:rStyle w:val="Suchmarke"/>
        </w:rPr>
        <w:t>#211.#</w:t>
      </w:r>
      <w:bookmarkEnd w:id="210"/>
    </w:p>
    <w:p>
      <w:pPr>
        <w:pStyle w:val="Heading2"/>
      </w:pPr>
      <w:bookmarkStart w:id="211" w:name="b210"/>
      <w:r>
        <w:t>Art 212</w:t>
      </w:r>
      <w:r>
        <w:t xml:space="preserve"> </w:t>
      </w:r>
      <w:r>
        <w:rPr>
          <w:rStyle w:val="Suchmarke"/>
        </w:rPr>
        <w:t>#212.#</w:t>
      </w:r>
      <w:bookmarkEnd w:id="211"/>
    </w:p>
    <w:p>
      <w:r>
        <w:t>In Kraft bleiben die landesgesetzlichen Vorschriften, nach welchen gewisse Wertpapiere zur Anlegung von Mündelgeld für geeignet erklärt sind.</w:t>
      </w:r>
    </w:p>
    <w:p>
      <w:pPr>
        <w:pStyle w:val="Heading2"/>
      </w:pPr>
      <w:bookmarkStart w:id="212" w:name="b211"/>
      <w:r>
        <w:t>Art 213</w:t>
      </w:r>
      <w:r>
        <w:t xml:space="preserve"> </w:t>
      </w:r>
      <w:r>
        <w:rPr>
          <w:rStyle w:val="Suchmarke"/>
        </w:rPr>
        <w:t>#213.#</w:t>
      </w:r>
      <w:bookmarkEnd w:id="212"/>
    </w:p>
    <w:p>
      <w:r>
        <w:rPr>
          <w:rStyle w:val="Satznummer"/>
        </w:rPr>
        <w:t>1</w:t>
      </w:r>
      <w:r>
        <w:t xml:space="preserve">Für die erbrechtlichen Verhältnisse bleiben, wenn der Erblasser vor dem Inkrafttreten des Bürgerlichen Gesetzbuchs gestorben ist, die bisherigen Gesetze maßgebend. </w:t>
      </w:r>
      <w:r>
        <w:rPr>
          <w:rStyle w:val="Satznummer"/>
        </w:rPr>
        <w:t>2</w:t>
      </w:r>
      <w:r>
        <w:t>Dies gilt insbesondere auch von den Vorschriften über das erbschaftliche Liquidationsverfahren.</w:t>
      </w:r>
    </w:p>
    <w:p>
      <w:pPr>
        <w:pStyle w:val="Heading2"/>
      </w:pPr>
      <w:bookmarkStart w:id="213" w:name="b212"/>
      <w:r>
        <w:t>Art 214</w:t>
      </w:r>
      <w:r>
        <w:t xml:space="preserve"> </w:t>
      </w:r>
      <w:r>
        <w:rPr>
          <w:rStyle w:val="Suchmarke"/>
        </w:rPr>
        <w:t>#214.#</w:t>
      </w:r>
      <w:bookmarkEnd w:id="213"/>
    </w:p>
    <w:p>
      <w:r>
        <w:t>(1) Die vor dem Inkrafttreten des Bürgerlichen Gesetzbuchs erfolgte Errichtung oder Aufhebung einer Verfügung von Todes wegen wird nach den bisherigen Gesetzen beurteilt, auch wenn der Erblasser nach dem Inkrafttreten des Bürgerlichen Gesetzbuchs stirbt.</w:t>
      </w:r>
    </w:p>
    <w:p>
      <w:r>
        <w:t>(2) Das gleiche gilt für die Bindung des Erblassers bei einem Erbvertrag oder einem gemeinschaftlichen Testament, sofern der Erbvertrag oder das Testament vor dem Inkrafttreten des Bürgerlichen Gesetzbuchs errichtet worden ist.</w:t>
      </w:r>
    </w:p>
    <w:p>
      <w:pPr>
        <w:pStyle w:val="Heading2"/>
      </w:pPr>
      <w:bookmarkStart w:id="214" w:name="b213"/>
      <w:r>
        <w:t>Art 215</w:t>
      </w:r>
      <w:r>
        <w:t xml:space="preserve"> </w:t>
      </w:r>
      <w:r>
        <w:rPr>
          <w:rStyle w:val="Suchmarke"/>
        </w:rPr>
        <w:t>#215.#</w:t>
      </w:r>
      <w:bookmarkEnd w:id="214"/>
    </w:p>
    <w:p>
      <w:r>
        <w:t>(1) Wer vor dem Inkrafttreten des Bürgerlichen Gesetzbuchs die Fähigkeit zur Errichtung einer Verfügung von Todes wegen erlangt und eine solche Verfügung errichtet hat, behält die Fähigkeit, auch wenn er das nach dem Bürgerlichen Gesetzbuch erforderliche Alter noch nicht erreicht hat.</w:t>
      </w:r>
    </w:p>
    <w:p>
      <w:r>
        <w:t>(2) Die Vorschriften des § 2230 des Bürgerlichen Gesetzbuchs finden auf ein Testament Anwendung, das ein nach dem Inkrafttreten des Bürgerlichen Gesetzbuchs gestorbener Erblasser vor diesem Zeitpunkt errichtet hat.</w:t>
      </w:r>
    </w:p>
    <w:p>
      <w:pPr>
        <w:pStyle w:val="Heading2"/>
      </w:pPr>
      <w:bookmarkStart w:id="215" w:name="b214"/>
      <w:r>
        <w:t>Art 216 (gegenstandslos)</w:t>
      </w:r>
      <w:r>
        <w:t xml:space="preserve"> </w:t>
      </w:r>
      <w:r>
        <w:rPr>
          <w:rStyle w:val="Suchmarke"/>
        </w:rPr>
        <w:t>#216.#</w:t>
      </w:r>
      <w:bookmarkEnd w:id="215"/>
    </w:p>
    <w:p>
      <w:pPr>
        <w:pStyle w:val="Heading2"/>
      </w:pPr>
      <w:bookmarkStart w:id="216" w:name="b215"/>
      <w:r>
        <w:t>Art 217</w:t>
      </w:r>
      <w:r>
        <w:t xml:space="preserve"> </w:t>
      </w:r>
      <w:r>
        <w:rPr>
          <w:rStyle w:val="Suchmarke"/>
        </w:rPr>
        <w:t>#217.#</w:t>
      </w:r>
      <w:bookmarkEnd w:id="216"/>
    </w:p>
    <w:p>
      <w:r>
        <w:t>(1) Die vor dem Inkrafttreten des Bürgerlichen Gesetzbuchs erfolgte Errichtung eines Erbverzichtsvertrags sowie die Wirkungen eines solchen Vertrags bestimmen sich nach den bisherigen Gesetzen.</w:t>
      </w:r>
    </w:p>
    <w:p>
      <w:r>
        <w:t>(2) Das gleiche gilt von einem vor dem Inkrafttreten des Bürgerlichen Gesetzbuchs geschlossenen Vertrag, durch den ein Erbverzichtsvertrag aufgehoben worden ist.</w:t>
      </w:r>
    </w:p>
    <w:p>
      <w:pPr>
        <w:pStyle w:val="Heading2"/>
      </w:pPr>
      <w:bookmarkStart w:id="217" w:name="b216"/>
      <w:r>
        <w:t>Art 218</w:t>
      </w:r>
      <w:r>
        <w:t xml:space="preserve"> </w:t>
      </w:r>
      <w:r>
        <w:rPr>
          <w:rStyle w:val="Suchmarke"/>
        </w:rPr>
        <w:t>#218.#</w:t>
      </w:r>
      <w:bookmarkEnd w:id="217"/>
    </w:p>
    <w:p>
      <w:r>
        <w:t>Soweit nach den Vorschriften dieses Abschnitts die bisherigen Landesgesetze maßgebend bleiben, können sie nach dem Inkrafttreten des Bürgerlichen Gesetzbuchs durch Landesgesetz auch geändert werden.</w:t>
      </w:r>
    </w:p>
    <w:p>
      <w:pPr>
        <w:pStyle w:val="Heading1"/>
      </w:pPr>
      <w:bookmarkStart w:id="218" w:name="b217"/>
      <w:r>
        <w:t>Fünfter Teil Übergangsvorschriften aus Anlaß jüngerer Änderungen des Bürgerlichen Gesetzbuchs und dieses Einführungsgesetzes</w:t>
      </w:r>
      <w:bookmarkEnd w:id="218"/>
    </w:p>
    <w:p>
      <w:pPr>
        <w:pStyle w:val="Heading2"/>
      </w:pPr>
      <w:bookmarkStart w:id="219" w:name="b218"/>
      <w:r>
        <w:t>Art 219 Übergangsvorschrift zum Gesetz vom 8. November 1985 zur Neuordnung des landwirtschaftlichen Pachtrechts</w:t>
      </w:r>
      <w:r>
        <w:t xml:space="preserve"> </w:t>
      </w:r>
      <w:r>
        <w:rPr>
          <w:rStyle w:val="Suchmarke"/>
        </w:rPr>
        <w:t>#219.#</w:t>
      </w:r>
      <w:bookmarkEnd w:id="219"/>
    </w:p>
    <w:p>
      <w:r>
        <w:t xml:space="preserve">(1) </w:t>
      </w:r>
      <w:r>
        <w:rPr>
          <w:rStyle w:val="Satznummer"/>
        </w:rPr>
        <w:t>1</w:t>
      </w:r>
      <w:r>
        <w:t xml:space="preserve">Pachtverhältnisse auf Grund von Verträgen, die vor dem 1. Juli 1986 geschlossen worden sind, richten sich von da an nach der neuen Fassung der §§ 581 bis 597 des Bürgerlichen Gesetzbuchs. </w:t>
      </w:r>
      <w:r>
        <w:rPr>
          <w:rStyle w:val="Satznummer"/>
        </w:rPr>
        <w:t>2</w:t>
      </w:r>
      <w:r>
        <w:t xml:space="preserve">Beruhen vertragliche Bestimmungen über das Inventar auf bis dahin geltendem Recht, so hat jeder Vertragsteil das Recht, bis zum 30. Juni 1986 zu erklären, daß für den Pachtvertrag insoweit das alte Recht fortgelten soll. </w:t>
      </w:r>
      <w:r>
        <w:rPr>
          <w:rStyle w:val="Satznummer"/>
        </w:rPr>
        <w:t>3</w:t>
      </w:r>
      <w:r>
        <w:t xml:space="preserve">Die Erklärung ist gegenüber dem anderen Vertragsteil abzugeben. </w:t>
      </w:r>
      <w:r>
        <w:rPr>
          <w:rStyle w:val="Satznummer"/>
        </w:rPr>
        <w:t>4</w:t>
      </w:r>
      <w:r>
        <w:t>Sie bedarf der schriftlichen Form.</w:t>
      </w:r>
    </w:p>
    <w:p>
      <w:r>
        <w:t xml:space="preserve">(2) </w:t>
      </w:r>
      <w:r>
        <w:rPr>
          <w:rStyle w:val="Satznummer"/>
        </w:rPr>
        <w:t>1</w:t>
      </w:r>
      <w:r>
        <w:t xml:space="preserve">Absatz 1 gilt entsprechend für Rechtsverhältnisse, zu deren Regelung auf die bisher geltenden Vorschriften der §§ 587 bis 589 des Bürgerlichen Gesetzbuchs verwiesen wird. </w:t>
      </w:r>
      <w:r>
        <w:rPr>
          <w:rStyle w:val="Satznummer"/>
        </w:rPr>
        <w:t>2</w:t>
      </w:r>
      <w:r>
        <w:t>Auf einen vor dem in Absatz 1 Satz 1 genannten Tag bestellten Nießbrauch ist jedoch § 1048 Abs. 2 in Verbindung mit den §§ 588 und 589 des Bürgerlichen Gesetzbuchs in der bisher geltenden Fassung der Vorschriften weiterhin anzuwenden.</w:t>
      </w:r>
    </w:p>
    <w:p>
      <w:r>
        <w:t>(3) In gerichtlichen Verfahren, die am Beginn des in Absatz 1 Satz 1 genannten Tages anhängig sind, ist über die Verlängerung von Pachtverträgen nach dem bisher geltenden Recht zu entscheiden.</w:t>
      </w:r>
    </w:p>
    <w:p>
      <w:pPr>
        <w:pStyle w:val="Heading2"/>
      </w:pPr>
      <w:bookmarkStart w:id="220" w:name="b219"/>
      <w:r>
        <w:t>Art 220 Übergangsvorschrift zum Gesetz vom 25. Juli 1986 zur Neuregelung des Internationalen Privatrechts</w:t>
      </w:r>
      <w:r>
        <w:t xml:space="preserve"> </w:t>
      </w:r>
      <w:r>
        <w:rPr>
          <w:rStyle w:val="Suchmarke"/>
        </w:rPr>
        <w:t>#220.#</w:t>
      </w:r>
      <w:bookmarkEnd w:id="220"/>
    </w:p>
    <w:p>
      <w:r>
        <w:t>(1) Auf vor dem 1. September 1986 abgeschlossene Vorgänge bleibt das bisherige Internationale Privatrecht anwendbar.</w:t>
      </w:r>
    </w:p>
    <w:p>
      <w:r>
        <w:t>(2) Die Wirkungen familienrechtlicher Rechtsverhältnisse unterliegen von dem in Absatz 1 genannten Tag an den Vorschriften des Zweiten Kapitels des Ersten Teils.</w:t>
      </w:r>
    </w:p>
    <w:p>
      <w:r>
        <w:t xml:space="preserve">(3) </w:t>
      </w:r>
      <w:r>
        <w:rPr>
          <w:rStyle w:val="Satznummer"/>
        </w:rPr>
        <w:t>1</w:t>
      </w:r>
      <w:r>
        <w:t>Die güterrechtlichen Wirkungen von Ehen, die nach dem 31. März 1953 und vor dem 9. April 1983 geschlossen worden sind, unterliegen bis zum 8. April 1983</w:t>
      </w:r>
    </w:p>
    <w:p>
      <w:pPr>
        <w:tabs>
          <w:tab w:pos="567" w:val="left"/>
        </w:tabs>
        <w:ind w:left="567" w:hanging="567"/>
      </w:pPr>
      <w:r>
        <w:t>1.</w:t>
      </w:r>
      <w:r>
        <w:tab/>
      </w:r>
      <w:r>
        <w:t>dem Recht des Staates, dem beide Ehegatten bei der Eheschließung angehörten, sonst</w:t>
      </w:r>
    </w:p>
    <w:p>
      <w:pPr>
        <w:tabs>
          <w:tab w:pos="567" w:val="left"/>
        </w:tabs>
        <w:ind w:left="567" w:hanging="567"/>
      </w:pPr>
      <w:r>
        <w:t>2.</w:t>
      </w:r>
      <w:r>
        <w:tab/>
      </w:r>
      <w:r>
        <w:t>dem Recht, dem die Ehegatten sich unterstellt haben oder von dessen Anwendung sie ausgegangen sind, insbesondere nach dem sie einen Ehevertrag geschlossen haben, hilfsweise</w:t>
      </w:r>
    </w:p>
    <w:p>
      <w:pPr>
        <w:tabs>
          <w:tab w:pos="567" w:val="left"/>
        </w:tabs>
        <w:ind w:left="567" w:hanging="567"/>
      </w:pPr>
      <w:r>
        <w:t>3.</w:t>
      </w:r>
      <w:r>
        <w:tab/>
      </w:r>
      <w:r>
        <w:t>dem Recht des Staates, dem der Ehemann bei der Eheschließung angehörte.</w:t>
      </w:r>
    </w:p>
    <w:p>
      <w:r>
        <w:rPr>
          <w:rStyle w:val="Satznummer"/>
        </w:rPr>
        <w:t>2</w:t>
      </w:r>
      <w:r>
        <w:t xml:space="preserve">Für die Zeit nach dem 8. April 1983 ist Artikel 15 in der bis einschließlich 28. Januar 2019 geltenden Fassung anzuwenden. </w:t>
      </w:r>
      <w:r>
        <w:rPr>
          <w:rStyle w:val="Satznummer"/>
        </w:rPr>
        <w:t>3</w:t>
      </w:r>
      <w:r>
        <w:t xml:space="preserve">Dabei tritt für Ehen, auf die vorher Satz 1 Nr. 3 anzuwenden war, an die Stelle des Zeitpunkts der Eheschließung der 9. April 1983. </w:t>
      </w:r>
      <w:r>
        <w:rPr>
          <w:rStyle w:val="Satznummer"/>
        </w:rPr>
        <w:t>4</w:t>
      </w:r>
      <w:r>
        <w:t xml:space="preserve">Soweit sich allein aus einem Wechsel des anzuwendenden Rechts zum Ablauf des 8. April 1983 Ansprüche wegen der Beendigung des früheren Güterstands ergeben würden, gelten sie bis zu dem in Absatz 1 genannten Tag als gestundet. </w:t>
      </w:r>
      <w:r>
        <w:rPr>
          <w:rStyle w:val="Satznummer"/>
        </w:rPr>
        <w:t>5</w:t>
      </w:r>
      <w:r>
        <w:t xml:space="preserve">Auf die güterrechtlichen Wirkungen von Ehen, die nach dem 8. April 1983 geschlossen worden sind, ist Artikel 15 in der bis einschließlich 28. Januar 2019 geltenden Fassung anzuwenden. </w:t>
      </w:r>
      <w:r>
        <w:rPr>
          <w:rStyle w:val="Satznummer"/>
        </w:rPr>
        <w:t>6</w:t>
      </w:r>
      <w:r>
        <w:t>Die güterrechtlichen Wirkungen von Ehen, die vor dem 1. April 1953 geschlossen worden sind, bleiben unberührt; die Ehegatten können jedoch eine Rechtswahl nach Artikel 15 Absatz 2 und 3 in der bis einschließlich 28. Januar 2019 geltenden Fassung treffen.</w:t>
      </w:r>
    </w:p>
    <w:p>
      <w:r>
        <w:t>(4) (weggefallen)</w:t>
      </w:r>
    </w:p>
    <w:p>
      <w:r>
        <w:t>(5) (weggefallen)</w:t>
      </w:r>
    </w:p>
    <w:p>
      <w:pPr>
        <w:pStyle w:val="Heading2"/>
      </w:pPr>
      <w:bookmarkStart w:id="221" w:name="b220"/>
      <w:r>
        <w:t>Art 221 Übergangsvorschrift zum Gesetz vom 26. Juni 1990 zur Änderung des Arbeitsgerichtsgesetzes und anderer arbeitsrechtlicher Vorschriften</w:t>
      </w:r>
      <w:r>
        <w:t xml:space="preserve"> </w:t>
      </w:r>
      <w:r>
        <w:rPr>
          <w:rStyle w:val="Suchmarke"/>
        </w:rPr>
        <w:t>#221.#</w:t>
      </w:r>
      <w:bookmarkEnd w:id="221"/>
    </w:p>
    <w:p>
      <w:r>
        <w:t>Bei einer vor dem 1. Juli 1990 zugegangenen Kündigung werden bei der Berechnung der Beschäftigungsdauer auch Zeiten, die zwischen der Vollendung des fünfundzwanzigsten Lebensjahres und der Vollendung des fünfunddreißigsten Lebensjahres liegen, berücksichtigt, wenn am 1. Juli 1990</w:t>
      </w:r>
    </w:p>
    <w:p>
      <w:pPr>
        <w:tabs>
          <w:tab w:pos="567" w:val="left"/>
        </w:tabs>
        <w:ind w:left="567" w:hanging="567"/>
      </w:pPr>
      <w:r>
        <w:t>1.</w:t>
      </w:r>
      <w:r>
        <w:tab/>
      </w:r>
      <w:r>
        <w:t>das Arbeitsverhältnis noch nicht beendet ist oder</w:t>
      </w:r>
    </w:p>
    <w:p>
      <w:pPr>
        <w:tabs>
          <w:tab w:pos="567" w:val="left"/>
        </w:tabs>
        <w:ind w:left="567" w:hanging="567"/>
      </w:pPr>
      <w:r>
        <w:t>2.</w:t>
      </w:r>
      <w:r>
        <w:tab/>
      </w:r>
      <w:r>
        <w:t>ein Rechtsstreit über den Zeitpunkt der Beendigung des Arbeitsverhältnisses anhängig ist.</w:t>
      </w:r>
    </w:p>
    <w:p>
      <w:pPr>
        <w:pStyle w:val="Heading2"/>
      </w:pPr>
      <w:bookmarkStart w:id="222" w:name="b221"/>
      <w:r>
        <w:t>Art 222 Übergangsvorschrift zum Kündigungsfristengesetz vom 7. Oktober 1993</w:t>
      </w:r>
      <w:r>
        <w:t xml:space="preserve"> </w:t>
      </w:r>
      <w:r>
        <w:rPr>
          <w:rStyle w:val="Suchmarke"/>
        </w:rPr>
        <w:t>#222.#</w:t>
      </w:r>
      <w:bookmarkEnd w:id="222"/>
    </w:p>
    <w:p>
      <w:r>
        <w:t>Bei einer vor dem 15. Oktober 1993 zugegangenen Kündigung gilt Artikel 1 des Kündigungsfristengesetzes vom 7. Oktober 1993 (BGBl. I S. 1668), wenn am 15. Oktober 1993</w:t>
      </w:r>
    </w:p>
    <w:p>
      <w:pPr>
        <w:tabs>
          <w:tab w:pos="567" w:val="left"/>
        </w:tabs>
        <w:ind w:left="567" w:hanging="567"/>
      </w:pPr>
      <w:r>
        <w:t>1.</w:t>
      </w:r>
      <w:r>
        <w:tab/>
      </w:r>
      <w:r>
        <w:t>das Arbeitsverhältnis noch nicht beendet ist und die Vorschriften des Artikels 1 des Kündigungsfristengesetzes vom 7. Oktober 1993 für den Arbeitnehmer günstiger als die vor dem 15. Oktober 1993 geltenden gesetzlichen Vorschriften sind oder</w:t>
      </w:r>
    </w:p>
    <w:p>
      <w:pPr>
        <w:tabs>
          <w:tab w:pos="567" w:val="left"/>
        </w:tabs>
        <w:ind w:left="567" w:hanging="567"/>
      </w:pPr>
      <w:r>
        <w:t>2.</w:t>
      </w:r>
      <w:r>
        <w:tab/>
      </w:r>
      <w:r>
        <w:t>ein Rechtsstreit anhängig ist, bei dem die Entscheidung über den Zeitpunkt der Beendigung des Arbeitsverhältnisses abhängt von</w:t>
      </w:r>
    </w:p>
    <w:p>
      <w:pPr>
        <w:tabs>
          <w:tab w:pos="1134" w:val="left"/>
        </w:tabs>
        <w:ind w:left="1134" w:hanging="567"/>
      </w:pPr>
      <w:r>
        <w:t>a)</w:t>
      </w:r>
      <w:r>
        <w:tab/>
      </w:r>
      <w:r>
        <w:t>der Vorschrift des § 622 Abs. 2 Satz 1 und Satz 2 erster Halbsatz des Bürgerlichen Gesetzbuchs in der Fassung des Artikels 2 Nr. 4 des Ersten Arbeitsrechtsbereinigungsgesetzes vom 14. August 1969 (BGBl. I S. 1106) oder</w:t>
      </w:r>
    </w:p>
    <w:p>
      <w:pPr>
        <w:tabs>
          <w:tab w:pos="1134" w:val="left"/>
        </w:tabs>
        <w:ind w:left="1134" w:hanging="567"/>
      </w:pPr>
      <w:r>
        <w:t>b)</w:t>
      </w:r>
      <w:r>
        <w:tab/>
      </w:r>
      <w:r>
        <w:t>der Vorschrift des § 2 Abs. 1 Satz 1 des Gesetzes über die Fristen für die Kündigung von Angestellten in der im Bundesgesetzblatt Teil III, Gliederungsnummer 800-1, veröffentlichten bereinigten Fassung, das zuletzt durch Artikel 30 des Gesetzes vom 18. Dezember 1989 (BGBl. I S. 2261) geändert worden ist, soweit danach die Beschäftigung von in der Regel mehr als zwei Angestellten durch den Arbeitgeber Voraussetzung für die Verlängerung der Fristen für die Kündigung von Angestellten ist.</w:t>
      </w:r>
    </w:p>
    <w:p>
      <w:pPr>
        <w:pStyle w:val="Heading2"/>
      </w:pPr>
      <w:bookmarkStart w:id="223" w:name="b222"/>
      <w:r>
        <w:t>Art 223 Übergangsvorschrift zum Beistandschaftsgesetz vom 4. Dezember 1997</w:t>
      </w:r>
      <w:r>
        <w:t xml:space="preserve"> </w:t>
      </w:r>
      <w:r>
        <w:rPr>
          <w:rStyle w:val="Suchmarke"/>
        </w:rPr>
        <w:t>#223.#</w:t>
      </w:r>
      <w:bookmarkEnd w:id="223"/>
    </w:p>
    <w:p>
      <w:r>
        <w:t xml:space="preserve">(1) </w:t>
      </w:r>
      <w:r>
        <w:rPr>
          <w:rStyle w:val="Satznummer"/>
        </w:rPr>
        <w:t>1</w:t>
      </w:r>
      <w:r>
        <w:t xml:space="preserve">Bestehende gesetzliche Amtspflegschaften nach den §§ 1706 bis 1710 des Bürgerlichen Gesetzbuchs werden am 1. Juli 1998 zu Beistandschaften nach den §§ 1712 bis 1717 des Bürgerlichen Gesetzbuchs. </w:t>
      </w:r>
      <w:r>
        <w:rPr>
          <w:rStyle w:val="Satznummer"/>
        </w:rPr>
        <w:t>2</w:t>
      </w:r>
      <w:r>
        <w:t xml:space="preserve">Der bisherige Amtspfleger wird Beistand. </w:t>
      </w:r>
      <w:r>
        <w:rPr>
          <w:rStyle w:val="Satznummer"/>
        </w:rPr>
        <w:t>3</w:t>
      </w:r>
      <w:r>
        <w:t xml:space="preserve">Der Aufgabenkreis des Beistands entspricht dem bisherigen Aufgabenkreis; vom 1. Januar 1999 an fallen andere als die in § 1712 Abs. 1 des Bürgerlichen Gesetzbuchs bezeichneten Aufgaben weg. </w:t>
      </w:r>
      <w:r>
        <w:rPr>
          <w:rStyle w:val="Satznummer"/>
        </w:rPr>
        <w:t>4</w:t>
      </w:r>
      <w:r>
        <w:t>Dies gilt nicht für die Abwicklung laufender erbrechtlicher Verfahren nach § 1706 Nr. 3 des Bürgerlichen Gesetzbuchs.</w:t>
      </w:r>
    </w:p>
    <w:p>
      <w:r>
        <w:t xml:space="preserve">(2) </w:t>
      </w:r>
      <w:r>
        <w:rPr>
          <w:rStyle w:val="Satznummer"/>
        </w:rPr>
        <w:t>1</w:t>
      </w:r>
      <w:r>
        <w:t xml:space="preserve">Soweit dem Jugendamt als Beistand Aufgaben nach § 1690 Abs. 1 des Bürgerlichen Gesetzbuchs übertragen wurden, werden diese Beistandschaften am 1. Juli 1998 zu Beistandschaften nach den §§ 1712 bis 1717 des Bürgerlichen Gesetzbuchs. </w:t>
      </w:r>
      <w:r>
        <w:rPr>
          <w:rStyle w:val="Satznummer"/>
        </w:rPr>
        <w:t>2</w:t>
      </w:r>
      <w:r>
        <w:t xml:space="preserve">Absatz 1 Satz 3 gilt entsprechend. </w:t>
      </w:r>
      <w:r>
        <w:rPr>
          <w:rStyle w:val="Satznummer"/>
        </w:rPr>
        <w:t>3</w:t>
      </w:r>
      <w:r>
        <w:t>Andere Beistandschaften des Jugendamts enden am 1. Juli 1998.</w:t>
      </w:r>
    </w:p>
    <w:p>
      <w:r>
        <w:t xml:space="preserve">(3) </w:t>
      </w:r>
      <w:r>
        <w:rPr>
          <w:rStyle w:val="Satznummer"/>
        </w:rPr>
        <w:t>1</w:t>
      </w:r>
      <w:r>
        <w:t xml:space="preserve">Soweit anderen Beiständen als Jugendämtern Aufgaben nach § 1690 Abs. 1 des Bürgerlichen Gesetzbuchs übertragen wurden, werden diese Beistandschaften am 1. Juli 1998 zu Beistandschaften nach den §§ 1712 bis 1717 des Bürgerlichen Gesetzbuchs. </w:t>
      </w:r>
      <w:r>
        <w:rPr>
          <w:rStyle w:val="Satznummer"/>
        </w:rPr>
        <w:t>2</w:t>
      </w:r>
      <w:r>
        <w:t xml:space="preserve">Absatz 1 Satz 3 Halbsatz 1 gilt entsprechend. </w:t>
      </w:r>
      <w:r>
        <w:rPr>
          <w:rStyle w:val="Satznummer"/>
        </w:rPr>
        <w:t>3</w:t>
      </w:r>
      <w:r>
        <w:t>Diese Beistandschaften enden am 1. Januar 1999.</w:t>
      </w:r>
    </w:p>
    <w:p>
      <w:pPr>
        <w:pStyle w:val="Heading2"/>
      </w:pPr>
      <w:bookmarkStart w:id="224" w:name="b223"/>
      <w:r>
        <w:t>Art 223a Übergangsvorschrift aus Anlaß der Aufhebung von § 419 des Bürgerlichen Gesetzbuchs</w:t>
      </w:r>
      <w:r>
        <w:t xml:space="preserve"> </w:t>
      </w:r>
      <w:r>
        <w:rPr>
          <w:rStyle w:val="Suchmarke"/>
        </w:rPr>
        <w:t>#223a.#</w:t>
      </w:r>
      <w:bookmarkEnd w:id="224"/>
    </w:p>
    <w:p>
      <w:r>
        <w:t>§ 419 des Bürgerlichen Gesetzbuchs ist in seiner bis zum Ablauf des 31. Dezember 1998 geltenden Fassung auf Vermögensübernahmen anzuwenden, die bis zu diesem Zeitpunkt wirksam werden.</w:t>
      </w:r>
    </w:p>
    <w:p>
      <w:pPr>
        <w:pStyle w:val="Heading2"/>
      </w:pPr>
      <w:bookmarkStart w:id="225" w:name="b224"/>
      <w:r>
        <w:t>Art 224 Übergangsvorschrift zum Kindschaftsrechtsreformgesetz vom 16. Dezember 1997</w:t>
      </w:r>
      <w:bookmarkEnd w:id="225"/>
    </w:p>
    <w:p>
      <w:pPr>
        <w:pStyle w:val="Heading3"/>
      </w:pPr>
      <w:bookmarkStart w:id="226" w:name="b225"/>
      <w:r>
        <w:t>Art 224 § 1 Abstammung</w:t>
      </w:r>
      <w:r>
        <w:t xml:space="preserve"> </w:t>
      </w:r>
      <w:r>
        <w:rPr>
          <w:rStyle w:val="Suchmarke"/>
        </w:rPr>
        <w:t>#224-1.#</w:t>
      </w:r>
      <w:bookmarkEnd w:id="226"/>
    </w:p>
    <w:p>
      <w:r>
        <w:t>(1) Die Vaterschaft hinsichtlich eines vor dem 1. Juli 1998 geborenen Kindes richtet sich nach den bisherigen Vorschriften.</w:t>
      </w:r>
    </w:p>
    <w:p>
      <w:r>
        <w:t>(2) Die Anfechtung der Ehelichkeit und die Anfechtung der Anerkennung der Vaterschaft richten sich nach den neuen Vorschriften über die Anfechtung der Vaterschaft.</w:t>
      </w:r>
    </w:p>
    <w:p>
      <w:r>
        <w:t>(3) § 1599 Abs. 2 des Bürgerlichen Gesetzbuchs ist entsprechend anzuwenden auf Kinder, die vor dem in Absatz 1 genannten Tag geboren wurden.</w:t>
      </w:r>
    </w:p>
    <w:p>
      <w:r>
        <w:t xml:space="preserve">(4) </w:t>
      </w:r>
      <w:r>
        <w:rPr>
          <w:rStyle w:val="Satznummer"/>
        </w:rPr>
        <w:t>1</w:t>
      </w:r>
      <w:r>
        <w:t xml:space="preserve">War dem Kind vor dem in Absatz 1 genannten Tag die Anfechtung verwehrt, weil ein gesetzlich vorausgesetzter Anfechtungstatbestand nicht vorlag, oder hat es vorher von seinem Anfechtungsrecht keinen Gebrauch gemacht, weil es vor Vollendung des zwanzigsten Lebensjahres die dafür erforderlichen Kenntnisse nicht hatte, so beginnt für das Kind an dem in Absatz 1 genannten Tag eine zweijährige Frist für die Anfechtung der Vaterschaft. </w:t>
      </w:r>
      <w:r>
        <w:rPr>
          <w:rStyle w:val="Satznummer"/>
        </w:rPr>
        <w:t>2</w:t>
      </w:r>
      <w:r>
        <w:t>Ist eine Anfechtungsklage wegen Fristversäumnis oder wegen Fehlens eines gesetzlichen Anfechtungstatbestandes abgewiesen worden, so steht die Rechtskraft dieser Entscheidung einer erneuten Klage nicht entgegen.</w:t>
      </w:r>
    </w:p>
    <w:p>
      <w:r>
        <w:t xml:space="preserve">(5) </w:t>
      </w:r>
      <w:r>
        <w:rPr>
          <w:rStyle w:val="Satznummer"/>
        </w:rPr>
        <w:t>1</w:t>
      </w:r>
      <w:r>
        <w:t xml:space="preserve">Der Beschwerde des Kindes, dem nach neuem Recht eine Beschwerde zusteht, steht die Wirksamkeit einer Verfügung, durch die das Vormundschaftsgericht die Vaterschaft nach den bisher geltenden Vorschriften festgestellt hat, nicht entgegen. </w:t>
      </w:r>
      <w:r>
        <w:rPr>
          <w:rStyle w:val="Satznummer"/>
        </w:rPr>
        <w:t>2</w:t>
      </w:r>
      <w:r>
        <w:t>Die Beschwerdefrist beginnt frühestens am 1. Juli 1998.</w:t>
      </w:r>
    </w:p>
    <w:p>
      <w:pPr>
        <w:pStyle w:val="Heading3"/>
      </w:pPr>
      <w:bookmarkStart w:id="227" w:name="b226"/>
      <w:r>
        <w:t>Art 224 § 2 Elterliche Sorge</w:t>
      </w:r>
      <w:r>
        <w:t xml:space="preserve"> </w:t>
      </w:r>
      <w:r>
        <w:rPr>
          <w:rStyle w:val="Suchmarke"/>
        </w:rPr>
        <w:t>#224-2.#</w:t>
      </w:r>
      <w:bookmarkEnd w:id="227"/>
    </w:p>
    <w:p>
      <w:r>
        <w:t xml:space="preserve">(1) </w:t>
      </w:r>
      <w:r>
        <w:rPr>
          <w:rStyle w:val="Satznummer"/>
        </w:rPr>
        <w:t>1</w:t>
      </w:r>
      <w:r>
        <w:t xml:space="preserve">Ist ein Kind auf Antrag des Vaters für ehelich erklärt worden, so ist dies als Entscheidung gemäß § 1671 Absatz 2 des Bürgerlichen Gesetzbuchs anzusehen. </w:t>
      </w:r>
      <w:r>
        <w:rPr>
          <w:rStyle w:val="Satznummer"/>
        </w:rPr>
        <w:t>2</w:t>
      </w:r>
      <w:r>
        <w:t>Hat die Mutter in die Ehelicherklärung eingewilligt, so bleibt der Vater dem Kind und dessen Abkömmlingen vor der Mutter und den mütterlichen Verwandten zur Gewährung des Unterhalts verpflichtet, sofern nicht die Sorge wieder der Mutter übertragen wird.</w:t>
      </w:r>
    </w:p>
    <w:p>
      <w:r>
        <w:t>(2) Ist ein Kind auf seinen Antrag nach dem Tod der Mutter für ehelich erklärt worden, so ist dies als Entscheidung gemäß § 1680 Abs. 2 Satz 2 des Bürgerlichen Gesetzbuchs anzusehen.</w:t>
      </w:r>
    </w:p>
    <w:p>
      <w:r>
        <w:t>(3) bis (5) (weggefallen)</w:t>
      </w:r>
    </w:p>
    <w:p>
      <w:pPr>
        <w:pStyle w:val="Heading3"/>
      </w:pPr>
      <w:bookmarkStart w:id="228" w:name="b227"/>
      <w:r>
        <w:t>Art 224 § 3 Name des Kindes</w:t>
      </w:r>
      <w:r>
        <w:t xml:space="preserve"> </w:t>
      </w:r>
      <w:r>
        <w:rPr>
          <w:rStyle w:val="Suchmarke"/>
        </w:rPr>
        <w:t>#224-3.#</w:t>
      </w:r>
      <w:bookmarkEnd w:id="228"/>
    </w:p>
    <w:p>
      <w:r>
        <w:t xml:space="preserve">(1) </w:t>
      </w:r>
      <w:r>
        <w:rPr>
          <w:rStyle w:val="Satznummer"/>
        </w:rPr>
        <w:t>1</w:t>
      </w:r>
      <w:r>
        <w:t xml:space="preserve">Führt ein vor dem 1. Juli 1998 geborenes Kind einen Geburtsnamen, so behält es diesen Geburtsnamen. </w:t>
      </w:r>
      <w:r>
        <w:rPr>
          <w:rStyle w:val="Satznummer"/>
        </w:rPr>
        <w:t>2</w:t>
      </w:r>
      <w:r>
        <w:t>§ 1617a Abs. 2 und die §§ 1617b, 1617c und 1618 des Bürgerlichen Gesetzbuchs bleiben unberührt.</w:t>
      </w:r>
    </w:p>
    <w:p>
      <w:r>
        <w:t>(2) § 1617 Abs. 1 und § 1617c des Bürgerlichen Gesetzbuchs gelten für ein nach dem 31. März 1994 geborenes Kind auch dann, wenn ein vor dem 1. April 1994 geborenes Kind derselben Eltern einen aus den Namen der Eltern zusammengesetzten Geburtsnamen führt.</w:t>
      </w:r>
    </w:p>
    <w:p>
      <w:r>
        <w:t xml:space="preserve">(3) </w:t>
      </w:r>
      <w:r>
        <w:rPr>
          <w:rStyle w:val="Satznummer"/>
        </w:rPr>
        <w:t>1</w:t>
      </w:r>
      <w:r>
        <w:t xml:space="preserve">In den Fällen des Absatzes 2 können die Eltern durch Erklärung gegenüber dem Standesbeamten auch den zusammengesetzten Namen, den das vor dem 1. April 1994 geborene Kind als Geburtsnamen führt, zum Geburtsnamen ihres nach dem 31. März 1994 geborenen Kindes bestimmen. </w:t>
      </w:r>
      <w:r>
        <w:rPr>
          <w:rStyle w:val="Satznummer"/>
        </w:rPr>
        <w:t>2</w:t>
      </w:r>
      <w:r>
        <w:t>Die Bestimmung muß für alle gemeinsamen Kinder wirksam sein; § 1617 Abs. 1 Satz 2 und 3 sowie § 1617c Abs. 1 des Bürgerlichen Gesetzbuchs gelten entsprechend.</w:t>
      </w:r>
    </w:p>
    <w:p>
      <w:r>
        <w:t xml:space="preserve">(4) </w:t>
      </w:r>
      <w:r>
        <w:rPr>
          <w:rStyle w:val="Satznummer"/>
        </w:rPr>
        <w:t>1</w:t>
      </w:r>
      <w:r>
        <w:t xml:space="preserve">Ist in den Fällen des Absatzes 2 für das nach dem 31. März 1994 geborene Kind bei Inkrafttreten dieser Vorschriften ein Name in ein deutsches Personenstandsbuch eingetragen, so behält das Kind den eingetragenen Namen als Geburtsnamen. </w:t>
      </w:r>
      <w:r>
        <w:rPr>
          <w:rStyle w:val="Satznummer"/>
        </w:rPr>
        <w:t>2</w:t>
      </w:r>
      <w:r>
        <w:t xml:space="preserve">Die Eltern können jedoch binnen eines Jahres nach dem Inkrafttreten dieser Vorschrift den Geburtsnamen des vor dem 1. April 1994 geborenen Kindes zum Geburtsnamen auch des nach dem 31. März 1994 geborenen Kindes bestimmen. </w:t>
      </w:r>
      <w:r>
        <w:rPr>
          <w:rStyle w:val="Satznummer"/>
        </w:rPr>
        <w:t>3</w:t>
      </w:r>
      <w:r>
        <w:t>Absatz 3 Satz 2 gilt entsprechend.</w:t>
      </w:r>
    </w:p>
    <w:p>
      <w:r>
        <w:t xml:space="preserve">(5) </w:t>
      </w:r>
      <w:r>
        <w:rPr>
          <w:rStyle w:val="Satznummer"/>
        </w:rPr>
        <w:t>1</w:t>
      </w:r>
      <w:r>
        <w:t xml:space="preserve">Ist für ein Kind bei Inkrafttreten dieser Vorschrift ein aus den Namen der Eltern zusammengesetzter Name als Geburtsname in ein deutsches Personenstandsbuch eingetragen, so können die Eltern durch Erklärung gegenüber dem Standesbeamten den Namen, den der Vater oder den die Mutter zum Zeitpunkt der Erklärung führt, zum Geburtsnamen dieses Kindes bestimmen. </w:t>
      </w:r>
      <w:r>
        <w:rPr>
          <w:rStyle w:val="Satznummer"/>
        </w:rPr>
        <w:t>2</w:t>
      </w:r>
      <w:r>
        <w:t xml:space="preserve">Absatz 3 Satz 2 gilt entsprechend. </w:t>
      </w:r>
      <w:r>
        <w:rPr>
          <w:rStyle w:val="Satznummer"/>
        </w:rPr>
        <w:t>3</w:t>
      </w:r>
      <w:r>
        <w:t>Haben die Eltern bereits den Namen des Vaters oder den Namen der Mutter zum Geburtsnamen eines ihrer gemeinsamen Kinder bestimmt, so kann auch für die anderen gemeinsamen Kinder nur dieser Name bestimmt werden.</w:t>
      </w:r>
    </w:p>
    <w:p>
      <w:r>
        <w:t>(6) Die Absätze 3 bis 5 gelten nicht, wenn mehrere vor dem 1. April 1994 geborene Kinder derselben Eltern unterschiedliche Geburtsnamen führen.</w:t>
      </w:r>
    </w:p>
    <w:p>
      <w:pPr>
        <w:pStyle w:val="Heading3"/>
      </w:pPr>
      <w:bookmarkStart w:id="229" w:name="b228"/>
      <w:r>
        <w:t>Art 225 Überleitungsvorschrift zum Wohnraummodernisierungssicherungsgesetz</w:t>
      </w:r>
      <w:r>
        <w:t xml:space="preserve"> </w:t>
      </w:r>
      <w:r>
        <w:rPr>
          <w:rStyle w:val="Suchmarke"/>
        </w:rPr>
        <w:t>#225.#</w:t>
      </w:r>
      <w:bookmarkEnd w:id="229"/>
    </w:p>
    <w:p>
      <w:r>
        <w:rPr>
          <w:rStyle w:val="Satznummer"/>
        </w:rPr>
        <w:t>1</w:t>
      </w:r>
      <w:hyperlink w:anchor="b314" w:history="1">
        <w:r>
          <w:rPr>
            <w:color w:val="0A3A8C"/>
            <w:u w:val="single"/>
          </w:rPr>
          <w:t xml:space="preserve">Artikel 231 § 8</w:t>
        </w:r>
      </w:hyperlink>
      <w:r>
        <w:t xml:space="preserve"> Abs. 2 ist nicht anzuwenden, wenn vor dem 24. Juli 1997 über den Bestand des Vertrages ein rechtskräftiges Urteil ergangen oder eine wirksame Vereinbarung geschlossen worden ist. </w:t>
      </w:r>
      <w:r>
        <w:rPr>
          <w:rStyle w:val="Satznummer"/>
        </w:rPr>
        <w:t>2</w:t>
      </w:r>
      <w:hyperlink w:anchor="b333" w:history="1">
        <w:r>
          <w:rPr>
            <w:color w:val="0A3A8C"/>
            <w:u w:val="single"/>
          </w:rPr>
          <w:t xml:space="preserve">Artikel 233 § 2</w:t>
        </w:r>
      </w:hyperlink>
      <w:r>
        <w:t xml:space="preserve"> Abs. 2, </w:t>
      </w:r>
      <w:hyperlink w:anchor="b346" w:history="1">
        <w:r>
          <w:rPr>
            <w:color w:val="0A3A8C"/>
            <w:u w:val="single"/>
          </w:rPr>
          <w:t xml:space="preserve">§ 11</w:t>
        </w:r>
      </w:hyperlink>
      <w:r>
        <w:t xml:space="preserve"> Abs. 3 Satz 5 und Abs. 4 Satz 3 und </w:t>
      </w:r>
      <w:hyperlink w:anchor="b348" w:history="1">
        <w:r>
          <w:rPr>
            <w:color w:val="0A3A8C"/>
            <w:u w:val="single"/>
          </w:rPr>
          <w:t xml:space="preserve">§§ 13</w:t>
        </w:r>
      </w:hyperlink>
      <w:r>
        <w:t xml:space="preserve"> und </w:t>
      </w:r>
      <w:hyperlink w:anchor="b350" w:history="1">
        <w:r>
          <w:rPr>
            <w:color w:val="0A3A8C"/>
            <w:u w:val="single"/>
          </w:rPr>
          <w:t xml:space="preserve">14</w:t>
        </w:r>
      </w:hyperlink>
      <w:r>
        <w:t xml:space="preserve"> sowie </w:t>
      </w:r>
      <w:hyperlink w:anchor="b377" w:history="1">
        <w:r>
          <w:rPr>
            <w:color w:val="0A3A8C"/>
            <w:u w:val="single"/>
          </w:rPr>
          <w:t xml:space="preserve">Artikel 237 § 1</w:t>
        </w:r>
      </w:hyperlink>
      <w:r>
        <w:t xml:space="preserve"> gelten nicht, soweit am 24. Juli 1997 in Ansehung der dort bezeichneten Rechtsverhältnisse ein rechtskräftiges Urteil ergangen oder eine Einigung der Beteiligten erfolgt ist.</w:t>
      </w:r>
    </w:p>
    <w:p>
      <w:pPr>
        <w:pStyle w:val="Heading3"/>
      </w:pPr>
      <w:bookmarkStart w:id="230" w:name="b229"/>
      <w:r>
        <w:t>Art 226 Überleitungsvorschrift zum Gesetz vom 4. Mai 1998 zur Neuordnung des Eheschließungsrechts</w:t>
      </w:r>
      <w:r>
        <w:t xml:space="preserve"> </w:t>
      </w:r>
      <w:r>
        <w:rPr>
          <w:rStyle w:val="Suchmarke"/>
        </w:rPr>
        <w:t>#226.#</w:t>
      </w:r>
      <w:bookmarkEnd w:id="230"/>
    </w:p>
    <w:p>
      <w:r>
        <w:t>(1) Die Aufhebung einer vor dem 1. Juli 1998 geschlossenen Ehe ist ausgeschlossen, wenn die Ehe nach dem bis dahin geltenden Recht nicht hätte aufgehoben oder für nichtig erklärt werden können.</w:t>
      </w:r>
    </w:p>
    <w:p>
      <w:r>
        <w:t>(2) Ist vor dem 1. Juli 1998 die Nichtigkeits- oder Aufhebungsklage erhoben worden, so bleibt für die Voraussetzungen und Folgen der Nichtigkeit oder Aufhebung sowie für das Verfahren das bis dahin geltende Recht maßgebend.</w:t>
      </w:r>
    </w:p>
    <w:p>
      <w:r>
        <w:t>(3) Im übrigen finden auf die vor dem 1. Juli 1998 geschlossenen Ehen die Vorschriften in ihrer ab dem 1. Juli 1998 geltenden Fassung Anwendung.</w:t>
      </w:r>
    </w:p>
    <w:p>
      <w:pPr>
        <w:pStyle w:val="Heading3"/>
      </w:pPr>
      <w:bookmarkStart w:id="231" w:name="b230"/>
      <w:r>
        <w:t>Art 227 Übergangsvorschrift zum Gesetz zur erbrechtlichen Gleichstellung nichtehelicher Kinder vom 16. Dezember 1997</w:t>
      </w:r>
      <w:r>
        <w:t xml:space="preserve"> </w:t>
      </w:r>
      <w:r>
        <w:rPr>
          <w:rStyle w:val="Suchmarke"/>
        </w:rPr>
        <w:t>#227.#</w:t>
      </w:r>
      <w:bookmarkEnd w:id="231"/>
    </w:p>
    <w:p>
      <w:r>
        <w:t>(1) Die bis zum 1. April 1998 geltenden Vorschriften über das Erbrecht des nichtehelichen Kindes sind weiter anzuwenden, wenn vor diesem Zeitpunkt</w:t>
      </w:r>
    </w:p>
    <w:p>
      <w:pPr>
        <w:tabs>
          <w:tab w:pos="567" w:val="left"/>
        </w:tabs>
        <w:ind w:left="567" w:hanging="567"/>
      </w:pPr>
      <w:r>
        <w:t>1.</w:t>
      </w:r>
      <w:r>
        <w:tab/>
      </w:r>
      <w:r>
        <w:t>der Erblasser gestorben ist oder</w:t>
      </w:r>
    </w:p>
    <w:p>
      <w:pPr>
        <w:tabs>
          <w:tab w:pos="567" w:val="left"/>
        </w:tabs>
        <w:ind w:left="567" w:hanging="567"/>
      </w:pPr>
      <w:r>
        <w:t>2.</w:t>
      </w:r>
      <w:r>
        <w:tab/>
      </w:r>
      <w:r>
        <w:t>über den Erbausgleich eine wirksame Vereinbarung getroffen oder der Erbausgleich durch rechtskräftiges Urteil zuerkannt worden ist.</w:t>
      </w:r>
    </w:p>
    <w:p>
      <w:r>
        <w:t>(2) Ist ein Erbausgleich nicht zustande gekommen, so gelten für Zahlungen, die der Vater dem Kinde im Hinblick auf den Erbausgleich geleistet und nicht zurückgefordert hat, die Vorschriften des § 2050 bs. 1, des § 2051 Abs. 1 und des § 2315 des Bürgerlichen Gesetzbuchs entsprechend.</w:t>
      </w:r>
    </w:p>
    <w:p>
      <w:pPr>
        <w:pStyle w:val="Heading3"/>
      </w:pPr>
      <w:bookmarkStart w:id="232" w:name="b231"/>
      <w:r>
        <w:t>Art 228 Übergangsvorschrift zum Überweisungsgesetz</w:t>
      </w:r>
      <w:r>
        <w:t xml:space="preserve"> </w:t>
      </w:r>
      <w:r>
        <w:rPr>
          <w:rStyle w:val="Suchmarke"/>
        </w:rPr>
        <w:t>#228.#</w:t>
      </w:r>
      <w:bookmarkEnd w:id="232"/>
    </w:p>
    <w:p>
      <w:r>
        <w:t>(1) Die §§ 675a bis 676g des Bürgerlichen Gesetzbuchs gelten nicht für Überweisungen, Übertragungs- und Zahlungsverträge, mit deren Abwicklung vor dem 14. August 1999 begonnen wurde.</w:t>
      </w:r>
    </w:p>
    <w:p>
      <w:r>
        <w:t xml:space="preserve">(2) </w:t>
      </w:r>
      <w:r>
        <w:rPr>
          <w:rStyle w:val="Satznummer"/>
        </w:rPr>
        <w:t>1</w:t>
      </w:r>
      <w:r>
        <w:t xml:space="preserve">Die §§ 675a bis 676g gelten nicht für inländische Überweisungen und Überweisungen in andere als die in § 676a Abs. 2 Satz 2 Nr. 1 des Bürgerlichen Gesetzbuchs bezeichneten Länder, mit deren Abwicklung vor dem 1. Januar 2002 begonnen wurde. </w:t>
      </w:r>
      <w:r>
        <w:rPr>
          <w:rStyle w:val="Satznummer"/>
        </w:rPr>
        <w:t>2</w:t>
      </w:r>
      <w:r>
        <w:t>Für diese Überweisungen gelten die bis dahin geltenden Vorschriften und Grundsätze.</w:t>
      </w:r>
    </w:p>
    <w:p>
      <w:r>
        <w:t>(3) Die §§ 676a bis 676g gelten nicht für inländische Überweisungen im Rahmen des Rentenzahlverfahrens der Rentenversicherungsträger und vergleichbare inländische Überweisungen anderer Sozialversicherungsträger.</w:t>
      </w:r>
    </w:p>
    <w:p>
      <w:r>
        <w:t>(4) Die §§ 676a bis 676g des Bürgerlichen Gesetzbuchs lassen Vorschriften aus völkerrechtlichen Verträgen, insbesondere aus dem Postgiroübereinkommen und dem Postanweisungsübereinkommen unberührt.</w:t>
      </w:r>
    </w:p>
    <w:p>
      <w:pPr>
        <w:pStyle w:val="Heading2"/>
      </w:pPr>
      <w:bookmarkStart w:id="233" w:name="b232"/>
      <w:r>
        <w:t>Art 229 Weitere Überleitungsvorschriften</w:t>
      </w:r>
      <w:bookmarkEnd w:id="233"/>
    </w:p>
    <w:p>
      <w:r>
        <w:t>(weggefallen)</w:t>
      </w:r>
    </w:p>
    <w:p>
      <w:pPr>
        <w:pStyle w:val="Heading3"/>
      </w:pPr>
      <w:bookmarkStart w:id="234" w:name="b233"/>
      <w:r>
        <w:t>Art 229 § 1 Überleitungsvorschrift zum Gesetz zur Beschleunigung fälliger Zahlungen</w:t>
      </w:r>
      <w:r>
        <w:t xml:space="preserve"> </w:t>
      </w:r>
      <w:r>
        <w:rPr>
          <w:rStyle w:val="Suchmarke"/>
        </w:rPr>
        <w:t>#229-1.#</w:t>
      </w:r>
      <w:bookmarkEnd w:id="234"/>
    </w:p>
    <w:p>
      <w:r>
        <w:t xml:space="preserve">(1) </w:t>
      </w:r>
      <w:r>
        <w:rPr>
          <w:rStyle w:val="Satznummer"/>
        </w:rPr>
        <w:t>1</w:t>
      </w:r>
      <w:r>
        <w:t xml:space="preserve">§ 284 Abs. 3 des Bürgerlichen Gesetzbuchs in der seit dem 1. Mai 2000 geltenden Fassung gilt auch für Geldforderungen, die vor diesem Zeitpunkt entstanden sind. </w:t>
      </w:r>
      <w:r>
        <w:rPr>
          <w:rStyle w:val="Satznummer"/>
        </w:rPr>
        <w:t>2</w:t>
      </w:r>
      <w:r>
        <w:t xml:space="preserve">Vor diesem Zeitpunkt zugegangene Rechnungen lösen die Wirkungen des § 284 Abs. 3 nicht aus. </w:t>
      </w:r>
      <w:r>
        <w:rPr>
          <w:rStyle w:val="Satznummer"/>
        </w:rPr>
        <w:t>3</w:t>
      </w:r>
      <w:r>
        <w:t>§ 288 des Bürgerlichen Gesetzbuchs und § 352 des Handelsgesetzbuchs in der jeweils seit dem 1. Mai 2000 geltenden Fassung sind auf alle Forderungen anzuwenden, die von diesem Zeitpunkt an fällig werden.</w:t>
      </w:r>
    </w:p>
    <w:p>
      <w:r>
        <w:t xml:space="preserve">(2) </w:t>
      </w:r>
      <w:r>
        <w:rPr>
          <w:rStyle w:val="Satznummer"/>
        </w:rPr>
        <w:t>1</w:t>
      </w:r>
      <w:r>
        <w:t xml:space="preserve">§§ 632a, 640, 641, 641a und 648a in der jeweils ab dem 1. Mai 2000 geltenden Fassung gelten, soweit nichts anderes bestimmt wird, nicht für Verträge, die vor diesem Zeitpunkt abgeschlossen worden sind. </w:t>
      </w:r>
      <w:r>
        <w:rPr>
          <w:rStyle w:val="Satznummer"/>
        </w:rPr>
        <w:t>2</w:t>
      </w:r>
      <w:r>
        <w:t xml:space="preserve">§ 641 Abs. 3 und § 648a Abs. 5 Satz 3 in der seit dem 1. Mai 2000 sind auch auf vorher abgeschlossene Verträge anzuwenden. </w:t>
      </w:r>
      <w:r>
        <w:rPr>
          <w:rStyle w:val="Satznummer"/>
        </w:rPr>
        <w:t>3</w:t>
      </w:r>
      <w:r>
        <w:t>§ 640 gilt für solche Verträge mit der Maßgabe, dass der Lauf der darin bestimmten Frist erst mit dem 1. Mai 2000 beginnt.</w:t>
      </w:r>
    </w:p>
    <w:p>
      <w:pPr>
        <w:pStyle w:val="Heading3"/>
      </w:pPr>
      <w:bookmarkStart w:id="235" w:name="b234"/>
      <w:r>
        <w:t>Art 229 § 2 Übergangsvorschriften zum Gesetz vom 27. Juni 2000</w:t>
      </w:r>
      <w:r>
        <w:t xml:space="preserve"> </w:t>
      </w:r>
      <w:r>
        <w:rPr>
          <w:rStyle w:val="Suchmarke"/>
        </w:rPr>
        <w:t>#229-2.#</w:t>
      </w:r>
      <w:bookmarkEnd w:id="235"/>
    </w:p>
    <w:p>
      <w:r>
        <w:t>Die §§ 241a, 361a, 361b, 661a und 676h des Bürgerlichen Gesetzbuchs sind nur auf Sachverhalte anzuwenden, die nach dem 29. Juni 2000 entstanden sind.</w:t>
      </w:r>
    </w:p>
    <w:p>
      <w:pPr>
        <w:pStyle w:val="Heading3"/>
      </w:pPr>
      <w:bookmarkStart w:id="236" w:name="b235"/>
      <w:r>
        <w:t>Art 229 § 3 Übergangsvorschriften zum Gesetz zur Neugliederung, Vereinfachung und Reform des Mietrechts vom 19. Juni 2001</w:t>
      </w:r>
      <w:r>
        <w:t xml:space="preserve"> </w:t>
      </w:r>
      <w:r>
        <w:rPr>
          <w:rStyle w:val="Suchmarke"/>
        </w:rPr>
        <w:t>#229-3.#</w:t>
      </w:r>
      <w:bookmarkEnd w:id="236"/>
    </w:p>
    <w:p>
      <w:r>
        <w:t>(1) Auf ein am 1. September 2001 bestehendes Mietverhältnis oder Pachtverhältnis sind</w:t>
      </w:r>
    </w:p>
    <w:p>
      <w:pPr>
        <w:tabs>
          <w:tab w:pos="567" w:val="left"/>
        </w:tabs>
        <w:ind w:left="567" w:hanging="567"/>
      </w:pPr>
      <w:r>
        <w:t>1.</w:t>
      </w:r>
      <w:r>
        <w:tab/>
      </w:r>
      <w:r>
        <w:t>im Falle einer vor dem 1. September 2001 zugegangenen Kündigung § 554 Abs. 2 Nr. 2, §§ 565, 565c Satz 1 Nr. 1b, § 565d Abs. 2, § 570 des Bürgerlichen Gesetzbuchs sowie § 9 Abs. 1 des Gesetzes zur Regelung der Miethöhe jeweils in der bis zu diesem Zeitpunkt geltenden Fassung anzuwenden;</w:t>
      </w:r>
    </w:p>
    <w:p>
      <w:pPr>
        <w:tabs>
          <w:tab w:pos="567" w:val="left"/>
        </w:tabs>
        <w:ind w:left="567" w:hanging="567"/>
      </w:pPr>
      <w:r>
        <w:t>2.</w:t>
      </w:r>
      <w:r>
        <w:tab/>
      </w:r>
      <w:r>
        <w:t>im Falle eines vor dem 1. September 2001 zugegangenen Mieterhöhungsverlangens oder einer vor diesem Zeitpunkt zugegangenen Mieterhöhungserklärung die §§ 2, 3, 5, 7, 11 bis 13, 15 und 16 des Gesetzes zur Regelung der Miethöhe in der bis zu diesem Zeitpunkt geltenden Fassung anzuwenden; darüber hinaus richten sich auch nach dem in Satz 1 genannten Zeitpunkt Mieterhöhungen nach § 7 Abs. 1 bis 3 des Gesetzes zur Regelung der Miethöhe in der bis zu diesem Zeitpunkt geltenden Fassung, soweit es sich um Mietverhältnisse im Sinne des § 7 Abs. 1 jenes Gesetzes handelt;</w:t>
      </w:r>
    </w:p>
    <w:p>
      <w:pPr>
        <w:tabs>
          <w:tab w:pos="567" w:val="left"/>
        </w:tabs>
        <w:ind w:left="567" w:hanging="567"/>
      </w:pPr>
      <w:r>
        <w:t>3.</w:t>
      </w:r>
      <w:r>
        <w:tab/>
      </w:r>
      <w:r>
        <w:t>im Falle einer vor dem 1. September 2001 zugegangenen Erklärung über eine Betriebskostenänderung § 4 Abs. 2 bis 4 des Gesetzes zur Regelung der Miethöhe in der bis zu diesem Zeitpunkt geltenden Fassung anzuwenden;</w:t>
      </w:r>
    </w:p>
    <w:p>
      <w:pPr>
        <w:tabs>
          <w:tab w:pos="567" w:val="left"/>
        </w:tabs>
        <w:ind w:left="567" w:hanging="567"/>
      </w:pPr>
      <w:r>
        <w:t>4.</w:t>
      </w:r>
      <w:r>
        <w:tab/>
      </w:r>
      <w:r>
        <w:t>im Falle einer vor dem 1. September 2001 zugegangenen Erklärung über die Abrechnung von Betriebskosten § 4 Abs. 5 Satz 1 Nr. 2 und § 14 des Gesetzes zur Regelung der Miethöhe in der bis zu diesem Zeitpunkt geltenden Fassung anzuwenden;</w:t>
      </w:r>
    </w:p>
    <w:p>
      <w:pPr>
        <w:tabs>
          <w:tab w:pos="567" w:val="left"/>
        </w:tabs>
        <w:ind w:left="567" w:hanging="567"/>
      </w:pPr>
      <w:r>
        <w:t>5.</w:t>
      </w:r>
      <w:r>
        <w:tab/>
      </w:r>
      <w:r>
        <w:t>im Falle des Todes des Mieters oder Pächters die §§ 569 bis 569b, 570b Abs. 3 und § 594d Abs. 1 des Bürgerlichen Gesetzbuchs in der bis zum 1. September 2001 geltenden Fassung anzuwenden, wenn der Mieter oder Pächter vor diesem Zeitpunkt verstorben ist, im Falle der Vermieterkündigung eines Mietverhältnisses über Wohnraum gegenüber dem Erben jedoch nur, wenn auch die Kündigungserklärung dem Erben vor diesem Zeitpunkt zugegangen ist;</w:t>
      </w:r>
    </w:p>
    <w:p>
      <w:pPr>
        <w:tabs>
          <w:tab w:pos="567" w:val="left"/>
        </w:tabs>
        <w:ind w:left="567" w:hanging="567"/>
      </w:pPr>
      <w:r>
        <w:t>6.</w:t>
      </w:r>
      <w:r>
        <w:tab/>
      </w:r>
      <w:r>
        <w:t>im Falle einer vor dem 1. September 2001 zugegangenen Mitteilung über die Durchführung von Modernisierungsmaßnahmen § 541b des Bürgerlichen Gesetzbuchs in der bis zu diesem Zeitpunkt geltenden Fassung anzuwenden;</w:t>
      </w:r>
    </w:p>
    <w:p>
      <w:pPr>
        <w:tabs>
          <w:tab w:pos="567" w:val="left"/>
        </w:tabs>
        <w:ind w:left="567" w:hanging="567"/>
      </w:pPr>
      <w:r>
        <w:t>7.</w:t>
      </w:r>
      <w:r>
        <w:tab/>
      </w:r>
      <w:r>
        <w:t>hinsichtlich der Fälligkeit § 551 des Bürgerlichen Gesetzbuchs in der bis zum 1. September 2001 geltenden Fassung anzuwenden.</w:t>
      </w:r>
    </w:p>
    <w:p>
      <w:r>
        <w:t>(2) Ein am 1. September 2001 bestehendes Mietverhältnis im Sinne des § 564b Abs. 4 Nr. 2 oder Abs. 7 Nr. 4 des Bürgerlichen Gesetzbuchs in der bis zum 1. September 2001 geltenden Fassung kann noch bis zum 31. August 2006 nach § 564b des Bürgerlichen Gesetzbuchs in der vorstehend genannten Fassung gekündigt werden.</w:t>
      </w:r>
    </w:p>
    <w:p>
      <w:r>
        <w:t>(3) Auf ein am 1. September 2001 bestehendes Mietverhältnis auf bestimmte Zeit sind § 564c in Verbindung mit § 564b sowie die §§ 556a bis 556c, 565a Abs. 1 und § 570 des Bürgerlichen Gesetzbuchs in der bis zu diesem Zeitpunkt geltenden Fassung anzuwenden.</w:t>
      </w:r>
    </w:p>
    <w:p>
      <w:r>
        <w:t>(4) Auf ein am 1. September 2001 bestehendes Mietverhältnis, bei dem die Betriebskosten ganz oder teilweise in der Miete enthalten sind, ist wegen Erhöhungen der Betriebskosten § 560 Abs. 1, 2, 5 und 6 des Bürgerlichen Gesetzbuchs entsprechend anzuwenden, soweit im Mietvertrag vereinbart ist, dass der Mieter Erhöhungen der Betriebskosten zu tragen hat; bei Ermäßigungen der Betriebskosten gilt § 560 Abs. 3 des Bürgerlichen Gesetzbuchs entsprechend.</w:t>
      </w:r>
    </w:p>
    <w:p>
      <w:r>
        <w:t xml:space="preserve">(5) </w:t>
      </w:r>
      <w:r>
        <w:rPr>
          <w:rStyle w:val="Satznummer"/>
        </w:rPr>
        <w:t>1</w:t>
      </w:r>
      <w:r>
        <w:t xml:space="preserve">Auf einen Mietspiegel, der vor dem 1. September 2001 unter Voraussetzungen erstellt worden ist, die § 558d Abs. 1 und 2 des Bürgerlichen Gesetzbuchs entsprechen, sind die Vorschriften über den qualifizierten Mietspiegel anzuwenden, wenn die Gemeinde ihn nach dem 1. September 2001 als solchen veröffentlicht hat. </w:t>
      </w:r>
      <w:r>
        <w:rPr>
          <w:rStyle w:val="Satznummer"/>
        </w:rPr>
        <w:t>2</w:t>
      </w:r>
      <w:r>
        <w:t xml:space="preserve">War der Mietspiegel vor diesem Zeitpunkt bereits veröffentlicht worden, so ist es ausreichend, wenn die Gemeinde ihn später öffentlich als qualifizierten Mietspiegel bezeichnet hat. </w:t>
      </w:r>
      <w:r>
        <w:rPr>
          <w:rStyle w:val="Satznummer"/>
        </w:rPr>
        <w:t>3</w:t>
      </w:r>
      <w:r>
        <w:t>In jedem Fall sind § 558a Abs. 3 und § 558d Abs. 3 des Bürgerlichen Gesetzbuchs nicht anzuwenden auf Mieterhöhungsverlangen, die dem Mieter vor dieser Veröffentlichung zugegangen sind.</w:t>
      </w:r>
    </w:p>
    <w:p>
      <w:r>
        <w:t xml:space="preserve">(6) </w:t>
      </w:r>
      <w:r>
        <w:rPr>
          <w:rStyle w:val="Satznummer"/>
        </w:rPr>
        <w:t>1</w:t>
      </w:r>
      <w:r>
        <w:t>Auf vermieteten Wohnraum, der sich in einem Gebiet befindet, das aufgrund</w:t>
      </w:r>
    </w:p>
    <w:p>
      <w:pPr>
        <w:tabs>
          <w:tab w:pos="567" w:val="left"/>
        </w:tabs>
        <w:ind w:left="567" w:hanging="567"/>
      </w:pPr>
      <w:r>
        <w:t>1.</w:t>
      </w:r>
      <w:r>
        <w:tab/>
      </w:r>
      <w:r>
        <w:t>des § 564b Abs. 2 Nr. 2, auch in Verbindung mit Nr. 3, des Bürgerlichen Gesetzbuchs in der bis zum 1. September 2001 geltenden Fassung oder</w:t>
      </w:r>
    </w:p>
    <w:p>
      <w:pPr>
        <w:tabs>
          <w:tab w:pos="567" w:val="left"/>
        </w:tabs>
        <w:ind w:left="567" w:hanging="567"/>
      </w:pPr>
      <w:r>
        <w:t>2.</w:t>
      </w:r>
      <w:r>
        <w:tab/>
      </w:r>
      <w:r>
        <w:t>des Gesetzes über eine Sozialklausel in Gebieten mit gefährdeter Wohnungsversorgung vom 22. April 1993 (BGBl. I S. 466, 487)</w:t>
      </w:r>
    </w:p>
    <w:p>
      <w:r>
        <w:t xml:space="preserve">bestimmt ist, sind die am 31. August 2001 geltenden vorstehend genannten Bestimmungen über Beschränkungen des Kündigungsrechts des Vermieters bis zum 31. August 2004 weiter anzuwenden. </w:t>
      </w:r>
      <w:r>
        <w:rPr>
          <w:rStyle w:val="Satznummer"/>
        </w:rPr>
        <w:t>2</w:t>
      </w:r>
      <w:r>
        <w:t xml:space="preserve">Ein am 1. September 2001 bereits verstrichener Teil einer Frist nach den vorstehend genannten Bestimmungen wird auf die Frist nach § 577a des Bürgerlichen Gesetzbuchs angerechnet. </w:t>
      </w:r>
      <w:r>
        <w:rPr>
          <w:rStyle w:val="Satznummer"/>
        </w:rPr>
        <w:t>3</w:t>
      </w:r>
      <w:r>
        <w:t>§ 577a des Bürgerlichen Gesetzbuchs ist jedoch nicht anzuwenden im Falle einer Kündigung des Erwerbers nach § 573 Abs. 2 Nr. 3 jenes Gesetzes, wenn die Veräußerung vor dem 1. September 2001 erfolgt ist und sich die veräußerte Wohnung nicht in einem nach Satz 1 bezeichneten Gebiet befindet.</w:t>
      </w:r>
    </w:p>
    <w:p>
      <w:r>
        <w:t>(7) § 548 Abs. 3 des Bürgerlichen Gesetzbuchs ist nicht anzuwenden, wenn das selbständige Beweisverfahren vor dem 1. September 2001 beantragt worden ist.</w:t>
      </w:r>
    </w:p>
    <w:p>
      <w:r>
        <w:t>(8) § 551 Abs. 3 Satz 1 des Bürgerlichen Gesetzbuchs ist nicht anzuwenden, wenn die Verzinsung vor dem 1. Januar 1983 durch Vertrag ausgeschlossen worden ist.</w:t>
      </w:r>
    </w:p>
    <w:p>
      <w:r>
        <w:t>(9) § 556 Abs. 3 Satz 2 bis 6 und § 556a Abs. 1 des Bürgerlichen Gesetzbuchs sind nicht anzuwenden auf Abrechnungszeiträume, die vor dem 1. September 2001 beendet waren.</w:t>
      </w:r>
    </w:p>
    <w:p>
      <w:r>
        <w:t xml:space="preserve">(10) </w:t>
      </w:r>
      <w:r>
        <w:rPr>
          <w:rStyle w:val="Satznummer"/>
        </w:rPr>
        <w:t>1</w:t>
      </w:r>
      <w:r>
        <w:t xml:space="preserve">§ 573c Abs. 4 des Bürgerlichen Gesetzbuchs ist nicht anzuwenden, wenn die Kündigungsfristen vor dem 1. September 2001 durch Vertrag vereinbart worden sind. </w:t>
      </w:r>
      <w:r>
        <w:rPr>
          <w:rStyle w:val="Satznummer"/>
        </w:rPr>
        <w:t>2</w:t>
      </w:r>
      <w:r>
        <w:t>Für Kündigungen, die ab dem 1. Juni 2005 zugehen, gilt dies nicht, wenn die Kündigungsfristen des § 565 Abs. 2 Satz 1 und 2 des Bürgerlichen Gesetzbuchs in der bis zum 1. September 2001 geltenden Fassung durch Allgemeine Geschäftsbedingungen vereinbart worden sind.</w:t>
      </w:r>
    </w:p>
    <w:p>
      <w:r>
        <w:t xml:space="preserve">(11) </w:t>
      </w:r>
      <w:r>
        <w:rPr>
          <w:rStyle w:val="Satznummer"/>
        </w:rPr>
        <w:t>1</w:t>
      </w:r>
      <w:r>
        <w:t>Nicht unangemessen hoch im Sinn des § 5 des Wirtschaftsstrafgesetzes 1954 sind Entgelte für Wohnraum im Sinn des § 11 Abs. 2 des Gesetzes zur Regelung der Miethöhe in der bis zum 31. August 2001 geltenden Fassung, die</w:t>
      </w:r>
    </w:p>
    <w:p>
      <w:pPr>
        <w:tabs>
          <w:tab w:pos="567" w:val="left"/>
        </w:tabs>
        <w:ind w:left="567" w:hanging="567"/>
      </w:pPr>
      <w:r>
        <w:t>1.</w:t>
      </w:r>
      <w:r>
        <w:tab/>
      </w:r>
      <w:r>
        <w:t>bis zum 31. Dezember 1997 nach § 3 oder § 13 des Gesetzes zur Regelung der Miethöhe in der bis zum 31. August 2001 geltenden Fassung geändert oder nach § 13 in Verbindung mit § 17 jenes Gesetzes in der bis zum 31. August 2001 geltenden Fassung vereinbart oder</w:t>
      </w:r>
    </w:p>
    <w:p>
      <w:pPr>
        <w:tabs>
          <w:tab w:pos="567" w:val="left"/>
        </w:tabs>
        <w:ind w:left="567" w:hanging="567"/>
      </w:pPr>
      <w:r>
        <w:t>2.</w:t>
      </w:r>
      <w:r>
        <w:tab/>
      </w:r>
      <w:r>
        <w:t>bei der Wiedervermietung in einer der Nummer 1 entsprechenden Höhe vereinbart</w:t>
      </w:r>
    </w:p>
    <w:p>
      <w:r>
        <w:t xml:space="preserve">worden sind. </w:t>
      </w:r>
      <w:r>
        <w:rPr>
          <w:rStyle w:val="Satznummer"/>
        </w:rPr>
        <w:t>2</w:t>
      </w:r>
      <w:r>
        <w:t>Für Zwecke des Satzes 1 bleiben die hier genannten Bestimmungen weiterhin anwendbar.</w:t>
      </w:r>
    </w:p>
    <w:p>
      <w:pPr>
        <w:pStyle w:val="Heading3"/>
      </w:pPr>
      <w:bookmarkStart w:id="237" w:name="b236"/>
      <w:r>
        <w:t>Art 229 § 4 Übergangsvorschrift zum Zweiten Gesetz zur Änderung reiserechtlicher Vorschriften</w:t>
      </w:r>
      <w:r>
        <w:t xml:space="preserve"> </w:t>
      </w:r>
      <w:r>
        <w:rPr>
          <w:rStyle w:val="Suchmarke"/>
        </w:rPr>
        <w:t>#229-4.#</w:t>
      </w:r>
      <w:bookmarkEnd w:id="237"/>
    </w:p>
    <w:p>
      <w:r>
        <w:t>(1) Die §§ 651k und 651l des Bürgerlichen Gesetzbuchs sind in ihrer seit dem 1. September 2001 geltenden Fassung nur auf Verträge anzuwenden, die nach diesem Tag geschlossen werden.</w:t>
      </w:r>
    </w:p>
    <w:p>
      <w:r>
        <w:t>(2) Abweichend von § 651k Abs. 2 Satz 1 des Bürgerlichen Gesetzbuchs gelten für die nachfolgenden Zeiträume folgende Haftungshöchstsummen.</w:t>
      </w:r>
    </w:p>
    <w:p>
      <w:pPr>
        <w:tabs>
          <w:tab w:pos="567" w:val="left"/>
        </w:tabs>
        <w:ind w:left="567" w:hanging="567"/>
      </w:pPr>
      <w:r>
        <w:t>1.</w:t>
      </w:r>
      <w:r>
        <w:tab/>
      </w:r>
      <w:r>
        <w:t>vom 1. November 1994 bis zum 31. Oktober 1995 70 Millionen Deutsche Mark,</w:t>
      </w:r>
    </w:p>
    <w:p>
      <w:pPr>
        <w:tabs>
          <w:tab w:pos="567" w:val="left"/>
        </w:tabs>
        <w:ind w:left="567" w:hanging="567"/>
      </w:pPr>
      <w:r>
        <w:t>2.</w:t>
      </w:r>
      <w:r>
        <w:tab/>
      </w:r>
      <w:r>
        <w:t>vom 1. November 1995 bis zum 31. Oktober 1996 100 Millionen Deutsche Mark,</w:t>
      </w:r>
    </w:p>
    <w:p>
      <w:pPr>
        <w:tabs>
          <w:tab w:pos="567" w:val="left"/>
        </w:tabs>
        <w:ind w:left="567" w:hanging="567"/>
      </w:pPr>
      <w:r>
        <w:t>3.</w:t>
      </w:r>
      <w:r>
        <w:tab/>
      </w:r>
      <w:r>
        <w:t>vom 1. November 1996 bis zum 31. Oktober 1997 150 Millionen Deutsche Mark,</w:t>
      </w:r>
    </w:p>
    <w:p>
      <w:pPr>
        <w:tabs>
          <w:tab w:pos="567" w:val="left"/>
        </w:tabs>
        <w:ind w:left="567" w:hanging="567"/>
      </w:pPr>
      <w:r>
        <w:t>4.</w:t>
      </w:r>
      <w:r>
        <w:tab/>
      </w:r>
      <w:r>
        <w:t>vom 1. November 1997 bis zum 31. Oktober 2000 200 Millionen Deutsche Mark und</w:t>
      </w:r>
    </w:p>
    <w:p>
      <w:pPr>
        <w:tabs>
          <w:tab w:pos="567" w:val="left"/>
        </w:tabs>
        <w:ind w:left="567" w:hanging="567"/>
      </w:pPr>
      <w:r>
        <w:t>5.</w:t>
      </w:r>
      <w:r>
        <w:tab/>
      </w:r>
      <w:r>
        <w:t>vom 1. November 2000 bis zum 1. September 2001 110 Millionen Euro.</w:t>
      </w:r>
    </w:p>
    <w:p>
      <w:pPr>
        <w:pStyle w:val="Heading3"/>
      </w:pPr>
      <w:bookmarkStart w:id="238" w:name="b237"/>
      <w:r>
        <w:t>Art 229 § 5 Allgemeine Überleitungsvorschrift zum Gesetz zur Modernisierung des Schuldrechts vom 26. November 2001</w:t>
      </w:r>
      <w:r>
        <w:t xml:space="preserve"> </w:t>
      </w:r>
      <w:r>
        <w:rPr>
          <w:rStyle w:val="Suchmarke"/>
        </w:rPr>
        <w:t>#229-5.#</w:t>
      </w:r>
      <w:bookmarkEnd w:id="238"/>
    </w:p>
    <w:p>
      <w:r>
        <w:rPr>
          <w:rStyle w:val="Satznummer"/>
        </w:rPr>
        <w:t>1</w:t>
      </w:r>
      <w:r>
        <w:t xml:space="preserve">Auf Schuldverhältnisse, die vor dem 1. Januar 2002 entstanden sind, sind das Bürgerliche Gesetzbuch, das AGB-Gesetz, das Handelsgesetzbuch, das Verbraucherkreditgesetz, das Fernabsatzgesetz, das Fernunterrichtsschutzgesetz, das Gesetz über den Widerruf von Haustürgeschäften und ähnlichen Geschäften, das Teilzeit-Wohnrechtegesetz, die Verordnung über Kundeninformationspflichten, die Verordnung über Informationspflichten von Reiseveranstaltern und die Verordnung betreffend die Hauptmängel und Gewährfristen beim Viehhandel, soweit nicht ein anderes bestimmt ist, in der bis zu diesem Tag geltenden Fassung anzuwenden. </w:t>
      </w:r>
      <w:r>
        <w:rPr>
          <w:rStyle w:val="Satznummer"/>
        </w:rPr>
        <w:t>2</w:t>
      </w:r>
      <w:r>
        <w:t>Satz 1 gilt für Dauerschuldverhältnisse mit der Maßgabe, dass anstelle der in Satz 1 bezeichneten Gesetze vom 1. Januar 2003 an nur das Bürgerliche Gesetzbuch, das Handelsgesetzbuch, das Fernunterrichtsschutzgesetz und die Verordnung über Informationspflichten nach bürgerlichem Recht in der dann geltenden Fassung anzuwenden sind.</w:t>
      </w:r>
    </w:p>
    <w:p>
      <w:pPr>
        <w:pStyle w:val="Heading3"/>
      </w:pPr>
      <w:bookmarkStart w:id="239" w:name="b238"/>
      <w:r>
        <w:t>Art 229 § 6 Überleitungsvorschrift zum Verjährungsrecht nach dem Gesetz zur Modernisierung des Schuldrechts vom 26. November 2001</w:t>
      </w:r>
      <w:r>
        <w:t xml:space="preserve"> </w:t>
      </w:r>
      <w:r>
        <w:rPr>
          <w:rStyle w:val="Suchmarke"/>
        </w:rPr>
        <w:t>#229-6.#</w:t>
      </w:r>
      <w:bookmarkEnd w:id="239"/>
    </w:p>
    <w:p>
      <w:r>
        <w:t xml:space="preserve">(1) </w:t>
      </w:r>
      <w:r>
        <w:rPr>
          <w:rStyle w:val="Satznummer"/>
        </w:rPr>
        <w:t>1</w:t>
      </w:r>
      <w:r>
        <w:t xml:space="preserve">Die Vorschriften des Bürgerlichen Gesetzbuchs über die Verjährung in der seit dem 1. Januar 2002 geltenden Fassung finden auf die an diesem Tag bestehenden und noch nicht verjährten Ansprüche Anwendung. </w:t>
      </w:r>
      <w:r>
        <w:rPr>
          <w:rStyle w:val="Satznummer"/>
        </w:rPr>
        <w:t>2</w:t>
      </w:r>
      <w:r>
        <w:t xml:space="preserve">Der Beginn, die Hemmung, die Ablaufhemmung und der Neubeginn der Verjährung bestimmen sich jedoch für den Zeitraum vor dem 1. Januar 2002 nach dem Bürgerlichen Gesetzbuch in der bis zu diesem Tag geltenden Fassung. </w:t>
      </w:r>
      <w:r>
        <w:rPr>
          <w:rStyle w:val="Satznummer"/>
        </w:rPr>
        <w:t>3</w:t>
      </w:r>
      <w:r>
        <w:t>Wenn nach Ablauf des 31. Dezember 2001 ein Umstand eintritt, bei dessen Vorliegen nach dem Bürgerlichen Gesetzbuch in der vor dem 1. Januar 2002 geltenden Fassung eine vor dem 1. Januar 2002 eintretende Unterbrechung der Verjährung als nicht erfolgt oder als erfolgt gilt, so ist auch insoweit das Bürgerliche Gesetzbuch in der vor dem 1. Januar 2002 geltenden Fassung anzuwenden.</w:t>
      </w:r>
    </w:p>
    <w:p>
      <w:r>
        <w:t>(2) Soweit die Vorschriften des Bürgerlichen Gesetzbuchs in der seit dem 1. Januar 2002 geltenden Fassung anstelle der Unterbrechung der Verjährung deren Hemmung vorsehen, so gilt eine Unterbrechung der Verjährung, die nach den anzuwendenden Vorschriften des Bürgerlichen Gesetzbuchs in der vor dem 1. Januar 2002 geltenden Fassung vor dem 1. Januar 2002 eintritt und mit Ablauf des 31. Dezember 2001 noch nicht beendigt ist, als mit dem Ablauf des 31. Dezember 2001 beendigt, und die neue Verjährung ist mit Beginn des 1. Januar 2002 gehemmt.</w:t>
      </w:r>
    </w:p>
    <w:p>
      <w:r>
        <w:t>(3) Ist die Verjährungsfrist nach dem Bürgerlichen Gesetzbuch in der seit dem 1. Januar 2002 geltenden Fassung länger als nach dem Bürgerlichen Gesetzbuch in der bis zu diesem Tag geltenden Fassung, so ist die Verjährung mit dem Ablauf der im Bürgerlichen Gesetzbuch in der bis zu diesem Tag geltenden Fassung bestimmten Frist vollendet.</w:t>
      </w:r>
    </w:p>
    <w:p>
      <w:r>
        <w:t xml:space="preserve">(4) </w:t>
      </w:r>
      <w:r>
        <w:rPr>
          <w:rStyle w:val="Satznummer"/>
        </w:rPr>
        <w:t>1</w:t>
      </w:r>
      <w:r>
        <w:t xml:space="preserve">Ist die Verjährungsfrist nach dem Bürgerlichen Gesetzbuch in der seit dem 1. Januar 2002 geltenden Fassung kürzer als nach dem Bürgerlichen Gesetzbuch in der bis zu diesem Tag geltenden Fassung, so wird die kürzere Frist von dem 1. Januar 2002 an berechnet. </w:t>
      </w:r>
      <w:r>
        <w:rPr>
          <w:rStyle w:val="Satznummer"/>
        </w:rPr>
        <w:t>2</w:t>
      </w:r>
      <w:r>
        <w:t>Läuft jedoch die im Bürgerlichen Gesetzbuch in der bis zu diesem Tag geltenden Fassung bestimmte längere Frist früher als die im Bürgerlichen Gesetzbuch in der seit diesem Tag geltenden Fassung bestimmten Frist ab, so ist die Verjährung mit dem Ablauf der im Bürgerlichen Gesetzbuch in der bis zu diesem Tag geltenden Fassung bestimmten Frist vollendet.</w:t>
      </w:r>
    </w:p>
    <w:p>
      <w:r>
        <w:t>(5) Die vorstehenden Absätze sind entsprechend auf Fristen anzuwenden, die für die Geltendmachung, den Erwerb oder den Verlust eines Rechts maßgebend sind.</w:t>
      </w:r>
    </w:p>
    <w:p>
      <w:r>
        <w:t>(6) Die vorstehenden Absätze gelten für die Fristen nach dem Handelsgesetzbuch und dem Umwandlungsgesetz entsprechend.</w:t>
      </w:r>
    </w:p>
    <w:p>
      <w:pPr>
        <w:pStyle w:val="Heading3"/>
      </w:pPr>
      <w:bookmarkStart w:id="240" w:name="b239"/>
      <w:r>
        <w:t>Art 229 § 7 Überleitungsvorschrift zu Zinsvorschriften nach dem Gesetz zur Modernisierung des Schuldrechts vom 26. November 2001</w:t>
      </w:r>
      <w:r>
        <w:t xml:space="preserve"> </w:t>
      </w:r>
      <w:r>
        <w:rPr>
          <w:rStyle w:val="Suchmarke"/>
        </w:rPr>
        <w:t>#229-7.#</w:t>
      </w:r>
      <w:bookmarkEnd w:id="240"/>
    </w:p>
    <w:p>
      <w:r>
        <w:t xml:space="preserve">(1) </w:t>
      </w:r>
      <w:r>
        <w:rPr>
          <w:rStyle w:val="Satznummer"/>
        </w:rPr>
        <w:t>1</w:t>
      </w:r>
      <w:r>
        <w:t>Soweit sie als Bezugsgröße für Zinsen und andere Leistungen in Rechtsvorschriften des Bundes auf dem Gebiet des Bürgerlichen Rechts und des Verfahrensrechts der Gerichte, in nach diesem Gesetz vorbehaltenem Landesrecht und in Vollstreckungstiteln und Verträgen auf Grund solcher Vorschriften verwendet werden, treten mit Wirkung vom 1. Januar 2002</w:t>
      </w:r>
    </w:p>
    <w:p>
      <w:pPr>
        <w:tabs>
          <w:tab w:pos="567" w:val="left"/>
        </w:tabs>
        <w:ind w:left="567" w:hanging="567"/>
      </w:pPr>
      <w:r>
        <w:t>1.</w:t>
      </w:r>
      <w:r>
        <w:tab/>
      </w:r>
      <w:r>
        <w:t>an die Stelle des Basiszinssatzes nach dem Diskontsatz-Überleitungs-Gesetz vom 9. Juni 1998 (BGBl. I S. 1242) der Basiszinssatz des Bürgerlichen Gesetzbuchs,</w:t>
      </w:r>
    </w:p>
    <w:p>
      <w:pPr>
        <w:tabs>
          <w:tab w:pos="567" w:val="left"/>
        </w:tabs>
        <w:ind w:left="567" w:hanging="567"/>
      </w:pPr>
      <w:r>
        <w:t>2.</w:t>
      </w:r>
      <w:r>
        <w:tab/>
      </w:r>
      <w:r>
        <w:t>an die Stelle des Diskontsatzes der Deutschen Bundesbank der Basiszinssatz (§ 247 des Bürgerlichen Gesetzbuchs),</w:t>
      </w:r>
    </w:p>
    <w:p>
      <w:pPr>
        <w:tabs>
          <w:tab w:pos="567" w:val="left"/>
        </w:tabs>
        <w:ind w:left="567" w:hanging="567"/>
      </w:pPr>
      <w:r>
        <w:t>3.</w:t>
      </w:r>
      <w:r>
        <w:tab/>
      </w:r>
      <w:r>
        <w:t>an die Stelle des Zinssatzes für Kassenkredite des Bundes der um 1,5 Prozentpunkte erhöhte Basiszinssatz des Bürgerlichen Gesetzbuchs,</w:t>
      </w:r>
    </w:p>
    <w:p>
      <w:pPr>
        <w:tabs>
          <w:tab w:pos="567" w:val="left"/>
        </w:tabs>
        <w:ind w:left="567" w:hanging="567"/>
      </w:pPr>
      <w:r>
        <w:t>4.</w:t>
      </w:r>
      <w:r>
        <w:tab/>
      </w:r>
      <w:r>
        <w:t>an die Stelle des Lombardsatzes der Deutschen Bundesbank der Zinssatz der Spitzenrefinanzierungsfazilität der Europäischen Zentralbank (SRF-Zinssatz),</w:t>
      </w:r>
    </w:p>
    <w:p>
      <w:pPr>
        <w:tabs>
          <w:tab w:pos="567" w:val="left"/>
        </w:tabs>
        <w:ind w:left="567" w:hanging="567"/>
      </w:pPr>
      <w:r>
        <w:t>5.</w:t>
      </w:r>
      <w:r>
        <w:tab/>
      </w:r>
      <w:r>
        <w:t>an die Stelle der "Frankfurt Interbank Offered Rate"-Sätze für die Beschaffung von Ein- und Zwölfmonatsgeld von ersten Adressen auf dem deutschen Markt auf ihrer seit dem 2. Juli 1990 geltenden Grundlage (FIBOR-neu-Sätze) die "EURO Interbank Offered Rate"-Sätze für die Beschaffung von Ein- bis Zwölfmonatsgeld von ersten Adressen in den Teilnehmerstaaten der Europäischen Währungsunion (EURIBOR-Sätze) für die entsprechende Laufzeit,</w:t>
      </w:r>
    </w:p>
    <w:p>
      <w:pPr>
        <w:tabs>
          <w:tab w:pos="567" w:val="left"/>
        </w:tabs>
        <w:ind w:left="567" w:hanging="567"/>
      </w:pPr>
      <w:r>
        <w:t>6.</w:t>
      </w:r>
      <w:r>
        <w:tab/>
      </w:r>
      <w:r>
        <w:t>an die Stelle des "Frankfurt Interbank Offered Rate"-Satzes für die Beschaffung von Tagesgeld ("Overnight") von ersten Adressen auf dem deutschen Markt ("FIBOR-Overnight"-Satz) der "EURO Overnight Index Average"-Satz für die Beschaffung von Tagesgeld ("Overnight") von ersten Adressen in den Teilnehmerstaaten der Europäischen Währungsunion (EONIA-Satz) und</w:t>
      </w:r>
    </w:p>
    <w:p>
      <w:pPr>
        <w:tabs>
          <w:tab w:pos="567" w:val="left"/>
        </w:tabs>
        <w:ind w:left="567" w:hanging="567"/>
      </w:pPr>
      <w:r>
        <w:t>7.</w:t>
      </w:r>
      <w:r>
        <w:tab/>
      </w:r>
      <w:r>
        <w:t>bei Verwendung der "Frankfurt Interbank Offered Rate"-Sätze für die Geldbeschaffung von ersten Adressen auf dem deutschen Markt auf ihrer seit dem 12. August 1985 geltenden Grundlage (FIBOR-alt-Sätze)</w:t>
      </w:r>
    </w:p>
    <w:p>
      <w:pPr>
        <w:tabs>
          <w:tab w:pos="1134" w:val="left"/>
        </w:tabs>
        <w:ind w:left="1134" w:hanging="567"/>
      </w:pPr>
      <w:r>
        <w:t>a)</w:t>
      </w:r>
      <w:r>
        <w:tab/>
      </w:r>
      <w:r>
        <w:t>an die Stelle des FIBOR-alt-Satzes für Dreimonatsgeld der EURIBOR-Satz für Dreimonatsgeld, multipliziert mit der Anzahl der Tage der jeweiligen Dreimonatsperiode und dividiert durch 90,</w:t>
      </w:r>
    </w:p>
    <w:p>
      <w:pPr>
        <w:tabs>
          <w:tab w:pos="1134" w:val="left"/>
        </w:tabs>
        <w:ind w:left="1134" w:hanging="567"/>
      </w:pPr>
      <w:r>
        <w:t>b)</w:t>
      </w:r>
      <w:r>
        <w:tab/>
      </w:r>
      <w:r>
        <w:t>an die Stelle des FIBOR-alt-Satzes für Sechsmonatsgeld der EURIBOR-Satz für Sechsmonatsgeld, multipliziert mit der Anzahl der Tage der jeweiligen Sechsmonatsperiode und dividiert durch 180 und</w:t>
      </w:r>
    </w:p>
    <w:p>
      <w:pPr>
        <w:tabs>
          <w:tab w:pos="1134" w:val="left"/>
        </w:tabs>
        <w:ind w:left="1134" w:hanging="567"/>
      </w:pPr>
      <w:r>
        <w:t>c)</w:t>
      </w:r>
      <w:r>
        <w:tab/>
      </w:r>
      <w:r>
        <w:t>wenn eine Anpassung der Bestimmungen über die Berechnung unterjähriger Zinsen nach § 5 Satz 1 Nr. 3 des Gesetzes zur Umstellung von Schuldverschreibungen auf Euro vom 9. Juni 1998 (BGBl. I S. 1242, 1250) erfolgt, an die Stelle aller FIBOR-alt-Sätze die EURIBOR-Sätze für die entsprechende Laufzeit.</w:t>
      </w:r>
    </w:p>
    <w:p>
      <w:r>
        <w:rPr>
          <w:rStyle w:val="Satznummer"/>
        </w:rPr>
        <w:t>2</w:t>
      </w:r>
      <w:r>
        <w:t xml:space="preserve">Satz 1 Nr. 5 bis 7 ist auf Zinsperioden nicht anzuwenden, die auf einen vor Ablauf des 31. Dezember 1998 festgestellten FIBOR-Satz Bezug nehmen; insoweit verbleibt es bei den zu Beginn der Zinsperiode vereinbarten FIBOR-Sätzen. </w:t>
      </w:r>
      <w:r>
        <w:rPr>
          <w:rStyle w:val="Satznummer"/>
        </w:rPr>
        <w:t>3</w:t>
      </w:r>
      <w:r>
        <w:t xml:space="preserve">Soweit Zinsen für einen Zeitraum vor dem 1. Januar 1999 geltend gemacht werden, bezeichnet eine Bezugnahme auf den Basiszinssatz den Diskontsatz der Deutschen Bundesbank in der in diesem Zeitraum maßgebenden Höhe. </w:t>
      </w:r>
      <w:r>
        <w:rPr>
          <w:rStyle w:val="Satznummer"/>
        </w:rPr>
        <w:t>4</w:t>
      </w:r>
      <w:r>
        <w:t xml:space="preserve">Die in den vorstehenden Sätzen geregelte Ersetzung von Zinssätzen begründet keinen Anspruch auf vorzeitige Kündigung, einseitige Aufhebung oder Abänderung von Verträgen und Abänderung von Vollstreckungstiteln. </w:t>
      </w:r>
      <w:r>
        <w:rPr>
          <w:rStyle w:val="Satznummer"/>
        </w:rPr>
        <w:t>5</w:t>
      </w:r>
      <w:r>
        <w:t>Das Recht der Parteien, den Vertrag einvernehmlich zu ändern, bleibt unberührt.</w:t>
      </w:r>
    </w:p>
    <w:p>
      <w:r>
        <w:t>(2) Für die Zeit vor dem 1. Januar 2002 sind das Diskontsatz-Überleitungs-Gesetz vom 9. Juni 1998 (BGBl. I S. 1242) und die auf seiner Grundlage erlassenen Rechtsverordnungen in der bis zu diesem Tag geltenden Fassung anzuwenden.</w:t>
      </w:r>
    </w:p>
    <w:p>
      <w:r>
        <w:t>(3) Eine Veränderung des Basiszinssatzes gemäß § 247 Abs. 1 Satz 2 des Bürgerlichen Gesetzbuchs erfolgt erstmals zum 1. Januar 2002.</w:t>
      </w:r>
    </w:p>
    <w:p>
      <w:r>
        <w:t>(4) Die Bundesregierung wird ermächtigt, durch Rechtsverordnung mit Zustimmung des Bundesrates</w:t>
      </w:r>
    </w:p>
    <w:p>
      <w:pPr>
        <w:tabs>
          <w:tab w:pos="567" w:val="left"/>
        </w:tabs>
        <w:ind w:left="567" w:hanging="567"/>
      </w:pPr>
      <w:r>
        <w:t>1.</w:t>
      </w:r>
      <w:r>
        <w:tab/>
      </w:r>
      <w:r>
        <w:t>die Bezugsgröße für den Basiszinssatz gemäß § 247 des Bürgerlichen Gesetzbuchs und</w:t>
      </w:r>
    </w:p>
    <w:p>
      <w:pPr>
        <w:tabs>
          <w:tab w:pos="567" w:val="left"/>
        </w:tabs>
        <w:ind w:left="567" w:hanging="567"/>
      </w:pPr>
      <w:r>
        <w:t>2.</w:t>
      </w:r>
      <w:r>
        <w:tab/>
      </w:r>
      <w:r>
        <w:t>den SRF-Zinssatz als Ersatz für den Lombardsatz der Deutschen Bundesbank</w:t>
      </w:r>
    </w:p>
    <w:p>
      <w:r>
        <w:t>durch einen anderen Zinssatz der Europäischen Zentralbank zu ersetzen, der dem Basiszinssatz, den durch diesen ersetzten Zinssätzen und dem Lombardsatz in ihrer Funktion als Bezugsgrößen für Zinssätze eher entspricht.</w:t>
      </w:r>
    </w:p>
    <w:p>
      <w:pPr>
        <w:pStyle w:val="Heading3"/>
      </w:pPr>
      <w:bookmarkStart w:id="241" w:name="b240"/>
      <w:r>
        <w:t>Art 229 § 8 Übergangsvorschriften zum Zweiten Gesetz zur Änderung schadensersatzrechtlicher Vorschriften vom 19. Juli 2002</w:t>
      </w:r>
      <w:r>
        <w:t xml:space="preserve"> </w:t>
      </w:r>
      <w:r>
        <w:rPr>
          <w:rStyle w:val="Suchmarke"/>
        </w:rPr>
        <w:t>#229-8.#</w:t>
      </w:r>
      <w:bookmarkEnd w:id="241"/>
    </w:p>
    <w:p>
      <w:r>
        <w:t>(1) Die durch das Zweite Gesetz zur Änderung schadensersatzrechtlicher Vorschriften im</w:t>
      </w:r>
    </w:p>
    <w:p>
      <w:pPr>
        <w:tabs>
          <w:tab w:pos="567" w:val="left"/>
        </w:tabs>
        <w:ind w:left="567" w:hanging="567"/>
      </w:pPr>
      <w:r>
        <w:t>1.</w:t>
      </w:r>
      <w:r>
        <w:tab/>
      </w:r>
      <w:r>
        <w:t>Arzneimittelgesetz,</w:t>
      </w:r>
    </w:p>
    <w:p>
      <w:pPr>
        <w:tabs>
          <w:tab w:pos="567" w:val="left"/>
        </w:tabs>
        <w:ind w:left="567" w:hanging="567"/>
      </w:pPr>
      <w:r>
        <w:t>2.</w:t>
      </w:r>
      <w:r>
        <w:tab/>
      </w:r>
      <w:r>
        <w:t>Bürgerlichen Gesetzbuch,</w:t>
      </w:r>
    </w:p>
    <w:p>
      <w:pPr>
        <w:tabs>
          <w:tab w:pos="567" w:val="left"/>
        </w:tabs>
        <w:ind w:left="567" w:hanging="567"/>
      </w:pPr>
      <w:r>
        <w:t>3.</w:t>
      </w:r>
      <w:r>
        <w:tab/>
      </w:r>
      <w:r>
        <w:t>Bundesberggesetz,</w:t>
      </w:r>
    </w:p>
    <w:p>
      <w:pPr>
        <w:tabs>
          <w:tab w:pos="567" w:val="left"/>
        </w:tabs>
        <w:ind w:left="567" w:hanging="567"/>
      </w:pPr>
      <w:r>
        <w:t>4.</w:t>
      </w:r>
      <w:r>
        <w:tab/>
      </w:r>
      <w:r>
        <w:t>Straßenverkehrsgesetz,</w:t>
      </w:r>
    </w:p>
    <w:p>
      <w:pPr>
        <w:tabs>
          <w:tab w:pos="567" w:val="left"/>
        </w:tabs>
        <w:ind w:left="567" w:hanging="567"/>
      </w:pPr>
      <w:r>
        <w:t>5.</w:t>
      </w:r>
      <w:r>
        <w:tab/>
      </w:r>
      <w:r>
        <w:t>Haftpflichtgesetz,</w:t>
      </w:r>
    </w:p>
    <w:p>
      <w:pPr>
        <w:tabs>
          <w:tab w:pos="567" w:val="left"/>
        </w:tabs>
        <w:ind w:left="567" w:hanging="567"/>
      </w:pPr>
      <w:r>
        <w:t>6.</w:t>
      </w:r>
      <w:r>
        <w:tab/>
      </w:r>
      <w:r>
        <w:t>Luftverkehrsgesetz,</w:t>
      </w:r>
    </w:p>
    <w:p>
      <w:pPr>
        <w:tabs>
          <w:tab w:pos="567" w:val="left"/>
        </w:tabs>
        <w:ind w:left="567" w:hanging="567"/>
      </w:pPr>
      <w:r>
        <w:t>7.</w:t>
      </w:r>
      <w:r>
        <w:tab/>
      </w:r>
      <w:r>
        <w:t>Bundesdatenschutzgesetz,</w:t>
      </w:r>
    </w:p>
    <w:p>
      <w:pPr>
        <w:tabs>
          <w:tab w:pos="567" w:val="left"/>
        </w:tabs>
        <w:ind w:left="567" w:hanging="567"/>
      </w:pPr>
      <w:r>
        <w:t>8.</w:t>
      </w:r>
      <w:r>
        <w:tab/>
      </w:r>
      <w:r>
        <w:t>Gentechnikgesetz,</w:t>
      </w:r>
    </w:p>
    <w:p>
      <w:pPr>
        <w:tabs>
          <w:tab w:pos="567" w:val="left"/>
        </w:tabs>
        <w:ind w:left="567" w:hanging="567"/>
      </w:pPr>
      <w:r>
        <w:t>9.</w:t>
      </w:r>
      <w:r>
        <w:tab/>
      </w:r>
      <w:r>
        <w:t>Produkthaftungsgesetz,</w:t>
      </w:r>
    </w:p>
    <w:p>
      <w:pPr>
        <w:tabs>
          <w:tab w:pos="567" w:val="left"/>
        </w:tabs>
        <w:ind w:left="567" w:hanging="567"/>
      </w:pPr>
      <w:r>
        <w:t>10.</w:t>
      </w:r>
      <w:r>
        <w:tab/>
      </w:r>
      <w:r>
        <w:t>Umwelthaftungsgesetz,</w:t>
      </w:r>
    </w:p>
    <w:p>
      <w:pPr>
        <w:tabs>
          <w:tab w:pos="567" w:val="left"/>
        </w:tabs>
        <w:ind w:left="567" w:hanging="567"/>
      </w:pPr>
      <w:r>
        <w:t>11.</w:t>
      </w:r>
      <w:r>
        <w:tab/>
      </w:r>
      <w:r>
        <w:t>Handelsgesetzbuch,</w:t>
      </w:r>
    </w:p>
    <w:p>
      <w:pPr>
        <w:tabs>
          <w:tab w:pos="567" w:val="left"/>
        </w:tabs>
        <w:ind w:left="567" w:hanging="567"/>
      </w:pPr>
      <w:r>
        <w:t>12.</w:t>
      </w:r>
      <w:r>
        <w:tab/>
      </w:r>
      <w:r>
        <w:t>Bundesgrenzschutzgesetz,</w:t>
      </w:r>
    </w:p>
    <w:p>
      <w:pPr>
        <w:tabs>
          <w:tab w:pos="567" w:val="left"/>
        </w:tabs>
        <w:ind w:left="567" w:hanging="567"/>
      </w:pPr>
      <w:r>
        <w:t>13.</w:t>
      </w:r>
      <w:r>
        <w:tab/>
      </w:r>
      <w:r>
        <w:t>Bundessozialhilfegesetz,</w:t>
      </w:r>
    </w:p>
    <w:p>
      <w:pPr>
        <w:tabs>
          <w:tab w:pos="567" w:val="left"/>
        </w:tabs>
        <w:ind w:left="567" w:hanging="567"/>
      </w:pPr>
      <w:r>
        <w:t>14.</w:t>
      </w:r>
      <w:r>
        <w:tab/>
      </w:r>
      <w:r>
        <w:t>Gesetz über die Abgeltung von Besatzungsschäden,</w:t>
      </w:r>
    </w:p>
    <w:p>
      <w:pPr>
        <w:tabs>
          <w:tab w:pos="567" w:val="left"/>
        </w:tabs>
        <w:ind w:left="567" w:hanging="567"/>
      </w:pPr>
      <w:r>
        <w:t>15.</w:t>
      </w:r>
      <w:r>
        <w:tab/>
      </w:r>
      <w:r>
        <w:t>Atomgesetz,</w:t>
      </w:r>
    </w:p>
    <w:p>
      <w:pPr>
        <w:tabs>
          <w:tab w:pos="567" w:val="left"/>
        </w:tabs>
        <w:ind w:left="567" w:hanging="567"/>
      </w:pPr>
      <w:r>
        <w:t>16.</w:t>
      </w:r>
      <w:r>
        <w:tab/>
      </w:r>
      <w:r>
        <w:t>Bundesversorgungsgesetz,</w:t>
      </w:r>
    </w:p>
    <w:p>
      <w:pPr>
        <w:tabs>
          <w:tab w:pos="567" w:val="left"/>
        </w:tabs>
        <w:ind w:left="567" w:hanging="567"/>
      </w:pPr>
      <w:r>
        <w:t>17.</w:t>
      </w:r>
      <w:r>
        <w:tab/>
      </w:r>
      <w:r>
        <w:t>Pflichtversicherungsgesetz und</w:t>
      </w:r>
    </w:p>
    <w:p>
      <w:r>
        <w:t>in der Luftverkehrs-Zulassungs-Ordnung geänderten Vorschriften sind mit Ausnahme des durch Artikel 1 Nr. 2 des Zweiten Gesetzes zur Änderung schadensersatzrechtlicher Vorschriften eingefügten § 84a des Arzneimittelgesetzes und des durch Artikel 1 Nr. 4 des Zweiten Gesetzes zur Änderung schadensersatzrechtlicher Vorschriften geänderten § 88 des Arzneimittelgesetzes anzuwenden, wenn das schädigende Ereignis nach dem 31. Juli 2002 eingetreten ist.</w:t>
      </w:r>
    </w:p>
    <w:p>
      <w:r>
        <w:t>(2) Der durch Artikel 1 Nr. 2 des Zweiten Gesetzes zur Änderung schadensersatzrechtlicher Vorschriften eingefügte § 84a des Arzneimittelgesetzes ist auch auf Fälle anzuwenden, in denen das schädigende Ereignis vor dem 1. August 2002 eingetreten ist, es sei denn, dass zu diesem Zeitpunkt über den Schadensersatz durch rechtskräftiges Urteil entschieden war oder Arzneimittelanwender und pharmazeutischer Unternehmer sich über den Schadensersatz geeinigt hatten.</w:t>
      </w:r>
    </w:p>
    <w:p>
      <w:r>
        <w:t>(3) Der durch Artikel 1 Nr. 4 des Zweiten Gesetzes zur Änderung schadensersatzrechtlicher Vorschriften geänderte § 88 des Arzneimittelgesetzes ist erst auf Fälle anzuwenden, in denen das schädigende Ereignis nach dem 31. Dezember 2002 eingetreten ist.</w:t>
      </w:r>
    </w:p>
    <w:p>
      <w:pPr>
        <w:pStyle w:val="Heading3"/>
      </w:pPr>
      <w:bookmarkStart w:id="242" w:name="b241"/>
      <w:r>
        <w:t>Art 229 § 9 Überleitungsvorschrift zum OLG-Vertretungsänderungsgesetz vom 23. Juli 2002</w:t>
      </w:r>
      <w:r>
        <w:t xml:space="preserve"> </w:t>
      </w:r>
      <w:r>
        <w:rPr>
          <w:rStyle w:val="Suchmarke"/>
        </w:rPr>
        <w:t>#229-9.#</w:t>
      </w:r>
      <w:bookmarkEnd w:id="242"/>
    </w:p>
    <w:p>
      <w:r>
        <w:t xml:space="preserve">(1) </w:t>
      </w:r>
      <w:r>
        <w:rPr>
          <w:rStyle w:val="Satznummer"/>
        </w:rPr>
        <w:t>1</w:t>
      </w:r>
      <w:r>
        <w:t>Die §§ 312a, 312d, 346, 355, 358, 491, 492, 494, 495, 497, 498, 502, 505 und 506 des Bürgerlichen Gesetzbuchs in der seit dem 1. August 2002 geltenden Fassung sind, soweit nichts anderes bestimmt ist, nur anzuwenden auf</w:t>
      </w:r>
    </w:p>
    <w:p>
      <w:pPr>
        <w:tabs>
          <w:tab w:pos="567" w:val="left"/>
        </w:tabs>
        <w:ind w:left="567" w:hanging="567"/>
      </w:pPr>
      <w:r>
        <w:t>1.</w:t>
      </w:r>
      <w:r>
        <w:tab/>
      </w:r>
      <w:r>
        <w:t>Haustürgeschäfte, die nach dem 1. August 2002 abgeschlossen worden sind, einschließlich ihrer Rückabwicklung und</w:t>
      </w:r>
    </w:p>
    <w:p>
      <w:pPr>
        <w:tabs>
          <w:tab w:pos="567" w:val="left"/>
        </w:tabs>
        <w:ind w:left="567" w:hanging="567"/>
      </w:pPr>
      <w:r>
        <w:t>2.</w:t>
      </w:r>
      <w:r>
        <w:tab/>
      </w:r>
      <w:r>
        <w:t>andere Schuldverhältnisse, die nach dem 1. November 2002 entstanden sind.</w:t>
      </w:r>
    </w:p>
    <w:p>
      <w:r>
        <w:rPr>
          <w:rStyle w:val="Satznummer"/>
        </w:rPr>
        <w:t>2</w:t>
      </w:r>
      <w:r>
        <w:t>§ 355 Abs. 3 des Bürgerlichen Gesetzbuchs in der in Satz 1 genannten Fassung ist jedoch auch auf Haustürgeschäfte anzuwenden, die nach dem 31. Dezember 2001 abgeschlossen worden sind, einschließlich ihrer Rückabwicklung.</w:t>
      </w:r>
    </w:p>
    <w:p>
      <w:r>
        <w:t>(2) § 355 Abs. 2 ist in der in Absatz 1 Satz 1 genannten Fassung auch auf Verträge anzuwenden, die vor diesem Zeitpunkt geschlossen worden sind, wenn die erforderliche Belehrung über das Widerrufs- oder Rückgaberecht erst nach diesem Zeitpunkt erteilt wird.</w:t>
      </w:r>
    </w:p>
    <w:p>
      <w:pPr>
        <w:pStyle w:val="Heading3"/>
      </w:pPr>
      <w:bookmarkStart w:id="243" w:name="b242"/>
      <w:r>
        <w:t>Art 229 § 10 Überleitungsvorschrift zum Gesetz zur Änderung der Vorschriften über die Anfechtung der Vaterschaft und das Umgangsrecht von Bezugspersonen des Kindes, zur Registrierung von Vorsorgeverfügungen und zur Einführung von Vordrucken für die Vergütung von Berufsbetreuern vom 23. April 2004</w:t>
      </w:r>
      <w:r>
        <w:t xml:space="preserve"> </w:t>
      </w:r>
      <w:r>
        <w:rPr>
          <w:rStyle w:val="Suchmarke"/>
        </w:rPr>
        <w:t>#229-10.#</w:t>
      </w:r>
      <w:bookmarkEnd w:id="243"/>
    </w:p>
    <w:p>
      <w:r>
        <w:t>Im Fall der Anfechtung nach § 1600 Abs. 1 Nr. 2 des Bürgerlichen Gesetzbuchs beginnt die Frist für die Anfechtung gemäß § 1600b Abs. 1 des Bürgerlichen Gesetzbuchs nicht vor dem 30. April 2004.</w:t>
      </w:r>
    </w:p>
    <w:p>
      <w:pPr>
        <w:pStyle w:val="Heading3"/>
      </w:pPr>
      <w:bookmarkStart w:id="244" w:name="b243"/>
      <w:r>
        <w:t>Art 229 § 11 Überleitungsvorschrift zu dem Gesetz zur Änderung der Vorschriften über Fernabsatzverträge bei Finanzdienstleistungen vom 2. Dezember 2004</w:t>
      </w:r>
      <w:r>
        <w:t xml:space="preserve"> </w:t>
      </w:r>
      <w:r>
        <w:rPr>
          <w:rStyle w:val="Suchmarke"/>
        </w:rPr>
        <w:t>#229-11.#</w:t>
      </w:r>
      <w:bookmarkEnd w:id="244"/>
    </w:p>
    <w:p>
      <w:r>
        <w:t xml:space="preserve">(1) </w:t>
      </w:r>
      <w:r>
        <w:rPr>
          <w:rStyle w:val="Satznummer"/>
        </w:rPr>
        <w:t>1</w:t>
      </w:r>
      <w:r>
        <w:t xml:space="preserve">Auf Schuldverhältnisse, die bis zum Ablauf des 7. Dezember 2004 entstanden sind, finden das Bürgerliche Gesetzbuch und die BGB-Informationspflichten-Verordnung in der bis zu diesem Tag geltenden Fassung Anwendung. </w:t>
      </w:r>
      <w:r>
        <w:rPr>
          <w:rStyle w:val="Satznummer"/>
        </w:rPr>
        <w:t>2</w:t>
      </w:r>
      <w:r>
        <w:t>Satz 1 gilt für Vertragsverhältnisse im Sinne des § 312b Abs. 4 Satz 1 des Bürgerlichen Gesetzbuchs mit der Maßgabe, dass es auf die Entstehung der erstmaligen Vereinbarung ankommt.</w:t>
      </w:r>
    </w:p>
    <w:p>
      <w:r>
        <w:t>(2) Verkaufsprospekte, die vor dem Ablauf des 7. Dezember 2004 hergestellt wurden und die der Neufassung der BGB-Informationspflichten-Verordnung nicht genügen, dürfen bis zum 31. März 2005 aufgebraucht werden, soweit sie ausschließlich den Fernabsatz von Waren und Dienstleistungen betreffen, die nicht Finanzdienstleistungen sind.</w:t>
      </w:r>
    </w:p>
    <w:p>
      <w:pPr>
        <w:pStyle w:val="Heading3"/>
      </w:pPr>
      <w:bookmarkStart w:id="245" w:name="b244"/>
      <w:r>
        <w:t>Art 229 § 12 Überleitungsvorschrift zum Gesetz zur Anpassung von Verjährungsvorschriften an das Gesetz zur Modernisierung des Schuldrechts</w:t>
      </w:r>
      <w:r>
        <w:t xml:space="preserve"> </w:t>
      </w:r>
      <w:r>
        <w:rPr>
          <w:rStyle w:val="Suchmarke"/>
        </w:rPr>
        <w:t>#229-12.#</w:t>
      </w:r>
      <w:bookmarkEnd w:id="245"/>
    </w:p>
    <w:p>
      <w:r>
        <w:t xml:space="preserve">(1) </w:t>
      </w:r>
      <w:r>
        <w:rPr>
          <w:rStyle w:val="Satznummer"/>
        </w:rPr>
        <w:t>1</w:t>
      </w:r>
      <w:r>
        <w:t>Auf die Verjährungsfristen gemäß den durch das Gesetz zur Anpassung von Verjährungsvorschriften an das Gesetz zur Modernisierung des Schuldrechts vom 9. Dezember 2004 (BGBl. I S. 3214) geänderten Vorschriften</w:t>
      </w:r>
    </w:p>
    <w:p>
      <w:pPr>
        <w:tabs>
          <w:tab w:pos="567" w:val="left"/>
        </w:tabs>
        <w:ind w:left="567" w:hanging="567"/>
      </w:pPr>
      <w:r>
        <w:t>1.</w:t>
      </w:r>
      <w:r>
        <w:tab/>
      </w:r>
      <w:r>
        <w:t>im Arzneimittelgesetz,</w:t>
      </w:r>
    </w:p>
    <w:p>
      <w:pPr>
        <w:tabs>
          <w:tab w:pos="567" w:val="left"/>
        </w:tabs>
        <w:ind w:left="567" w:hanging="567"/>
      </w:pPr>
      <w:r>
        <w:t>2.</w:t>
      </w:r>
      <w:r>
        <w:tab/>
      </w:r>
      <w:r>
        <w:t>im Lebensmittelspezialitätengesetz,</w:t>
      </w:r>
    </w:p>
    <w:p>
      <w:pPr>
        <w:tabs>
          <w:tab w:pos="567" w:val="left"/>
        </w:tabs>
        <w:ind w:left="567" w:hanging="567"/>
      </w:pPr>
      <w:r>
        <w:t>3.</w:t>
      </w:r>
      <w:r>
        <w:tab/>
      </w:r>
      <w:r>
        <w:t>in der Bundesrechtsanwaltsordnung,</w:t>
      </w:r>
    </w:p>
    <w:p>
      <w:pPr>
        <w:tabs>
          <w:tab w:pos="567" w:val="left"/>
        </w:tabs>
        <w:ind w:left="567" w:hanging="567"/>
      </w:pPr>
      <w:r>
        <w:t>4.</w:t>
      </w:r>
      <w:r>
        <w:tab/>
      </w:r>
      <w:r>
        <w:t>in der Insolvenzordnung,</w:t>
      </w:r>
    </w:p>
    <w:p>
      <w:pPr>
        <w:tabs>
          <w:tab w:pos="567" w:val="left"/>
        </w:tabs>
        <w:ind w:left="567" w:hanging="567"/>
      </w:pPr>
      <w:r>
        <w:t>5.</w:t>
      </w:r>
      <w:r>
        <w:tab/>
      </w:r>
      <w:r>
        <w:t>im Bürgerlichen Gesetzbuch,</w:t>
      </w:r>
    </w:p>
    <w:p>
      <w:pPr>
        <w:tabs>
          <w:tab w:pos="567" w:val="left"/>
        </w:tabs>
        <w:ind w:left="567" w:hanging="567"/>
      </w:pPr>
      <w:r>
        <w:t>6.</w:t>
      </w:r>
      <w:r>
        <w:tab/>
      </w:r>
      <w:r>
        <w:t>im Gesetz zur Regelung der Wohnungsvermittlung,</w:t>
      </w:r>
    </w:p>
    <w:p>
      <w:pPr>
        <w:tabs>
          <w:tab w:pos="567" w:val="left"/>
        </w:tabs>
        <w:ind w:left="567" w:hanging="567"/>
      </w:pPr>
      <w:r>
        <w:t>7.</w:t>
      </w:r>
      <w:r>
        <w:tab/>
      </w:r>
      <w:r>
        <w:t>im Handelsgesetzbuch,</w:t>
      </w:r>
    </w:p>
    <w:p>
      <w:pPr>
        <w:tabs>
          <w:tab w:pos="567" w:val="left"/>
        </w:tabs>
        <w:ind w:left="567" w:hanging="567"/>
      </w:pPr>
      <w:r>
        <w:t>8.</w:t>
      </w:r>
      <w:r>
        <w:tab/>
      </w:r>
      <w:r>
        <w:t>im Umwandlungsgesetz,</w:t>
      </w:r>
    </w:p>
    <w:p>
      <w:pPr>
        <w:tabs>
          <w:tab w:pos="567" w:val="left"/>
        </w:tabs>
        <w:ind w:left="567" w:hanging="567"/>
      </w:pPr>
      <w:r>
        <w:t>9.</w:t>
      </w:r>
      <w:r>
        <w:tab/>
      </w:r>
      <w:r>
        <w:t>im Aktiengesetz,</w:t>
      </w:r>
    </w:p>
    <w:p>
      <w:pPr>
        <w:tabs>
          <w:tab w:pos="567" w:val="left"/>
        </w:tabs>
        <w:ind w:left="567" w:hanging="567"/>
      </w:pPr>
      <w:r>
        <w:t>10.</w:t>
      </w:r>
      <w:r>
        <w:tab/>
      </w:r>
      <w:r>
        <w:t>im Gesetz betreffend die Gesellschaften mit beschränkter Haftung,</w:t>
      </w:r>
    </w:p>
    <w:p>
      <w:pPr>
        <w:tabs>
          <w:tab w:pos="567" w:val="left"/>
        </w:tabs>
        <w:ind w:left="567" w:hanging="567"/>
      </w:pPr>
      <w:r>
        <w:t>11.</w:t>
      </w:r>
      <w:r>
        <w:tab/>
      </w:r>
      <w:r>
        <w:t>im Gesetz betreffend die Erwerbs- und Wirtschaftsgenossenschaften,</w:t>
      </w:r>
    </w:p>
    <w:p>
      <w:pPr>
        <w:tabs>
          <w:tab w:pos="567" w:val="left"/>
        </w:tabs>
        <w:ind w:left="567" w:hanging="567"/>
      </w:pPr>
      <w:r>
        <w:t>12.</w:t>
      </w:r>
      <w:r>
        <w:tab/>
      </w:r>
      <w:r>
        <w:t>in der Patentanwaltsordnung,</w:t>
      </w:r>
    </w:p>
    <w:p>
      <w:pPr>
        <w:tabs>
          <w:tab w:pos="567" w:val="left"/>
        </w:tabs>
        <w:ind w:left="567" w:hanging="567"/>
      </w:pPr>
      <w:r>
        <w:t>13.</w:t>
      </w:r>
      <w:r>
        <w:tab/>
      </w:r>
      <w:r>
        <w:t>im Steuerberatungsgesetz,</w:t>
      </w:r>
    </w:p>
    <w:p>
      <w:pPr>
        <w:tabs>
          <w:tab w:pos="567" w:val="left"/>
        </w:tabs>
        <w:ind w:left="567" w:hanging="567"/>
      </w:pPr>
      <w:r>
        <w:t>14.</w:t>
      </w:r>
      <w:r>
        <w:tab/>
      </w:r>
      <w:r>
        <w:t>in der Verordnung über Allgemeine Bedingungen für die Elektrizitätsversorgung von Tarifkunden,</w:t>
      </w:r>
    </w:p>
    <w:p>
      <w:pPr>
        <w:tabs>
          <w:tab w:pos="567" w:val="left"/>
        </w:tabs>
        <w:ind w:left="567" w:hanging="567"/>
      </w:pPr>
      <w:r>
        <w:t>15.</w:t>
      </w:r>
      <w:r>
        <w:tab/>
      </w:r>
      <w:r>
        <w:t>in der Verordnung über Allgemeine Bedingungen für die Gasversorgung von Tarifkunden,</w:t>
      </w:r>
    </w:p>
    <w:p>
      <w:pPr>
        <w:tabs>
          <w:tab w:pos="567" w:val="left"/>
        </w:tabs>
        <w:ind w:left="567" w:hanging="567"/>
      </w:pPr>
      <w:r>
        <w:t>16.</w:t>
      </w:r>
      <w:r>
        <w:tab/>
      </w:r>
      <w:r>
        <w:t>in der Verordnung über Allgemeine Bedingungen für die Versorgung mit Wasser,</w:t>
      </w:r>
    </w:p>
    <w:p>
      <w:pPr>
        <w:tabs>
          <w:tab w:pos="567" w:val="left"/>
        </w:tabs>
        <w:ind w:left="567" w:hanging="567"/>
      </w:pPr>
      <w:r>
        <w:t>17.</w:t>
      </w:r>
      <w:r>
        <w:tab/>
      </w:r>
      <w:r>
        <w:t>in der Verordnung über Allgemeine Bedingungen für die Versorgung mit Fernwärme,</w:t>
      </w:r>
    </w:p>
    <w:p>
      <w:pPr>
        <w:tabs>
          <w:tab w:pos="567" w:val="left"/>
        </w:tabs>
        <w:ind w:left="567" w:hanging="567"/>
      </w:pPr>
      <w:r>
        <w:t>18.</w:t>
      </w:r>
      <w:r>
        <w:tab/>
      </w:r>
      <w:r>
        <w:t>im Rindfleischetikettierungsgesetz,</w:t>
      </w:r>
    </w:p>
    <w:p>
      <w:pPr>
        <w:tabs>
          <w:tab w:pos="567" w:val="left"/>
        </w:tabs>
        <w:ind w:left="567" w:hanging="567"/>
      </w:pPr>
      <w:r>
        <w:t>19.</w:t>
      </w:r>
      <w:r>
        <w:tab/>
      </w:r>
      <w:r>
        <w:t>in der Telekommunikations-Kundenschutzverordnung und</w:t>
      </w:r>
    </w:p>
    <w:p>
      <w:pPr>
        <w:tabs>
          <w:tab w:pos="567" w:val="left"/>
        </w:tabs>
        <w:ind w:left="567" w:hanging="567"/>
      </w:pPr>
      <w:r>
        <w:t>20.</w:t>
      </w:r>
      <w:r>
        <w:tab/>
      </w:r>
      <w:r>
        <w:t>in der Verordnung über die Allgemeinen Beförderungsbedingungen für den Straßenbahn- und Obusverkehr sowie für den Linienverkehr mit Kraftfahrzeugen</w:t>
      </w:r>
    </w:p>
    <w:p>
      <w:r>
        <w:t xml:space="preserve">ist § 6 entsprechend anzuwenden, soweit nicht ein anderes bestimmt ist. </w:t>
      </w:r>
      <w:r>
        <w:rPr>
          <w:rStyle w:val="Satznummer"/>
        </w:rPr>
        <w:t>2</w:t>
      </w:r>
      <w:r>
        <w:t>An die Stelle des 1. Januar 2002 tritt der 15. Dezember 2004, an die Stelle des 31. Dezember 2001 der 14. Dezember 2004.</w:t>
      </w:r>
    </w:p>
    <w:p>
      <w:r>
        <w:t xml:space="preserve">(2) </w:t>
      </w:r>
      <w:r>
        <w:rPr>
          <w:rStyle w:val="Satznummer"/>
        </w:rPr>
        <w:t>1</w:t>
      </w:r>
      <w:r>
        <w:t xml:space="preserve">Noch nicht verjährte Ansprüche, deren Verjährung sich nach Maßgabe des bis zum 14. Dezember 2004 geltenden Rechts nach den Regelungen über die regelmäßige Verjährung nach dem Bürgerlichen Gesetzbuch bestimmt hat und für die durch das Gesetz zur Anpassung von Verjährungsvorschriften an das Gesetz zur Modernisierung des Schuldrechts längere Verjährungsfristen bestimmt werden, verjähren nach den durch dieses Gesetz eingeführten Vorschriften. </w:t>
      </w:r>
      <w:r>
        <w:rPr>
          <w:rStyle w:val="Satznummer"/>
        </w:rPr>
        <w:t>2</w:t>
      </w:r>
      <w:r>
        <w:t>Der Zeitraum, der vor dem 15. Dezember 2004 abgelaufen ist, wird in die Verjährungsfrist eingerechnet.</w:t>
      </w:r>
    </w:p>
    <w:p>
      <w:pPr>
        <w:pStyle w:val="Heading3"/>
      </w:pPr>
      <w:bookmarkStart w:id="246" w:name="b245"/>
      <w:r>
        <w:t>Art 229 § 13</w:t>
      </w:r>
      <w:r>
        <w:t xml:space="preserve"> </w:t>
      </w:r>
      <w:r>
        <w:rPr>
          <w:rStyle w:val="Suchmarke"/>
        </w:rPr>
        <w:t>#229-13.#</w:t>
      </w:r>
      <w:bookmarkEnd w:id="246"/>
    </w:p>
    <w:p>
      <w:r>
        <w:t>(weggefallen)</w:t>
      </w:r>
    </w:p>
    <w:p>
      <w:pPr>
        <w:pStyle w:val="Heading3"/>
      </w:pPr>
      <w:bookmarkStart w:id="247" w:name="b246"/>
      <w:r>
        <w:t>Art 229 § 14 Übergangsvorschrift zum Zweiten Betreuungsrechtsänderungsgesetz vom 21. April 2005</w:t>
      </w:r>
      <w:r>
        <w:t xml:space="preserve"> </w:t>
      </w:r>
      <w:r>
        <w:rPr>
          <w:rStyle w:val="Suchmarke"/>
        </w:rPr>
        <w:t>#229-14.#</w:t>
      </w:r>
      <w:bookmarkEnd w:id="247"/>
    </w:p>
    <w:p>
      <w:r>
        <w:t>Die Vergütungs- und Aufwendungsersatzansprüche von Vormündern, Betreuern und Pflegern, die vor dem 1. Juli 2005 entstanden sind, richten sich nach den bis zum Inkrafttreten des Zweiten Betreuungsrechtsänderungsgesetzes vom 21. April 2005 (BGBl. I S. 1073) geltenden Vorschriften.</w:t>
      </w:r>
    </w:p>
    <w:p>
      <w:pPr>
        <w:pStyle w:val="Heading3"/>
      </w:pPr>
      <w:bookmarkStart w:id="248" w:name="b247"/>
      <w:r>
        <w:t>Art 229 § 15 Übergangsvorschrift zum Minderjährigenhaftungsbeschränkungsgesetz</w:t>
      </w:r>
      <w:r>
        <w:t xml:space="preserve"> </w:t>
      </w:r>
      <w:r>
        <w:rPr>
          <w:rStyle w:val="Suchmarke"/>
        </w:rPr>
        <w:t>#229-15.#</w:t>
      </w:r>
      <w:bookmarkEnd w:id="248"/>
    </w:p>
    <w:p>
      <w:r>
        <w:t>Soweit der volljährig Gewordene Verbindlichkeiten vor dem Inkrafttreten des Minderjährigenhaftungsbeschränkungsgesetzes vom 25. August 1998 (BGBl. I S. 2487) am 1. Januar 1999 erfüllt hat oder diese im Wege der Zwangsvollstreckung befriedigt worden sind, sind Ansprüche aus ungerechtfertigter Bereicherung ausgeschlossen.</w:t>
      </w:r>
    </w:p>
    <w:p>
      <w:pPr>
        <w:pStyle w:val="Heading3"/>
      </w:pPr>
      <w:bookmarkStart w:id="249" w:name="b248"/>
      <w:r>
        <w:t>Art 229 § 16 (weggefallen)</w:t>
      </w:r>
      <w:r>
        <w:t xml:space="preserve"> </w:t>
      </w:r>
      <w:r>
        <w:rPr>
          <w:rStyle w:val="Suchmarke"/>
        </w:rPr>
        <w:t>#229-16.#</w:t>
      </w:r>
      <w:bookmarkEnd w:id="249"/>
    </w:p>
    <w:p>
      <w:pPr>
        <w:pStyle w:val="Heading3"/>
      </w:pPr>
      <w:bookmarkStart w:id="250" w:name="b249"/>
      <w:r>
        <w:t>Art 229 § 17 Übergangsvorschrift zum Gesetz zur Klärung der Vaterschaft unabhängig vom Anfechtungsverfahren</w:t>
      </w:r>
      <w:r>
        <w:t xml:space="preserve"> </w:t>
      </w:r>
      <w:r>
        <w:rPr>
          <w:rStyle w:val="Suchmarke"/>
        </w:rPr>
        <w:t>#229-17.#</w:t>
      </w:r>
      <w:bookmarkEnd w:id="250"/>
    </w:p>
    <w:p>
      <w:r>
        <w:t>Ist eine Klage auf Anfechtung der Vaterschaft wegen Fristablaufs rechtskräftig abgewiesen worden, so ist eine Restitutionsklage nach § 641i der Zivilprozessordnung auch dann nicht statthaft, wenn ein nach § 1598a des Bürgerlichen Gesetzbuchs in der Fassung des Gesetzes zur Klärung der Vaterschaft unabhängig vom Anfechtungsverfahren vom 26. März 2008 (BGBl. I S. 441) eingeholtes Abstammungsgutachten die Abstammung widerlegt.</w:t>
      </w:r>
    </w:p>
    <w:p>
      <w:pPr>
        <w:pStyle w:val="Heading3"/>
      </w:pPr>
      <w:bookmarkStart w:id="251" w:name="b250"/>
      <w:r>
        <w:t>Art 229 § 18 Übergangsvorschrift zum Risikobegrenzungsgesetz</w:t>
      </w:r>
      <w:r>
        <w:t xml:space="preserve"> </w:t>
      </w:r>
      <w:r>
        <w:rPr>
          <w:rStyle w:val="Suchmarke"/>
        </w:rPr>
        <w:t>#229-18.#</w:t>
      </w:r>
      <w:bookmarkEnd w:id="251"/>
    </w:p>
    <w:p>
      <w:r>
        <w:t xml:space="preserve">(1) </w:t>
      </w:r>
      <w:r>
        <w:rPr>
          <w:rStyle w:val="Satznummer"/>
        </w:rPr>
        <w:t>1</w:t>
      </w:r>
      <w:r>
        <w:t xml:space="preserve">§ 498 des Bürgerlichen Gesetzbuchs ist in seiner seit dem 19. August 2008 geltenden Fassung nur auf Verträge anzuwenden, die nach dem 18. August 2008 geschlossen werden. </w:t>
      </w:r>
      <w:r>
        <w:rPr>
          <w:rStyle w:val="Satznummer"/>
        </w:rPr>
        <w:t>2</w:t>
      </w:r>
      <w:r>
        <w:t>Zudem ist § 498 des Bürgerlichen Gesetzbuchs in seiner seit dem 19. August 2008 geltenden Fassung auf bestehende Vertragsverhältnisse anzuwenden, die nach dem 18. August 2008 vom Darlehensgeber übertragen werden.</w:t>
      </w:r>
    </w:p>
    <w:p>
      <w:r>
        <w:t>(2) § 1192 Abs. 1a des Bürgerlichen Gesetzbuchs findet nur Anwendung, sofern der Erwerb der Grundschuld nach dem 19. August 2008 erfolgt ist.</w:t>
      </w:r>
    </w:p>
    <w:p>
      <w:r>
        <w:t>(3) § 1193 Abs. 2 des Bürgerlichen Gesetzbuchs in der seit dem 19. August 2008 geltenden Fassung ist nur auf Grundschulden anzuwenden, die nach dem 19. August 2008 bestellt werden.</w:t>
      </w:r>
    </w:p>
    <w:p>
      <w:pPr>
        <w:pStyle w:val="Heading3"/>
      </w:pPr>
      <w:bookmarkStart w:id="252" w:name="b251"/>
      <w:r>
        <w:t>Art 229 § 19 Überleitungsvorschrift zum Forderungssicherungsgesetz</w:t>
      </w:r>
      <w:r>
        <w:t xml:space="preserve"> </w:t>
      </w:r>
      <w:r>
        <w:rPr>
          <w:rStyle w:val="Suchmarke"/>
        </w:rPr>
        <w:t>#229-19.#</w:t>
      </w:r>
      <w:bookmarkEnd w:id="252"/>
    </w:p>
    <w:p>
      <w:r>
        <w:t>(1) Die Vorschriften der §§ 204, 632a, 641, 648a und 649 des Bürgerlichen Gesetzbuchs in der seit dem 1. Januar 2009 geltenden Fassung sind nur auf Schuldverhältnisse anzuwenden, die nach diesem Tag entstanden sind.</w:t>
      </w:r>
    </w:p>
    <w:p>
      <w:r>
        <w:t>(2) § 641a des Bürgerlichen Gesetzbuchs ist auf Schuldverhältnisse, die vor dem 1. Januar 2009 entstanden sind, in der bis zu diesem Zeitpunkt geltenden Fassung anzuwenden.</w:t>
      </w:r>
    </w:p>
    <w:p>
      <w:pPr>
        <w:pStyle w:val="Heading3"/>
      </w:pPr>
      <w:bookmarkStart w:id="253" w:name="b252"/>
      <w:r>
        <w:t>Art 229 § 20 Übergangsvorschrift zum Gesetz zur Änderung des Zugewinnausgleichs- und Vormundschaftsrechts vom 6. Juli 2009</w:t>
      </w:r>
      <w:r>
        <w:t xml:space="preserve"> </w:t>
      </w:r>
      <w:r>
        <w:rPr>
          <w:rStyle w:val="Suchmarke"/>
        </w:rPr>
        <w:t>#229-20.#</w:t>
      </w:r>
      <w:bookmarkEnd w:id="253"/>
    </w:p>
    <w:p>
      <w:r>
        <w:t>(1) Bei der Behandlung von Haushaltsgegenständen aus Anlass der Scheidung ist auf Haushaltsgegenstände, die vor dem 1. September 2009 angeschafft worden sind, § 1370 des Bürgerlichen Gesetzbuchs in der bis zu diesem Tag geltenden Fassung anzuwenden.</w:t>
      </w:r>
    </w:p>
    <w:p>
      <w:r>
        <w:t>(2) Für Verfahren über den Ausgleich des Zugewinns, die vor dem 1. September 2009 anhängig werden, ist für den Zugewinnausgleich § 1374 des Bürgerlichen Gesetzbuchs in der bis zu diesem Tag geltenden Fassung anzuwenden.</w:t>
      </w:r>
    </w:p>
    <w:p>
      <w:r>
        <w:t>(3) § 1813 Absatz 1 Nummer 3 des Bürgerlichen Gesetzbuchs in der Fassung vom 1. September 2009 gilt auch für vor dem 1. September 2009 anhängige Vormundschaften (§ 1773 des Bürgerlichen Gesetzbuchs), Pflegschaften (§ 1915 Absatz 1 des Bürgerlichen Gesetzbuchs) und Betreuungen (§ 1908i Absatz 1 Satz 1 des Bürgerlichen Gesetzbuchs).</w:t>
      </w:r>
    </w:p>
    <w:p>
      <w:pPr>
        <w:pStyle w:val="Heading3"/>
      </w:pPr>
      <w:bookmarkStart w:id="254" w:name="b253"/>
      <w:r>
        <w:t>Art 229 § 21 Übergangsvorschriften für die Gesellschaft bürgerlichen Rechts im Grundbuchverfahren und im Schiffsregisterverfahren</w:t>
      </w:r>
      <w:r>
        <w:t xml:space="preserve"> </w:t>
      </w:r>
      <w:r>
        <w:rPr>
          <w:rStyle w:val="Suchmarke"/>
        </w:rPr>
        <w:t>#229-21.#</w:t>
      </w:r>
      <w:bookmarkEnd w:id="254"/>
    </w:p>
    <w:p>
      <w:r>
        <w:t>(1) Eintragungen in das Grundbuch, die ein Recht einer Gesellschaft bürgerlichen Rechts betreffen, sollen nicht erfolgen, solange die Gesellschaft nicht im Gesellschaftsregister eingetragen und daraufhin nach den durch das Personengesellschaftsrechtsmodernisierungsgesetz vom 10. August 2021 (BGBl. I S. 3436) geänderten Vorschriften im Grundbuch eingetragen ist.</w:t>
      </w:r>
    </w:p>
    <w:p>
      <w:r>
        <w:t xml:space="preserve">(2) </w:t>
      </w:r>
      <w:r>
        <w:rPr>
          <w:rStyle w:val="Satznummer"/>
        </w:rPr>
        <w:t>1</w:t>
      </w:r>
      <w:r>
        <w:t xml:space="preserve">Ist die Eintragung eines Gesellschafters gemäß § 47 Absatz 2 Satz 1 der Grundbuchordnung in der vor dem 1. Januar 2024 geltenden Fassung oder die Eintragung eines Gesellschafters, die vor dem Zeitpunkt des Inkrafttretens gemäß Artikel 5 Absatz 2 des Gesetzes zur Einführung des elektronischen Rechtsverkehrs und der elektronischen Akte im Grundbuchverfahren sowie zur Änderung weiterer grundbuch-, register- und kostenrechtlicher Vorschriften vom 11. August 2009 (BGBl. I S. 2713) am 18. August 2009 erfolgt ist, unrichtig geworden, findet eine Berichtigung nicht statt. </w:t>
      </w:r>
      <w:r>
        <w:rPr>
          <w:rStyle w:val="Satznummer"/>
        </w:rPr>
        <w:t>2</w:t>
      </w:r>
      <w:r>
        <w:t>In diesem Fall gilt § 82 der Grundbuchordnung hinsichtlich der Eintragung der Gesellschaft nach den durch das Personengesellschaftsrechtsmodernisierungsgesetz geänderten Vorschriften im Grundbuch entsprechend.</w:t>
      </w:r>
    </w:p>
    <w:p>
      <w:r>
        <w:t xml:space="preserve">(3) </w:t>
      </w:r>
      <w:r>
        <w:rPr>
          <w:rStyle w:val="Satznummer"/>
        </w:rPr>
        <w:t>1</w:t>
      </w:r>
      <w:r>
        <w:t xml:space="preserve">Für die Eintragung der Gesellschaft in den Fällen der Absätze 1 und 2 gelten die Vorschriften des Zweiten Abschnitts der Grundbuchordnung entsprechend. </w:t>
      </w:r>
      <w:r>
        <w:rPr>
          <w:rStyle w:val="Satznummer"/>
        </w:rPr>
        <w:t>2</w:t>
      </w:r>
      <w:r>
        <w:t xml:space="preserve">Es bedarf der Bewilligung der Gesellschafter, die nach § 47 Absatz 2 Satz 1 der Grundbuchordnung in der vor dem 1. Januar 2024 geltenden Fassung im Grundbuch eingetragen sind; die Zustimmung der einzutragenden Gesellschaft in den Fällen des § 22 Absatz 2 der Grundbuchordnung bleibt unberührt. </w:t>
      </w:r>
      <w:r>
        <w:rPr>
          <w:rStyle w:val="Satznummer"/>
        </w:rPr>
        <w:t>3</w:t>
      </w:r>
      <w:r>
        <w:t>Dies gilt auch, wenn die Eintragung vor dem Zeitpunkt des Inkrafttretens gemäß Artikel 5 Absatz 2 des Gesetzes zur Einführung des elektronischen Rechtsverkehrs und der elektronischen Akte im Grundbuchverfahren sowie zur Änderung weiterer grundbuch-, register- und kostenrechtlicher Vorschriften vom 11. August 2009 (BGBl. I S. 2713) am 18. August 2009 erfolgt ist.</w:t>
      </w:r>
    </w:p>
    <w:p>
      <w:r>
        <w:t xml:space="preserve">(4) </w:t>
      </w:r>
      <w:r>
        <w:rPr>
          <w:rStyle w:val="Satznummer"/>
        </w:rPr>
        <w:t>1</w:t>
      </w:r>
      <w:r>
        <w:t xml:space="preserve">§ 899a des Bürgerlichen Gesetzbuchs und § 47 Absatz 2 der Grundbuchordnung in der vor dem 1. Januar 2024 geltenden Fassung sind auf Eintragungen anzuwenden, wenn vor diesem Zeitpunkt die Einigung oder Bewilligung erklärt und der Antrag auf Eintragung beim Grundbuchamt gestellt wurde. </w:t>
      </w:r>
      <w:r>
        <w:rPr>
          <w:rStyle w:val="Satznummer"/>
        </w:rPr>
        <w:t>2</w:t>
      </w:r>
      <w:r>
        <w:t>Wurde vor dem in Satz 1 genannten Zeitpunkt eine Vormerkung eingetragen oder die Eintragung einer Vormerkung vor diesem Zeitpunkt bewilligt und beantragt, sind § 899a des Bürgerlichen Gesetzbuchs und § 47 Absatz 2 der Grundbuchordnung in der vor diesem Zeitpunkt geltenden Fassung auch auf die Eintragung der Rechtsänderung, die Gegenstand des durch die Vormerkung gesicherten Anspruchs ist, anzuwenden.</w:t>
      </w:r>
    </w:p>
    <w:p>
      <w:r>
        <w:t>(5) § 51 der Schiffsregisterordnung in der bis einschließlich 1. Januar 2024 geltenden Fassung ist auf Eintragungen anzuwenden, wenn vor diesem Zeitpunkt die Einigung oder Bewilligung erklärt wurde und die Anmeldung zur Eintragung beim Schiffsregister erfolgte.</w:t>
      </w:r>
    </w:p>
    <w:p>
      <w:pPr>
        <w:pStyle w:val="Heading3"/>
      </w:pPr>
      <w:bookmarkStart w:id="255" w:name="b254"/>
      <w:r>
        <w:t>Art 229 § 22 Übergangsvorschrift zum Gesetz zur Umsetzung der Verbraucherkreditrichtlinie, des zivilrechtlichen Teils der Zahlungsdiensterichtlinie sowie zur Neuordnung der Vorschriften über das Widerrufs- und Rückgaberecht vom 29. Juli 2009</w:t>
      </w:r>
      <w:r>
        <w:t xml:space="preserve"> </w:t>
      </w:r>
      <w:r>
        <w:rPr>
          <w:rStyle w:val="Suchmarke"/>
        </w:rPr>
        <w:t>#229-22.#</w:t>
      </w:r>
      <w:bookmarkEnd w:id="255"/>
    </w:p>
    <w:p>
      <w:r>
        <w:t xml:space="preserve">(1) </w:t>
      </w:r>
      <w:r>
        <w:rPr>
          <w:rStyle w:val="Satznummer"/>
        </w:rPr>
        <w:t>1</w:t>
      </w:r>
      <w:r>
        <w:t xml:space="preserve">Auf Schuldverhältnisse, die die Ausführung von Zahlungsvorgängen zum Gegenstand haben und die vor dem 31. Oktober 2009 entstanden sind, ist </w:t>
      </w:r>
      <w:hyperlink w:anchor="b454" w:history="1">
        <w:r>
          <w:rPr>
            <w:color w:val="0A3A8C"/>
            <w:u w:val="single"/>
          </w:rPr>
          <w:t xml:space="preserve">Artikel 248 §§ 4</w:t>
        </w:r>
      </w:hyperlink>
      <w:r>
        <w:t xml:space="preserve"> und </w:t>
      </w:r>
      <w:hyperlink w:anchor="b464" w:history="1">
        <w:r>
          <w:rPr>
            <w:color w:val="0A3A8C"/>
            <w:u w:val="single"/>
          </w:rPr>
          <w:t xml:space="preserve">13</w:t>
        </w:r>
      </w:hyperlink>
      <w:r>
        <w:t xml:space="preserve"> nicht anzuwenden. </w:t>
      </w:r>
      <w:r>
        <w:rPr>
          <w:rStyle w:val="Satznummer"/>
        </w:rPr>
        <w:t>2</w:t>
      </w:r>
      <w:r>
        <w:t>Ist mit der Abwicklung eines Zahlungsvorgangs vor dem 31. Oktober 2009 begonnen worden, sind das Bürgerliche Gesetzbuch und die BGB-Informationspflichten-Verordnung jeweils in der bis dahin geltenden Fassung anzuwenden.</w:t>
      </w:r>
    </w:p>
    <w:p>
      <w:r>
        <w:t>(2) Soweit andere als die in Absatz 1 geregelten Schuldverhältnisse vor dem 11. Juni 2010 entstanden sind, sind auf sie das Bürgerliche Gesetzbuch und die BGB-Informationspflichten-Verordnung jeweils in der bis dahin geltenden Fassung anzuwenden.</w:t>
      </w:r>
    </w:p>
    <w:p>
      <w:r>
        <w:t>(3) Abweichend von Absatz 2 sind § 492 Abs. 5, § 493 Abs. 3, die §§ 499, 500 Abs. 1 sowie § 504 Abs. 1 und § 505 Abs. 2 des Bürgerlichen Gesetzbuchs auf unbefristete Schuldverhältnisse anzuwenden, die vor dem 11. Juni 2010 entstanden sind; § 505 Abs. 1 ist auf solche Schuldverhältnisse in Ansehung der Mitteilungen nach Vertragsschluss anzuwenden.</w:t>
      </w:r>
    </w:p>
    <w:p>
      <w:pPr>
        <w:pStyle w:val="Heading3"/>
      </w:pPr>
      <w:bookmarkStart w:id="256" w:name="b255"/>
      <w:r>
        <w:t>Art 229 § 23 Überleitungsvorschrift zum Gesetz zur Änderung des Erb- und Verjährungsrechts</w:t>
      </w:r>
      <w:r>
        <w:t xml:space="preserve"> </w:t>
      </w:r>
      <w:r>
        <w:rPr>
          <w:rStyle w:val="Suchmarke"/>
        </w:rPr>
        <w:t>#229-23.#</w:t>
      </w:r>
      <w:bookmarkEnd w:id="256"/>
    </w:p>
    <w:p>
      <w:r>
        <w:t xml:space="preserve">(1) </w:t>
      </w:r>
      <w:r>
        <w:rPr>
          <w:rStyle w:val="Satznummer"/>
        </w:rPr>
        <w:t>1</w:t>
      </w:r>
      <w:r>
        <w:t xml:space="preserve">Die Vorschriften des Bürgerlichen Gesetzbuchs über die Verjährung in der seit dem 1. Januar 2010 geltenden Fassung sind auf die an diesem Tag bestehenden und nicht verjährten Ansprüche anzuwenden. </w:t>
      </w:r>
      <w:r>
        <w:rPr>
          <w:rStyle w:val="Satznummer"/>
        </w:rPr>
        <w:t>2</w:t>
      </w:r>
      <w:r>
        <w:t>Der Beginn der Verjährung und die Verjährungsfrist bestimmen sich nach den Vorschriften des Bürgerlichen Gesetzbuchs in der vor dem 1. Januar 2010 geltenden Fassung, wenn bei Anwendung dieser Vorschriften die Verjährung früher vollendet wird als bei Anwendung der entsprechenden Vorschriften nach Satz 1.</w:t>
      </w:r>
    </w:p>
    <w:p>
      <w:r>
        <w:t xml:space="preserve">(2) </w:t>
      </w:r>
      <w:r>
        <w:rPr>
          <w:rStyle w:val="Satznummer"/>
        </w:rPr>
        <w:t>1</w:t>
      </w:r>
      <w:r>
        <w:t xml:space="preserve">Bestimmen sich der Beginn und die Verjährungsfrist nach den Vorschriften des Bürgerlichen Gesetzbuchs in der seit dem 1. Januar 2010 geltenden Fassung, beginnt die Frist nicht vor dem 1. Januar 2010. </w:t>
      </w:r>
      <w:r>
        <w:rPr>
          <w:rStyle w:val="Satznummer"/>
        </w:rPr>
        <w:t>2</w:t>
      </w:r>
      <w:r>
        <w:t>Läuft die nach den Vorschriften des Bürgerlichen Gesetzbuchs in der vor dem 1. Januar 2010 geltenden Fassung bestimmte Verjährungsfrist früher ab als die Verjährungsfrist nach dem Bürgerlichen Gesetzbuch in der seit dem 1. Januar 2010 geltenden Fassung, ist die Verjährung mit Ablauf der Frist nach den vor dem 1. Januar 2010 geltenden Vorschriften vollendet.</w:t>
      </w:r>
    </w:p>
    <w:p>
      <w:r>
        <w:t>(3) Die Hemmung der Verjährung bestimmt sich für den Zeitraum vor dem 1. Januar 2010 nach den Vorschriften des Bürgerlichen Gesetzbuchs in der bis zu diesem Tag geltenden Fassung.</w:t>
      </w:r>
    </w:p>
    <w:p>
      <w:r>
        <w:t xml:space="preserve">(4) </w:t>
      </w:r>
      <w:r>
        <w:rPr>
          <w:rStyle w:val="Satznummer"/>
        </w:rPr>
        <w:t>1</w:t>
      </w:r>
      <w:r>
        <w:t xml:space="preserve">Im Übrigen gelten für Erbfälle vor dem 1. Januar 2010 die Vorschriften des Bürgerlichen Gesetzbuchs in der vor dem 1. Januar 2010 geltenden Fassung. </w:t>
      </w:r>
      <w:r>
        <w:rPr>
          <w:rStyle w:val="Satznummer"/>
        </w:rPr>
        <w:t>2</w:t>
      </w:r>
      <w:r>
        <w:t>Für Erbfälle seit dem 1. Januar 2010 gelten die Vorschriften des Bürgerlichen Gesetzbuchs in der seit dem 1. Januar 2010 geltenden Fassung, unabhängig davon, ob an Ereignisse aus der Zeit vor dem Inkrafttreten dieser Vorschriften angeknüpft wird.</w:t>
      </w:r>
    </w:p>
    <w:p>
      <w:pPr>
        <w:pStyle w:val="Heading3"/>
      </w:pPr>
      <w:bookmarkStart w:id="257" w:name="b256"/>
      <w:r>
        <w:t>Art 229 § 24 Übergangsvorschrift zu dem Gesetz zur Erleichterung elektronischer Anmeldungen zum Vereinsregister und anderer vereinsrechtlicher Änderungen</w:t>
      </w:r>
      <w:r>
        <w:t xml:space="preserve"> </w:t>
      </w:r>
      <w:r>
        <w:rPr>
          <w:rStyle w:val="Suchmarke"/>
        </w:rPr>
        <w:t>#229-24.#</w:t>
      </w:r>
      <w:bookmarkEnd w:id="257"/>
    </w:p>
    <w:p>
      <w:r>
        <w:rPr>
          <w:rStyle w:val="Satznummer"/>
        </w:rPr>
        <w:t>1</w:t>
      </w:r>
      <w:r>
        <w:t xml:space="preserve">Ausländische Vereine und Stiftungen, denen vor dem 30. September 2009 die Rechtsfähigkeit im Inland verliehen wurde, bleiben rechtsfähig. </w:t>
      </w:r>
      <w:r>
        <w:rPr>
          <w:rStyle w:val="Satznummer"/>
        </w:rPr>
        <w:t>2</w:t>
      </w:r>
      <w:r>
        <w:t>Auf die Vereine sind § 33 Absatz 2 und § 44 des Bürgerlichen Gesetzbuchs in der bis zum 29. September 2009 geltenden Fassung weiter anzuwenden.</w:t>
      </w:r>
    </w:p>
    <w:p>
      <w:pPr>
        <w:pStyle w:val="Heading3"/>
      </w:pPr>
      <w:bookmarkStart w:id="258" w:name="b257"/>
      <w:r>
        <w:t>Art 229 § 25 Übergangsvorschriften zum Gesetz zur Modernisierung der Regelungen über Teilzeit-Wohnrechteverträge, Verträge über langfristige Urlaubsprodukte sowie Vermittlungsverträge und Tauschsystemverträge</w:t>
      </w:r>
      <w:r>
        <w:t xml:space="preserve"> </w:t>
      </w:r>
      <w:r>
        <w:rPr>
          <w:rStyle w:val="Suchmarke"/>
        </w:rPr>
        <w:t>#229-25.#</w:t>
      </w:r>
      <w:bookmarkEnd w:id="258"/>
    </w:p>
    <w:p>
      <w:r>
        <w:t>(1) Auf einen vor dem 23. Februar 2011 abgeschlossenen Teilzeit-Wohnrechtevertrag sind die §§ 481 bis 487 des Bürgerlichen Gesetzbuchs in der bis zu diesem Tag geltenden Fassung anzuwenden.</w:t>
      </w:r>
    </w:p>
    <w:p>
      <w:r>
        <w:t>(2) Auf einen vor dem 23. Februar 2011 abgeschlossenen Vertrag über ein langfristiges Urlaubsprodukt im Sinne von § 481a des Bürgerlichen Gesetzbuchs, auf einen Vermittlungsvertrag im Sinne von § 481b Absatz 1 des Bürgerlichen Gesetzbuchs oder einen Tauschsystemvertrag im Sinne von § 481b Absatz 2 des Bürgerlichen Gesetzbuchs sind die §§ 481 bis 487 des Bürgerlichen Gesetzbuchs nicht anzuwenden.</w:t>
      </w:r>
    </w:p>
    <w:p>
      <w:pPr>
        <w:pStyle w:val="Heading3"/>
      </w:pPr>
      <w:bookmarkStart w:id="259" w:name="b258"/>
      <w:r>
        <w:t>Art 229 § 26 Überleitungsvorschrift zum Gesetz zur Bekämpfung der Zwangsheirat und zum besseren Schutz der Opfer von Zwangsheirat sowie zur Änderung weiterer aufenthalts- und asylrechtlicher Vorschriften</w:t>
      </w:r>
      <w:r>
        <w:t xml:space="preserve"> </w:t>
      </w:r>
      <w:r>
        <w:rPr>
          <w:rStyle w:val="Suchmarke"/>
        </w:rPr>
        <w:t>#229-26.#</w:t>
      </w:r>
      <w:bookmarkEnd w:id="259"/>
    </w:p>
    <w:p>
      <w:r>
        <w:t>Die Aufhebung einer vor dem 1. Juli 2011 geschlossenen Ehe ist ausgeschlossen, wenn die Ehe nach dem bis dahin geltenden Recht zu diesem Zeitpunkt nicht mehr hätte aufgehoben werden können.</w:t>
      </w:r>
    </w:p>
    <w:p>
      <w:pPr>
        <w:pStyle w:val="Heading3"/>
      </w:pPr>
      <w:bookmarkStart w:id="260" w:name="b259"/>
      <w:r>
        <w:t>Art 229 § 27 Übergangsvorschrift zum Gesetz zur Anpassung der Vorschriften über den Wertersatz bei Widerruf von Fernabsatzverträgen und über verbundene Verträge vom 27. Juli 2011</w:t>
      </w:r>
      <w:r>
        <w:t xml:space="preserve"> </w:t>
      </w:r>
      <w:r>
        <w:rPr>
          <w:rStyle w:val="Suchmarke"/>
        </w:rPr>
        <w:t>#229-27.#</w:t>
      </w:r>
      <w:bookmarkEnd w:id="260"/>
    </w:p>
    <w:p>
      <w:r>
        <w:t>Sowohl Artikel 246 § 2 Absatz 3 Satz 1 als auch § 360 Absatz 3 des Bürgerlichen Gesetzbuchs sind bis zum Ablauf des 4. November 2011 auch im Fall der Übermittlung der Widerrufs- und der Rückgabebelehrungen nach den Mustern gemäß den Anlagen 1 und 2 in der Fassung des Gesetzes zur Umsetzung der Verbraucherkreditrichtlinie, des zivilrechtlichen Teils der Zahlungsdiensterichtlinie sowie zur Neuordnung der Vorschriften über das Widerrufs- und Rückgaberecht vom 29. Juni 2009 (BGBl. I S. 2355) anzuwenden.</w:t>
      </w:r>
    </w:p>
    <w:p>
      <w:pPr>
        <w:pStyle w:val="Heading3"/>
      </w:pPr>
      <w:bookmarkStart w:id="261" w:name="b260"/>
      <w:r>
        <w:t>Art 229 § 28 Übergangsvorschrift zum Gesetz zur Anpassung der Vorschriften des Internationalen Privatrechts an die Verordnung (EU) Nr. 1259/2010 und zur Änderung anderer Vorschriften des Internationalen Privatrechts vom 23. Januar 2013</w:t>
      </w:r>
      <w:r>
        <w:t xml:space="preserve"> </w:t>
      </w:r>
      <w:r>
        <w:rPr>
          <w:rStyle w:val="Suchmarke"/>
        </w:rPr>
        <w:t>#229-28.#</w:t>
      </w:r>
      <w:bookmarkEnd w:id="261"/>
    </w:p>
    <w:p>
      <w:r>
        <w:t>(1) Artikel 17 Absatz 1 in der am 29. Januar 2013 geltenden Fassung ist anzuwenden, wenn das Verfahren auf Ehescheidung nach dem 28. Januar 2013 eingeleitet worden ist.</w:t>
      </w:r>
    </w:p>
    <w:p>
      <w:r>
        <w:t>(2) Artikel 17 Absatz 3 und Artikel 17b Absatz 1 Satz 4 in der am 28. Januar 2013 geltenden Fassung sind weiter anzuwenden, wenn das Verfahren auf Ehescheidung oder Aufhebung der Lebenspartnerschaft vor dem 29. Januar 2013 eingeleitet worden ist.</w:t>
      </w:r>
    </w:p>
    <w:p>
      <w:pPr>
        <w:pStyle w:val="Heading3"/>
      </w:pPr>
      <w:bookmarkStart w:id="262" w:name="b261"/>
      <w:r>
        <w:t>Art 229 § 29 Übergangsvorschriften zum Mietrechtsänderungsgesetz vom 11. März 2013</w:t>
      </w:r>
      <w:r>
        <w:t xml:space="preserve"> </w:t>
      </w:r>
      <w:r>
        <w:rPr>
          <w:rStyle w:val="Suchmarke"/>
        </w:rPr>
        <w:t>#229-29.#</w:t>
      </w:r>
      <w:bookmarkEnd w:id="262"/>
    </w:p>
    <w:p>
      <w:r>
        <w:t>(1) Auf ein bis zum 1. Mai 2013 entstandenes Mietverhältnis sind die §§ 536, 554, 559 bis 559b, 578 des Bürgerlichen Gesetzbuchs in der bis zum 1. Mai 2013 geltenden Fassung weiter anzuwenden, wenn</w:t>
      </w:r>
    </w:p>
    <w:p>
      <w:pPr>
        <w:tabs>
          <w:tab w:pos="567" w:val="left"/>
        </w:tabs>
        <w:ind w:left="567" w:hanging="567"/>
      </w:pPr>
      <w:r>
        <w:t>1.</w:t>
      </w:r>
      <w:r>
        <w:tab/>
      </w:r>
      <w:r>
        <w:t>bei Modernisierungsmaßnahmen die Mitteilung nach § 554 Absatz 3 Satz 1 des Bürgerlichen Gesetzbuchs dem Mieter vor dem 1. Mai 2013 zugegangen ist oder</w:t>
      </w:r>
    </w:p>
    <w:p>
      <w:pPr>
        <w:tabs>
          <w:tab w:pos="567" w:val="left"/>
        </w:tabs>
        <w:ind w:left="567" w:hanging="567"/>
      </w:pPr>
      <w:r>
        <w:t>2.</w:t>
      </w:r>
      <w:r>
        <w:tab/>
      </w:r>
      <w:r>
        <w:t>bei Modernisierungsmaßnahmen, auf die § 554 Absatz 3 Satz 3 des Bürgerlichen Gesetzbuchs in der bis zum 1. Mai 2013 geltenden Fassung anzuwenden ist, der Vermieter mit der Ausführung der Maßnahme vor dem 1. Mai 2013 begonnen hat.</w:t>
      </w:r>
    </w:p>
    <w:p>
      <w:r>
        <w:t>(2) § 569 Absatz 2a des Bürgerlichen Gesetzbuchs ist auf ein vor dem 1. Mai 2013 entstandenes Mietverhältnis nicht anzuwenden.</w:t>
      </w:r>
    </w:p>
    <w:p>
      <w:pPr>
        <w:pStyle w:val="Heading3"/>
      </w:pPr>
      <w:bookmarkStart w:id="263" w:name="b262"/>
      <w:r>
        <w:t>Art 229 § 30 Überleitungsvorschrift zum Gesetz zur Reform der elterlichen Sorge nicht miteinander verheirateter Eltern</w:t>
      </w:r>
      <w:r>
        <w:t xml:space="preserve"> </w:t>
      </w:r>
      <w:r>
        <w:rPr>
          <w:rStyle w:val="Suchmarke"/>
        </w:rPr>
        <w:t>#229-30.#</w:t>
      </w:r>
      <w:bookmarkEnd w:id="263"/>
    </w:p>
    <w:p>
      <w:r>
        <w:t>Hat ein Elternteil vor dem 19. Mai 2013 beim Familiengericht einen Antrag auf Ersetzung der Sorgeerklärung des anderen Elternteils gestellt, gilt dieser Antrag als ein Antrag auf Übertragung der elterlichen Sorge nach § 1626a Absatz 2 des Bürgerlichen Gesetzbuchs.</w:t>
      </w:r>
    </w:p>
    <w:p>
      <w:pPr>
        <w:pStyle w:val="Heading3"/>
      </w:pPr>
      <w:bookmarkStart w:id="264" w:name="b263"/>
      <w:r>
        <w:t>Art 229 § 31 Überleitungsvorschrift zur Änderung der Verjährungsvorschriften des Bürgerlichen Gesetzbuchs durch das Gesetz zur Stärkung der Rechte von Opfern sexuellen Missbrauchs</w:t>
      </w:r>
      <w:r>
        <w:t xml:space="preserve"> </w:t>
      </w:r>
      <w:r>
        <w:rPr>
          <w:rStyle w:val="Suchmarke"/>
        </w:rPr>
        <w:t>#229-31.#</w:t>
      </w:r>
      <w:bookmarkEnd w:id="264"/>
    </w:p>
    <w:p>
      <w:r>
        <w:t>Die Vorschriften des Bürgerlichen Gesetzbuchs in der seit dem 30. Juni 2013 geltenden Fassung über die Verjährung sind auf die an diesem Tag bestehenden und noch nicht verjährten Ansprüche anzuwenden.</w:t>
      </w:r>
    </w:p>
    <w:p>
      <w:pPr>
        <w:pStyle w:val="Heading3"/>
      </w:pPr>
      <w:bookmarkStart w:id="265" w:name="b264"/>
      <w:r>
        <w:t>Art 229 § 32 Übergangsvorschrift zum Gesetz zur Umsetzung der Verbraucherrechterichtlinie und zur Änderung des Gesetzes zur Regelung der Wohnungsvermittlung</w:t>
      </w:r>
      <w:r>
        <w:t xml:space="preserve"> </w:t>
      </w:r>
      <w:r>
        <w:rPr>
          <w:rStyle w:val="Suchmarke"/>
        </w:rPr>
        <w:t>#229-32.#</w:t>
      </w:r>
      <w:bookmarkEnd w:id="265"/>
    </w:p>
    <w:p>
      <w:r>
        <w:t>(1) Auf einen vor dem 13. Juni 2014 abgeschlossenen Verbrauchervertrag sind die Vorschriften dieses Gesetzes, des Bürgerlichen Gesetzbuchs, des Fernunterrichtsschutzgesetzes, der Zivilprozessordnung, des Gesetzes zur Regelung der Wohnungsvermittlung, des Gesetzes gegen unlauteren Wettbewerb, des Vermögensanlagengesetzes, der Wertpapierdienstleistungs-Verhaltens- und Organisationsverordnung, des Wertpapierprospektgesetzes, der Preisangabenverordnung, des Kapitalanlagegesetzbuchs, des Versicherungsvertragsgesetzes und des Unterlassungsklagengesetzes in der bis zu diesem Tag geltenden Fassung anzuwenden.</w:t>
      </w:r>
    </w:p>
    <w:p>
      <w:r>
        <w:t>(2) Solange der Verbraucher bei einem Fernabsatzvertrag, der vor dem 13. Juni 2014 geschlossen wurde, nicht oder nicht entsprechend den zum Zeitpunkt des Vertragsschlusses geltenden gesetzlichen Anforderungen des Bürgerlichen Gesetzbuchs über sein Widerrufsrecht belehrt worden ist und solange das Widerrufsrecht aus diesem Grunde nicht erloschen ist, erlischt das Widerrufsrecht</w:t>
      </w:r>
    </w:p>
    <w:p>
      <w:pPr>
        <w:tabs>
          <w:tab w:pos="567" w:val="left"/>
        </w:tabs>
        <w:ind w:left="567" w:hanging="567"/>
      </w:pPr>
      <w:r>
        <w:t>1.</w:t>
      </w:r>
      <w:r>
        <w:tab/>
      </w:r>
      <w:r>
        <w:t>bei der Lieferung von Waren: zwölf Monate und 14 Tage nach Eingang der Waren beim Empfänger, jedoch nicht vor Ablauf des 27. Juni 2015,</w:t>
      </w:r>
    </w:p>
    <w:p>
      <w:pPr>
        <w:tabs>
          <w:tab w:pos="567" w:val="left"/>
        </w:tabs>
        <w:ind w:left="567" w:hanging="567"/>
      </w:pPr>
      <w:r>
        <w:t>2.</w:t>
      </w:r>
      <w:r>
        <w:tab/>
      </w:r>
      <w:r>
        <w:t>bei der wiederkehrenden Lieferung gleichartiger Waren: zwölf Monate und 14 Tage nach Eingang der ersten Teillieferung, jedoch nicht vor Ablauf des 27. Juni 2015,</w:t>
      </w:r>
    </w:p>
    <w:p>
      <w:pPr>
        <w:tabs>
          <w:tab w:pos="567" w:val="left"/>
        </w:tabs>
        <w:ind w:left="567" w:hanging="567"/>
      </w:pPr>
      <w:r>
        <w:t>3.</w:t>
      </w:r>
      <w:r>
        <w:tab/>
      </w:r>
      <w:r>
        <w:t>bei Dienstleistungen: mit Ablauf des 27. Juni 2015.</w:t>
      </w:r>
    </w:p>
    <w:p>
      <w:r>
        <w:t>(3) Solange der Verbraucher bei einem Haustürgeschäft, das vor dem 13. Juni 2014 geschlossen wurde, nicht oder nicht entsprechend den zum Zeitpunkt des Vertragsschlusses geltenden Anforderungen des Bürgerlichen Gesetzbuchs über sein Widerrufsrecht belehrt worden ist und solange das Widerrufsrecht aus diesem Grunde nicht erloschen ist, erlischt das Widerrufsrecht zwölf Monate und 14 Tage nach vollständiger Erbringung der beiderseitigen Leistungen aus dem Vertrag, nicht jedoch vor Ablauf des 27. Juni 2015.</w:t>
      </w:r>
    </w:p>
    <w:p>
      <w:r>
        <w:t xml:space="preserve">(4) </w:t>
      </w:r>
      <w:r>
        <w:rPr>
          <w:rStyle w:val="Satznummer"/>
        </w:rPr>
        <w:t>1</w:t>
      </w:r>
      <w:r>
        <w:t xml:space="preserve">Die Absätze 2 und 3 sind nicht anwendbar auf Verträge über Finanzdienstleistungen. </w:t>
      </w:r>
      <w:r>
        <w:rPr>
          <w:rStyle w:val="Satznummer"/>
        </w:rPr>
        <w:t>2</w:t>
      </w:r>
      <w:r>
        <w:t>Solange der Verbraucher bei einem Haustürgeschäft, durch das der Unternehmer dem Verbraucher eine entgeltliche Finanzierungshilfe gewährt und das vor dem 11. Juni 2010 geschlossen wurde, nicht oder nicht entsprechend den zum Zeitpunkt des Vertragsschlusses geltenden Anforderungen des Bürgerlichen Gesetzbuchs über sein Widerrufsrecht belehrt worden ist und solange das Widerrufsrecht aus diesem Grunde nicht erloschen ist, erlischt das Widerrufsrecht zwölf Monate und 14 Tage nach vollständiger Erbringung der beiderseitigen Leistungen aus dem Vertrag, nicht jedoch vor Ablauf des 27. Juni 2015.</w:t>
      </w:r>
    </w:p>
    <w:p>
      <w:pPr>
        <w:pStyle w:val="Heading3"/>
      </w:pPr>
      <w:bookmarkStart w:id="266" w:name="b265"/>
      <w:r>
        <w:t>Art 229 § 33 Überleitungsvorschrift zu dem Gesetz gegen unseriöse Geschäftspraktiken</w:t>
      </w:r>
      <w:r>
        <w:t xml:space="preserve"> </w:t>
      </w:r>
      <w:r>
        <w:rPr>
          <w:rStyle w:val="Suchmarke"/>
        </w:rPr>
        <w:t>#229-33.#</w:t>
      </w:r>
      <w:bookmarkEnd w:id="266"/>
    </w:p>
    <w:p>
      <w:r>
        <w:t>Auf Schuldverhältnisse, die vor dem 9. Oktober 2013 entstanden sind, ist § 675 des Bürgerlichen Gesetzbuchs in der bis zu diesem Tag geltenden Fassung anzuwenden.</w:t>
      </w:r>
    </w:p>
    <w:p>
      <w:pPr>
        <w:pStyle w:val="Heading3"/>
      </w:pPr>
      <w:bookmarkStart w:id="267" w:name="b266"/>
      <w:r>
        <w:t>Art 229 § 34 Überleitungsvorschrift zum Gesetz zur Bekämpfung von Zahlungsverzug im Geschäftsverkehr</w:t>
      </w:r>
      <w:r>
        <w:t xml:space="preserve"> </w:t>
      </w:r>
      <w:r>
        <w:rPr>
          <w:rStyle w:val="Suchmarke"/>
        </w:rPr>
        <w:t>#229-34.#</w:t>
      </w:r>
      <w:bookmarkEnd w:id="267"/>
    </w:p>
    <w:p>
      <w:r>
        <w:rPr>
          <w:rStyle w:val="Satznummer"/>
        </w:rPr>
        <w:t>1</w:t>
      </w:r>
      <w:r>
        <w:t xml:space="preserve">Die §§ 271a, 286, 288, 308 und 310 des Bürgerlichen Gesetzbuchs in der seit dem 29. Juli 2014 geltenden Fassung sind nur auf ein Schuldverhältnis anzuwenden, das nach dem 28. Juli 2014 entstanden ist. </w:t>
      </w:r>
      <w:r>
        <w:rPr>
          <w:rStyle w:val="Satznummer"/>
        </w:rPr>
        <w:t>2</w:t>
      </w:r>
      <w:r>
        <w:t>Abweichend von Satz 1 sind die dort genannten Vorschriften auch auf ein vorher entstandenes Dauerschuldverhältnis anzuwenden, soweit die Gegenleistung nach dem 30. Juni 2016 erbracht wird.</w:t>
      </w:r>
    </w:p>
    <w:p>
      <w:pPr>
        <w:pStyle w:val="Heading3"/>
      </w:pPr>
      <w:bookmarkStart w:id="268" w:name="b267"/>
      <w:r>
        <w:t>Art 229 § 35 Übergangsvorschriften zum Mietrechtsnovellierungsgesetz vom 21. April 2015</w:t>
      </w:r>
      <w:r>
        <w:t xml:space="preserve"> </w:t>
      </w:r>
      <w:r>
        <w:rPr>
          <w:rStyle w:val="Suchmarke"/>
        </w:rPr>
        <w:t>#229-35.#</w:t>
      </w:r>
      <w:bookmarkEnd w:id="268"/>
    </w:p>
    <w:p>
      <w:r>
        <w:t>(1) Die §§ 556d bis 556g, 557a Absatz 4 und § 557b Absatz 4 des Bürgerlichen Gesetzbuchs sind nicht anzuwenden auf Mietverträge und Staffelmietvereinbarungen über Wohnraum, die abgeschlossen worden sind, bevor die vertragsgegenständliche Mietwohnung in den Anwendungsbereich einer Rechtsverordnung nach § 556d Absatz 2 des Bürgerlichen Gesetzbuchs fällt.</w:t>
      </w:r>
    </w:p>
    <w:p>
      <w:r>
        <w:t>(2) § 557a Absatz 4 des Bürgerlichen Gesetzbuchs ist nicht mehr anzuwenden auf Mietstaffeln, deren erste Miete zu einem Zeitpunkt fällig wird, in dem die vertragsgegenständliche Mietwohnung nicht mehr in den Anwendungsbereich einer Rechtsverordnung nach § 556d Absatz 2 des Bürgerlichen Gesetzbuchs fällt.</w:t>
      </w:r>
    </w:p>
    <w:p>
      <w:pPr>
        <w:pStyle w:val="Heading3"/>
      </w:pPr>
      <w:bookmarkStart w:id="269" w:name="b268"/>
      <w:r>
        <w:t>Art 229 § 36 Überleitungsvorschrift zum Gesetz zum Internationalen Erbrecht und zur Änderung von Vorschriften zum Erbschein sowie zur Änderung sonstiger Vorschriften vom 29. Juni 2015</w:t>
      </w:r>
      <w:r>
        <w:t xml:space="preserve"> </w:t>
      </w:r>
      <w:r>
        <w:rPr>
          <w:rStyle w:val="Suchmarke"/>
        </w:rPr>
        <w:t>#229-36.#</w:t>
      </w:r>
      <w:bookmarkEnd w:id="269"/>
    </w:p>
    <w:p>
      <w:r>
        <w:t>Auf Verfahren zur Erteilung von Erbscheinen nach einem Erblasser, der vor dem 17. August 2015 verstorben ist, sind das Bürgerliche Gesetzbuch und das Gesetz über das Verfahren in Familiensachen und in den Angelegenheiten der freiwilligen Gerichtsbarkeit in der bis zu diesem Tag geltenden Fassung weiterhin anzuwenden.</w:t>
      </w:r>
    </w:p>
    <w:p>
      <w:pPr>
        <w:pStyle w:val="Heading3"/>
      </w:pPr>
      <w:bookmarkStart w:id="270" w:name="b269"/>
      <w:r>
        <w:t>Art 229 § 37 Überleitungsvorschrift zum Gesetz zur Verbesserung der zivilrechtlichen Durchsetzung von verbraucherschützenden Vorschriften des Datenschutzrechts</w:t>
      </w:r>
      <w:r>
        <w:t xml:space="preserve"> </w:t>
      </w:r>
      <w:r>
        <w:rPr>
          <w:rStyle w:val="Suchmarke"/>
        </w:rPr>
        <w:t>#229-37.#</w:t>
      </w:r>
      <w:bookmarkEnd w:id="270"/>
    </w:p>
    <w:p>
      <w:r>
        <w:t>§ 309 Nummer 13 des Bürgerlichen Gesetzbuchs in der seit dem 1. Oktober 2016 geltenden Fassung ist nur auf ein Schuldverhältnis anzuwenden, das nach dem 30. September 2016 entstanden ist.</w:t>
      </w:r>
    </w:p>
    <w:p>
      <w:pPr>
        <w:pStyle w:val="Heading3"/>
      </w:pPr>
      <w:bookmarkStart w:id="271" w:name="b270"/>
      <w:r>
        <w:t>Art 229 § 38 Übergangsvorschrift zum Gesetz zur Umsetzung der Wohnimmobilienkreditrichtlinie und zur Änderung handelsrechtlicher Vorschriften</w:t>
      </w:r>
      <w:r>
        <w:t xml:space="preserve"> </w:t>
      </w:r>
      <w:r>
        <w:rPr>
          <w:rStyle w:val="Suchmarke"/>
        </w:rPr>
        <w:t>#229-38.#</w:t>
      </w:r>
      <w:bookmarkEnd w:id="271"/>
    </w:p>
    <w:p>
      <w:r>
        <w:t xml:space="preserve">(1) </w:t>
      </w:r>
      <w:r>
        <w:rPr>
          <w:rStyle w:val="Satznummer"/>
        </w:rPr>
        <w:t>1</w:t>
      </w:r>
      <w:r>
        <w:t>Dieses Gesetz und das Bürgerliche Gesetzbuch jeweils in der bis zum 20. März 2016 geltenden Fassung sind vorbehaltlich des Absatzes 2 auf folgende Verträge anzuwenden, wenn sie vor dem 21. März 2016 abgeschlossen wurden:</w:t>
      </w:r>
    </w:p>
    <w:p>
      <w:pPr>
        <w:tabs>
          <w:tab w:pos="567" w:val="left"/>
        </w:tabs>
        <w:ind w:left="567" w:hanging="567"/>
      </w:pPr>
      <w:r>
        <w:t>1.</w:t>
      </w:r>
      <w:r>
        <w:tab/>
      </w:r>
      <w:r>
        <w:t>Verbraucherdarlehensverträge und Verträge über entgeltliche Finanzierungshilfen,</w:t>
      </w:r>
    </w:p>
    <w:p>
      <w:pPr>
        <w:tabs>
          <w:tab w:pos="567" w:val="left"/>
        </w:tabs>
        <w:ind w:left="567" w:hanging="567"/>
      </w:pPr>
      <w:r>
        <w:t>2.</w:t>
      </w:r>
      <w:r>
        <w:tab/>
      </w:r>
      <w:r>
        <w:t>Verträge über die Vermittlung von Verträgen gemäß Nummer 1.</w:t>
      </w:r>
    </w:p>
    <w:p>
      <w:r>
        <w:rPr>
          <w:rStyle w:val="Satznummer"/>
        </w:rPr>
        <w:t>2</w:t>
      </w:r>
      <w:r>
        <w:t xml:space="preserve">Für Verbraucherdarlehensverträge gemäß § 504 des Bürgerlichen Gesetzbuchs ist der Zeitpunkt des Abschlusses des Vertrags maßgeblich, mit dem der Darlehensgeber dem Darlehensnehmer das Recht einräumt, sein laufendes Konto in bestimmter Höhe zu überziehen. </w:t>
      </w:r>
      <w:r>
        <w:rPr>
          <w:rStyle w:val="Satznummer"/>
        </w:rPr>
        <w:t>3</w:t>
      </w:r>
      <w:r>
        <w:t>Für Verbraucherdarlehensverträge gemäß § 505 Absatz 1 des Bürgerlichen Gesetzbuchs ist der Zeitpunkt des Abschlusses des Vertrags maßgeblich, mit dem der Unternehmer mit dem Verbraucher ein Entgelt für den Fall vereinbart, dass er eine Überziehung seines laufenden Kontos duldet.</w:t>
      </w:r>
    </w:p>
    <w:p>
      <w:r>
        <w:t>(2) Die §§ 504a und 505 Absatz 2 des Bürgerlichen Gesetzbuchs sind auf Verbraucherdarlehensverträge gemäß den §§ 504 und 505 des Bürgerlichen Gesetzbuchs auch dann anzuwenden, wenn diese Verträge vor dem 21. März 2016 abgeschlossen wurden.</w:t>
      </w:r>
    </w:p>
    <w:p>
      <w:r>
        <w:t xml:space="preserve">(3) </w:t>
      </w:r>
      <w:r>
        <w:rPr>
          <w:rStyle w:val="Satznummer"/>
        </w:rPr>
        <w:t>1</w:t>
      </w:r>
      <w:r>
        <w:t xml:space="preserve">Bei Immobiliardarlehensverträgen gemäß § 492 Absatz 1a Satz 2 des Bürgerlichen Gesetzbuchs in der vom 1. August 2002 bis einschließlich 10. Juni 2010 geltenden Fassung, die zwischen dem 1. September 2002 und dem 10. Juni 2010 geschlossen wurden, erlischt ein fortbestehendes Widerrufsrecht spätestens drei Monate nach dem 21. März 2016, wenn das Fortbestehen des Widerrufsrechts darauf beruht, dass die dem Verbraucher erteilte Widerrufsbelehrung den zum Zeitpunkt des Vertragsschlusses geltenden Anforderungen des Bürgerlichen Gesetzbuchs nicht entsprochen hat. </w:t>
      </w:r>
      <w:r>
        <w:rPr>
          <w:rStyle w:val="Satznummer"/>
        </w:rPr>
        <w:t>2</w:t>
      </w:r>
      <w:r>
        <w:t>Bei Haustürgeschäften ist Satz 1 nur anzuwenden, wenn die beiderseitigen Leistungen aus dem Verbraucherdarlehensvertrag bei Ablauf des 21. Mai 2016 vollständig erbracht worden sind, andernfalls erlöschen die fortbestehenden Widerrufsrechte erst einen Monat nach vollständiger Erbringung der beiderseitigen Leistungen aus dem Vertrag.</w:t>
      </w:r>
    </w:p>
    <w:p>
      <w:pPr>
        <w:pStyle w:val="Heading3"/>
      </w:pPr>
      <w:bookmarkStart w:id="272" w:name="b271"/>
      <w:r>
        <w:t>Art 229 § 39 Übergangsvorschrift zum Gesetz zur Reform des Bauvertragsrechts, zur Änderung der kaufrechtlichen Mängelhaftung, zur Stärkung des zivilprozessualen Rechtsschutzes und zum maschinellen Siegel im Grundbuch- und Schiffsregisterverfahren</w:t>
      </w:r>
      <w:r>
        <w:t xml:space="preserve"> </w:t>
      </w:r>
      <w:r>
        <w:rPr>
          <w:rStyle w:val="Suchmarke"/>
        </w:rPr>
        <w:t>#229-39.#</w:t>
      </w:r>
      <w:bookmarkEnd w:id="272"/>
    </w:p>
    <w:p>
      <w:r>
        <w:t>Auf ein Schuldverhältnis, das vor dem 1. Januar 2018 entstanden ist, finden die Vorschriften dieses Gesetzes, des Bürgerlichen Gesetzbuchs und der Verordnung über Abschlagszahlungen bei Bauträgerverträgen in der bis zu diesem Tag geltenden Fassung Anwendung.</w:t>
      </w:r>
    </w:p>
    <w:p>
      <w:pPr>
        <w:pStyle w:val="Heading3"/>
      </w:pPr>
      <w:bookmarkStart w:id="273" w:name="b272"/>
      <w:r>
        <w:t>Art 229 § 40 Übergangsvorschrift zum Finanzaufsichtsrechtergänzungsgesetz</w:t>
      </w:r>
      <w:r>
        <w:t xml:space="preserve"> </w:t>
      </w:r>
      <w:r>
        <w:rPr>
          <w:rStyle w:val="Suchmarke"/>
        </w:rPr>
        <w:t>#229-40.#</w:t>
      </w:r>
      <w:bookmarkEnd w:id="273"/>
    </w:p>
    <w:p>
      <w:r>
        <w:t>(1) Das Bürgerliche Gesetzbuch ist in der bis zum 9. Juni 2017 geltenden Fassung auf folgende Verträge anzuwenden, wenn sie vor dem 10. Juni 2017 abgeschlossen wurden:</w:t>
      </w:r>
    </w:p>
    <w:p>
      <w:pPr>
        <w:tabs>
          <w:tab w:pos="567" w:val="left"/>
        </w:tabs>
        <w:ind w:left="567" w:hanging="567"/>
      </w:pPr>
      <w:r>
        <w:t>1.</w:t>
      </w:r>
      <w:r>
        <w:tab/>
      </w:r>
      <w:r>
        <w:t>Darlehensverträge, Verträge über entgeltliche und unentgeltliche Finanzierungshilfen sowie Immobilienverzehrkreditverträge,</w:t>
      </w:r>
    </w:p>
    <w:p>
      <w:pPr>
        <w:tabs>
          <w:tab w:pos="567" w:val="left"/>
        </w:tabs>
        <w:ind w:left="567" w:hanging="567"/>
      </w:pPr>
      <w:r>
        <w:t>2.</w:t>
      </w:r>
      <w:r>
        <w:tab/>
      </w:r>
      <w:r>
        <w:t>Verträge über die Vermittlung von Verträgen nach Nummer 1.</w:t>
      </w:r>
    </w:p>
    <w:p>
      <w:r>
        <w:t>(2) Dieses Gesetz ist in der bis zum 30. Juni 2018 geltenden Fassung auf folgende Verträge anzuwenden, wenn sie vor dem 1. Juli 2018 abgeschlossen wurden:</w:t>
      </w:r>
    </w:p>
    <w:p>
      <w:pPr>
        <w:tabs>
          <w:tab w:pos="567" w:val="left"/>
        </w:tabs>
        <w:ind w:left="567" w:hanging="567"/>
      </w:pPr>
      <w:r>
        <w:t>1.</w:t>
      </w:r>
      <w:r>
        <w:tab/>
      </w:r>
      <w:r>
        <w:t>Darlehensverträge und Verträge über entgeltliche Finanzierungshilfen,</w:t>
      </w:r>
    </w:p>
    <w:p>
      <w:pPr>
        <w:tabs>
          <w:tab w:pos="567" w:val="left"/>
        </w:tabs>
        <w:ind w:left="567" w:hanging="567"/>
      </w:pPr>
      <w:r>
        <w:t>2.</w:t>
      </w:r>
      <w:r>
        <w:tab/>
      </w:r>
      <w:r>
        <w:t>Verträge über die Vermittlung von Verträgen nach Nummer 1.</w:t>
      </w:r>
    </w:p>
    <w:p>
      <w:pPr>
        <w:pStyle w:val="Heading3"/>
      </w:pPr>
      <w:bookmarkStart w:id="274" w:name="b273"/>
      <w:r>
        <w:t>Art 229 § 41 Übergangsvorschrift zum Gesetz zur Änderung von Vorschriften im Bereich des Internationalen Privat- und Zivilverfahrensrechts vom 11. Juni 2017</w:t>
      </w:r>
      <w:r>
        <w:t xml:space="preserve"> </w:t>
      </w:r>
      <w:r>
        <w:rPr>
          <w:rStyle w:val="Suchmarke"/>
        </w:rPr>
        <w:t>#229-41.#</w:t>
      </w:r>
      <w:bookmarkEnd w:id="274"/>
    </w:p>
    <w:p>
      <w:r>
        <w:t xml:space="preserve">Ist vor Inkrafttreten von </w:t>
      </w:r>
      <w:hyperlink w:anchor="b13" w:history="1">
        <w:r>
          <w:rPr>
            <w:color w:val="0A3A8C"/>
            <w:u w:val="single"/>
          </w:rPr>
          <w:t xml:space="preserve">Artikel 8</w:t>
        </w:r>
      </w:hyperlink>
      <w:r>
        <w:t xml:space="preserve"> am 17. Juni 2017 eine Vollmacht erteilt oder eine Erklärung im Namen einer anderen Person gegenüber einem Dritten abgegeben oder für einen anderen entgegengenommen worden, bleibt das bisherige Internationale Privatrecht anwendbar.</w:t>
      </w:r>
    </w:p>
    <w:p>
      <w:pPr>
        <w:pStyle w:val="Heading3"/>
      </w:pPr>
      <w:bookmarkStart w:id="275" w:name="b274"/>
      <w:r>
        <w:t>Art 229 § 42 Übergangsvorschrift zum Dritten Gesetz zur Änderung reiserechtlicher Vorschriften</w:t>
      </w:r>
      <w:r>
        <w:t xml:space="preserve"> </w:t>
      </w:r>
      <w:r>
        <w:rPr>
          <w:rStyle w:val="Suchmarke"/>
        </w:rPr>
        <w:t>#229-42.#</w:t>
      </w:r>
      <w:bookmarkEnd w:id="275"/>
    </w:p>
    <w:p>
      <w:r>
        <w:t>Auf einen vor dem 1. Juli 2018 abgeschlossenen Reisevertrag sind die Vorschriften dieses Gesetzes, des Bürgerlichen Gesetzbuchs, der BGB-Informationspflichten-Verordnung, des Unterlassungsklagengesetzes, der Gewerbeordnung und der Preisangabenverordnung in der bis zu diesem Tag geltenden Fassung weiter anzuwenden.</w:t>
      </w:r>
    </w:p>
    <w:p>
      <w:pPr>
        <w:pStyle w:val="Heading3"/>
      </w:pPr>
      <w:bookmarkStart w:id="276" w:name="b275"/>
      <w:r>
        <w:t>Art 229 § 43 Überleitungsvorschrift zum Gesetz zur Einführung eines Anspruchs auf Hinterbliebenengeld</w:t>
      </w:r>
      <w:r>
        <w:t xml:space="preserve"> </w:t>
      </w:r>
      <w:r>
        <w:rPr>
          <w:rStyle w:val="Suchmarke"/>
        </w:rPr>
        <w:t>#229-43.#</w:t>
      </w:r>
      <w:bookmarkEnd w:id="276"/>
    </w:p>
    <w:p>
      <w:r>
        <w:t>Wenn die zum Tode führende Verletzung nach dem 22. Juli 2017 eingetreten ist, sind die durch das Gesetz zur Einführung eines Anspruchs auf Hinterbliebenengeld vom 17. Juli 2017 (BGBl. I S. 2421) geänderten Vorschriften in folgenden Gesetzen anzuwenden:</w:t>
      </w:r>
    </w:p>
    <w:p>
      <w:pPr>
        <w:tabs>
          <w:tab w:pos="567" w:val="left"/>
        </w:tabs>
        <w:ind w:left="567" w:hanging="567"/>
      </w:pPr>
      <w:r>
        <w:t>1.</w:t>
      </w:r>
      <w:r>
        <w:tab/>
      </w:r>
      <w:r>
        <w:t>Bürgerliches Gesetzbuch,</w:t>
      </w:r>
    </w:p>
    <w:p>
      <w:pPr>
        <w:tabs>
          <w:tab w:pos="567" w:val="left"/>
        </w:tabs>
        <w:ind w:left="567" w:hanging="567"/>
      </w:pPr>
      <w:r>
        <w:t>2.</w:t>
      </w:r>
      <w:r>
        <w:tab/>
      </w:r>
      <w:r>
        <w:t>Arzneimittelgesetz,</w:t>
      </w:r>
    </w:p>
    <w:p>
      <w:pPr>
        <w:tabs>
          <w:tab w:pos="567" w:val="left"/>
        </w:tabs>
        <w:ind w:left="567" w:hanging="567"/>
      </w:pPr>
      <w:r>
        <w:t>3.</w:t>
      </w:r>
      <w:r>
        <w:tab/>
      </w:r>
      <w:r>
        <w:t>Gentechnikgesetz,</w:t>
      </w:r>
    </w:p>
    <w:p>
      <w:pPr>
        <w:tabs>
          <w:tab w:pos="567" w:val="left"/>
        </w:tabs>
        <w:ind w:left="567" w:hanging="567"/>
      </w:pPr>
      <w:r>
        <w:t>4.</w:t>
      </w:r>
      <w:r>
        <w:tab/>
      </w:r>
      <w:r>
        <w:t>Produkthaftungsgesetz,</w:t>
      </w:r>
    </w:p>
    <w:p>
      <w:pPr>
        <w:tabs>
          <w:tab w:pos="567" w:val="left"/>
        </w:tabs>
        <w:ind w:left="567" w:hanging="567"/>
      </w:pPr>
      <w:r>
        <w:t>5.</w:t>
      </w:r>
      <w:r>
        <w:tab/>
      </w:r>
      <w:r>
        <w:t>Umwelthaftungsgesetz,</w:t>
      </w:r>
    </w:p>
    <w:p>
      <w:pPr>
        <w:tabs>
          <w:tab w:pos="567" w:val="left"/>
        </w:tabs>
        <w:ind w:left="567" w:hanging="567"/>
      </w:pPr>
      <w:r>
        <w:t>6.</w:t>
      </w:r>
      <w:r>
        <w:tab/>
      </w:r>
      <w:r>
        <w:t>Atomgesetz,</w:t>
      </w:r>
    </w:p>
    <w:p>
      <w:pPr>
        <w:tabs>
          <w:tab w:pos="567" w:val="left"/>
        </w:tabs>
        <w:ind w:left="567" w:hanging="567"/>
      </w:pPr>
      <w:r>
        <w:t>7.</w:t>
      </w:r>
      <w:r>
        <w:tab/>
      </w:r>
      <w:r>
        <w:t>Straßenverkehrsgesetz und</w:t>
      </w:r>
    </w:p>
    <w:p>
      <w:pPr>
        <w:tabs>
          <w:tab w:pos="567" w:val="left"/>
        </w:tabs>
        <w:ind w:left="567" w:hanging="567"/>
      </w:pPr>
      <w:r>
        <w:t>8.</w:t>
      </w:r>
      <w:r>
        <w:tab/>
      </w:r>
      <w:r>
        <w:t>Haftpflichtgesetz.</w:t>
      </w:r>
    </w:p>
    <w:p>
      <w:pPr>
        <w:pStyle w:val="Heading3"/>
      </w:pPr>
      <w:bookmarkStart w:id="277" w:name="b276"/>
      <w:r>
        <w:t>Art 229 § 44 Überleitungsvorschrift zum Gesetz zur Bekämpfung von Kinderehen</w:t>
      </w:r>
      <w:r>
        <w:t xml:space="preserve"> </w:t>
      </w:r>
      <w:r>
        <w:rPr>
          <w:rStyle w:val="Suchmarke"/>
        </w:rPr>
        <w:t>#229-44.#</w:t>
      </w:r>
      <w:bookmarkEnd w:id="277"/>
    </w:p>
    <w:p>
      <w:r>
        <w:t xml:space="preserve">(1) </w:t>
      </w:r>
      <w:r>
        <w:rPr>
          <w:rStyle w:val="Satznummer"/>
        </w:rPr>
        <w:t>1</w:t>
      </w:r>
      <w:r>
        <w:t xml:space="preserve">§ 1303 Satz 2 des Bürgerlichen Gesetzbuchs in der ab dem 22. Juli 2017 geltenden Fassung ist für Ehen, die vor dem 22. Juli 2017 geschlossen worden sind, nicht anzuwenden. </w:t>
      </w:r>
      <w:r>
        <w:rPr>
          <w:rStyle w:val="Satznummer"/>
        </w:rPr>
        <w:t>2</w:t>
      </w:r>
      <w:r>
        <w:t>Die Aufhebbarkeit dieser Ehen richtet sich nach dem bis zum 22. Juli 2017 geltenden Recht.</w:t>
      </w:r>
    </w:p>
    <w:p>
      <w:r>
        <w:t>(2) Die Aufhebung einer Ehe wegen eines Verstoßes gegen § 1303 des Bürgerlichen Gesetzbuchs ist ausgeschlossen, wenn sie nach Befreiung vom Erfordernis der Volljährigkeit nach § 1303 Absatz 2 bis 4 des Bürgerlichen Gesetzbuchs in der bis zum 21. Juli 2017 geltenden Fassung und vor dem 22. Juli 2017 geschlossen worden ist.</w:t>
      </w:r>
    </w:p>
    <w:p>
      <w:r>
        <w:t xml:space="preserve">(3) </w:t>
      </w:r>
      <w:r>
        <w:rPr>
          <w:rStyle w:val="Satznummer"/>
        </w:rPr>
        <w:t>1</w:t>
      </w:r>
      <w:r>
        <w:t xml:space="preserve">Bis zum 22. Juli 2017 noch nicht abgeschlossene Verfahren über die Erteilung einer Befreiung nach § 1303 Absatz 2 bis 4 des Bürgerlichen Gesetzbuchs in der bis zum 21. Juli 2017 geltenden Fassung sind erledigt. </w:t>
      </w:r>
      <w:r>
        <w:rPr>
          <w:rStyle w:val="Satznummer"/>
        </w:rPr>
        <w:t>2</w:t>
      </w:r>
      <w:r>
        <w:t>Eine Genehmigung nach § 1315 Absatz 1 Satz 1 Nummer 1 Fall 1 des Bürgerlichen Gesetzbuchs in der bis zum 21. Juli 2017 geltenden Fassung kann nach dem 22. Juli 2017 nicht mehr erteilt werden.</w:t>
      </w:r>
    </w:p>
    <w:p>
      <w:r>
        <w:t xml:space="preserve">(4) </w:t>
      </w:r>
      <w:hyperlink w:anchor="b19" w:history="1">
        <w:r>
          <w:rPr>
            <w:color w:val="0A3A8C"/>
            <w:u w:val="single"/>
          </w:rPr>
          <w:t xml:space="preserve">Artikel 13</w:t>
        </w:r>
      </w:hyperlink>
      <w:r>
        <w:t xml:space="preserve"> Absatz 3 Nummer 1 gilt nicht, wenn</w:t>
      </w:r>
    </w:p>
    <w:p>
      <w:pPr>
        <w:tabs>
          <w:tab w:pos="567" w:val="left"/>
        </w:tabs>
        <w:ind w:left="567" w:hanging="567"/>
      </w:pPr>
      <w:r>
        <w:t>1.</w:t>
      </w:r>
      <w:r>
        <w:tab/>
      </w:r>
      <w:r>
        <w:t>der minderjährige Ehegatte vor dem 22. Juli 1999 geboren worden ist, oder</w:t>
      </w:r>
    </w:p>
    <w:p>
      <w:pPr>
        <w:tabs>
          <w:tab w:pos="567" w:val="left"/>
        </w:tabs>
        <w:ind w:left="567" w:hanging="567"/>
      </w:pPr>
      <w:r>
        <w:t>2.</w:t>
      </w:r>
      <w:r>
        <w:tab/>
      </w:r>
      <w:r>
        <w:t>die nach ausländischem Recht wirksame Ehe bis zur Volljährigkeit des minderjährigen Ehegatten geführt worden ist und kein Ehegatte seit der Eheschließung bis zur Volljährigkeit des minderjährigen Ehegatten seinen gewöhnlichen Aufenthalt in Deutschland hatte.</w:t>
      </w:r>
    </w:p>
    <w:p>
      <w:pPr>
        <w:pStyle w:val="Heading3"/>
      </w:pPr>
      <w:bookmarkStart w:id="278" w:name="b277"/>
      <w:r>
        <w:t>Art 229 § 45 Übergangsvorschriften zum Gesetz zur Umsetzung der Zweiten Zahlungsdiensterichtlinie vom 17. Juli 2017</w:t>
      </w:r>
      <w:r>
        <w:t xml:space="preserve"> </w:t>
      </w:r>
      <w:r>
        <w:rPr>
          <w:rStyle w:val="Suchmarke"/>
        </w:rPr>
        <w:t>#229-45.#</w:t>
      </w:r>
      <w:bookmarkEnd w:id="278"/>
    </w:p>
    <w:p>
      <w:r>
        <w:t>(1) Auf Schuldverhältnisse, die die Ausführung von Zahlungsvorgängen zum Gegenstand haben und ab dem 13. Januar 2018 entstanden sind, sind nur das Bürgerliche Gesetzbuch und Artikel 248 in der ab dem 13. Januar 2018 geltenden Fassung anzuwenden.</w:t>
      </w:r>
    </w:p>
    <w:p>
      <w:r>
        <w:t>(2) Auf Schuldverhältnisse, die die Ausführung von Zahlungsvorgängen zum Gegenstand haben und vor dem 13. Januar 2018 entstanden sind, sind das Bürgerliche Gesetzbuch und Artikel 248 in der bis zum 13. Januar 2018 geltenden Fassung anzuwenden, soweit in den Absätzen 3 und 4 nichts anderes bestimmt ist.</w:t>
      </w:r>
    </w:p>
    <w:p>
      <w:r>
        <w:t>(3) Wenn bei einem Schuldverhältnis im Sinne von Absatz 2 erst ab dem 13. Januar 2018 mit der Abwicklung eines Zahlungsvorgangs begonnen worden ist, sind auf diesen Zahlungsvorgang nur das Bürgerliche Gesetzbuch und Artikel 248 in der ab dem 13. Januar 2018 geltenden Fassung anzuwenden.</w:t>
      </w:r>
    </w:p>
    <w:p>
      <w:r>
        <w:t>(4) § 675f Absatz 3 des Bürgerlichen Gesetzbuchs in der ab dem 13. Januar 2018 geltenden Fassung ist ab diesem Tag auch auf Schuldverhältnisse im Sinne von Absatz 2 anzuwenden.</w:t>
      </w:r>
    </w:p>
    <w:p>
      <w:r>
        <w:t>(5) § 270a des Bürgerlichen Gesetzbuchs ist auf alle Schuldverhältnisse anzuwenden, die ab dem 13. Januar 2018 entstanden sind.</w:t>
      </w:r>
    </w:p>
    <w:p>
      <w:pPr>
        <w:pStyle w:val="Heading3"/>
      </w:pPr>
      <w:bookmarkStart w:id="279" w:name="b278"/>
      <w:r>
        <w:t>Art 229 § 46 Überleitungsvorschrift zum Gesetz zur Regelung des Rechts auf Kenntnis der Abstammung bei heterologer Verwendung von Samen</w:t>
      </w:r>
      <w:r>
        <w:t xml:space="preserve"> </w:t>
      </w:r>
      <w:r>
        <w:rPr>
          <w:rStyle w:val="Suchmarke"/>
        </w:rPr>
        <w:t>#229-46.#</w:t>
      </w:r>
      <w:bookmarkEnd w:id="279"/>
    </w:p>
    <w:p>
      <w:r>
        <w:t>§ 1600d Absatz 4 des Bürgerlichen Gesetzbuchs ist nicht anzuwenden, wenn der Samen, mithilfe dessen das Kind gezeugt wurde, vor Inkrafttreten des Gesetzes zur Regelung des Rechts auf Kenntnis der Abstammung bei heterologer Verwendung von Samen vom 17. Juli 2017 (BGBl. I S. 2513) verwendet wurde.</w:t>
      </w:r>
    </w:p>
    <w:p>
      <w:pPr>
        <w:pStyle w:val="Heading3"/>
      </w:pPr>
      <w:bookmarkStart w:id="280" w:name="b279"/>
      <w:r>
        <w:t>Art 229 § 47 Übergangsvorschrift zum Gesetz zum Internationalen Güterrecht und zur Änderung von Vorschriften des Internationalen Privatrechts vom 17. Dezember 2018</w:t>
      </w:r>
      <w:r>
        <w:t xml:space="preserve"> </w:t>
      </w:r>
      <w:r>
        <w:rPr>
          <w:rStyle w:val="Suchmarke"/>
        </w:rPr>
        <w:t>#229-47.#</w:t>
      </w:r>
      <w:bookmarkEnd w:id="280"/>
    </w:p>
    <w:p>
      <w:r>
        <w:t>(1) Die allgemeinen Wirkungen der Ehe bestimmen sich bis einschließlich 28. Januar 2019 nach Artikel 14 in der bis zu diesem Tag geltenden Fassung.</w:t>
      </w:r>
    </w:p>
    <w:p>
      <w:r>
        <w:t>(2) Haben die Ehegatten die Ehe vor dem 29. Januar 2019 geschlossen und ab diesem Zeitpunkt keine Rechtswahl nach der Verordnung (EU) 2016/1103 über das auf ihren Güterstand anzuwendende Recht getroffen, sind folgende Vorschriften jeweils in ihrer bis einschließlich 28. Januar 2019 geltenden Fassung weiter anzuwenden:</w:t>
      </w:r>
    </w:p>
    <w:p>
      <w:pPr>
        <w:tabs>
          <w:tab w:pos="567" w:val="left"/>
        </w:tabs>
        <w:ind w:left="567" w:hanging="567"/>
      </w:pPr>
      <w:r>
        <w:t>1.</w:t>
      </w:r>
      <w:r>
        <w:tab/>
      </w:r>
      <w:r>
        <w:t>die Vorschriften des Gesetzes über den ehelichen Güterstand von Vertriebenen und Flüchtlingen;</w:t>
      </w:r>
    </w:p>
    <w:p>
      <w:pPr>
        <w:tabs>
          <w:tab w:pos="567" w:val="left"/>
        </w:tabs>
        <w:ind w:left="567" w:hanging="567"/>
      </w:pPr>
      <w:r>
        <w:t>2.</w:t>
      </w:r>
      <w:r>
        <w:tab/>
      </w:r>
      <w:r>
        <w:t xml:space="preserve">die Artikel 3a, </w:t>
      </w:r>
      <w:hyperlink w:anchor="b21" w:history="1">
        <w:r>
          <w:rPr>
            <w:color w:val="0A3A8C"/>
            <w:u w:val="single"/>
          </w:rPr>
          <w:t xml:space="preserve">15</w:t>
        </w:r>
      </w:hyperlink>
      <w:r>
        <w:t xml:space="preserve">, </w:t>
      </w:r>
      <w:hyperlink w:anchor="b22" w:history="1">
        <w:r>
          <w:rPr>
            <w:color w:val="0A3A8C"/>
            <w:u w:val="single"/>
          </w:rPr>
          <w:t xml:space="preserve">16</w:t>
        </w:r>
      </w:hyperlink>
      <w:r>
        <w:t xml:space="preserve">, </w:t>
      </w:r>
      <w:hyperlink w:anchor="b24" w:history="1">
        <w:r>
          <w:rPr>
            <w:color w:val="0A3A8C"/>
            <w:u w:val="single"/>
          </w:rPr>
          <w:t xml:space="preserve">17a</w:t>
        </w:r>
      </w:hyperlink>
      <w:r>
        <w:t xml:space="preserve"> sowie </w:t>
      </w:r>
      <w:hyperlink w:anchor="b25" w:history="1">
        <w:r>
          <w:rPr>
            <w:color w:val="0A3A8C"/>
            <w:u w:val="single"/>
          </w:rPr>
          <w:t xml:space="preserve">17b</w:t>
        </w:r>
      </w:hyperlink>
      <w:r>
        <w:t xml:space="preserve"> Absatz 4.</w:t>
      </w:r>
    </w:p>
    <w:p>
      <w:r>
        <w:t>(3) Haben die Lebenspartner ihre eingetragene Partnerschaft vor dem 29. Januar 2019 eintragen lassen und ab diesem Zeitpunkt keine Rechtswahl nach der Verordnung (EU) 2016/1104 über das auf die güterrechtlichen Wirkungen ihrer eingetragenen Partnerschaft anzuwendende Recht getroffen, ist Artikel 17b Absatz 1 Satz 1 sowie Absatz 2 Satz 2 und 3 in der bis einschließlich 28. Januar 2019 geltenden Fassung weiter anzuwenden.</w:t>
      </w:r>
    </w:p>
    <w:p>
      <w:r>
        <w:t>(4) Fand die Geburt oder die Annahme als Kind vor dem 29. Januar 2019 statt, so sind Artikel 19 Absatz 1 Satz 3 und Artikel 22 Absatz 1 Satz 2 in ihrer bis einschließlich 28. Januar 2019 geltenden Fassung anwendbar.</w:t>
      </w:r>
    </w:p>
    <w:p>
      <w:pPr>
        <w:pStyle w:val="Heading3"/>
      </w:pPr>
      <w:bookmarkStart w:id="281" w:name="b280"/>
      <w:r>
        <w:t>Art 229 § 48 Überleitungsvorschrift zum Gesetz zur Umsetzung des Gesetzes zur Einführung des Rechts auf Eheschließung für Personen gleichen Geschlechts</w:t>
      </w:r>
      <w:r>
        <w:t xml:space="preserve"> </w:t>
      </w:r>
      <w:r>
        <w:rPr>
          <w:rStyle w:val="Suchmarke"/>
        </w:rPr>
        <w:t>#229-48.#</w:t>
      </w:r>
      <w:bookmarkEnd w:id="281"/>
    </w:p>
    <w:p>
      <w:r>
        <w:t>Auf gleichgeschlechtliche Ehen und eingetragene Lebenspartnerschaften, die vor dem 1. Oktober 2017 im Ausland nach den Sachvorschriften des Register führenden Staates wirksam geschlossen oder begründet worden sind, findet Artikel 17b Absatz 4 in seiner bis einschließlich 30. September 2017 geltenden Fassung keine Anwendung.</w:t>
      </w:r>
    </w:p>
    <w:p>
      <w:pPr>
        <w:pStyle w:val="Heading3"/>
      </w:pPr>
      <w:bookmarkStart w:id="282" w:name="b281"/>
      <w:r>
        <w:t>Art 229 § 49 Übergangsvorschriften zum Mietrechtsanpassungsgesetz vom 18. Dezember 2018</w:t>
      </w:r>
      <w:r>
        <w:t xml:space="preserve"> </w:t>
      </w:r>
      <w:r>
        <w:rPr>
          <w:rStyle w:val="Suchmarke"/>
        </w:rPr>
        <w:t>#229-49.#</w:t>
      </w:r>
      <w:bookmarkEnd w:id="282"/>
    </w:p>
    <w:p>
      <w:r>
        <w:t xml:space="preserve">(1) </w:t>
      </w:r>
      <w:r>
        <w:rPr>
          <w:rStyle w:val="Satznummer"/>
        </w:rPr>
        <w:t>1</w:t>
      </w:r>
      <w:r>
        <w:t xml:space="preserve">Auf ein bis einschließlich 31. Dezember 2018 entstandenes Mietverhältnis sind die §§ 555c und 559 des Bürgerlichen Gesetzbuchs in der bis dahin geltenden Fassung weiter anzuwenden, wenn dem Mieter bei Modernisierungsmaßnahmen die Mitteilung nach § 555c Absatz 1 Satz 1 des Bürgerlichen Gesetzbuchs bis einschließlich 31. Dezember 2018 zugegangen ist. </w:t>
      </w:r>
      <w:r>
        <w:rPr>
          <w:rStyle w:val="Satznummer"/>
        </w:rPr>
        <w:t>2</w:t>
      </w:r>
      <w:r>
        <w:t xml:space="preserve">Hat der Vermieter die Modernisierungsmaßnahme nicht oder nicht ordnungsgemäß nach § 555c Absatz 1 Satz 1 des Bürgerlichen Gesetzbuchs angekündigt, so gilt Satz 1 mit der Maßgabe, dass es an Stelle des Zugangs der Mitteilung nach § 555c Absatz 1 Satz 1 des Bürgerlichen Gesetzbuchs auf den Zugang der Mieterhöhungserklärung nach § 559b Absatz 1 Satz 1 des Bürgerlichen Gesetzbuchs ankommt. </w:t>
      </w:r>
      <w:r>
        <w:rPr>
          <w:rStyle w:val="Satznummer"/>
        </w:rPr>
        <w:t>3</w:t>
      </w:r>
      <w:r>
        <w:t xml:space="preserve">§ 559c des Bürgerlichen Gesetzbuchs ist nur anzuwenden, wenn der Vermieter die Modernisierungsmaßnahme nach dem 31. Dezember 2018 angekündigt hat. </w:t>
      </w:r>
      <w:r>
        <w:rPr>
          <w:rStyle w:val="Satznummer"/>
        </w:rPr>
        <w:t>4</w:t>
      </w:r>
      <w:r>
        <w:t>§ 559d des Bürgerlichen Gesetzbuchs ist nur anzuwenden auf ein Verhalten nach dem 31. Dezember 2018.</w:t>
      </w:r>
    </w:p>
    <w:p>
      <w:r>
        <w:t xml:space="preserve">(2) </w:t>
      </w:r>
      <w:r>
        <w:rPr>
          <w:rStyle w:val="Satznummer"/>
        </w:rPr>
        <w:t>1</w:t>
      </w:r>
      <w:r>
        <w:t xml:space="preserve">Auf ein bis einschließlich 31. Dezember 2018 entstandenes Mietverhältnis ist § 556g Absatz 1a des Bürgerlichen Gesetzbuchs nicht anzuwenden. </w:t>
      </w:r>
      <w:r>
        <w:rPr>
          <w:rStyle w:val="Satznummer"/>
        </w:rPr>
        <w:t>2</w:t>
      </w:r>
      <w:r>
        <w:t>§ 556g Absatz 2 des Bürgerlichen Gesetzbuchs ist in der bis einschließlich 31. Dezember 2018 geltenden Fassung weiter auf Mietverhältnisse anzuwenden, die bis zu diesem Zeitpunkt im Anwendungsbereich der §§ 556d bis 556g des Bürgerlichen Gesetzbuchs abgeschlossen worden sind.</w:t>
      </w:r>
    </w:p>
    <w:p>
      <w:r>
        <w:t>(3) Auf ein bis einschließlich 31. Dezember 2018 entstandenes Mietverhältnis ist § 578 Absatz 3 des Bürgerlichen Gesetzbuchs nicht anzuwenden.</w:t>
      </w:r>
    </w:p>
    <w:p>
      <w:pPr>
        <w:pStyle w:val="Heading3"/>
      </w:pPr>
      <w:bookmarkStart w:id="283" w:name="b282"/>
      <w:r>
        <w:t>Art 229 § 50 Übergangsvorschriften zum Gesetz zur Verlängerung des Betrachtungszeitraums für die ortsübliche Vergleichsmiete</w:t>
      </w:r>
      <w:r>
        <w:t xml:space="preserve"> </w:t>
      </w:r>
      <w:r>
        <w:rPr>
          <w:rStyle w:val="Suchmarke"/>
        </w:rPr>
        <w:t>#229-50.#</w:t>
      </w:r>
      <w:bookmarkEnd w:id="283"/>
    </w:p>
    <w:p>
      <w:r>
        <w:t xml:space="preserve">(1) </w:t>
      </w:r>
      <w:r>
        <w:rPr>
          <w:rStyle w:val="Satznummer"/>
        </w:rPr>
        <w:t>1</w:t>
      </w:r>
      <w:r>
        <w:t xml:space="preserve">Mietspiegel können auch nach dem 31. Dezember 2019 nach § 558 Absatz 2 Satz 1 des Bürgerlichen Gesetzbuchs in der bis dahin geltenden Fassung neu erstellt werden, wenn der Stichtag für die Feststellung der ortsüblichen Vergleichsmiete vor dem 1. März 2020 liegt und der Mietspiegel vor dem 1. Januar 2021 veröffentlicht wird. </w:t>
      </w:r>
      <w:r>
        <w:rPr>
          <w:rStyle w:val="Satznummer"/>
        </w:rPr>
        <w:t>2</w:t>
      </w:r>
      <w:r>
        <w:t>Mietspiegel, die nach Satz 1 neu erstellt wurden oder die bereits am 31. Dezember 2019 existierten, können entsprechend § 558d Absatz 2 des Bürgerlichen Gesetzbuchs innerhalb von zwei Jahren der Marktentwicklung angepasst werden.</w:t>
      </w:r>
    </w:p>
    <w:p>
      <w:r>
        <w:t xml:space="preserve">(2) </w:t>
      </w:r>
      <w:r>
        <w:rPr>
          <w:rStyle w:val="Satznummer"/>
        </w:rPr>
        <w:t>1</w:t>
      </w:r>
      <w:r>
        <w:t xml:space="preserve">In Gemeinden oder Teilen von Gemeinden, in denen ein Mietspiegel nach Absatz 1 Satz 1 neu erstellt wurde oder in denen am 31. Dezember 2019 ein Mietspiegel existierte, ist § 558 Absatz 2 Satz 1 des Bürgerlichen Gesetzbuchs in der bis zu diesem Tag geltenden Fassung anzuwenden, bis ein neuer Mietspiegel anwendbar ist, längstens jedoch zwei Jahre ab der Veröffentlichung des zuletzt erstellten Mietspiegels. </w:t>
      </w:r>
      <w:r>
        <w:rPr>
          <w:rStyle w:val="Satznummer"/>
        </w:rPr>
        <w:t>2</w:t>
      </w:r>
      <w:r>
        <w:t>Wurde dieser Mietspiegel innerhalb von zwei Jahren der Marktentwicklung angepasst, ist die Veröffentlichung der ersten Anpassung maßgeblich.</w:t>
      </w:r>
    </w:p>
    <w:p>
      <w:pPr>
        <w:pStyle w:val="Heading3"/>
      </w:pPr>
      <w:bookmarkStart w:id="284" w:name="b283"/>
      <w:r>
        <w:t>Art 229 § 51 Übergangsvorschriften zum Gesetz zur Verlängerung und Verbesserung der Regelungen über die zulässige Miethöhe bei Mietbeginn</w:t>
      </w:r>
      <w:r>
        <w:t xml:space="preserve"> </w:t>
      </w:r>
      <w:r>
        <w:rPr>
          <w:rStyle w:val="Suchmarke"/>
        </w:rPr>
        <w:t>#229-51.#</w:t>
      </w:r>
      <w:bookmarkEnd w:id="284"/>
    </w:p>
    <w:p>
      <w:r>
        <w:t>Auf ein bis einschließlich 31. März 2020 entstandenes Mietverhältnis ist § 556g des Bürgerlichen Gesetzbuchs in der bis dahin geltenden Fassung weiter anzuwenden.</w:t>
      </w:r>
    </w:p>
    <w:p>
      <w:pPr>
        <w:pStyle w:val="Heading3"/>
      </w:pPr>
      <w:bookmarkStart w:id="285" w:name="b284"/>
      <w:r>
        <w:t>Art 229 § 52 Überleitungsvorschrift zum Gesetz zur Umsetzung der Entscheidung des Bundesverfassungsgerichts vom 26. März 2019 zum Ausschluss der Stiefkindadoption in nichtehelichen Familien</w:t>
      </w:r>
      <w:r>
        <w:t xml:space="preserve"> </w:t>
      </w:r>
      <w:r>
        <w:rPr>
          <w:rStyle w:val="Suchmarke"/>
        </w:rPr>
        <w:t>#229-52.#</w:t>
      </w:r>
      <w:bookmarkEnd w:id="285"/>
    </w:p>
    <w:p>
      <w:r>
        <w:t>Auf vor dem 31. März 2020 abgeschlossene Vorgänge bleibt das bisherige Internationale Privatrecht anwendbar.</w:t>
      </w:r>
    </w:p>
    <w:p>
      <w:pPr>
        <w:pStyle w:val="Heading3"/>
      </w:pPr>
      <w:bookmarkStart w:id="286" w:name="b285"/>
      <w:r>
        <w:t>Art 229 § 53 Übergangsvorschrift zum Gesetz über die Maklerkosten bei der Vermittlung von Kaufverträgen über Wohnungen und Einfamilienhäuser</w:t>
      </w:r>
      <w:r>
        <w:t xml:space="preserve"> </w:t>
      </w:r>
      <w:r>
        <w:rPr>
          <w:rStyle w:val="Suchmarke"/>
        </w:rPr>
        <w:t>#229-53.#</w:t>
      </w:r>
      <w:bookmarkEnd w:id="286"/>
    </w:p>
    <w:p>
      <w:r>
        <w:t>Auf Rechtsverhältnisse, die vor dem 23. Dezember 2020 entstanden sind, sind die Vorschriften des Bürgerlichen Gesetzbuchs in der bis zu diesem Tag geltenden Fassung weiter anzuwenden.</w:t>
      </w:r>
    </w:p>
    <w:p>
      <w:pPr>
        <w:pStyle w:val="Heading3"/>
      </w:pPr>
      <w:bookmarkStart w:id="287" w:name="b286"/>
      <w:r>
        <w:t>Art 229 § 54 Übergangsvorschrift zum Gesetz zur Reform des Vormundschafts- und Betreuungsrechts</w:t>
      </w:r>
      <w:r>
        <w:t xml:space="preserve"> </w:t>
      </w:r>
      <w:r>
        <w:rPr>
          <w:rStyle w:val="Suchmarke"/>
        </w:rPr>
        <w:t>#229-54.#</w:t>
      </w:r>
      <w:bookmarkEnd w:id="287"/>
    </w:p>
    <w:p>
      <w:r>
        <w:t>(1) Eine bei Ablauf des 31. Dezember 2022 bestehende Geschäftsfähigkeit besteht fort.</w:t>
      </w:r>
    </w:p>
    <w:p>
      <w:r>
        <w:t>(2) Mit Inkrafttreten dieses Gesetzes am 1. Januar 2023 wird die Bestellung eines Gegenvormunds und eines Gegenbetreuers wirkungslos.</w:t>
      </w:r>
    </w:p>
    <w:p>
      <w:r>
        <w:t>(3) Ist am 1. Januar 2023 ein Betreuer zur Besorgung aller Angelegenheiten bestellt, ist der Aufgabenkreis bis zum 1. Januar 2024 nach Maßgabe des § 1815 Absatz 1 des Bürgerlichen Gesetzbuchs zu ändern.</w:t>
      </w:r>
    </w:p>
    <w:p>
      <w:r>
        <w:t xml:space="preserve">(4) </w:t>
      </w:r>
      <w:r>
        <w:rPr>
          <w:rStyle w:val="Satznummer"/>
        </w:rPr>
        <w:t>1</w:t>
      </w:r>
      <w:r>
        <w:t xml:space="preserve">Auf Betreuungen, die am 1. Januar 2023 bestehen, findet § 1815 Absatz 2 Nummer 1 bis 4 des Bürgerlichen Gesetzbuchs bis zum 1. Januar 2028 keine Anwendung. </w:t>
      </w:r>
      <w:r>
        <w:rPr>
          <w:rStyle w:val="Satznummer"/>
        </w:rPr>
        <w:t>2</w:t>
      </w:r>
      <w:r>
        <w:t>Bei der nächsten Entscheidung über die Aufhebung oder Verlängerung der Betreuung oder im Rahmen eines gerichtlichen Genehmigungsverfahrens nach § 1831 Absatz 2 des Bürgerlichen Gesetzbuchs hat das Betreuungsgericht über den Aufgabenkreis nach Maßgabe des § 1815 Absatz 2 des Bürgerlichen Gesetzbuchs zu entscheiden.</w:t>
      </w:r>
    </w:p>
    <w:p>
      <w:r>
        <w:t>(5) Betreuer, die erstmals durch § 1859 Absatz 2 des Bürgerlichen Gesetzbuchs befreit sind, haben bis zum Ablauf des am 1. Januar 2023 noch laufenden Betreuungsjahres Rechnung zu legen.</w:t>
      </w:r>
    </w:p>
    <w:p>
      <w:r>
        <w:t>(6) Auf vor dem 1. Januar 2023 abgeschlossene Vorgänge bleibt das bisherige Internationale Privatrecht anwendbar.</w:t>
      </w:r>
    </w:p>
    <w:p>
      <w:pPr>
        <w:pStyle w:val="Heading3"/>
      </w:pPr>
      <w:bookmarkStart w:id="288" w:name="b287"/>
      <w:r>
        <w:t>Art 229 § 55 Übergangsvorschrift zum Gesetz zum Schutz von Kindern mit Varianten der Geschlechtsentwicklung</w:t>
      </w:r>
      <w:r>
        <w:t xml:space="preserve"> </w:t>
      </w:r>
      <w:r>
        <w:rPr>
          <w:rStyle w:val="Suchmarke"/>
        </w:rPr>
        <w:t>#229-55.#</w:t>
      </w:r>
      <w:bookmarkEnd w:id="288"/>
    </w:p>
    <w:p>
      <w:r>
        <w:t>§ 1631e Absatz 6 des Bürgerlichen Gesetzbuchs ist auch auf Patientenakten von Kindern mit Varianten der Geschlechtsentwicklung anzuwenden, deren Behandlung vor dem 22. Mai 2021 durchgeführt worden ist, wenn die Aufbewahrungsfrist nach § 630f Absatz 3 des Bürgerlichen Gesetzbuchs nicht vor dem 22. Mai 2021 abgelaufen ist.</w:t>
      </w:r>
    </w:p>
    <w:p>
      <w:pPr>
        <w:pStyle w:val="Heading3"/>
      </w:pPr>
      <w:bookmarkStart w:id="289" w:name="b288"/>
      <w:r>
        <w:t>Art 229 § 56 Überleitungsvorschrift zum Gesetz über die Insolvenzsicherung durch Reisesicherungsfonds und zur Änderung reiserechtlicher Vorschriften</w:t>
      </w:r>
      <w:r>
        <w:t xml:space="preserve"> </w:t>
      </w:r>
      <w:r>
        <w:rPr>
          <w:rStyle w:val="Suchmarke"/>
        </w:rPr>
        <w:t>#229-56.#</w:t>
      </w:r>
      <w:bookmarkEnd w:id="289"/>
    </w:p>
    <w:p>
      <w:r>
        <w:t>(1) Auf Pauschalreiseverträge und Verträge über verbundene Reiseleistungen, die vor dem 1. November 2021 abgeschlossen wurden, ist § 651r des Bürgerlichen Gesetzbuchs, auch in Verbindung mit § 651w Absatz 3 des Bürgerlichen Gesetzbuchs, in der bis zum 30. Juni 2021 geltenden Fassung mit der Maßgabe weiter anzuwenden, dass</w:t>
      </w:r>
    </w:p>
    <w:p>
      <w:pPr>
        <w:tabs>
          <w:tab w:pos="567" w:val="left"/>
        </w:tabs>
        <w:ind w:left="567" w:hanging="567"/>
      </w:pPr>
      <w:r>
        <w:t>1.</w:t>
      </w:r>
      <w:r>
        <w:tab/>
      </w:r>
      <w:r>
        <w:t>ein Reisesicherungsfonds, der gemäß § 16 des Reisesicherungsfondsgesetzes fortbestehende Einstandspflichten eines Kundengeldabsicherers übernimmt, an die Stelle des bisherigen Kundengeldabsicherers tritt und</w:t>
      </w:r>
    </w:p>
    <w:p>
      <w:pPr>
        <w:tabs>
          <w:tab w:pos="567" w:val="left"/>
        </w:tabs>
        <w:ind w:left="567" w:hanging="567"/>
      </w:pPr>
      <w:r>
        <w:t>2.</w:t>
      </w:r>
      <w:r>
        <w:tab/>
      </w:r>
      <w:r>
        <w:t>in den Fällen der Nummer 1 sich der bisherige Kundengeldabsicherer abweichend von § 651r Absatz 4 Satz 2 des Bürgerlichen Gesetzbuchs gegenüber dem Reisenden auf die Beendigung des Kundengeldabsicherungsvertrags berufen kann.</w:t>
      </w:r>
    </w:p>
    <w:p>
      <w:r>
        <w:t xml:space="preserve">(2) </w:t>
      </w:r>
      <w:r>
        <w:rPr>
          <w:rStyle w:val="Satznummer"/>
        </w:rPr>
        <w:t>1</w:t>
      </w:r>
      <w:r>
        <w:t xml:space="preserve">Auf einen Reisegutschein nach </w:t>
      </w:r>
      <w:hyperlink w:anchor="b392" w:history="1">
        <w:r>
          <w:rPr>
            <w:color w:val="0A3A8C"/>
            <w:u w:val="single"/>
          </w:rPr>
          <w:t xml:space="preserve">Artikel 240 § 6</w:t>
        </w:r>
      </w:hyperlink>
      <w:r>
        <w:t xml:space="preserve"> sind die Vorschriften dieses Gesetzes und des Bürgerlichen Gesetzbuchs jeweils in der bis einschließlich 30. Juni 2021 geltenden Fassung weiter anzuwenden; Absatz 1 Nummer 1 und 2 gilt entsprechend. </w:t>
      </w:r>
      <w:r>
        <w:rPr>
          <w:rStyle w:val="Satznummer"/>
        </w:rPr>
        <w:t>2</w:t>
      </w:r>
      <w:r>
        <w:t xml:space="preserve">In den Fällen des </w:t>
      </w:r>
      <w:hyperlink w:anchor="b392" w:history="1">
        <w:r>
          <w:rPr>
            <w:color w:val="0A3A8C"/>
            <w:u w:val="single"/>
          </w:rPr>
          <w:t xml:space="preserve">Artikels 240 § 6</w:t>
        </w:r>
      </w:hyperlink>
      <w:r>
        <w:t xml:space="preserve"> Absatz 6 Satz 2 kann der Reisesicherungsfonds die Reisenden gegen Abtretung derjenigen Ansprüche, die ihnen nach </w:t>
      </w:r>
      <w:hyperlink w:anchor="b392" w:history="1">
        <w:r>
          <w:rPr>
            <w:color w:val="0A3A8C"/>
            <w:u w:val="single"/>
          </w:rPr>
          <w:t xml:space="preserve">Artikel 240 § 6</w:t>
        </w:r>
      </w:hyperlink>
      <w:r>
        <w:t xml:space="preserve"> Absatz 6 Satz 2 gegen die Bundesrepublik Deutschland zustehen, vollständig entschädigen. </w:t>
      </w:r>
      <w:r>
        <w:rPr>
          <w:rStyle w:val="Satznummer"/>
        </w:rPr>
        <w:t>3</w:t>
      </w:r>
      <w:r>
        <w:t>Er hat im Fall des Satzes 2 neben den abgetretenen Ansprüchen auch einen Anspruch auf angemessenen Ausgleich des zusätzlichen Abwicklungsaufwands gegen die Bundesrepublik Deutschland.</w:t>
      </w:r>
    </w:p>
    <w:p>
      <w:pPr>
        <w:pStyle w:val="Heading3"/>
      </w:pPr>
      <w:bookmarkStart w:id="290" w:name="b289"/>
      <w:r>
        <w:t>Art 229 § 57 Übergangsvorschrift zum Gesetz zur Umsetzung der Richtlinie über bestimmte vertragsrechtliche Aspekte der Bereitstellung digitaler Inhalte und digitaler Dienstleistungen</w:t>
      </w:r>
      <w:r>
        <w:t xml:space="preserve"> </w:t>
      </w:r>
      <w:r>
        <w:rPr>
          <w:rStyle w:val="Suchmarke"/>
        </w:rPr>
        <w:t>#229-57.#</w:t>
      </w:r>
      <w:bookmarkEnd w:id="290"/>
    </w:p>
    <w:p>
      <w:r>
        <w:t>(1) Auf Verbraucherverträge, welche die Bereitstellung eines digitalen Produkts zum Gegenstand haben und ab dem 1. Januar 2022 abgeschlossen wurden, sind nur die Vorschriften des Bürgerlichen Gesetzbuchs und des Unterlassungsklagengesetzes in der ab dem 1. Januar 2022 geltenden Fassung anzuwenden.</w:t>
      </w:r>
    </w:p>
    <w:p>
      <w:r>
        <w:t>(2) Sofern nicht in Absatz 3 etwas anderes bestimmt ist, sind auf vor dem 1. Januar 2022 abgeschlossene Verbraucherverträge, welche die Bereitstellung eines digitalen Produkts zum Gegenstand haben, die Vorschriften des Bürgerlichen Gesetzbuchs und des Unterlassungsklagengesetzes in der ab dem 1. Januar 2022 geltenden Fassung anzuwenden, wenn die vertragsgegenständliche Bereitstellung ab dem 1. Januar 2022 erfolgt.</w:t>
      </w:r>
    </w:p>
    <w:p>
      <w:r>
        <w:t>(3) § 327r des Bürgerlichen Gesetzbuchs ist auf Verbraucherverträge anzuwenden, welche die Bereitstellung eines digitalen Produkts zum Gegenstand haben und ab dem 1. Januar 2022 abgeschlossen wurden.</w:t>
      </w:r>
    </w:p>
    <w:p>
      <w:r>
        <w:t>(4) Die §§ 327t und 327u des Bürgerlichen Gesetzbuchs sind auf Verträge anzuwenden, welche ab dem 1. Januar 2022 abgeschlossen wurden.</w:t>
      </w:r>
    </w:p>
    <w:p>
      <w:pPr>
        <w:pStyle w:val="Heading3"/>
      </w:pPr>
      <w:bookmarkStart w:id="291" w:name="b290"/>
      <w:r>
        <w:t>Art 229 § 58 Übergangsvorschrift zum Gesetz zur Regelung des Verkaufs von Sachen mit digitalen Elementen und anderer Aspekte des Kaufvertrags</w:t>
      </w:r>
      <w:r>
        <w:t xml:space="preserve"> </w:t>
      </w:r>
      <w:r>
        <w:rPr>
          <w:rStyle w:val="Suchmarke"/>
        </w:rPr>
        <w:t>#229-58.#</w:t>
      </w:r>
      <w:bookmarkEnd w:id="291"/>
    </w:p>
    <w:p>
      <w:r>
        <w:t>Auf einen Kaufvertrag, der vor dem 1. Januar 2022 geschlossen worden ist, sind die Vorschriften dieses Gesetzes und des Bürgerlichen Gesetzbuchs in der bis einschließlich 31. Dezember 2021 geltenden Fassung anzuwenden.</w:t>
      </w:r>
    </w:p>
    <w:p>
      <w:pPr>
        <w:pStyle w:val="Heading3"/>
      </w:pPr>
      <w:bookmarkStart w:id="292" w:name="b291"/>
      <w:r>
        <w:t>Art 229 § 59 Allgemeine Überleitungsvorschrift zum Gesetz zur Vereinheitlichung des Stiftungsrechts</w:t>
      </w:r>
      <w:r>
        <w:t xml:space="preserve"> </w:t>
      </w:r>
      <w:r>
        <w:rPr>
          <w:rStyle w:val="Suchmarke"/>
        </w:rPr>
        <w:t>#229-59.#</w:t>
      </w:r>
      <w:bookmarkEnd w:id="292"/>
    </w:p>
    <w:p>
      <w:r>
        <w:rPr>
          <w:rStyle w:val="Satznummer"/>
        </w:rPr>
        <w:t>1</w:t>
      </w:r>
      <w:r>
        <w:t xml:space="preserve">Auf die vor dem 1. Juli 2023 bestehenden Stiftungen sind die §§ 82a bis 88 des Bürgerlichen Gesetzbuchs in der am 1. Juli 2023 geltenden Fassung anzuwenden. </w:t>
      </w:r>
      <w:r>
        <w:rPr>
          <w:rStyle w:val="Satznummer"/>
        </w:rPr>
        <w:t>2</w:t>
      </w:r>
      <w:r>
        <w:t>In § 87c Absatz 1 Satz 1 bis 3 des Bürgerlichen Gesetzbuchs tritt bei diesen Stiftungen an die Stelle der Satzung die Stiftungsverfassung.</w:t>
      </w:r>
    </w:p>
    <w:p>
      <w:pPr>
        <w:pStyle w:val="Heading3"/>
      </w:pPr>
      <w:bookmarkStart w:id="293" w:name="b292"/>
      <w:r>
        <w:t>Art 229 § 60 Übergangsvorschrift zum Gesetz für faire Verbraucherverträge</w:t>
      </w:r>
      <w:r>
        <w:t xml:space="preserve"> </w:t>
      </w:r>
      <w:r>
        <w:rPr>
          <w:rStyle w:val="Suchmarke"/>
        </w:rPr>
        <w:t>#229-60.#</w:t>
      </w:r>
      <w:bookmarkEnd w:id="293"/>
    </w:p>
    <w:p>
      <w:r>
        <w:rPr>
          <w:rStyle w:val="Satznummer"/>
        </w:rPr>
        <w:t>1</w:t>
      </w:r>
      <w:r>
        <w:t xml:space="preserve">Auf ein Schuldverhältnis, das vor dem 1. Oktober 2021 entstanden ist, sind die §§ 308 und 310 Absatz 1 Satz 1 und 2 des Bürgerlichen Gesetzbuchs in der bis zu diesem Tag geltenden Fassung anzuwenden. </w:t>
      </w:r>
      <w:r>
        <w:rPr>
          <w:rStyle w:val="Satznummer"/>
        </w:rPr>
        <w:t>2</w:t>
      </w:r>
      <w:r>
        <w:t xml:space="preserve">Auf ein Schuldverhältnis, das vor dem 1. März 2022 entstanden ist, ist § 309 des Bürgerlichen Gesetzbuchs in der bis zu diesem Tag geltenden Fassung anzuwenden. </w:t>
      </w:r>
      <w:r>
        <w:rPr>
          <w:rStyle w:val="Satznummer"/>
        </w:rPr>
        <w:t>3</w:t>
      </w:r>
      <w:r>
        <w:t>Die in § 312k des Bürgerlichen Gesetzbuchs in der Fassung vom 1. Juli 2022 vorgesehenen Pflichten gelten auch im Hinblick auf Schuldverhältnisse, die vor diesem Tag entstanden sind.</w:t>
      </w:r>
    </w:p>
    <w:p>
      <w:pPr>
        <w:pStyle w:val="Heading3"/>
      </w:pPr>
      <w:bookmarkStart w:id="294" w:name="b293"/>
      <w:r>
        <w:t>Art 229 § 61 Übergangsvorschrift zum Personengesellschaftsrechtsmodernisierungsgesetz</w:t>
      </w:r>
      <w:r>
        <w:t xml:space="preserve"> </w:t>
      </w:r>
      <w:r>
        <w:rPr>
          <w:rStyle w:val="Suchmarke"/>
        </w:rPr>
        <w:t>#229-61.#</w:t>
      </w:r>
      <w:bookmarkEnd w:id="294"/>
    </w:p>
    <w:p>
      <w:r>
        <w:rPr>
          <w:rStyle w:val="Satznummer"/>
        </w:rPr>
        <w:t>1</w:t>
      </w:r>
      <w:r>
        <w:t xml:space="preserve">Die §§ 723 bis 728 des Bürgerlichen Gesetzbuchs in der vor dem 1. Januar 2024 geltenden Fassung sind mangels anderweitiger vertraglicher Vereinbarung weiter anzuwenden, wenn ein Gesellschafter bis zum 31. Dezember 2024 die Anwendung dieser Vorschriften gegenüber der Gesellschaft schriftlich verlangt, bevor innerhalb dieser Frist ein zur Auflösung der Gesellschaft oder zum Ausscheiden eines Gesellschafters führender Grund eintritt. </w:t>
      </w:r>
      <w:r>
        <w:rPr>
          <w:rStyle w:val="Satznummer"/>
        </w:rPr>
        <w:t>2</w:t>
      </w:r>
      <w:r>
        <w:t>Das Verlangen kann durch einen Gesellschafterbeschluss zurückgewiesen werden.</w:t>
      </w:r>
    </w:p>
    <w:p>
      <w:pPr>
        <w:pStyle w:val="Heading3"/>
      </w:pPr>
      <w:bookmarkStart w:id="295" w:name="b294"/>
      <w:r>
        <w:t>Art 229 § 62 Übergangsvorschrift zum Mietspiegelreformgesetz</w:t>
      </w:r>
      <w:r>
        <w:t xml:space="preserve"> </w:t>
      </w:r>
      <w:r>
        <w:rPr>
          <w:rStyle w:val="Suchmarke"/>
        </w:rPr>
        <w:t>#229-62.#</w:t>
      </w:r>
      <w:bookmarkEnd w:id="295"/>
    </w:p>
    <w:p>
      <w:r>
        <w:rPr>
          <w:rStyle w:val="Satznummer"/>
        </w:rPr>
        <w:t>1</w:t>
      </w:r>
      <w:r>
        <w:t xml:space="preserve">Für Gemeinden, für die infolge der durch § 558c Absatz 4 Satz 2 des Bürgerlichen Gesetzbuchs in der ab dem 1. Juli 2022 geltenden Fassung eingeführten Pflicht erstmalig ein Mietspiegel zu erstellen ist, ist dieser bis spätestens 1. Januar 2023 zu erstellen und zu veröffentlichen. </w:t>
      </w:r>
      <w:r>
        <w:rPr>
          <w:rStyle w:val="Satznummer"/>
        </w:rPr>
        <w:t>2</w:t>
      </w:r>
      <w:r>
        <w:t>Wird für die Gemeinde in Erfüllung dieser Verpflichtung ein qualifizierter Mietspiegel erstellt, ist dieser bis spätestens 1. Januar 2024 zu erstellen und zu veröffentlichen.</w:t>
      </w:r>
    </w:p>
    <w:p>
      <w:pPr>
        <w:pStyle w:val="Heading3"/>
      </w:pPr>
      <w:bookmarkStart w:id="296" w:name="b295"/>
      <w:r>
        <w:t>Art 229 § 63 Überleitungsvorschrift zum Gesetz zur Änderung der Strafprozessordnung – Erweiterung der Wiederaufnahmemöglichkeiten zuungunsten des Verurteilten gemäß § 362 StPO und zur Änderung der zivilrechtlichen Verjährung (Gesetz zur Herstellung materieller Gerechtigkeit)</w:t>
      </w:r>
      <w:r>
        <w:t xml:space="preserve"> </w:t>
      </w:r>
      <w:r>
        <w:rPr>
          <w:rStyle w:val="Suchmarke"/>
        </w:rPr>
        <w:t>#229-63.#</w:t>
      </w:r>
      <w:bookmarkEnd w:id="296"/>
    </w:p>
    <w:p>
      <w:r>
        <w:t>§ 194 des Bürgerlichen Gesetzbuchs in der ab dem 30. Dezember 2021 geltenden Fassung ist auf die an diesem Tag bestehenden noch nicht verjährten Ansprüche anzuwenden.</w:t>
      </w:r>
    </w:p>
    <w:p>
      <w:pPr>
        <w:pStyle w:val="Heading3"/>
      </w:pPr>
      <w:bookmarkStart w:id="297" w:name="b296"/>
      <w:r>
        <w:t>Art 229 § 64 Übergangsvorschrift zum Gesetz zur Abschaffung des Güterrechtsregisters</w:t>
      </w:r>
      <w:r>
        <w:t xml:space="preserve"> </w:t>
      </w:r>
      <w:r>
        <w:rPr>
          <w:rStyle w:val="Suchmarke"/>
        </w:rPr>
        <w:t>#229-64.#</w:t>
      </w:r>
      <w:bookmarkEnd w:id="297"/>
    </w:p>
    <w:p>
      <w:r>
        <w:t>(1) Abweichend von § 1412 des Bürgerlichen Gesetzbuchs können Ehegatten und Partner einer eingetragenen Lebenspartnerschaft auch aus Eintragungen im Güterrechtsregister Dritten gegenüber Einwendungen</w:t>
      </w:r>
    </w:p>
    <w:p>
      <w:pPr>
        <w:tabs>
          <w:tab w:pos="567" w:val="left"/>
        </w:tabs>
        <w:ind w:left="567" w:hanging="567"/>
      </w:pPr>
      <w:r>
        <w:t>1.</w:t>
      </w:r>
      <w:r>
        <w:tab/>
      </w:r>
      <w:r>
        <w:t>gegen ein Rechtsgeschäft herleiten, das zwischen einem der Ehegatten und dem Dritten vorgenommen worden ist, wenn das Geschäft vor dem 1. Januar 2028 abgeschlossen oder die Rechtshandlung vorgenommen worden ist, oder</w:t>
      </w:r>
    </w:p>
    <w:p>
      <w:pPr>
        <w:tabs>
          <w:tab w:pos="567" w:val="left"/>
        </w:tabs>
        <w:ind w:left="567" w:hanging="567"/>
      </w:pPr>
      <w:r>
        <w:t>2.</w:t>
      </w:r>
      <w:r>
        <w:tab/>
      </w:r>
      <w:r>
        <w:t>gegen ein rechtskräftiges Urteil herleiten, das zwischen einem der Ehegatten und dem Dritten ergangen ist, wenn der Rechtsstreit vor dem 1. Januar 2028 rechtshängig geworden ist.</w:t>
      </w:r>
    </w:p>
    <w:p>
      <w:r>
        <w:t>(2) Haben die Ehegatten Gütergemeinschaft vereinbart und dies in das Güterrechtsregister eintragen lassen, kann jeder Ehegatte ab dem 1. Januar 2023 verlangen, dass die vertragliche Regelung wegen Wegfalls des Güterrechtsregisters nach den Grundsätzen des § 313 des Bürgerlichen Gesetzbuchs angepasst wird.</w:t>
      </w:r>
    </w:p>
    <w:p>
      <w:r>
        <w:t xml:space="preserve">(3) </w:t>
      </w:r>
      <w:r>
        <w:rPr>
          <w:rStyle w:val="Satznummer"/>
        </w:rPr>
        <w:t>1</w:t>
      </w:r>
      <w:r>
        <w:t xml:space="preserve">Wird eine bestehende Eintragung in dem Register in der Zeit vom 1. Januar 2023 bis 31. Dezember 2027 unrichtig oder verlegen beide Ehegatten in diesem Zeitraum ihren gewöhnlichen Aufenthalt in einen anderen Registerbezirk, so verliert die Eintragung ihre Wirkung. </w:t>
      </w:r>
      <w:r>
        <w:rPr>
          <w:rStyle w:val="Satznummer"/>
        </w:rPr>
        <w:t>2</w:t>
      </w:r>
      <w:r>
        <w:t>Eine nach Satz 1 unwirksame Eintragung ist auf Antrag eines Ehegatten zu löschen; die folgenden Vorschriften sind in der bis einschließlich 31. Dezember 2022 geltenden Fassung entsprechend anzuwenden:</w:t>
      </w:r>
    </w:p>
    <w:p>
      <w:pPr>
        <w:tabs>
          <w:tab w:pos="567" w:val="left"/>
        </w:tabs>
        <w:ind w:left="567" w:hanging="567"/>
      </w:pPr>
      <w:r>
        <w:t>1.</w:t>
      </w:r>
      <w:r>
        <w:tab/>
      </w:r>
      <w:r>
        <w:t>die §§ 1558 und 1560 des Bürgerlichen Gesetzbuchs,</w:t>
      </w:r>
    </w:p>
    <w:p>
      <w:pPr>
        <w:tabs>
          <w:tab w:pos="567" w:val="left"/>
        </w:tabs>
        <w:ind w:left="567" w:hanging="567"/>
      </w:pPr>
      <w:r>
        <w:t>2.</w:t>
      </w:r>
      <w:r>
        <w:tab/>
      </w:r>
      <w:r>
        <w:t>die auf der Grundlage des § 1558 Absatz 2 des Bürgerlichen Gesetzbuchs erlassenen Rechtsverordnungen,</w:t>
      </w:r>
    </w:p>
    <w:p>
      <w:pPr>
        <w:tabs>
          <w:tab w:pos="567" w:val="left"/>
        </w:tabs>
        <w:ind w:left="567" w:hanging="567"/>
      </w:pPr>
      <w:r>
        <w:t>3.</w:t>
      </w:r>
      <w:r>
        <w:tab/>
      </w:r>
      <w:r>
        <w:t>das Gesetz über das Verfahren in Familiensachen und in den Angelegenheiten der freiwilligen Gerichtsbarkeit und</w:t>
      </w:r>
    </w:p>
    <w:p>
      <w:pPr>
        <w:tabs>
          <w:tab w:pos="567" w:val="left"/>
        </w:tabs>
        <w:ind w:left="567" w:hanging="567"/>
      </w:pPr>
      <w:r>
        <w:t>4.</w:t>
      </w:r>
      <w:r>
        <w:tab/>
      </w:r>
      <w:r>
        <w:t>§ 3 Nummer 1 Buchstabe e des Rechtspflegergesetzes.</w:t>
      </w:r>
    </w:p>
    <w:p>
      <w:r>
        <w:t xml:space="preserve">(4) </w:t>
      </w:r>
      <w:r>
        <w:rPr>
          <w:rStyle w:val="Satznummer"/>
        </w:rPr>
        <w:t>1</w:t>
      </w:r>
      <w:r>
        <w:t xml:space="preserve">Bis zum 31. Dezember 2037 ist jedem die Einsicht in das Register gestattet. </w:t>
      </w:r>
      <w:r>
        <w:rPr>
          <w:rStyle w:val="Satznummer"/>
        </w:rPr>
        <w:t>2</w:t>
      </w:r>
      <w:r>
        <w:t xml:space="preserve">Von den Eintragungen kann eine Abschrift angefordert werden. </w:t>
      </w:r>
      <w:r>
        <w:rPr>
          <w:rStyle w:val="Satznummer"/>
        </w:rPr>
        <w:t>3</w:t>
      </w:r>
      <w:r>
        <w:t>Die Abschrift ist auf Verlangen zu beglaubigen.</w:t>
      </w:r>
    </w:p>
    <w:p>
      <w:r>
        <w:t>(5) Nach dem 31. Dezember 2037 können aus der Registereintragung keine Rechte mehr hergeleitet werden.</w:t>
      </w:r>
    </w:p>
    <w:p>
      <w:r>
        <w:t xml:space="preserve">(6) </w:t>
      </w:r>
      <w:r>
        <w:rPr>
          <w:rStyle w:val="Satznummer"/>
        </w:rPr>
        <w:t>1</w:t>
      </w:r>
      <w:r>
        <w:t xml:space="preserve">Die Rechte nach Artikel 15 der Verordnung (EU) 2016/679 des Europäischen Parlaments und des Rates vom 27. April 2016 zum Schutz natürlicher Personen bei der Verarbeitung personenbezogener Daten, zum Datenverkehr und zur Aufhebung der Richtlinie 95/46/EG (Datenschutz-Grundverordnung) (ABl. L 119 vom 4.5.2016, S. 1; L 314 vom 22.11.2016, S. 72; L 127 vom 23.5.2018, S. 2; L 74 vom 4.3.2021, S. 35) werden durch Einsicht in das Register nach Absatz 4 gewährt. </w:t>
      </w:r>
      <w:r>
        <w:rPr>
          <w:rStyle w:val="Satznummer"/>
        </w:rPr>
        <w:t>2</w:t>
      </w:r>
      <w:r>
        <w:t xml:space="preserve">Das Gericht ist nicht verpflichtet, Personen, deren personenbezogene Daten im Güterrechtsregister oder in den Registerakten gespeichert sind, über die Offenlegung dieser Daten an Dritte Auskunft zu erteilen. </w:t>
      </w:r>
      <w:r>
        <w:rPr>
          <w:rStyle w:val="Satznummer"/>
        </w:rPr>
        <w:t>3</w:t>
      </w:r>
      <w:r>
        <w:t>Im Übrigen gilt § 79a Absatz 2 und 3 des Bürgerlichen Gesetzbuchs entsprechend.</w:t>
      </w:r>
    </w:p>
    <w:p>
      <w:pPr>
        <w:pStyle w:val="Heading3"/>
      </w:pPr>
      <w:bookmarkStart w:id="298" w:name="b297"/>
      <w:r>
        <w:t>Art 229 § 65 Überleitungsvorschrift zum Verbandsklagenrichtlinienumsetzungsgesetz</w:t>
      </w:r>
      <w:r>
        <w:t xml:space="preserve"> </w:t>
      </w:r>
      <w:r>
        <w:rPr>
          <w:rStyle w:val="Suchmarke"/>
        </w:rPr>
        <w:t>#229-65.#</w:t>
      </w:r>
      <w:bookmarkEnd w:id="298"/>
    </w:p>
    <w:p>
      <w:r>
        <w:rPr>
          <w:rStyle w:val="Satznummer"/>
        </w:rPr>
        <w:t>1</w:t>
      </w:r>
      <w:r>
        <w:t xml:space="preserve">Die Vorschriften über die Hemmung der Verjährung nach den §§ 204 und 204a Absatz 1 Satz 1 Nummer 3 sowie Absatz 3 und 4 des Bürgerlichen Gesetzbuchs in der ab dem 13. Oktober 2023 geltenden Fassung sind auf die an diesem Tag bestehenden noch nicht verjährten Ansprüche anzuwenden. </w:t>
      </w:r>
      <w:r>
        <w:rPr>
          <w:rStyle w:val="Satznummer"/>
        </w:rPr>
        <w:t>2</w:t>
      </w:r>
      <w:r>
        <w:t xml:space="preserve">Für den Zeitraum vor dem 13. Oktober 2023 richtet sich die Hemmung der Verjährung für diese Ansprüche nach den bis zu diesem Tag geltenden Vorschriften des Bürgerlichen Gesetzbuchs. </w:t>
      </w:r>
      <w:r>
        <w:rPr>
          <w:rStyle w:val="Satznummer"/>
        </w:rPr>
        <w:t>3</w:t>
      </w:r>
      <w:r>
        <w:t xml:space="preserve">Die Vorschriften über die Hemmung der Verjährung nach § 204a Absatz 1 Satz 1 Nummer 1, 2 und 4 und Satz 2 des Bürgerlichen Gesetzbuchs sind nur auf diejenigen Ansprüche von Verbrauchern anzuwenden, die aufgrund solcher Zuwiderhandlungen eines Unternehmers nach § 2 des Unterlassungsklagengesetzes oder nach § 8 Absatz 1 des Gesetzes gegen den unlauteren Wettbewerb entstanden sind, die nach dem Ablauf des 12. Oktober 2023 begangen wurden. </w:t>
      </w:r>
      <w:r>
        <w:rPr>
          <w:rStyle w:val="Satznummer"/>
        </w:rPr>
        <w:t>4</w:t>
      </w:r>
      <w:r>
        <w:t xml:space="preserve">Für Ansprüche, die aufgrund von Zuwiderhandlungen entstanden sind, die ein Unternehmer vor dem 25. Juni 2023 begangen hat, richtet sich die Hemmung der Verjährung unabhängig davon, wann die Ansprüche entstanden sind, nach den vor dem 13. Oktober 2023 geltenden Vorschriften. </w:t>
      </w:r>
      <w:r>
        <w:rPr>
          <w:rStyle w:val="Satznummer"/>
        </w:rPr>
        <w:t>5</w:t>
      </w:r>
      <w:r>
        <w:t>Die Sätze 2 und 3 gelten entsprechend für die Regelungen über die Hemmung der Verjährung nach § 204a Absatz 2 des Bürgerlichen Gesetzbuchs.</w:t>
      </w:r>
    </w:p>
    <w:p>
      <w:pPr>
        <w:pStyle w:val="Heading3"/>
      </w:pPr>
      <w:bookmarkStart w:id="299" w:name="b298"/>
      <w:r>
        <w:t>Art 229 § 66 Übergangsvorschrift zum Gesetz zur Finanzierung von zukunftssichernden Investitionen</w:t>
      </w:r>
      <w:r>
        <w:t xml:space="preserve"> </w:t>
      </w:r>
      <w:r>
        <w:rPr>
          <w:rStyle w:val="Suchmarke"/>
        </w:rPr>
        <w:t>#229-66.#</w:t>
      </w:r>
      <w:bookmarkEnd w:id="299"/>
    </w:p>
    <w:p>
      <w:r>
        <w:t>Auf ein Schuldverhältnis, das vor dem 15. Dezember 2023 entstanden ist, ist § 310 des Bürgerlichen Gesetzesbuchs in der bis einschließlich 14. Dezember 2023 geltenden Fassung weiter anzuwenden.</w:t>
      </w:r>
    </w:p>
    <w:p>
      <w:pPr>
        <w:pStyle w:val="Heading3"/>
      </w:pPr>
      <w:bookmarkStart w:id="300" w:name="b299"/>
      <w:r>
        <w:t>Art 229 § 67 Überleitungsvorschrift zum Gesetz zur Änderung des Ehenamens- und Geburtsnamensrechts und des Internationalen Namensrechts</w:t>
      </w:r>
      <w:r>
        <w:t xml:space="preserve"> </w:t>
      </w:r>
      <w:r>
        <w:rPr>
          <w:rStyle w:val="Suchmarke"/>
        </w:rPr>
        <w:t>#229-67.#</w:t>
      </w:r>
      <w:bookmarkEnd w:id="300"/>
    </w:p>
    <w:p>
      <w:r>
        <w:t xml:space="preserve">(1) </w:t>
      </w:r>
      <w:r>
        <w:rPr>
          <w:rStyle w:val="Satznummer"/>
        </w:rPr>
        <w:t>1</w:t>
      </w:r>
      <w:r>
        <w:t>Ehegatten, die am 1. Mai 2025 bereits einen Ehenamen führen, können</w:t>
      </w:r>
    </w:p>
    <w:p>
      <w:pPr>
        <w:tabs>
          <w:tab w:pos="567" w:val="left"/>
        </w:tabs>
        <w:ind w:left="567" w:hanging="567"/>
      </w:pPr>
      <w:r>
        <w:t>1.</w:t>
      </w:r>
      <w:r>
        <w:tab/>
      </w:r>
      <w:r>
        <w:t>ihren Ehenamen durch Wahl eines aus den Namen beider Ehegatten gebildeten Doppelnamens nach § 1355 Absatz 2 Satz 1 Nummer 3 in Verbindung mit Satz 2, Absatz 3 Nummer 2, Absatz 4 Satz 2 des Bürgerlichen Gesetzbuchs neu bestimmen oder</w:t>
      </w:r>
    </w:p>
    <w:p>
      <w:pPr>
        <w:tabs>
          <w:tab w:pos="567" w:val="left"/>
        </w:tabs>
        <w:ind w:left="567" w:hanging="567"/>
      </w:pPr>
      <w:r>
        <w:t>2.</w:t>
      </w:r>
      <w:r>
        <w:tab/>
      </w:r>
      <w:r>
        <w:t>die Bestimmung des Ehenamens durch Erklärung gegenüber dem Standesamt, die öffentlich zu beglaubigen ist, widerrufen.</w:t>
      </w:r>
    </w:p>
    <w:p>
      <w:r>
        <w:rPr>
          <w:rStyle w:val="Satznummer"/>
        </w:rPr>
        <w:t>2</w:t>
      </w:r>
      <w:r>
        <w:t xml:space="preserve">In den Fällen des Satzes 1 Nummer 2 können Ehegatten den Geburtsnamen ihrer minderjährigen Kinder nach Absatz 2 neu bestimmen. </w:t>
      </w:r>
      <w:r>
        <w:rPr>
          <w:rStyle w:val="Satznummer"/>
        </w:rPr>
        <w:t>3</w:t>
      </w:r>
      <w:r>
        <w:t>Ein volljähriges Kind kann seinen Geburtsnamen entsprechend § 1617d Absatz 3 Satz 1 Nummer 2, Satz 2 des Bürgerlichen Gesetzbuchs neu bestimmen; § 1617c Absatz 3 gilt entsprechend.</w:t>
      </w:r>
    </w:p>
    <w:p>
      <w:r>
        <w:t xml:space="preserve">(2) </w:t>
      </w:r>
      <w:r>
        <w:rPr>
          <w:rStyle w:val="Satznummer"/>
        </w:rPr>
        <w:t>1</w:t>
      </w:r>
      <w:r>
        <w:t xml:space="preserve">Der Geburtsname vor dem 1. Mai 2025 geborener minderjähriger Kinder von Eltern ohne Ehenamen kann durch Wahl eines aus den Namen beider Elternteile gebildeten Doppelnamens nach § 1617 Absatz 1 Satz 1 Nummer 2 in Verbindung mit Satz 2, Absatz 2 Nummer 2, Absatz 3 und 5 des Bürgerlichen Gesetzbuchs, auch in Verbindung mit den §§ 1617a und 1617b des Bürgerlichen Gesetzbuchs, neu bestimmt werden. </w:t>
      </w:r>
      <w:r>
        <w:rPr>
          <w:rStyle w:val="Satznummer"/>
        </w:rPr>
        <w:t>2</w:t>
      </w:r>
      <w:r>
        <w:t xml:space="preserve">Hat das Kind das fünfte Lebensjahr vollendet, so bedarf die Neubestimmung seines Geburtsnamens seiner Einwilligung. </w:t>
      </w:r>
      <w:r>
        <w:rPr>
          <w:rStyle w:val="Satznummer"/>
        </w:rPr>
        <w:t>3</w:t>
      </w:r>
      <w:r>
        <w:t>Für die Einwilligung gilt § 1617c Absatz 1 Satz 2 und 3 des Bürgerlichen Gesetzbuchs entsprechend.</w:t>
      </w:r>
    </w:p>
    <w:p>
      <w:r>
        <w:t>(3) § 1617e Absatz 4 des Bürgerlichen Gesetzbuchs ist auf Kinder anzuwenden, die</w:t>
      </w:r>
    </w:p>
    <w:p>
      <w:pPr>
        <w:tabs>
          <w:tab w:pos="567" w:val="left"/>
        </w:tabs>
        <w:ind w:left="567" w:hanging="567"/>
      </w:pPr>
      <w:r>
        <w:t>1.</w:t>
      </w:r>
      <w:r>
        <w:tab/>
      </w:r>
      <w:r>
        <w:t>vor dem 1. Mai 2025 nach § 1618 des Bürgerlichen Gesetzbuchs oder vor dem 1. Juli 1970 nach § 1706 des Bürgerlichen Gesetzbuchs in den jeweils geltenden Fassungen einbenannt wurden oder</w:t>
      </w:r>
    </w:p>
    <w:p>
      <w:pPr>
        <w:tabs>
          <w:tab w:pos="567" w:val="left"/>
        </w:tabs>
        <w:ind w:left="567" w:hanging="567"/>
      </w:pPr>
      <w:r>
        <w:t>2.</w:t>
      </w:r>
      <w:r>
        <w:tab/>
      </w:r>
      <w:r>
        <w:t>vor dem 2. Oktober 1990 nach § 65 des Familiengesetzbuchs der Deutschen Demokratischen Republik vom 20. Dezember 1965 (GBl. 1966 I Nr. 1 S. 1) in der jeweils geltenden Fassung einbenannt wurden.</w:t>
      </w:r>
    </w:p>
    <w:p>
      <w:r>
        <w:t xml:space="preserve">(4) </w:t>
      </w:r>
      <w:r>
        <w:rPr>
          <w:rStyle w:val="Satznummer"/>
        </w:rPr>
        <w:t>1</w:t>
      </w:r>
      <w:r>
        <w:t xml:space="preserve">Der Geburtsname vor dem 1. Mai 2025 geborener minderjähriger Kinder, die der friesischen Volksgruppe oder der dänischen Minderheit angehören, kann nach den §§ 1617g und 1617h des Bürgerlichen Gesetzbuchs neu bestimmt werden. </w:t>
      </w:r>
      <w:r>
        <w:rPr>
          <w:rStyle w:val="Satznummer"/>
        </w:rPr>
        <w:t>2</w:t>
      </w:r>
      <w:r>
        <w:t>Absatz 2 Satz 2 und 3 gilt entsprechend.</w:t>
      </w:r>
    </w:p>
    <w:p>
      <w:r>
        <w:t>(5) § 1617 Absatz 5 des Bürgerlichen Gesetzbuchs gilt für nach dem 30. April 2025 geborene Kinder mit der Maßgabe, dass für sie auch ein Doppelname bestimmt werden kann, der aus dem Namen des vorgeborenen Kindes der Eltern und dem Namen desjenigen Elternteils gebildet wird, dessen Name nicht zum Geburtsnamen des vorgeborenen Kindes bestimmt wurde.</w:t>
      </w:r>
    </w:p>
    <w:p>
      <w:r>
        <w:t xml:space="preserve">(6) </w:t>
      </w:r>
      <w:r>
        <w:rPr>
          <w:rStyle w:val="Satznummer"/>
        </w:rPr>
        <w:t>1</w:t>
      </w:r>
      <w:r>
        <w:t xml:space="preserve">Eine vor dem 1. Mai 2025 gemäß § 1767 des Bürgerlichen Gesetzbuchs angenommene Person kann den vor dem Ausspruch der Annahme geführten Namen zum Geburtsnamen bestimmen oder aus dem vor dem Ausspruch der Annahme geführten Namen und dem Familiennamen der annehmenden Person einen Doppelnamen zum Geburtsnamen bestimmen; § 1617 Absatz 1 Satz 2 und Absatz 2 Nummer 2 des Bürgerlichen Gesetzbuchs gilt entsprechend. </w:t>
      </w:r>
      <w:r>
        <w:rPr>
          <w:rStyle w:val="Satznummer"/>
        </w:rPr>
        <w:t>2</w:t>
      </w:r>
      <w:r>
        <w:t>Die Erklärung ist gegenüber dem Standesamt abzugeben; sie muss öffentlich beglaubigt werden.</w:t>
      </w:r>
    </w:p>
    <w:p>
      <w:r>
        <w:t xml:space="preserve">(7) Hat eine Person vor dem 1. Mai 2025 nach </w:t>
      </w:r>
      <w:hyperlink w:anchor="b59" w:history="1">
        <w:r>
          <w:rPr>
            <w:color w:val="0A3A8C"/>
            <w:u w:val="single"/>
          </w:rPr>
          <w:t xml:space="preserve">Artikel 47</w:t>
        </w:r>
      </w:hyperlink>
      <w:r>
        <w:t xml:space="preserve"> Absatz 1 ihren Familiennamen bestimmt, so kann sie diesen nach </w:t>
      </w:r>
      <w:hyperlink w:anchor="b59" w:history="1">
        <w:r>
          <w:rPr>
            <w:color w:val="0A3A8C"/>
            <w:u w:val="single"/>
          </w:rPr>
          <w:t xml:space="preserve">Artikel 47</w:t>
        </w:r>
      </w:hyperlink>
      <w:r>
        <w:t xml:space="preserve"> durch Bildung eines Doppelnamens aus ihren ursprünglichen Namen neu bestimmen.</w:t>
      </w:r>
    </w:p>
    <w:p>
      <w:r>
        <w:t>(8) Auf vor dem 1. Mai 2025 abgeschlossene Vorgänge bleibt das bisherige Internationale Privatrecht anwendbar.</w:t>
      </w:r>
    </w:p>
    <w:p>
      <w:pPr>
        <w:pStyle w:val="Heading3"/>
      </w:pPr>
      <w:bookmarkStart w:id="301" w:name="b300"/>
      <w:r>
        <w:t>Art 229 § 68 Überleitungsvorschrift zum Gesetz zum Schutz Minderjähriger bei Auslandsehen</w:t>
      </w:r>
      <w:r>
        <w:t xml:space="preserve"> </w:t>
      </w:r>
      <w:r>
        <w:rPr>
          <w:rStyle w:val="Suchmarke"/>
        </w:rPr>
        <w:t>#229-68.#</w:t>
      </w:r>
      <w:bookmarkEnd w:id="301"/>
    </w:p>
    <w:p>
      <w:r>
        <w:t>Auf vor dem 1. Juli 2024 erfolgte Verfügungen eines nicht wirksam Verheirateten über sein Vermögen im Ganzen oder über Haushaltsgegenstände und auf Verpflichtungen zu solchen Verfügungen finden im Fall der Heilung der Ehe nach § 1305 Absatz 2 des Bürgerlichen Gesetzbuchs die §§ 1365 und 1369 des Bürgerlichen Gesetzbuchs keine Anwendung.</w:t>
      </w:r>
    </w:p>
    <w:p>
      <w:pPr>
        <w:pStyle w:val="Heading3"/>
      </w:pPr>
      <w:bookmarkStart w:id="302" w:name="b301"/>
      <w:r>
        <w:t>Art 229 § 69 Übergangsvorschrift zum Gesetz zur Zulassung virtueller Wohnungseigentümerversammlungen, zur Erleichterung des Einsatzes von Steckersolargeräten und zur Übertragbarkeit beschränkter persönlicher Dienstbarkeiten für Erneuerbare-Energien-Anlagen</w:t>
      </w:r>
      <w:r>
        <w:t xml:space="preserve"> </w:t>
      </w:r>
      <w:r>
        <w:rPr>
          <w:rStyle w:val="Suchmarke"/>
        </w:rPr>
        <w:t>#229-69.#</w:t>
      </w:r>
      <w:bookmarkEnd w:id="302"/>
    </w:p>
    <w:p>
      <w:r>
        <w:t>§ 1092 Absatz 3 Satz 1 des Bürgerlichen Gesetzbuchs in der seit dem 17. Oktober 2024 geltenden Fassung ist nur auf beschränkte persönliche Dienstbarkeiten anzuwenden, für die die Eintragungsbewilligung nach dem 17. Oktober 2024 notariell beurkundet oder öffentlich beglaubigt wird.</w:t>
      </w:r>
    </w:p>
    <w:p>
      <w:pPr>
        <w:pStyle w:val="Heading3"/>
      </w:pPr>
      <w:bookmarkStart w:id="303" w:name="b302"/>
      <w:r>
        <w:t>Art 229 § 70 Übergangsvorschrift zum Schriftformerfordernis bei Gewerbemiet- und Landpachtverträgen</w:t>
      </w:r>
      <w:r>
        <w:t xml:space="preserve"> </w:t>
      </w:r>
      <w:r>
        <w:rPr>
          <w:rStyle w:val="Suchmarke"/>
        </w:rPr>
        <w:t>#229-70.#</w:t>
      </w:r>
      <w:bookmarkEnd w:id="303"/>
    </w:p>
    <w:p>
      <w:r>
        <w:t xml:space="preserve">(1) </w:t>
      </w:r>
      <w:r>
        <w:rPr>
          <w:rStyle w:val="Satznummer"/>
        </w:rPr>
        <w:t>1</w:t>
      </w:r>
      <w:r>
        <w:t xml:space="preserve">Auf Mietverhältnisse gemäß § 578 des Bürgerlichen Gesetzbuchs, die vor dem 1. Januar 2025 entstanden sind, ist § 578 Absatz 1 des Bürgerlichen Gesetzbuchs in der bis einschließlich 31. Dezember 2024 geltenden Fassung bis einschließlich 1. Januar 2026 weiter anzuwenden. </w:t>
      </w:r>
      <w:r>
        <w:rPr>
          <w:rStyle w:val="Satznummer"/>
        </w:rPr>
        <w:t>2</w:t>
      </w:r>
      <w:r>
        <w:t>Abweichend von Satz 1 ist auf Mietverhältnisse nach Satz 1, deren Änderung ab dem 1. Januar 2025 vereinbart wird, bereits ab dem Zeitpunkt der Änderungsvereinbarung § 578 des Bürgerlichen Gesetzbuchs in der Fassung vom 1. Januar 2025 anzuwenden.</w:t>
      </w:r>
    </w:p>
    <w:p>
      <w:r>
        <w:t xml:space="preserve">(2) </w:t>
      </w:r>
      <w:r>
        <w:rPr>
          <w:rStyle w:val="Satznummer"/>
        </w:rPr>
        <w:t>1</w:t>
      </w:r>
      <w:r>
        <w:t xml:space="preserve">Auf Landpachtverhältnisse gemäß § 585a des Bürgerlichen Gesetzbuchs, die vor dem 1. Januar 2025 entstanden sind, ist § 585a des Bürgerlichen Gesetzbuchs in der bis einschließlich 31. Dezember 2024 geltenden Fassung bis einschließlich 1. Juli 2026 weiter anzuwenden. </w:t>
      </w:r>
      <w:r>
        <w:rPr>
          <w:rStyle w:val="Satznummer"/>
        </w:rPr>
        <w:t>2</w:t>
      </w:r>
      <w:r>
        <w:t>Abweichend von Satz 1 ist auf Landpachtverhältnisse nach Satz 1, deren Änderung ab dem 1. Januar 2025 vereinbart wird, bereits ab dem Zeitpunkt der Änderungsvereinbarung § 585a des Bürgerlichen Gesetzbuchs in der Fassung vom 1. Januar 2025 anzuwenden.</w:t>
      </w:r>
    </w:p>
    <w:p>
      <w:pPr>
        <w:pStyle w:val="Heading3"/>
      </w:pPr>
      <w:bookmarkStart w:id="304" w:name="b303"/>
      <w:r>
        <w:t>Art 229 § 72 Übergangsvorschrift zum Gesetz zur Umsetzung der Richtlinie (EU) 2024/1799 zur Förderung der Reparatur von Waren sowie zur Verbesserung der Verfügbarkeit von Vorsorgeverfügungen</w:t>
      </w:r>
      <w:r>
        <w:t xml:space="preserve"> </w:t>
      </w:r>
      <w:r>
        <w:rPr>
          <w:rStyle w:val="Suchmarke"/>
        </w:rPr>
        <w:t>#229-72.#</w:t>
      </w:r>
      <w:bookmarkEnd w:id="304"/>
    </w:p>
    <w:p>
      <w:r>
        <w:rPr>
          <w:rStyle w:val="Satznummer"/>
        </w:rPr>
        <w:t>1</w:t>
      </w:r>
      <w:r>
        <w:t xml:space="preserve">Auf einen Kaufvertrag, der vor dem 31. Juli 2026 geschlossen worden ist, sind die Vorschriften dieses Gesetzes und des Bürgerlichen Gesetzbuchs in der bis einschließlich 30. Juli 2026 geltenden Fassung anzuwenden. </w:t>
      </w:r>
      <w:r>
        <w:rPr>
          <w:rStyle w:val="Satznummer"/>
        </w:rPr>
        <w:t>2</w:t>
      </w:r>
      <w:r>
        <w:t>Die Neuregelung in § 434 Absatz 3 Satz 2 des Bürgerlichen Gesetzbuchs, wonach die Reparierbarkeit zu den sonstigen Merkmalen der Sache gehört, ist erst auf Kaufverträge zwischen Unternehmern anzuwenden, die nach dem 31. Dezember 2027 geschlossen werden.</w:t>
      </w:r>
    </w:p>
    <w:p>
      <w:pPr>
        <w:pStyle w:val="Heading1"/>
      </w:pPr>
      <w:bookmarkStart w:id="305" w:name="b304"/>
      <w:r>
        <w:t>Sechster Teil Inkrafttreten und Übergangsrecht aus Anlaß der Einführung des Bürgerlichen Gesetzbuchs und dieses Einführungsgesetzes in dem in Art 3 des Einigungsvertrages genannten Gebiet</w:t>
      </w:r>
      <w:bookmarkEnd w:id="305"/>
    </w:p>
    <w:p>
      <w:pPr>
        <w:pStyle w:val="Heading2"/>
      </w:pPr>
      <w:bookmarkStart w:id="306" w:name="b305"/>
      <w:r>
        <w:t>Art 230 Inkrafttreten</w:t>
      </w:r>
      <w:r>
        <w:t xml:space="preserve"> </w:t>
      </w:r>
      <w:r>
        <w:rPr>
          <w:rStyle w:val="Suchmarke"/>
        </w:rPr>
        <w:t>#230.#</w:t>
      </w:r>
      <w:bookmarkEnd w:id="306"/>
    </w:p>
    <w:p>
      <w:r>
        <w:t>Das Bürgerliche Gesetzbuch und dieses Einführungsgesetz treten für das in Artikel 3 des Einigungsvertrages genannte Gebiet am Tage des Wirksamwerdens des Beitritts nach Maßgabe der folgenden Übergangsvorschriften in Kraft.</w:t>
      </w:r>
    </w:p>
    <w:p>
      <w:pPr>
        <w:pStyle w:val="Heading2"/>
      </w:pPr>
      <w:bookmarkStart w:id="307" w:name="b306"/>
      <w:r>
        <w:t>Art 231 Erstes Buch. Allgemeiner Teil des Bürgerlichen Gesetzbuchs</w:t>
      </w:r>
      <w:bookmarkEnd w:id="307"/>
    </w:p>
    <w:p>
      <w:pPr>
        <w:pStyle w:val="Heading3"/>
      </w:pPr>
      <w:bookmarkStart w:id="308" w:name="b307"/>
      <w:r>
        <w:t>Art 231 § 1 (weggefallen)</w:t>
      </w:r>
      <w:r>
        <w:t xml:space="preserve"> </w:t>
      </w:r>
      <w:r>
        <w:rPr>
          <w:rStyle w:val="Suchmarke"/>
        </w:rPr>
        <w:t>#231-1.#</w:t>
      </w:r>
      <w:bookmarkEnd w:id="308"/>
    </w:p>
    <w:p>
      <w:r>
        <w:t>-</w:t>
      </w:r>
    </w:p>
    <w:p>
      <w:pPr>
        <w:pStyle w:val="Heading3"/>
      </w:pPr>
      <w:bookmarkStart w:id="309" w:name="b308"/>
      <w:r>
        <w:t>Art 231 § 2 Vereine</w:t>
      </w:r>
      <w:r>
        <w:t xml:space="preserve"> </w:t>
      </w:r>
      <w:r>
        <w:rPr>
          <w:rStyle w:val="Suchmarke"/>
        </w:rPr>
        <w:t>#231-2.#</w:t>
      </w:r>
      <w:bookmarkEnd w:id="309"/>
    </w:p>
    <w:p>
      <w:r>
        <w:t>(1) Rechtsfähige Vereinigungen, die nach dem Gesetz über Vereinigungen - Vereinigungsgesetz - vom 21. Februar 1990 (GBl. I Nr. 10 S. 75), geändert durch das Gesetz vom 22. Juni 1990 (GBl. I Nr. 37 S. 470, Nr. 39 S. 546, vor dem Wirksamwerden des Beitritts entstanden sind, bestehen fort.</w:t>
      </w:r>
    </w:p>
    <w:p>
      <w:r>
        <w:t>(2) Auf sie sind ab dem Tag des Wirksamwerdens des Beitritts die §§ 21 bis 79 des Bürgerlichen Gesetzbuchs anzuwenden.</w:t>
      </w:r>
    </w:p>
    <w:p>
      <w:r>
        <w:t>(3) Die in Absatz 1 genannten Vereinigungen führen ab dem Wirksamwerden des Beitritts die Bezeichnung "eingetragener Verein".</w:t>
      </w:r>
    </w:p>
    <w:p>
      <w:r>
        <w:t>(4) Auf nicht rechtsfähige Vereinigungen im Sinn des Gesetzes über Vereinigungen - Vereinigungsgesetz - vom 21. Februar 1990 findet ab dem Tag des Wirksamwerdens des Beitritts § 54 des Bürgerlichen Gesetzbuchs Anwendung.</w:t>
      </w:r>
    </w:p>
    <w:p>
      <w:pPr>
        <w:pStyle w:val="Heading3"/>
      </w:pPr>
      <w:bookmarkStart w:id="310" w:name="b309"/>
      <w:r>
        <w:t>Art 231 § 3 Stiftungen</w:t>
      </w:r>
      <w:r>
        <w:t xml:space="preserve"> </w:t>
      </w:r>
      <w:r>
        <w:rPr>
          <w:rStyle w:val="Suchmarke"/>
        </w:rPr>
        <w:t>#231-3.#</w:t>
      </w:r>
      <w:bookmarkEnd w:id="310"/>
    </w:p>
    <w:p>
      <w:r>
        <w:t>(1) Die in dem in Artikel 3 des Einigungsvertrages genannten Gebiet bestehenden rechtsfähigen Stiftungen bestehen fort.</w:t>
      </w:r>
    </w:p>
    <w:p>
      <w:r>
        <w:t>(2) Auf Stiftungen des Privaten Rechts sind ab dem Tag des Wirksamwerdens des Beitritts die §§ 80 bis 88 des Bürgerlichen Gesetzbuchs anzuwenden.</w:t>
      </w:r>
    </w:p>
    <w:p>
      <w:pPr>
        <w:pStyle w:val="Heading3"/>
      </w:pPr>
      <w:bookmarkStart w:id="311" w:name="b310"/>
      <w:r>
        <w:t>Art 231 § 4 Haftung juristischer Personen für ihre Organe</w:t>
      </w:r>
      <w:r>
        <w:t xml:space="preserve"> </w:t>
      </w:r>
      <w:r>
        <w:rPr>
          <w:rStyle w:val="Suchmarke"/>
        </w:rPr>
        <w:t>#231-4.#</w:t>
      </w:r>
      <w:bookmarkEnd w:id="311"/>
    </w:p>
    <w:p>
      <w:r>
        <w:t>Die §§ 31 und 89 des Bürgerlichen Gesetzbuchs sind nur auf solche Handlungen anzuwenden, die am Tag des Wirksamwerdens des Beitritts oder danach begangen werden.</w:t>
      </w:r>
    </w:p>
    <w:p>
      <w:pPr>
        <w:pStyle w:val="Heading3"/>
      </w:pPr>
      <w:bookmarkStart w:id="312" w:name="b311"/>
      <w:r>
        <w:t>Art 231 § 5 Sachen</w:t>
      </w:r>
      <w:r>
        <w:t xml:space="preserve"> </w:t>
      </w:r>
      <w:r>
        <w:rPr>
          <w:rStyle w:val="Suchmarke"/>
        </w:rPr>
        <w:t>#231-5.#</w:t>
      </w:r>
      <w:bookmarkEnd w:id="312"/>
    </w:p>
    <w:p>
      <w:r>
        <w:t xml:space="preserve">(1) </w:t>
      </w:r>
      <w:r>
        <w:rPr>
          <w:rStyle w:val="Satznummer"/>
        </w:rPr>
        <w:t>1</w:t>
      </w:r>
      <w:r>
        <w:t xml:space="preserve">Nicht zu den Bestandteilen eines Grundstücks gehören Gebäude, Baulichkeiten, Anlagen, Anpflanzungen oder Einrichtungen, die gemäß dem am Tag vor dem Wirksamwerden des Beitritts geltenden Recht vom Grundstückseigentum unabhängiges Eigentum sind. </w:t>
      </w:r>
      <w:r>
        <w:rPr>
          <w:rStyle w:val="Satznummer"/>
        </w:rPr>
        <w:t>2</w:t>
      </w:r>
      <w:r>
        <w:t>Das gleiche gilt, wenn solche Gegenstände am Tag des Wirksamwerdens des Beitritts oder danach errichtet oder angebracht werden, soweit dies aufgrund eines vor dem Wirksamwerden des Beitritts begründeten Nutzungsrechts an dem Grundstück oder Nutzungsrechts nach den §§ 312 bis 315 des Zivilgesetzbuchs der Deutschen Demokratischen Republik zulässig ist.</w:t>
      </w:r>
    </w:p>
    <w:p>
      <w:r>
        <w:t xml:space="preserve">(2) </w:t>
      </w:r>
      <w:r>
        <w:rPr>
          <w:rStyle w:val="Satznummer"/>
        </w:rPr>
        <w:t>1</w:t>
      </w:r>
      <w:r>
        <w:t xml:space="preserve">Das Nutzungsrecht an dem Grundstück und die erwähnten Anlagen, Anpflanzungen oder Einrichtungen gelten als wesentliche Bestandteile des Gebäudes. </w:t>
      </w:r>
      <w:r>
        <w:rPr>
          <w:rStyle w:val="Satznummer"/>
        </w:rPr>
        <w:t>2</w:t>
      </w:r>
      <w:hyperlink w:anchor="b338" w:history="1">
        <w:r>
          <w:rPr>
            <w:color w:val="0A3A8C"/>
            <w:u w:val="single"/>
          </w:rPr>
          <w:t xml:space="preserve">Artikel 233 § 4</w:t>
        </w:r>
      </w:hyperlink>
      <w:r>
        <w:t xml:space="preserve"> Abs. 3 und 5 bleibt unberührt.</w:t>
      </w:r>
    </w:p>
    <w:p>
      <w:r>
        <w:t xml:space="preserve">(3) </w:t>
      </w:r>
      <w:r>
        <w:rPr>
          <w:rStyle w:val="Satznummer"/>
        </w:rPr>
        <w:t>1</w:t>
      </w:r>
      <w:r>
        <w:t xml:space="preserve">Das Gebäudeeigentum nach den Absätzen 1 und 2 erlischt, wenn nach dem 31. Dezember 2000 das Eigentum am Grundstück übertragen wird, es sei denn, daß das Nutzungsrecht oder das selbständige Gebäudeeigentum nach Artikel 233 § 2b Abs. 2 Satz 3 im Grundbuch des veräußerten Grundstücks eingetragen ist oder dem Erwerber das nicht eingetragene Recht bekannt war. </w:t>
      </w:r>
      <w:r>
        <w:rPr>
          <w:rStyle w:val="Satznummer"/>
        </w:rPr>
        <w:t>2</w:t>
      </w:r>
      <w:r>
        <w:t>Dem Inhaber des Gebäudeeigentums steht gegen den Veräußerer ein Anspruch auf Ersatz des Wertes zu, den das Gebäudeeigentum im Zeitpunkt seines Erlöschens hatte; an dem Gebäudeeigentum begründete Grundpfandrechte werden Pfandrechte an diesem Anspruch.</w:t>
      </w:r>
    </w:p>
    <w:p>
      <w:r>
        <w:t xml:space="preserve">(4) </w:t>
      </w:r>
      <w:r>
        <w:rPr>
          <w:rStyle w:val="Satznummer"/>
        </w:rPr>
        <w:t>1</w:t>
      </w:r>
      <w:r>
        <w:t xml:space="preserve">Wird nach dem 31. Dezember 2000 das Grundstück mit einem dinglichen Recht belastet oder ein solches Recht erworben, so gilt für den Inhaber des Rechts das Gebäude als Bestandteil des Grundstücks. </w:t>
      </w:r>
      <w:r>
        <w:rPr>
          <w:rStyle w:val="Satznummer"/>
        </w:rPr>
        <w:t>2</w:t>
      </w:r>
      <w:r>
        <w:t>Absatz 3 Satz 1 ist entsprechend anzuwenden.</w:t>
      </w:r>
    </w:p>
    <w:p>
      <w:r>
        <w:t xml:space="preserve">(5) </w:t>
      </w:r>
      <w:r>
        <w:rPr>
          <w:rStyle w:val="Satznummer"/>
        </w:rPr>
        <w:t>1</w:t>
      </w:r>
      <w:r>
        <w:t xml:space="preserve">Ist ein Gebäude auf mehreren Grundstücken errichtet, gelten die Absätze 3 und 4 nur in Ansehung des Grundstücks, auf dem sich der überwiegende Teil des Gebäudes befindet. </w:t>
      </w:r>
      <w:r>
        <w:rPr>
          <w:rStyle w:val="Satznummer"/>
        </w:rPr>
        <w:t>2</w:t>
      </w:r>
      <w:r>
        <w:t>Für den Erwerber des Grundstücks gelten in Ansehung des auf dem anderen Grundstück befindlichen Teils des Gebäudes die Vorschriften über den zu duldenden Überbau sinngemäß.</w:t>
      </w:r>
    </w:p>
    <w:p>
      <w:pPr>
        <w:pStyle w:val="Heading3"/>
      </w:pPr>
      <w:bookmarkStart w:id="313" w:name="b312"/>
      <w:r>
        <w:t>Art 231 § 6 Verjährung</w:t>
      </w:r>
      <w:r>
        <w:t xml:space="preserve"> </w:t>
      </w:r>
      <w:r>
        <w:rPr>
          <w:rStyle w:val="Suchmarke"/>
        </w:rPr>
        <w:t>#231-6.#</w:t>
      </w:r>
      <w:bookmarkEnd w:id="313"/>
    </w:p>
    <w:p>
      <w:r>
        <w:t xml:space="preserve">(1) </w:t>
      </w:r>
      <w:r>
        <w:rPr>
          <w:rStyle w:val="Satznummer"/>
        </w:rPr>
        <w:t>1</w:t>
      </w:r>
      <w:r>
        <w:t xml:space="preserve">Die Vorschriften des Bürgerlichen Gesetzbuchs über die Verjährung finden auf die am Tag des Wirksamwerdens des Beitritts bestehenden und noch nicht verjährten Ansprüche Anwendung. </w:t>
      </w:r>
      <w:r>
        <w:rPr>
          <w:rStyle w:val="Satznummer"/>
        </w:rPr>
        <w:t>2</w:t>
      </w:r>
      <w:r>
        <w:t>Der Beginn, die Hemmung und die Unterbrechung der Verjährung bestimmen sich jedoch für den Zeitraum vor dem Wirksamwerden des Beitritts nach den bislang für das in Artikel 3 des Einigungsvertrages genannte Gebiet geltenden Rechtsvorschriften.</w:t>
      </w:r>
    </w:p>
    <w:p>
      <w:r>
        <w:t xml:space="preserve">(2) </w:t>
      </w:r>
      <w:r>
        <w:rPr>
          <w:rStyle w:val="Satznummer"/>
        </w:rPr>
        <w:t>1</w:t>
      </w:r>
      <w:r>
        <w:t xml:space="preserve">Ist die Verjährungsfrist nach dem Bürgerlichen Gesetzbuch kürzer als nach den Rechtsvorschriften, die bislang für das in Artikel 3 des Einigungsvertrages genannte Gebiet galten, so wird die kürzere Frist von dem Tag des Wirksamwerdens des Beitritts an berechnet. </w:t>
      </w:r>
      <w:r>
        <w:rPr>
          <w:rStyle w:val="Satznummer"/>
        </w:rPr>
        <w:t>2</w:t>
      </w:r>
      <w:r>
        <w:t>Läuft jedoch die in den Rechtsvorschriften, die bislang für das in Artikel 3 des Einigungsvertrages genannte Gebiet galten, bestimmte längere Frist früher als die im Bürgerlichen Gesetzbuch bestimmte kürzere Frist ab, so ist die Verjährung mit dem Ablauf der längeren Frist vollendet.</w:t>
      </w:r>
    </w:p>
    <w:p>
      <w:r>
        <w:t>(3) Die Absätze 1 und 2 sind entsprechend auf Fristen anzuwenden, die für die Geltendmachung, den Erwerb oder den Verlust eines Rechts maßgebend sind.</w:t>
      </w:r>
    </w:p>
    <w:p>
      <w:pPr>
        <w:pStyle w:val="Heading3"/>
      </w:pPr>
      <w:bookmarkStart w:id="314" w:name="b313"/>
      <w:r>
        <w:t>Art 231 § 7 Beurkundungen und Beglaubigungen</w:t>
      </w:r>
      <w:r>
        <w:t xml:space="preserve"> </w:t>
      </w:r>
      <w:r>
        <w:rPr>
          <w:rStyle w:val="Suchmarke"/>
        </w:rPr>
        <w:t>#231-7.#</w:t>
      </w:r>
      <w:bookmarkEnd w:id="314"/>
    </w:p>
    <w:p>
      <w:r>
        <w:t>(1) Eine vor dem Wirksamwerden des Beitritts erfolgte notarielle Beurkundung oder Beglaubigung ist nicht deshalb unwirksam, weil die erforderliche Beurkundung oder Beglaubigung von einem Notar vorgenommen wurde, der nicht in dem in Artikel 3 des Einigungsvertrages genannten Gebiet berufen oder bestellt war, sofern dieser im Geltungsbereich des Grundgesetzes bestellt war.</w:t>
      </w:r>
    </w:p>
    <w:p>
      <w:r>
        <w:t>(2) Absatz 1 gilt nicht, soweit eine rechtskräftige Entscheidung entgegensteht.</w:t>
      </w:r>
    </w:p>
    <w:p>
      <w:r>
        <w:t>(3) Ein Vertrag, durch den sich der Beteiligte eines nach Absatz 1 wirksamen Rechtsgeschäfts vor Inkrafttreten des Zweiten Vermögensrechtsänderungsgesetzes gegenüber einem anderen Beteiligten zu weitergehenden Leistungen verpflichtet oder auf Rechte verzichtet hat, weil dieser die Nichtigkeit dieses Rechtsgeschäfts geltend gemacht hat, ist insoweit unwirksam, als die durch den Vertrag begründeten Rechte und Pflichten der Beteiligten von den Vereinbarungen in dem nach Absatz 1 wirksamen Rechtsgeschäft abweichen.</w:t>
      </w:r>
    </w:p>
    <w:p>
      <w:r>
        <w:t>(4) Eine Veräußerung nach den §§ 17 bis 19 des Gesetzes über die Gründung und Tätigkeit privater Unternehmen und über Unternehmensbeteiligungen vom 7. März 1990 (GBl. I Nr. 17 S. 141), die ohne die in § 19 Abs. 5 Satz 2 dieses Gesetzes geforderte notarielle Beurkundung der Umwandlungserklärung erfolgt ist, wird ihrem ganzen Inhalt nach gültig, wenn die gegründete Gesellschaft in das Register eingetragen ist.</w:t>
      </w:r>
    </w:p>
    <w:p>
      <w:pPr>
        <w:pStyle w:val="Heading3"/>
      </w:pPr>
      <w:bookmarkStart w:id="315" w:name="b314"/>
      <w:r>
        <w:t>Art 231 § 8 Vollmachtsurkunden staatlicher Organe, Falschbezeichnung von Kommunen</w:t>
      </w:r>
      <w:r>
        <w:t xml:space="preserve"> </w:t>
      </w:r>
      <w:r>
        <w:rPr>
          <w:rStyle w:val="Suchmarke"/>
        </w:rPr>
        <w:t>#231-8.#</w:t>
      </w:r>
      <w:bookmarkEnd w:id="315"/>
    </w:p>
    <w:p>
      <w:r>
        <w:t xml:space="preserve">(1) </w:t>
      </w:r>
      <w:r>
        <w:rPr>
          <w:rStyle w:val="Satznummer"/>
        </w:rPr>
        <w:t>1</w:t>
      </w:r>
      <w:r>
        <w:t xml:space="preserve">Eine von den in den §§ 2 und 3 der Siegelordnung der Deutschen Demokratischen Republik vom 29. November 1966 (GBl. 1967 II Nr. 9 S. 49) und in § 1 der Siegelordnung der Deutschen Demokratischen Republik vom 16. Juli 1981 (GBl. I Nr. 25 S. 309) bezeichneten staatlichen Organen erteilte Vollmachtsurkunde ist wirksam, wenn die Urkunde vom vertretungsberechtigten Leiter des Organs oder einer von diesem nach den genannten Bestimmungen ermächtigten Person unterzeichnet und mit einem ordnungsgemäßen Dienstsiegel versehen worden ist. </w:t>
      </w:r>
      <w:r>
        <w:rPr>
          <w:rStyle w:val="Satznummer"/>
        </w:rPr>
        <w:t>2</w:t>
      </w:r>
      <w:r>
        <w:t>Die Beglaubigung der Vollmacht nach § 57 Abs. 2 Satz 2 des Zivilgesetzbuchs der Deutschen Demokratischen Republik wird durch die Unterzeichnung und Siegelung der Urkunde ersetzt.</w:t>
      </w:r>
    </w:p>
    <w:p>
      <w:r>
        <w:t xml:space="preserve">(2) </w:t>
      </w:r>
      <w:r>
        <w:rPr>
          <w:rStyle w:val="Satznummer"/>
        </w:rPr>
        <w:t>1</w:t>
      </w:r>
      <w:r>
        <w:t xml:space="preserve">Rechtsgeschäfte und Rechtshandlungen, die der Vertreter einer Kommune zwischen dem 17. Mai 1990 und dem 3. Oktober 1990 namens des früheren Rates der betreffenden Kommune mit Vertretungsmacht vorgenommen hat, gelten als Rechtsgeschäfte und Rechtshandlungen der Kommune, die an die Stelle des früheren Rates der Kommune getreten ist. </w:t>
      </w:r>
      <w:r>
        <w:rPr>
          <w:rStyle w:val="Satznummer"/>
        </w:rPr>
        <w:t>2</w:t>
      </w:r>
      <w:r>
        <w:t xml:space="preserve">Die Vertretungsmacht des Vertreters der Kommune wird widerleglich vermutet, wenn die Kommune innerhalb eines Monats von dem Eingang einer Anzeige des Grundbuchamts von einer beabsichtigten Eintragung an keinen Widerspruch erhebt. </w:t>
      </w:r>
      <w:r>
        <w:rPr>
          <w:rStyle w:val="Satznummer"/>
        </w:rPr>
        <w:t>3</w:t>
      </w:r>
      <w:r>
        <w:t>Der Widerspruch der Kommune ist nur zu beachten, wenn er darauf gestützt wird, daß</w:t>
      </w:r>
    </w:p>
    <w:p>
      <w:pPr>
        <w:tabs>
          <w:tab w:pos="567" w:val="left"/>
        </w:tabs>
        <w:ind w:left="567" w:hanging="567"/>
      </w:pPr>
      <w:r>
        <w:t>1.</w:t>
      </w:r>
      <w:r>
        <w:tab/>
      </w:r>
      <w:r>
        <w:t>die für den früheren Rat handelnde Person als gesetzlicher Vertreter oder dessen Stellvertreter nach § 81 Satz 2 oder 3 des Gesetzes über die örtlichen Volksvertretungen vom 4. Juli 1985 (GBl. I Nr. 18 S. 213) auftrat, nachdem eine andere Person nach der Kommunalverfassung vom 17. Mai 1990 (GBl. I Nr. 28 S. 255) zum vertretungsbefugten Bürgermeister oder Landrat gewählt worden war und ihr Amt angetreten hatte,</w:t>
      </w:r>
    </w:p>
    <w:p>
      <w:pPr>
        <w:tabs>
          <w:tab w:pos="567" w:val="left"/>
        </w:tabs>
        <w:ind w:left="567" w:hanging="567"/>
      </w:pPr>
      <w:r>
        <w:t>2.</w:t>
      </w:r>
      <w:r>
        <w:tab/>
      </w:r>
      <w:r>
        <w:t>eine rechtsgeschäftlich erteilte Vollmacht widerrufen worden oder durch Zeitablauf erloschen war,</w:t>
      </w:r>
    </w:p>
    <w:p>
      <w:pPr>
        <w:tabs>
          <w:tab w:pos="567" w:val="left"/>
        </w:tabs>
        <w:ind w:left="567" w:hanging="567"/>
      </w:pPr>
      <w:r>
        <w:t>3.</w:t>
      </w:r>
      <w:r>
        <w:tab/>
      </w:r>
      <w:r>
        <w:t>die Gebietskörperschaft innerhalb von 2 Monaten nach Kenntnis des von einer Person abgeschlossenen Rechtsgeschäftes, die zum Zeitpunkt des Abschlusses Mitarbeiter der Verwaltung war, gegenüber dem Käufer erklärt hat, das im einzelnen bezeichnete Rechtsgeschäft nicht erfüllen zu wollen, oder</w:t>
      </w:r>
    </w:p>
    <w:p>
      <w:pPr>
        <w:tabs>
          <w:tab w:pos="567" w:val="left"/>
        </w:tabs>
        <w:ind w:left="567" w:hanging="567"/>
      </w:pPr>
      <w:r>
        <w:t>4.</w:t>
      </w:r>
      <w:r>
        <w:tab/>
      </w:r>
      <w:r>
        <w:t>das Rechtsgeschäft von einer Person abgeschlossen wurde, die nicht oder nicht mehr Mitarbeiter der Kommunalverwaltung war.</w:t>
      </w:r>
    </w:p>
    <w:p>
      <w:pPr>
        <w:pStyle w:val="Heading3"/>
      </w:pPr>
      <w:bookmarkStart w:id="316" w:name="b315"/>
      <w:r>
        <w:t>Art 231 § 9 Heilung unwirksamer Vermögensübertragungen</w:t>
      </w:r>
      <w:r>
        <w:t xml:space="preserve"> </w:t>
      </w:r>
      <w:r>
        <w:rPr>
          <w:rStyle w:val="Suchmarke"/>
        </w:rPr>
        <w:t>#231-9.#</w:t>
      </w:r>
      <w:bookmarkEnd w:id="316"/>
    </w:p>
    <w:p>
      <w:r>
        <w:t xml:space="preserve">(1) </w:t>
      </w:r>
      <w:r>
        <w:rPr>
          <w:rStyle w:val="Satznummer"/>
        </w:rPr>
        <w:t>1</w:t>
      </w:r>
      <w:r>
        <w:t xml:space="preserve">Sollte das ehemals volkseigene Vermögen oder ein Teil des ehemals volkseigenen Vermögens, das einem Betrieb der kommunalen Wohnungswirtschaft zur selbständigen Nutzung und Bewirtschaftung übertragen war, im Wege der Umwandlung nach den in Absatz 2 Nr. 2 genannten Umwandlungsvorschriften oder im Zusammenhang mit einer Sachgründung auf eine neue Kapitalgesellschaft übergehen und ist der Übergang deswegen nicht wirksam geworden, weil für einen solchen Vermögensübergang eine rechtliche Voraussetzung fehlte, kann der Vermögensübergang durch Zuordnungsbescheid nachgeholt werden. </w:t>
      </w:r>
      <w:r>
        <w:rPr>
          <w:rStyle w:val="Satznummer"/>
        </w:rPr>
        <w:t>2</w:t>
      </w:r>
      <w:r>
        <w:t>Eine aus dem Zuordnungsbescheid nach dieser Vorschrift begünstigte Kapitalgesellschaft kann ungeachtet von Fehlern bei der Umwandlung oder Sachgründung als Inhaberin eines Rechts an einem Grundstück oder an einem solchen Recht in das Grundbuch eingetragen werden, wenn sie im Handelregister eingetragen ist.</w:t>
      </w:r>
    </w:p>
    <w:p>
      <w:r>
        <w:t>(2) Im Sinne des Absatzes 1 Satz 1 sind:</w:t>
      </w:r>
    </w:p>
    <w:p>
      <w:pPr>
        <w:tabs>
          <w:tab w:pos="567" w:val="left"/>
        </w:tabs>
        <w:ind w:left="567" w:hanging="567"/>
      </w:pPr>
      <w:r>
        <w:t>1.</w:t>
      </w:r>
      <w:r>
        <w:tab/>
      </w:r>
      <w:r>
        <w:t>Betriebe der kommunalen Wohnungswirtschaft:</w:t>
      </w:r>
    </w:p>
    <w:p>
      <w:pPr>
        <w:tabs>
          <w:tab w:pos="1134" w:val="left"/>
        </w:tabs>
        <w:ind w:left="1134" w:hanging="567"/>
      </w:pPr>
      <w:r>
        <w:t>a)</w:t>
      </w:r>
      <w:r>
        <w:tab/>
      </w:r>
      <w:r>
        <w:t>ehemals volkseigene Betriebe Kommunale Wohnungsverwaltung,</w:t>
      </w:r>
    </w:p>
    <w:p>
      <w:pPr>
        <w:tabs>
          <w:tab w:pos="1134" w:val="left"/>
        </w:tabs>
        <w:ind w:left="1134" w:hanging="567"/>
      </w:pPr>
      <w:r>
        <w:t>b)</w:t>
      </w:r>
      <w:r>
        <w:tab/>
      </w:r>
      <w:r>
        <w:t>ehemals volkseigene Betriebe Gebäudewirtschaft oder</w:t>
      </w:r>
    </w:p>
    <w:p>
      <w:pPr>
        <w:tabs>
          <w:tab w:pos="1134" w:val="left"/>
        </w:tabs>
        <w:ind w:left="1134" w:hanging="567"/>
      </w:pPr>
      <w:r>
        <w:t>c)</w:t>
      </w:r>
      <w:r>
        <w:tab/>
      </w:r>
      <w:r>
        <w:t>aus solchen Betrieben hervorgegangene kommunale Regie- oder Eigenbetriebe;</w:t>
      </w:r>
    </w:p>
    <w:p>
      <w:pPr>
        <w:tabs>
          <w:tab w:pos="567" w:val="left"/>
        </w:tabs>
        <w:ind w:left="567" w:hanging="567"/>
      </w:pPr>
      <w:r>
        <w:t>2.</w:t>
      </w:r>
      <w:r>
        <w:tab/>
      </w:r>
      <w:r>
        <w:t>Umwandlungsvorschriften:</w:t>
      </w:r>
    </w:p>
    <w:p>
      <w:pPr>
        <w:tabs>
          <w:tab w:pos="1134" w:val="left"/>
        </w:tabs>
        <w:ind w:left="1134" w:hanging="567"/>
      </w:pPr>
      <w:r>
        <w:t>a)</w:t>
      </w:r>
      <w:r>
        <w:tab/>
      </w:r>
      <w:r>
        <w:t>die Verordnung zur Umwandlung von volkseigenen Kombinaten, Betrieben und Einrichtungen in Kapitalgesellschaften vom 1. März 1990 (GBl. I Nr. 14 S. 107),</w:t>
      </w:r>
    </w:p>
    <w:p>
      <w:pPr>
        <w:tabs>
          <w:tab w:pos="1134" w:val="left"/>
        </w:tabs>
        <w:ind w:left="1134" w:hanging="567"/>
      </w:pPr>
      <w:r>
        <w:t>b)</w:t>
      </w:r>
      <w:r>
        <w:tab/>
      </w:r>
      <w:r>
        <w:t>das Treuhandgesetz,</w:t>
      </w:r>
    </w:p>
    <w:p>
      <w:pPr>
        <w:tabs>
          <w:tab w:pos="1134" w:val="left"/>
        </w:tabs>
        <w:ind w:left="1134" w:hanging="567"/>
      </w:pPr>
      <w:r>
        <w:t>c)</w:t>
      </w:r>
      <w:r>
        <w:tab/>
      </w:r>
      <w:r>
        <w:t>das Gesetz über die Umwandlung volkseigener Wohnungswirtschaftsbetriebe in gemeinnützige Wohnungsbaugesellschaften und zur Übertragung des Grundeigentums an die Wohnungsgenossenschaften vom 22. Juli 1990 (GBl. I Nr. 49 S. 901) oder</w:t>
      </w:r>
    </w:p>
    <w:p>
      <w:pPr>
        <w:tabs>
          <w:tab w:pos="1134" w:val="left"/>
        </w:tabs>
        <w:ind w:left="1134" w:hanging="567"/>
      </w:pPr>
      <w:r>
        <w:t>d)</w:t>
      </w:r>
      <w:r>
        <w:tab/>
      </w:r>
      <w:r>
        <w:t>das Umwandlungsgesetz in der Fassung der Bekanntmachung vom 6. November 1969 (BGBl. I S. 2081).</w:t>
      </w:r>
    </w:p>
    <w:p>
      <w:r>
        <w:t>(3) Durch einen solchen Bescheid kann auch ein durch die Umwandlung eines der in Absatz 1 Satz 1 bezeichneten Unternehmen eingetretener Übergang ehemals volkseigenen Vermögens geändert werden.</w:t>
      </w:r>
    </w:p>
    <w:p>
      <w:r>
        <w:t xml:space="preserve">(4) </w:t>
      </w:r>
      <w:r>
        <w:rPr>
          <w:rStyle w:val="Satznummer"/>
        </w:rPr>
        <w:t>1</w:t>
      </w:r>
      <w:r>
        <w:t xml:space="preserve">Ein Bescheid nach den Absätzen 1 und 3 bedarf des Einvernehmens der Beteiligten. </w:t>
      </w:r>
      <w:r>
        <w:rPr>
          <w:rStyle w:val="Satznummer"/>
        </w:rPr>
        <w:t>2</w:t>
      </w:r>
      <w:r>
        <w:t xml:space="preserve">Das Einvernehmen kann durch den Zuordnungsbescheid ersetzt werden, wenn es rechtsmißbräuchlich verweigert wird. </w:t>
      </w:r>
      <w:r>
        <w:rPr>
          <w:rStyle w:val="Satznummer"/>
        </w:rPr>
        <w:t>3</w:t>
      </w:r>
      <w:r>
        <w:t xml:space="preserve">Die Ersetzung des Einvernehmens kann nur zusammen mit dem Zuordnungsbescheid vor dem Verwaltungsgericht angefochten werden. </w:t>
      </w:r>
      <w:r>
        <w:rPr>
          <w:rStyle w:val="Satznummer"/>
        </w:rPr>
        <w:t>4</w:t>
      </w:r>
      <w:r>
        <w:t>§ 6 des Vermögenszuordnungsgesetzes gilt sinngemäß.</w:t>
      </w:r>
    </w:p>
    <w:p>
      <w:r>
        <w:t xml:space="preserve">(5) </w:t>
      </w:r>
      <w:r>
        <w:rPr>
          <w:rStyle w:val="Satznummer"/>
        </w:rPr>
        <w:t>1</w:t>
      </w:r>
      <w:r>
        <w:t xml:space="preserve">Die in Absatz 1 bezeichneten Kapitalgesellschaften gelten auch schon vor Erteilung der Zuordnungsbescheide als ermächtigt, alle Rechte aus dem ehemals volkseigenen Vermögen, das auf sie übergehen sollte, oder aus Rechtsgeschäften in bezug auf dieses Vermögen unter Einschluß von Kündigungs- und anderen Gestaltungsrechten im eigenen Namen und auf eigene Rechnung geltend zu machen. </w:t>
      </w:r>
      <w:r>
        <w:rPr>
          <w:rStyle w:val="Satznummer"/>
        </w:rPr>
        <w:t>2</w:t>
      </w:r>
      <w:r>
        <w:t xml:space="preserve">Sollte ein ehemals volkseigener Vermögenswert auf mehrere Gesellschaften der in Absatz 1 bezeichneten Art übergehen, gelten die betreffenden Gesellschaften als Gesamtgläubiger. </w:t>
      </w:r>
      <w:r>
        <w:rPr>
          <w:rStyle w:val="Satznummer"/>
        </w:rPr>
        <w:t>3</w:t>
      </w:r>
      <w:r>
        <w:t xml:space="preserve">Wird eine Zuordnung nach Maßgabe der Absätze 3 und 4 geändert, gilt Satz 2 sinngemäß. </w:t>
      </w:r>
      <w:r>
        <w:rPr>
          <w:rStyle w:val="Satznummer"/>
        </w:rPr>
        <w:t>4</w:t>
      </w:r>
      <w:r>
        <w:t xml:space="preserve">Die Gesellschaft, die den Vermögenswert auf Grund der Umwandlung oder Sachgründung in Besitz hat, gilt als zur Verwaltung beauftragt. </w:t>
      </w:r>
      <w:r>
        <w:rPr>
          <w:rStyle w:val="Satznummer"/>
        </w:rPr>
        <w:t>5</w:t>
      </w:r>
      <w:r>
        <w:t xml:space="preserve">Im Übrigen gilt § 8 Abs. 3 des Vermögenszuordnungsgesetzes entsprechend. </w:t>
      </w:r>
      <w:r>
        <w:rPr>
          <w:rStyle w:val="Satznummer"/>
        </w:rPr>
        <w:t>6</w:t>
      </w:r>
      <w:r>
        <w:t>Ansprüche nach dem Vermögensgesetz und rechtskräftige Urteile bleiben unberührt.</w:t>
      </w:r>
    </w:p>
    <w:p>
      <w:pPr>
        <w:pStyle w:val="Heading3"/>
      </w:pPr>
      <w:bookmarkStart w:id="317" w:name="b316"/>
      <w:r>
        <w:t>Art 231 § 10 Übergang volkseigener Forderungen, Grundpfandrechte und Verbindlichkeiten auf Kreditinstitute</w:t>
      </w:r>
      <w:r>
        <w:t xml:space="preserve"> </w:t>
      </w:r>
      <w:r>
        <w:rPr>
          <w:rStyle w:val="Suchmarke"/>
        </w:rPr>
        <w:t>#231-10.#</w:t>
      </w:r>
      <w:bookmarkEnd w:id="317"/>
    </w:p>
    <w:p>
      <w:r>
        <w:t xml:space="preserve">(1) </w:t>
      </w:r>
      <w:r>
        <w:rPr>
          <w:rStyle w:val="Satznummer"/>
        </w:rPr>
        <w:t>1</w:t>
      </w:r>
      <w:r>
        <w:t xml:space="preserve">Ein volkseigenes oder genossenschaftliches Kreditinstitut, das die Geschäfte eines solchen Kreditinstituts fortführende Kreditinstitut oder das Nachfolgeinstitut ist spätestens mit Wirkung vom 1. Juli 1990 Gläubiger der volkseigenen Forderungen und Grundpfandrechte geworden, die am 30. Juni 1990 in seiner Rechtsträgerschaft standen oder von ihm verwaltet wurden. </w:t>
      </w:r>
      <w:r>
        <w:rPr>
          <w:rStyle w:val="Satznummer"/>
        </w:rPr>
        <w:t>2</w:t>
      </w:r>
      <w:r>
        <w:t xml:space="preserve">Diese Kreditinstitute werden mit Wirkung vom 1. Juli 1990 Schuldner der von ihnen verwalteten volkseigenen Verbindlichkeiten. </w:t>
      </w:r>
      <w:r>
        <w:rPr>
          <w:rStyle w:val="Satznummer"/>
        </w:rPr>
        <w:t>3</w:t>
      </w:r>
      <w:r>
        <w:t xml:space="preserve">Gläubiger der von dem Kreditinstitut für den Staatshaushalt der Deutschen Demokratischen Republik treuhänderisch verwalteten Forderungen und Grundpfandrechte ist mit Wirkung vom 3. Oktober 1990 der Bund geworden; er verwaltet sie treuhänderisch nach Maßgabe des Artikels 22 des Einigungsvertrages. </w:t>
      </w:r>
      <w:r>
        <w:rPr>
          <w:rStyle w:val="Satznummer"/>
        </w:rPr>
        <w:t>4</w:t>
      </w:r>
      <w:r>
        <w:t xml:space="preserve">Auf die für die Sozialversicherung treuhänderisch verwalteten Forderungen und Grundpfandrechte sind Anlage I Kapitel VIII Sachgebiet F Abschnitt II Nr. 1 § 3 Abs. 2 des Einigungsvertrages vom 31. August 1990 (BGBl. 1990 II S. 885, 1042) und die Bestimmungen des Gesetzes zur Regelung von Vermögensfragen der Sozialversicherung im Beitrittsgebiet vom 20. Dezember 1991 (BGBl. I S. 2313) anzuwenden. </w:t>
      </w:r>
      <w:r>
        <w:rPr>
          <w:rStyle w:val="Satznummer"/>
        </w:rPr>
        <w:t>5</w:t>
      </w:r>
      <w:r>
        <w:t>Ansprüche auf Rückübertragung nach den Regelungen über die Zuordnung von Volkseigentum und Ansprüche nach dem Vermögensgesetz bleiben unberührt.</w:t>
      </w:r>
    </w:p>
    <w:p>
      <w:r>
        <w:t>(2) Rechtshandlungen, die ein Kreditinstitut oder ein anderer nach Absatz 1 möglicher Berechtigter in Ansehung der Forderung, des Grundpfandrechtes oder der Verbindlichkeit vorgenommen hat, gelten als Rechtshandlungen desjenigen, dem die Forderung, das Grundpfandrecht oder die Verbindlichkeit nach Absatz 1 zusteht.</w:t>
      </w:r>
    </w:p>
    <w:p>
      <w:r>
        <w:t xml:space="preserve">(3) </w:t>
      </w:r>
      <w:r>
        <w:rPr>
          <w:rStyle w:val="Satznummer"/>
        </w:rPr>
        <w:t>1</w:t>
      </w:r>
      <w:r>
        <w:t xml:space="preserve">Zum Nachweis, wer nach Absatz 1 Inhaber eines Grundpfandrechtes oder Gläubiger einer Forderung geworden ist, genügt auch im Verfahren nach der Grundbuchordnung eine mit Unterschrift und Siegel versehene Bescheinigung der Kreditanstalt für Wiederaufbau. </w:t>
      </w:r>
      <w:r>
        <w:rPr>
          <w:rStyle w:val="Satznummer"/>
        </w:rPr>
        <w:t>2</w:t>
      </w:r>
      <w:r>
        <w:t xml:space="preserve">Die Kreditanstalt für Wiederaufbau kann die Befugnis zur Erteilung der Bescheinigung nach Satz 1 auf die Sparkassen für ihren jeweiligen Geschäftsbereich übertragen. </w:t>
      </w:r>
      <w:r>
        <w:rPr>
          <w:rStyle w:val="Satznummer"/>
        </w:rPr>
        <w:t>3</w:t>
      </w:r>
      <w:r>
        <w:t xml:space="preserve">Die nach Satz 1 oder Satz 2 befugte Stelle kann auch den Übergang des Grundpfandrechtes oder der Forderung auf sich selbst feststellen. </w:t>
      </w:r>
      <w:r>
        <w:rPr>
          <w:rStyle w:val="Satznummer"/>
        </w:rPr>
        <w:t>4</w:t>
      </w:r>
      <w:r>
        <w:t xml:space="preserve">In den Fällen des Absatzes 1 Satz 3 bedarf es neben der in den Sätzen 1 bis 3 genannten Bescheinigung eines Zuordnungsbescheides nicht. </w:t>
      </w:r>
      <w:r>
        <w:rPr>
          <w:rStyle w:val="Satznummer"/>
        </w:rPr>
        <w:t>5</w:t>
      </w:r>
      <w:r>
        <w:t>§ 113 Absatz 1 Nummer 6 der Grundbuchverfügung in der am 1. Oktober 2009 geltenden Fassung bleibt unberührt.</w:t>
      </w:r>
    </w:p>
    <w:p>
      <w:pPr>
        <w:pStyle w:val="Heading2"/>
      </w:pPr>
      <w:bookmarkStart w:id="318" w:name="b317"/>
      <w:r>
        <w:t>Art 232 Zweites Buch. Recht der Schuldverhältnisse</w:t>
      </w:r>
      <w:bookmarkEnd w:id="318"/>
    </w:p>
    <w:p>
      <w:pPr>
        <w:pStyle w:val="Heading3"/>
      </w:pPr>
      <w:bookmarkStart w:id="319" w:name="b318"/>
      <w:r>
        <w:t>Art 232 § 1 Allgemeine Bestimmungen für Schuldverhältnisse</w:t>
      </w:r>
      <w:r>
        <w:t xml:space="preserve"> </w:t>
      </w:r>
      <w:r>
        <w:rPr>
          <w:rStyle w:val="Suchmarke"/>
        </w:rPr>
        <w:t>#232-1.#</w:t>
      </w:r>
      <w:bookmarkEnd w:id="319"/>
    </w:p>
    <w:p>
      <w:r>
        <w:t>Für ein Schuldverhältnis, das vor dem Wirksamwerden des Beitritts entstanden ist, bleibt das bisherige für das in Artikel 3 des Einigungsvertrages genannte Gebiet geltende Recht maßgebend.</w:t>
      </w:r>
    </w:p>
    <w:p>
      <w:pPr>
        <w:pStyle w:val="Heading3"/>
      </w:pPr>
      <w:bookmarkStart w:id="320" w:name="b319"/>
      <w:r>
        <w:t>Art 232 § 1a Überlassungsverträge</w:t>
      </w:r>
      <w:r>
        <w:t xml:space="preserve"> </w:t>
      </w:r>
      <w:r>
        <w:rPr>
          <w:rStyle w:val="Suchmarke"/>
        </w:rPr>
        <w:t>#232-1a.#</w:t>
      </w:r>
      <w:bookmarkEnd w:id="320"/>
    </w:p>
    <w:p>
      <w:r>
        <w:t>Ein vor dem 3. Oktober 1990 geschlossener Vertrag, durch den ein bisher staatlich verwaltetes (§ 1 Abs. 4 des Vermögensgesetzes) Grundstück durch den staatlichen Verwalter oder die von ihm beauftragte Stelle gegen Leistung eines Geldbetrages für das Grundstück sowie etwa aufstehende Gebäude und gegen Übernahme der öffentlichen Lasten einem anderen zur Nutzung überlassen wurde (Überlassungsvertrag), ist wirksam.</w:t>
      </w:r>
    </w:p>
    <w:p>
      <w:pPr>
        <w:pStyle w:val="Heading3"/>
      </w:pPr>
      <w:bookmarkStart w:id="321" w:name="b320"/>
      <w:r>
        <w:t>Art 232 § 2 Mietverträge</w:t>
      </w:r>
      <w:r>
        <w:t xml:space="preserve"> </w:t>
      </w:r>
      <w:r>
        <w:rPr>
          <w:rStyle w:val="Suchmarke"/>
        </w:rPr>
        <w:t>#232-2.#</w:t>
      </w:r>
      <w:bookmarkEnd w:id="321"/>
    </w:p>
    <w:p>
      <w:r>
        <w:t>Mietverhältnisse aufgrund von Verträgen, die vor dem Wirksamwerden des Beitritts geschlossen worden sind, richten sich von diesem Zeitpunkt an nach den Vorschriften des Bürgerlichen Gesetzbuchs.</w:t>
      </w:r>
    </w:p>
    <w:p>
      <w:pPr>
        <w:pStyle w:val="Heading3"/>
      </w:pPr>
      <w:bookmarkStart w:id="322" w:name="b321"/>
      <w:r>
        <w:t>Art 232 § 3 Pachtverträge</w:t>
      </w:r>
      <w:r>
        <w:t xml:space="preserve"> </w:t>
      </w:r>
      <w:r>
        <w:rPr>
          <w:rStyle w:val="Suchmarke"/>
        </w:rPr>
        <w:t>#232-3.#</w:t>
      </w:r>
      <w:bookmarkEnd w:id="322"/>
    </w:p>
    <w:p>
      <w:r>
        <w:t>(1) Pachtverhältnisse aufgrund von Verträgen, die vor dem Wirksamwerden des Beitritts geschlossen worden sind, richten sich von diesem Zeitpunkt an nach den §§ 581 bis 597 des Bürgerlichen Gesetzbuchs.</w:t>
      </w:r>
    </w:p>
    <w:p>
      <w:r>
        <w:t>(2) Die §§ 51 und 52 des Landwirtschaftsanpassungsgesetzes vom 29. Juni 1990 (GBl. I Nr. 42 S. 642) bleiben unberührt.</w:t>
      </w:r>
    </w:p>
    <w:p>
      <w:pPr>
        <w:pStyle w:val="Heading3"/>
      </w:pPr>
      <w:bookmarkStart w:id="323" w:name="b322"/>
      <w:r>
        <w:t>Art 232 § 4 Nutzung von Bodenflächen zur Erholung</w:t>
      </w:r>
      <w:r>
        <w:t xml:space="preserve"> </w:t>
      </w:r>
      <w:r>
        <w:rPr>
          <w:rStyle w:val="Suchmarke"/>
        </w:rPr>
        <w:t>#232-4.#</w:t>
      </w:r>
      <w:bookmarkEnd w:id="323"/>
    </w:p>
    <w:p>
      <w:r>
        <w:t xml:space="preserve">(1) </w:t>
      </w:r>
      <w:r>
        <w:rPr>
          <w:rStyle w:val="Satznummer"/>
        </w:rPr>
        <w:t>1</w:t>
      </w:r>
      <w:r>
        <w:t xml:space="preserve">Nutzungsverhältnisse nach den §§ 312 bis 315 des Zivilgesetzbuchs der Deutschen Demokratischen Republik aufgrund von Verträgen, die vor dem Wirksamwerden des Beitritts geschlossen worden sind, richten sich weiterhin nach den genannten Vorschriften des Zivilgesetzbuchs. </w:t>
      </w:r>
      <w:r>
        <w:rPr>
          <w:rStyle w:val="Satznummer"/>
        </w:rPr>
        <w:t>2</w:t>
      </w:r>
      <w:r>
        <w:t>Abweichende Regelungen bleiben einem besonderen Gesetz vorbehalten.</w:t>
      </w:r>
    </w:p>
    <w:p>
      <w:r>
        <w:t xml:space="preserve">(2) </w:t>
      </w:r>
      <w:r>
        <w:rPr>
          <w:rStyle w:val="Satznummer"/>
        </w:rPr>
        <w:t>1</w:t>
      </w:r>
      <w:r>
        <w:t xml:space="preserve">Die Bundesregierung wird ermächtigt, durch Rechtsverordnung mit Zustimmung des Bundesrates Vorschriften über eine angemessene Gestaltung der Nutzungsentgelte zu erlassen. </w:t>
      </w:r>
      <w:r>
        <w:rPr>
          <w:rStyle w:val="Satznummer"/>
        </w:rPr>
        <w:t>2</w:t>
      </w:r>
      <w:r>
        <w:t xml:space="preserve">Angemessen sind Entgelte bis zur Höhe der ortsüblichen Pacht für Grundstücke, die auch hinsichtlich der Art und des Umfangs der Bebauung in vergleichbarer Weise genutzt werden. </w:t>
      </w:r>
      <w:r>
        <w:rPr>
          <w:rStyle w:val="Satznummer"/>
        </w:rPr>
        <w:t>3</w:t>
      </w:r>
      <w:r>
        <w:t>In der Rechtsverordnung können Bestimmungen über die Ermittlung der ortsüblichen Pacht, über das Verfahren der Entgelterhöhung sowie über die Kündigung im Fall der Erhöhung getroffen werden.</w:t>
      </w:r>
    </w:p>
    <w:p>
      <w:r>
        <w:t>(3) Für Nutzungsverhältnisse innerhalb von Kleingartenanlagen bleibt die Anwendung des Bundeskleingartengesetzes vom 28. Februar 1983 (BGBl. I S. 210) mit den in Anlage I Kapitel XIV Abschnitt II Nr. 4 zum Einigungsvertrag enthaltenen Ergänzungen unberührt.</w:t>
      </w:r>
    </w:p>
    <w:p>
      <w:r>
        <w:t>(4) Die Absätze 1 bis 3 gelten auch für vor dem 1. Januar 1976 geschlossene Verträge, durch die land- oder forstwirtschaftlich nicht genutzte Bodenflächen Bürgern zum Zwecke der nicht gewerblichen kleingärtnerischen Nutzung, Erholung und Freizeitgestaltung überlassen wurden.</w:t>
      </w:r>
    </w:p>
    <w:p>
      <w:pPr>
        <w:pStyle w:val="Heading3"/>
      </w:pPr>
      <w:bookmarkStart w:id="324" w:name="b323"/>
      <w:r>
        <w:t>Art 232 § 4a Vertrags-Moratorium</w:t>
      </w:r>
      <w:r>
        <w:t xml:space="preserve"> </w:t>
      </w:r>
      <w:r>
        <w:rPr>
          <w:rStyle w:val="Suchmarke"/>
        </w:rPr>
        <w:t>#232-4a.#</w:t>
      </w:r>
      <w:bookmarkEnd w:id="324"/>
    </w:p>
    <w:p>
      <w:r>
        <w:t xml:space="preserve">(1) </w:t>
      </w:r>
      <w:r>
        <w:rPr>
          <w:rStyle w:val="Satznummer"/>
        </w:rPr>
        <w:t>1</w:t>
      </w:r>
      <w:r>
        <w:t xml:space="preserve">Verträge nach § 4 können, auch soweit sie Garagen betreffen, gegenüber dem Nutzer bis zum Ablauf des 31. Dezember 1994 nur aus den in § 554 des Bürgerlichen Gesetzbuchs bezeichneten Gründen gekündigt oder sonst beendet werden. </w:t>
      </w:r>
      <w:r>
        <w:rPr>
          <w:rStyle w:val="Satznummer"/>
        </w:rPr>
        <w:t>2</w:t>
      </w:r>
      <w:r>
        <w:t>Sie verlängern sich, wenn nicht der Nutzer etwas Gegenteiliges mitteilt, bis zu diesem Zeitpunkt, wenn sie nach ihrem Inhalt vorher enden würden.</w:t>
      </w:r>
    </w:p>
    <w:p>
      <w:r>
        <w:t>(2) Hat der Nutzer einen Vertrag nach § 4 nicht mit dem Eigentümer des betreffenden Grundstücks, sondern aufgrund des § 18 oder § 46 in Verbindung mit § 18 des Gesetzes über die landwirtschaftlichen Produktionsgenossenschaften - LPG-Gesetz - vom 2. Juli 1982 (GBl. I Nr. 25 S. 443) in der vor dem 1. Juli 1990 geltenden Fassung mit einer der dort genannten Genossenschaften oder Stellen geschlossen, so ist er nach Maßgabe des Vertrages und des Absatzes 1 bis zum Ablauf des 31. Dezember 1994 auch dem Grundstückseigentümer gegenüber zum Besitz berechtigt.</w:t>
      </w:r>
    </w:p>
    <w:p>
      <w:r>
        <w:t xml:space="preserve">(3) </w:t>
      </w:r>
      <w:r>
        <w:rPr>
          <w:rStyle w:val="Satznummer"/>
        </w:rPr>
        <w:t>1</w:t>
      </w:r>
      <w:r>
        <w:t xml:space="preserve">Die Absätze 1 und 2 gelten ferner, wenn ein Vertrag nach § 4 mit einer staatlichen Stelle abgeschlossen wurde, auch wenn diese hierzu nicht ermächtigt war. </w:t>
      </w:r>
      <w:r>
        <w:rPr>
          <w:rStyle w:val="Satznummer"/>
        </w:rPr>
        <w:t>2</w:t>
      </w:r>
      <w:r>
        <w:t>Dies gilt jedoch nicht, wenn der Nutzer Kenntnis von dem Fehlen einer entsprechenden Ermächtigung hatte.</w:t>
      </w:r>
    </w:p>
    <w:p>
      <w:r>
        <w:t>(4) Die Absätze 1 und 2 gelten ferner auch, wenn ein Vertrag nach § 4 mit einer staatlichen Stelle abgeschlossen wurde und diese bei Vertragsschluß nicht ausdrücklich in fremdem Namen, sondern im eigenen Namen handelte, obwohl es sich nicht um ein volkseigenes, sondern ein von ihr verwaltetes Grundstück handelte, es sei denn, daß der Nutzer hiervon Kenntnis hatte.</w:t>
      </w:r>
    </w:p>
    <w:p>
      <w:r>
        <w:t xml:space="preserve">(5) </w:t>
      </w:r>
      <w:r>
        <w:rPr>
          <w:rStyle w:val="Satznummer"/>
        </w:rPr>
        <w:t>1</w:t>
      </w:r>
      <w:r>
        <w:t xml:space="preserve">In den Fällen der Absätze 2 bis 4 ist der Vertragspartner des Nutzers unbeschadet des § 51 des Landwirtschaftsanpassungsgesetzes verpflichtet, die gezogenen Entgelte unter Abzug der mit ihrer Erzielung verbundenen Kosten an den Grundstückseigentümer abzuführen. </w:t>
      </w:r>
      <w:r>
        <w:rPr>
          <w:rStyle w:val="Satznummer"/>
        </w:rPr>
        <w:t>2</w:t>
      </w:r>
      <w:r>
        <w:t xml:space="preserve">Entgelte, die in der Zeit von dem 1. Januar 1992 an bis zum Inkrafttreten dieser Vorschrift erzielt wurden, sind um 20 vom Hundert gemindert an den Grundstückseigentümer auszukehren; ein weitergehender Ausgleich für gezogene Entgelte und Aufwendungen findet nicht statt. </w:t>
      </w:r>
      <w:r>
        <w:rPr>
          <w:rStyle w:val="Satznummer"/>
        </w:rPr>
        <w:t>3</w:t>
      </w:r>
      <w:r>
        <w:t xml:space="preserve">Ist ein Entgelt nicht vereinbart, so ist das Entgelt, das für Verträge der betreffenden Art gewöhnlich zu erzielen ist, unter Abzug der mit seiner Erzielung verbundenen Kosten an den Grundstückseigentümer auszukehren. </w:t>
      </w:r>
      <w:r>
        <w:rPr>
          <w:rStyle w:val="Satznummer"/>
        </w:rPr>
        <w:t>4</w:t>
      </w:r>
      <w:r>
        <w:t>Der Grundstückseigentümer kann von dem Vertragspartner des Nutzers die Abtretung der Entgeltansprüche verlangen.</w:t>
      </w:r>
    </w:p>
    <w:p>
      <w:r>
        <w:t xml:space="preserve">(6) </w:t>
      </w:r>
      <w:r>
        <w:rPr>
          <w:rStyle w:val="Satznummer"/>
        </w:rPr>
        <w:t>1</w:t>
      </w:r>
      <w:r>
        <w:t xml:space="preserve">Die Absätze 1 bis 5 gelten auch, wenn der unmittelbare Nutzer Verträge mit einer Vereinigung von Kleingärtnern und diese mit einer der dort genannten Stellen den Hauptnutzungsvertrag geschlossen hat. </w:t>
      </w:r>
      <w:r>
        <w:rPr>
          <w:rStyle w:val="Satznummer"/>
        </w:rPr>
        <w:t>2</w:t>
      </w:r>
      <w:r>
        <w:t>Ist Gegenstand des Vertrages die Nutzung des Grundstücks für eine Garage, so kann der Eigentümer die Verlegung der Nutzung auf eine andere Stelle des Grundstücks oder ein anderes Grundstück verlangen, wenn die Nutzung ihn besonders beeinträchtigt, die andere Stelle für den Nutzer gleichwertig ist und die rechtlichen Voraussetzungen für die Nutzung geschaffen worden sind; die Kosten der Verlegung hat der Eigentümer zu tragen und vorzuschießen.</w:t>
      </w:r>
    </w:p>
    <w:p>
      <w:r>
        <w:t>(7) Die Absätze 1 bis 6 finden keine Anwendung, wenn die Betroffenen nach dem 2. Oktober 1990 etwas Abweichendes vereinbart haben oder zwischen ihnen abweichende rechtskräftige Urteile ergangen sind.</w:t>
      </w:r>
    </w:p>
    <w:p>
      <w:pPr>
        <w:pStyle w:val="Heading3"/>
      </w:pPr>
      <w:bookmarkStart w:id="325" w:name="b324"/>
      <w:r>
        <w:t>Art 232 § 5 Arbeitsverhältnisse</w:t>
      </w:r>
      <w:r>
        <w:t xml:space="preserve"> </w:t>
      </w:r>
      <w:r>
        <w:rPr>
          <w:rStyle w:val="Suchmarke"/>
        </w:rPr>
        <w:t>#232-5.#</w:t>
      </w:r>
      <w:bookmarkEnd w:id="325"/>
    </w:p>
    <w:p>
      <w:r>
        <w:t>(1) Für am Tag des Wirksamwerdens des Beitritts bestehende Arbeitsverhältnisse gelten unbeschadet des Artikels 230 von dieser Zeit an die Vorschriften des Bürgerlichen Gesetzbuchs.</w:t>
      </w:r>
    </w:p>
    <w:p>
      <w:r>
        <w:t>(2) § 613a des Bürgerlichen Gesetzbuchs ist in dem in Artikel 3 des Einigungsvertrages vom 31. August 1990 (BGBl. 1990 II S. 885) genannten Gebiet vom Tage des Inkrafttretens dieses Gesetzes bis zum 31. Dezember 1998 mit folgenden Maßgaben anzuwenden:</w:t>
      </w:r>
    </w:p>
    <w:p>
      <w:pPr>
        <w:tabs>
          <w:tab w:pos="567" w:val="left"/>
        </w:tabs>
        <w:ind w:left="567" w:hanging="567"/>
      </w:pPr>
      <w:r>
        <w:t>1.</w:t>
      </w:r>
      <w:r>
        <w:tab/>
      </w:r>
      <w:r>
        <w:t>Innerhalb des bezeichneten Zeitraums ist auf eine Betriebsübertragung im Gesamtvollstreckungsverfahren § 613a des Bürgerlichen Gesetzbuchs nicht anzuwenden.</w:t>
      </w:r>
    </w:p>
    <w:p>
      <w:pPr>
        <w:tabs>
          <w:tab w:pos="567" w:val="left"/>
        </w:tabs>
        <w:ind w:left="567" w:hanging="567"/>
      </w:pPr>
      <w:r>
        <w:t>2.</w:t>
      </w:r>
      <w:r>
        <w:tab/>
      </w:r>
      <w:r>
        <w:t>Anstelle des Absatzes 4 Satz 2 gilt folgende Vorschrift:</w:t>
      </w:r>
    </w:p>
    <w:p>
      <w:pPr>
        <w:ind w:left="567"/>
      </w:pPr>
      <w:r>
        <w:t>"Satz 1 läßt das Recht zur Kündigung aus wirtschaftlichen, technischen oder organisatorischen Gründen, die Änderungen im Bereich der Beschäftigung mit sich bringen, unberührt."</w:t>
      </w:r>
    </w:p>
    <w:p>
      <w:pPr>
        <w:pStyle w:val="Heading3"/>
      </w:pPr>
      <w:bookmarkStart w:id="326" w:name="b325"/>
      <w:r>
        <w:t>Art 232 § 6 Verträge über wiederkehrende Dienstleistungen</w:t>
      </w:r>
      <w:r>
        <w:t xml:space="preserve"> </w:t>
      </w:r>
      <w:r>
        <w:rPr>
          <w:rStyle w:val="Suchmarke"/>
        </w:rPr>
        <w:t>#232-6.#</w:t>
      </w:r>
      <w:bookmarkEnd w:id="326"/>
    </w:p>
    <w:p>
      <w:r>
        <w:t>Für am Tag des Wirksamwerdens des Beitritts bestehende Pflege- und Wartungsverträge und Verträge über wiederkehrende persönliche Dienstleistungen gelten von dieser Zeit an die Vorschriften des Bürgerlichen Gesetzbuchs.</w:t>
      </w:r>
    </w:p>
    <w:p>
      <w:pPr>
        <w:pStyle w:val="Heading3"/>
      </w:pPr>
      <w:bookmarkStart w:id="327" w:name="b326"/>
      <w:r>
        <w:t>Art 232 § 7 Kontoverträge und Sparkontoverträge</w:t>
      </w:r>
      <w:r>
        <w:t xml:space="preserve"> </w:t>
      </w:r>
      <w:r>
        <w:rPr>
          <w:rStyle w:val="Suchmarke"/>
        </w:rPr>
        <w:t>#232-7.#</w:t>
      </w:r>
      <w:bookmarkEnd w:id="327"/>
    </w:p>
    <w:p>
      <w:r>
        <w:rPr>
          <w:rStyle w:val="Satznummer"/>
        </w:rPr>
        <w:t>1</w:t>
      </w:r>
      <w:r>
        <w:t xml:space="preserve">Das Kreditinstitut kann durch Erklärung gegenüber dem Kontoinhaber bestimmen, daß auf einen am Tag des Wirksamwerdens des Beitritts bestehenden Kontovertrag oder Sparkontovertrag die Vorschriften des Bürgerlichen Gesetzbuchs einschließlich der im bisherigen Geltungsbereich dieses Gesetzes für solche Verträge allgemein verwendeten, näher zu bezeichnenden allgemeinen Geschäftsbedingungen anzuwenden sind. </w:t>
      </w:r>
      <w:r>
        <w:rPr>
          <w:rStyle w:val="Satznummer"/>
        </w:rPr>
        <w:t>2</w:t>
      </w:r>
      <w:r>
        <w:t>Der Kontoinhaber kann den Vertrag innerhalb eines Monats von dem Zugang der Erklärung an kündigen.</w:t>
      </w:r>
    </w:p>
    <w:p>
      <w:pPr>
        <w:pStyle w:val="Heading3"/>
      </w:pPr>
      <w:bookmarkStart w:id="328" w:name="b327"/>
      <w:r>
        <w:t>Art 232 § 8 Kreditverträge</w:t>
      </w:r>
      <w:r>
        <w:t xml:space="preserve"> </w:t>
      </w:r>
      <w:r>
        <w:rPr>
          <w:rStyle w:val="Suchmarke"/>
        </w:rPr>
        <w:t>#232-8.#</w:t>
      </w:r>
      <w:bookmarkEnd w:id="328"/>
    </w:p>
    <w:p>
      <w:r>
        <w:t>Auf Kreditverträge, die nach dem 30. Juni 1990 abgeschlossen worden sind, ist § 609a des Bürgerlichen Gesetzbuchs anzuwenden.</w:t>
      </w:r>
    </w:p>
    <w:p>
      <w:pPr>
        <w:pStyle w:val="Heading3"/>
      </w:pPr>
      <w:bookmarkStart w:id="329" w:name="b328"/>
      <w:r>
        <w:t>Art 232 § 9 Bruchteilsgemeinschaften</w:t>
      </w:r>
      <w:r>
        <w:t xml:space="preserve"> </w:t>
      </w:r>
      <w:r>
        <w:rPr>
          <w:rStyle w:val="Suchmarke"/>
        </w:rPr>
        <w:t>#232-9.#</w:t>
      </w:r>
      <w:bookmarkEnd w:id="329"/>
    </w:p>
    <w:p>
      <w:r>
        <w:t>Auf eine am Tag des Wirksamwerdens des Beitritts bestehende Gemeinschaft nach Bruchteilen finden von dieser Zeit an die Vorschriften des Bürgerlichen Gesetzbuchs Anwendung.</w:t>
      </w:r>
    </w:p>
    <w:p>
      <w:pPr>
        <w:pStyle w:val="Heading3"/>
      </w:pPr>
      <w:bookmarkStart w:id="330" w:name="b329"/>
      <w:r>
        <w:t>Art 232 § 10 Unerlaubte Handlungen</w:t>
      </w:r>
      <w:r>
        <w:t xml:space="preserve"> </w:t>
      </w:r>
      <w:r>
        <w:rPr>
          <w:rStyle w:val="Suchmarke"/>
        </w:rPr>
        <w:t>#232-10.#</w:t>
      </w:r>
      <w:bookmarkEnd w:id="330"/>
    </w:p>
    <w:p>
      <w:r>
        <w:t>Die Bestimmungen der §§ 823 bis 853 des Bürgerlichen Gesetzbuchs sind nur auf Handlungen anzuwenden, die am Tag des Wirksamwerdens des Beitritts oder danach begangen werden.</w:t>
      </w:r>
    </w:p>
    <w:p>
      <w:pPr>
        <w:pStyle w:val="Heading2"/>
      </w:pPr>
      <w:bookmarkStart w:id="331" w:name="b330"/>
      <w:r>
        <w:t>Art 233 Drittes Buch. Sachenrecht</w:t>
      </w:r>
      <w:bookmarkEnd w:id="331"/>
    </w:p>
    <w:p>
      <w:pPr>
        <w:pStyle w:val="Heading3"/>
      </w:pPr>
      <w:bookmarkStart w:id="332" w:name="b331"/>
      <w:r>
        <w:t>Erster Abschnitt Allgemeine Vorschriften</w:t>
      </w:r>
      <w:bookmarkEnd w:id="332"/>
    </w:p>
    <w:p>
      <w:pPr>
        <w:pStyle w:val="Heading4"/>
      </w:pPr>
      <w:bookmarkStart w:id="333" w:name="b332"/>
      <w:r>
        <w:t>Art 233 § 1 Besitz</w:t>
      </w:r>
      <w:r>
        <w:t xml:space="preserve"> </w:t>
      </w:r>
      <w:r>
        <w:rPr>
          <w:rStyle w:val="Suchmarke"/>
        </w:rPr>
        <w:t>#233-1.#</w:t>
      </w:r>
      <w:bookmarkEnd w:id="333"/>
    </w:p>
    <w:p>
      <w:r>
        <w:t>Auf ein am Tag des Wirksamwerdens des Beitritts bestehendes Besitzverhältnis finden von dieser Zeit an die Vorschriften des Bürgerlichen Gesetzbuchs Anwendung.</w:t>
      </w:r>
    </w:p>
    <w:p>
      <w:pPr>
        <w:pStyle w:val="Heading4"/>
      </w:pPr>
      <w:bookmarkStart w:id="334" w:name="b333"/>
      <w:r>
        <w:t>Art 233 § 2 Inhalt des Eigentums</w:t>
      </w:r>
      <w:r>
        <w:t xml:space="preserve"> </w:t>
      </w:r>
      <w:r>
        <w:rPr>
          <w:rStyle w:val="Suchmarke"/>
        </w:rPr>
        <w:t>#233-2.#</w:t>
      </w:r>
      <w:bookmarkEnd w:id="334"/>
    </w:p>
    <w:p>
      <w:r>
        <w:t>(1) Auf das am Tag des Wirksamwerdens des Beitritts bestehende Eigentum an Sachen finden von dieser Zeit an die Vorschriften des Bürgerlichen Gesetzbuchs Anwendung, soweit nicht in den nachstehenden Vorschriften etwas anderes bestimmt ist.</w:t>
      </w:r>
    </w:p>
    <w:p>
      <w:r>
        <w:t xml:space="preserve">(2) </w:t>
      </w:r>
      <w:r>
        <w:rPr>
          <w:rStyle w:val="Satznummer"/>
        </w:rPr>
        <w:t>1</w:t>
      </w:r>
      <w:r>
        <w:t xml:space="preserve">Bei ehemals volkseigenen Grundstücken wird unwiderleglich vermutet, daß in der Zeit vom 15. März 1990 bis zum Ablauf des 2. Oktober 1990 die als Rechtsträger eingetragene staatliche Stelle und diejenige Stelle, die deren Aufgaben bei Vornahme der Verfügung wahrgenommen hat, und in der Zeit vom 3. Oktober 1990 bis zum 24. Dezember 1993 die in § 8 des Vermögenszuordnungsgesetzes in der seit dem 25. Dezember 1993 geltenden Fassung bezeichneten Stellen zur Verfügung über das Grundstück befugt waren. </w:t>
      </w:r>
      <w:r>
        <w:rPr>
          <w:rStyle w:val="Satznummer"/>
        </w:rPr>
        <w:t>2</w:t>
      </w:r>
      <w:r>
        <w:t xml:space="preserve">§ 878 des Bürgerlichen Gesetzbuchs gilt auch für den Fortfall der Verfügungsbefugnis sinngemäß. </w:t>
      </w:r>
      <w:r>
        <w:rPr>
          <w:rStyle w:val="Satznummer"/>
        </w:rPr>
        <w:t>3</w:t>
      </w:r>
      <w:r>
        <w:t xml:space="preserve">Die vorstehenden Sätze lassen Verbote, über ehemals volkseigene Grundstücke zu verfügen, namentlich nach § 68 des Zivilgesetzbuchs und der Zweiten, Dritten und Vierten Durchführungsverordnung zum Treuhandgesetz unberührt. </w:t>
      </w:r>
      <w:r>
        <w:rPr>
          <w:rStyle w:val="Satznummer"/>
        </w:rPr>
        <w:t>4</w:t>
      </w:r>
      <w:r>
        <w:t>Wem bisheriges Volkseigentum zusteht, richtet sich nach den Vorschriften über die Abwicklung des Volkseigentums.</w:t>
      </w:r>
    </w:p>
    <w:p>
      <w:r>
        <w:t xml:space="preserve">(3) </w:t>
      </w:r>
      <w:r>
        <w:rPr>
          <w:rStyle w:val="Satznummer"/>
        </w:rPr>
        <w:t>1</w:t>
      </w:r>
      <w:r>
        <w:t xml:space="preserve">Ist der Eigentümer eines Grundstücks oder sein Aufenthalt nicht festzustellen und besteht ein Bedürfnis, die Vertretung des Eigentümers sicherzustellen, so bestellt der Landkreis oder die kreisfreie Stadt, in dessen oder deren Gebiet sich das Grundstück befindet, auf Antrag der Gemeinde oder eines anderen, der ein berechtigtes Interesse daran hat, einen gesetzlichen Vertreter. </w:t>
      </w:r>
      <w:r>
        <w:rPr>
          <w:rStyle w:val="Satznummer"/>
        </w:rPr>
        <w:t>2</w:t>
      </w:r>
      <w:r>
        <w:t xml:space="preserve">Im Falle einer Gemeinschaft wird ein Mitglied der Gemeinschaft zum gesetzlichen Vertreter bestellt. </w:t>
      </w:r>
      <w:r>
        <w:rPr>
          <w:rStyle w:val="Satznummer"/>
        </w:rPr>
        <w:t>3</w:t>
      </w:r>
      <w:r>
        <w:t xml:space="preserve">Der Vertreter ist von den Beschränkungen des § 181 des Bürgerlichen Gesetzbuchs befreit. </w:t>
      </w:r>
      <w:r>
        <w:rPr>
          <w:rStyle w:val="Satznummer"/>
        </w:rPr>
        <w:t>4</w:t>
      </w:r>
      <w:r>
        <w:t xml:space="preserve">§ 16 Abs. 3 und 4 des Verwaltungsverfahrensgesetzes findet entsprechende Anwendung. </w:t>
      </w:r>
      <w:r>
        <w:rPr>
          <w:rStyle w:val="Satznummer"/>
        </w:rPr>
        <w:t>5</w:t>
      </w:r>
      <w:r>
        <w:t xml:space="preserve">Der Vertreter wird auf Antrag des Eigentümers abberufen. </w:t>
      </w:r>
      <w:r>
        <w:rPr>
          <w:rStyle w:val="Satznummer"/>
        </w:rPr>
        <w:t>6</w:t>
      </w:r>
      <w:r>
        <w:t xml:space="preserve">Diese Vorschrift tritt in ihrem räumlichen Anwendungsbereich und für die Dauer ihrer Geltung an die Stelle des § 119 des Flurbereinigungsgesetzes auch, soweit auf diese Bestimmung in anderen Gesetzen verwiesen wird. </w:t>
      </w:r>
      <w:r>
        <w:rPr>
          <w:rStyle w:val="Satznummer"/>
        </w:rPr>
        <w:t>7</w:t>
      </w:r>
      <w:r>
        <w:t>§ 11b des Vermögensgesetzes bleibt unberührt.</w:t>
      </w:r>
    </w:p>
    <w:p>
      <w:pPr>
        <w:pStyle w:val="Heading4"/>
      </w:pPr>
      <w:bookmarkStart w:id="335" w:name="b334"/>
      <w:r>
        <w:t>Art 233 § 2a Moratorium</w:t>
      </w:r>
      <w:r>
        <w:t xml:space="preserve"> </w:t>
      </w:r>
      <w:r>
        <w:rPr>
          <w:rStyle w:val="Suchmarke"/>
        </w:rPr>
        <w:t>#233-2a.#</w:t>
      </w:r>
      <w:bookmarkEnd w:id="335"/>
    </w:p>
    <w:p>
      <w:r>
        <w:t xml:space="preserve">(1) </w:t>
      </w:r>
      <w:r>
        <w:rPr>
          <w:rStyle w:val="Satznummer"/>
        </w:rPr>
        <w:t>1</w:t>
      </w:r>
      <w:r>
        <w:t>Als zum Besitz eines in dem in Artikel 3 des Einigungsvertrages genannten Gebiet belegenen Grundstücks berechtigt gelten unbeschadet bestehender Nutzungsrechte und günstigerer Vereinbarungen und Regelungen:</w:t>
      </w:r>
    </w:p>
    <w:p>
      <w:pPr>
        <w:tabs>
          <w:tab w:pos="567" w:val="left"/>
        </w:tabs>
        <w:ind w:left="567" w:hanging="567"/>
      </w:pPr>
      <w:r>
        <w:t>a)</w:t>
      </w:r>
      <w:r>
        <w:tab/>
      </w:r>
      <w:r>
        <w:t>wer das Grundstück bis zum Ablauf des 2. Oktober 1990 aufgrund einer bestandskräftigen Baugenehmigung oder sonst entsprechend den Rechtsvorschriften mit Billigung staatlicher oder gesellschaftlicher Organe mit Gebäuden oder Anlagen bebaut oder zu bebauen begonnen hat und bei Inkrafttreten dieser Vorschrift selbst nutzt,</w:t>
      </w:r>
    </w:p>
    <w:p>
      <w:pPr>
        <w:tabs>
          <w:tab w:pos="567" w:val="left"/>
        </w:tabs>
        <w:ind w:left="567" w:hanging="567"/>
      </w:pPr>
      <w:r>
        <w:t>b)</w:t>
      </w:r>
      <w:r>
        <w:tab/>
      </w:r>
      <w:r>
        <w:t>Genossenschaften und ehemals volkseigene Betriebe der Wohnungswirtschaft, denen vor dem 3. Oktober 1990 aufgrund einer bestandskräftigen Baugenehmigung oder sonst entsprechend den Rechtsvorschriften mit Billigung staatlicher oder gesellschaftlicher Organe errichtete Gebäude und dazugehörige Grundstücksflächen und -teilflächen zur Nutzung sowie selbständigen Bewirtschaftung und Verwaltung übertragen worden waren und von diesen oder ihren Rechtsnachfolgern genutzt werden,</w:t>
      </w:r>
    </w:p>
    <w:p>
      <w:pPr>
        <w:tabs>
          <w:tab w:pos="567" w:val="left"/>
        </w:tabs>
        <w:ind w:left="567" w:hanging="567"/>
      </w:pPr>
      <w:r>
        <w:t>c)</w:t>
      </w:r>
      <w:r>
        <w:tab/>
      </w:r>
      <w:r>
        <w:t>wer über ein bei Abschluß des Vertrages bereits mit einem Wohnhaus bebautes Grundstück, das bis dahin unter staatlicher oder treuhänderischer Verwaltung gestanden hat, einen Überlassungsvertrag geschlossen hat, sowie diejenigen, die mit diesem einen gemeinsamen Hausstand führen,</w:t>
      </w:r>
    </w:p>
    <w:p>
      <w:pPr>
        <w:tabs>
          <w:tab w:pos="567" w:val="left"/>
        </w:tabs>
        <w:ind w:left="567" w:hanging="567"/>
      </w:pPr>
      <w:r>
        <w:t>d)</w:t>
      </w:r>
      <w:r>
        <w:tab/>
      </w:r>
      <w:r>
        <w:t>wer ein auf einem Grundstück errichtetes Gebäude gekauft oder den Kauf beantragt hat.</w:t>
      </w:r>
    </w:p>
    <w:p>
      <w:r>
        <w:rPr>
          <w:rStyle w:val="Satznummer"/>
        </w:rPr>
        <w:t>2</w:t>
      </w:r>
      <w:r>
        <w:t xml:space="preserve">Das Recht nach Satz 1 besteht bis zur Bereinigung der genannten Rechtsverhältnisse durch besonderes Gesetz längstens bis zum Ablauf des 31. Dezember 1994; die Frist kann durch Rechtsverordnung des Bundesministers der Justiz und für Verbraucherschutz einmal verlängert werden. </w:t>
      </w:r>
      <w:r>
        <w:rPr>
          <w:rStyle w:val="Satznummer"/>
        </w:rPr>
        <w:t>3</w:t>
      </w:r>
      <w:r>
        <w:t xml:space="preserve">In den in § 3 Abs. 3 und den §§ 4 und 121 des Sachenrechtsbereinigungsgesetzes bezeichneten Fällen besteht das in Satz 1 bezeichnete Recht zum Besitz bis zur Bereinigung dieser Rechtsverhältnisse nach jenem Gesetz fort. </w:t>
      </w:r>
      <w:r>
        <w:rPr>
          <w:rStyle w:val="Satznummer"/>
        </w:rPr>
        <w:t>4</w:t>
      </w:r>
      <w:r>
        <w:t xml:space="preserve">Für die Zeit vom 22. Juli 1992 bis 31. März 1995 kann der jeweilige Grundstückseigentümer vom jeweiligen Nutzer ein Entgelt in Höhe des nach § 51 Abs. 1 Satz 2 Nr. 1, §§ 43, 45 des Sachenrechtsbereinigungsgesetzes zu zahlenden Erbbauzinses verlangen, für die Zeit ab 1. Januar 1995 jedoch nur, wenn er kein Entgelt nach Satz 8 verlangen kann. </w:t>
      </w:r>
      <w:r>
        <w:rPr>
          <w:rStyle w:val="Satznummer"/>
        </w:rPr>
        <w:t>5</w:t>
      </w:r>
      <w:r>
        <w:t xml:space="preserve">Für die Zeit vom 1. Januar 1995 bis zum 31. März 1995 kann der Grundstückseigentümer das Entgelt nach Satz 4 nicht verlangen, wenn er sich in einem bis zum 31. März 1995 eingeleiteten notariellen Vermittlungsverfahren nach den §§ 87 bis 102 des Sachenrechtsbereinigungsgesetzes oder Bodenordnungsverfahren nach dem Achten Abschnitt des Landwirtschaftsanpassungsgesetzes nicht unverzüglich auf eine Verhandlung zur Begründung dinglicher Rechte oder eine Übereignung eingelassen hat. </w:t>
      </w:r>
      <w:r>
        <w:rPr>
          <w:rStyle w:val="Satznummer"/>
        </w:rPr>
        <w:t>6</w:t>
      </w:r>
      <w:r>
        <w:t xml:space="preserve">Für die Bestimmung des Entgeltes sind der Bodenwert und der Restwert eines überlassenen Gebäudes zum 22. Juli 1992 maßgebend. </w:t>
      </w:r>
      <w:r>
        <w:rPr>
          <w:rStyle w:val="Satznummer"/>
        </w:rPr>
        <w:t>7</w:t>
      </w:r>
      <w:r>
        <w:t xml:space="preserve">Der Anspruch nach Satz 4 verjährt in zwei Jahren vom 8. November 2000 an. </w:t>
      </w:r>
      <w:r>
        <w:rPr>
          <w:rStyle w:val="Satznummer"/>
        </w:rPr>
        <w:t>8</w:t>
      </w:r>
      <w:r>
        <w:t xml:space="preserve">Der Grundstückseigentümer kann vom 1. Januar 1995 an vom Nutzer ein Entgelt bis zur Höhe des nach dem Sachenrechtsbereinigungsgesetz zu zahlenden Erbbauzinses verlangen, wenn ein Verfahren zur Bodenneuordnung nach dem Bodensonderungsgesetz eingeleitet wird, er ein notarielles Vermittlungsverfahren nach den §§ 87 bis 102 des Sachenrechtsbereinigungsgesetzes oder ein Bodenordnungsverfahren nach dem Achten Abschnitt des Landwirtschaftsanpassungsgesetzes beantragt oder sich in den Verfahren auf eine Verhandlung zur Begründung dinglicher Rechte oder eine Übereignung eingelassen hat. </w:t>
      </w:r>
      <w:r>
        <w:rPr>
          <w:rStyle w:val="Satznummer"/>
        </w:rPr>
        <w:t>9</w:t>
      </w:r>
      <w:r>
        <w:t xml:space="preserve">Vertragliche oder gesetzliche Regelungen, die ein abweichendes Nutzungsentgelt oder einen früheren Beginn der Zahlungspflicht begründen, bleiben unberührt. </w:t>
      </w:r>
      <w:r>
        <w:rPr>
          <w:rStyle w:val="Satznummer"/>
        </w:rPr>
        <w:t>10</w:t>
      </w:r>
      <w:r>
        <w:t xml:space="preserve">Umfang und Inhalt des Rechts bestimmen sich im übrigen nach der bisherigen Ausübung. </w:t>
      </w:r>
      <w:r>
        <w:rPr>
          <w:rStyle w:val="Satznummer"/>
        </w:rPr>
        <w:t>11</w:t>
      </w:r>
      <w:r>
        <w:t>In den Fällen des § 20b Abs. 3 des Parteiengesetzes vom 21. Februar 1990 (GBl. I Nr. 9 S. 66), das zuletzt durch Artikel 1 des Gesetzes vom 19. Dezember 2006 (BGBl. I S. 3230) geändert worden ist, kann das Recht nach Satz 1 allein von der Bundesanstalt für vereinigungsbedingte Sonderaufgaben oder deren Rechtsnachfolger geltend gemacht werden.</w:t>
      </w:r>
    </w:p>
    <w:p>
      <w:r>
        <w:t xml:space="preserve">(2) </w:t>
      </w:r>
      <w:r>
        <w:rPr>
          <w:rStyle w:val="Satznummer"/>
        </w:rPr>
        <w:t>1</w:t>
      </w:r>
      <w:r>
        <w:t xml:space="preserve">Das Recht zum Besitz nach Absatz 1 wird durch eine Übertragung oder einen Übergang des Eigentums oder eine sonstige Verfügung über das Grundstück nicht berührt. </w:t>
      </w:r>
      <w:r>
        <w:rPr>
          <w:rStyle w:val="Satznummer"/>
        </w:rPr>
        <w:t>2</w:t>
      </w:r>
      <w:r>
        <w:t>Das Recht kann übertragen werden; die Übertragung ist gegenüber dem Grundstückseigentümer nur wirksam, wenn sie diesem vom Veräußerer angezeigt wird.</w:t>
      </w:r>
    </w:p>
    <w:p>
      <w:r>
        <w:t xml:space="preserve">(3) </w:t>
      </w:r>
      <w:r>
        <w:rPr>
          <w:rStyle w:val="Satznummer"/>
        </w:rPr>
        <w:t>1</w:t>
      </w:r>
      <w:r>
        <w:t xml:space="preserve">Während des in Absatz 8 Satz 1 genannten Zeitraums kann Ersatz für gezogene Nutzungen oder vorgenommene Verwendungen nur auf einvernehmlicher Grundlage verlangt werden. </w:t>
      </w:r>
      <w:r>
        <w:rPr>
          <w:rStyle w:val="Satznummer"/>
        </w:rPr>
        <w:t>2</w:t>
      </w:r>
      <w:r>
        <w:t>Der Eigentümer eines Grundstücks ist während der Dauer des Rechts zum Besitz nach Absatz 1 verpflichtet, das Grundstück nicht mit Rechten zu belasten, es sei denn, er ist zu deren Bestellung gesetzlich oder aufgrund der Entscheidung einer Behörde verpflichtet.</w:t>
      </w:r>
    </w:p>
    <w:p>
      <w:r>
        <w:t>(4) Bis zu dem in Absatz 1 Satz 2 genannten Zeitpunkt findet auf Überlassungsverträge unbeschadet des Artikels 232 § 1 der § 78 des Zivilgesetzbuchs der Deutschen Demokratischen Republik keine Anwendung.</w:t>
      </w:r>
    </w:p>
    <w:p>
      <w:r>
        <w:t>(5) Das Vermögensgesetz, § 20b Abs. 3 des Parteiengesetzes vom 21. Februar 1990 (GBl. I Nr. 9 S. 66), das zuletzt durch Artikel 1 des Gesetzes vom 19. Dezember 2006 (BGBl. I S. 3230) geändert worden ist, sowie Verfahren nach dem Achten Abschnitt des Landwirtschaftsanpassungsgesetzes bleiben unberührt.</w:t>
      </w:r>
    </w:p>
    <w:p>
      <w:r>
        <w:t xml:space="preserve">(6) </w:t>
      </w:r>
      <w:r>
        <w:rPr>
          <w:rStyle w:val="Satznummer"/>
        </w:rPr>
        <w:t>1</w:t>
      </w:r>
      <w:r>
        <w:t xml:space="preserve">Bestehende Rechte des gemäß Absatz 1 Berechtigten werden nicht berührt. </w:t>
      </w:r>
      <w:r>
        <w:rPr>
          <w:rStyle w:val="Satznummer"/>
        </w:rPr>
        <w:t>2</w:t>
      </w:r>
      <w:r>
        <w:t xml:space="preserve">In Ansehung der Nutzung des Grundstücks getroffene Vereinbarungen bleiben außer in den Fällen des Absatzes 1 Satz 1 Buchstabe c unberührt. </w:t>
      </w:r>
      <w:r>
        <w:rPr>
          <w:rStyle w:val="Satznummer"/>
        </w:rPr>
        <w:t>3</w:t>
      </w:r>
      <w:r>
        <w:t xml:space="preserve">Sie sind in allen Fällen auch weiterhin möglich. </w:t>
      </w:r>
      <w:r>
        <w:rPr>
          <w:rStyle w:val="Satznummer"/>
        </w:rPr>
        <w:t>4</w:t>
      </w:r>
      <w:r>
        <w:t>Das Recht nach Absatz 1 kann ohne Einhaltung einer Frist durch einseitige Erklärung des Grundeigentümers beendet werden, wenn</w:t>
      </w:r>
    </w:p>
    <w:p>
      <w:pPr>
        <w:tabs>
          <w:tab w:pos="567" w:val="left"/>
        </w:tabs>
        <w:ind w:left="567" w:hanging="567"/>
      </w:pPr>
      <w:r>
        <w:t>a)</w:t>
      </w:r>
      <w:r>
        <w:tab/>
      </w:r>
      <w:r>
        <w:t>der Nutzer</w:t>
      </w:r>
    </w:p>
    <w:p>
      <w:pPr>
        <w:tabs>
          <w:tab w:pos="1134" w:val="left"/>
        </w:tabs>
        <w:ind w:left="1134" w:hanging="567"/>
      </w:pPr>
      <w:r>
        <w:t>aa)</w:t>
      </w:r>
      <w:r>
        <w:tab/>
      </w:r>
      <w:r>
        <w:t>im Sinne der §§ 20a und 20b des Parteiengesetzes der Deutschen Demokratischen Republik eine Massenorganisation, eine Partei, eine ihr verbundene Organisation oder eine juristische Person ist und die treuhänderische Verwaltung über den betreffenden Vermögenswert beendet worden ist oder</w:t>
      </w:r>
    </w:p>
    <w:p>
      <w:pPr>
        <w:tabs>
          <w:tab w:pos="1134" w:val="left"/>
        </w:tabs>
        <w:ind w:left="1134" w:hanging="567"/>
      </w:pPr>
      <w:r>
        <w:t>bb)</w:t>
      </w:r>
      <w:r>
        <w:tab/>
      </w:r>
      <w:r>
        <w:t>dem Bereich der Kommerziellen Koordinierung zuzuordnen ist oder</w:t>
      </w:r>
    </w:p>
    <w:p>
      <w:pPr>
        <w:tabs>
          <w:tab w:pos="567" w:val="left"/>
        </w:tabs>
        <w:ind w:left="567" w:hanging="567"/>
      </w:pPr>
      <w:r>
        <w:t>b)</w:t>
      </w:r>
      <w:r>
        <w:tab/>
      </w:r>
      <w:r>
        <w:t>die Rechtsverhältnisse des Nutzers an dem fraglichen Grund und Boden Gegenstand eines gerichtlichen Strafverfahrens gegen den Nutzer sind oder</w:t>
      </w:r>
    </w:p>
    <w:p>
      <w:pPr>
        <w:tabs>
          <w:tab w:pos="567" w:val="left"/>
        </w:tabs>
        <w:ind w:left="567" w:hanging="567"/>
      </w:pPr>
      <w:r>
        <w:t>c)</w:t>
      </w:r>
      <w:r>
        <w:tab/>
      </w:r>
      <w:r>
        <w:t>es sich um ein ehemals volkseigenes Grundstück handelt und seine Nutzung am 2. Oktober 1990 auf einer Rechtsträgerschaft beruhte, es sei denn, der Nutzer ist eine landwirtschaftliche Produktionsgenossenschaft, ein ehemals volkseigener Betrieb der Wohnungswirtschaft, eine Arbeiter-Wohnungsbaugenossenschaft oder eine gemeinnützige Wohnungsgenossenschaft oder deren jeweiliger Rechtsnachfolger.</w:t>
      </w:r>
    </w:p>
    <w:p>
      <w:r>
        <w:rPr>
          <w:rStyle w:val="Satznummer"/>
        </w:rPr>
        <w:t>5</w:t>
      </w:r>
      <w:r>
        <w:t xml:space="preserve">In den Fällen des Satzes 4 Buchstabe a und c ist § 1000 des Bürgerlichen Gesetzbuchs nicht anzuwenden. </w:t>
      </w:r>
      <w:r>
        <w:rPr>
          <w:rStyle w:val="Satznummer"/>
        </w:rPr>
        <w:t>6</w:t>
      </w:r>
      <w:r>
        <w:t>Das Recht zum Besitz nach dieser Vorschrift erlischt, wenn eine Vereinbarung nach den Sätzen 2 und 3 durch den Nutzer gekündigt wird.</w:t>
      </w:r>
    </w:p>
    <w:p>
      <w:r>
        <w:t xml:space="preserve">(7) </w:t>
      </w:r>
      <w:r>
        <w:rPr>
          <w:rStyle w:val="Satznummer"/>
        </w:rPr>
        <w:t>1</w:t>
      </w:r>
      <w:r>
        <w:t xml:space="preserve">Die vorstehenden Regelungen gelten nicht für Nutzungen zur Erholung, Freizeitgestaltung oder zu ähnlichen persönlichen Bedürfnissen einschließlich der Nutzung innerhalb von Kleingartenanlagen. </w:t>
      </w:r>
      <w:r>
        <w:rPr>
          <w:rStyle w:val="Satznummer"/>
        </w:rPr>
        <w:t>2</w:t>
      </w:r>
      <w:r>
        <w:t>Ein Miet- oder Pachtvertrag ist nicht als Überlassungsvertrag anzusehen.</w:t>
      </w:r>
    </w:p>
    <w:p>
      <w:r>
        <w:t xml:space="preserve">(8) </w:t>
      </w:r>
      <w:r>
        <w:rPr>
          <w:rStyle w:val="Satznummer"/>
        </w:rPr>
        <w:t>1</w:t>
      </w:r>
      <w:r>
        <w:t xml:space="preserve">Für die Zeit bis zum Ablauf des 21. Juli 1992 ist der nach Absatz 1 Berechtigte gegenüber dem Grundstückseigentümer sowie sonstigen dinglichen Berechtigten zur Herausgabe von Nutzungen nicht verpflichtet, es sei denn, daß die Beteiligten andere Abreden getroffen haben. </w:t>
      </w:r>
      <w:r>
        <w:rPr>
          <w:rStyle w:val="Satznummer"/>
        </w:rPr>
        <w:t>2</w:t>
      </w:r>
      <w:r>
        <w:t>Ist ein in Absatz 1 Satz 1 Buchstabe d bezeichneter Kaufvertrag unwirksam oder sind die Verhandlungen auf Abschluß des beantragten Kaufvertrages gescheitert, so ist der Nutzer von der Erlangung der Kenntnis der Unwirksamkeit des Vertrages oder der Ablehnung des Vertragsschlusses an nach § 987 des Bürgerlichen Gesetzbuchs zur Herausgabe von Nutzungen verpflichtet.</w:t>
      </w:r>
    </w:p>
    <w:p>
      <w:r>
        <w:t xml:space="preserve">(9) </w:t>
      </w:r>
      <w:r>
        <w:rPr>
          <w:rStyle w:val="Satznummer"/>
        </w:rPr>
        <w:t>1</w:t>
      </w:r>
      <w:r>
        <w:t xml:space="preserve">Für die Zeit vom 22. Juli 1992 bis zum 30. September 2001 kann der Grundstückseigentümer von der öffentlichen Körperschaft, die das Grundstück zur Erfüllung ihrer öffentlichen Aufgaben nutzt oder im Falle der Widmung zum Gemeingebrauch für das Gebäude oder die Anlage unterhaltungspflichtig ist, nur ein Entgelt in Höhe von jährlich 0,8 vom Hundert des Bodenwerts eines in gleicher Lage belegenen Grundstücks sowie die Freistellung von den Lasten des Grundstücks verlangen. </w:t>
      </w:r>
      <w:r>
        <w:rPr>
          <w:rStyle w:val="Satznummer"/>
        </w:rPr>
        <w:t>2</w:t>
      </w:r>
      <w:r>
        <w:t xml:space="preserve">Der Bodenwert ist nach den Bodenrichtwerten zu bestimmen; § 19 Abs. 5 des Sachenrechtsbereinigungsgesetzes gilt entsprechend. </w:t>
      </w:r>
      <w:r>
        <w:rPr>
          <w:rStyle w:val="Satznummer"/>
        </w:rPr>
        <w:t>3</w:t>
      </w:r>
      <w:r>
        <w:t xml:space="preserve">Für die Zeit vom 1. Januar 1995 entsteht der Anspruch nach Satz 1 von dem Zeitpunkt an, in dem der Grundstückseigentümer ihn gegenüber der Körperschaft schriftlich geltend macht; für die Zeit vom 22. Juli 1992 bis zum 31. Dezember 1994 kann er nur bis zum 31. März 2002 geltend gemacht werden. </w:t>
      </w:r>
      <w:r>
        <w:rPr>
          <w:rStyle w:val="Satznummer"/>
        </w:rPr>
        <w:t>4</w:t>
      </w:r>
      <w:r>
        <w:t>Abweichende vertragliche Vereinbarungen bleiben unberührt.</w:t>
      </w:r>
    </w:p>
    <w:p>
      <w:pPr>
        <w:pStyle w:val="Heading4"/>
      </w:pPr>
      <w:bookmarkStart w:id="336" w:name="b335"/>
      <w:r>
        <w:t>Art 233 § 2b Gebäudeeigentum ohne dingliches Nutzungsrecht</w:t>
      </w:r>
      <w:r>
        <w:t xml:space="preserve"> </w:t>
      </w:r>
      <w:r>
        <w:rPr>
          <w:rStyle w:val="Suchmarke"/>
        </w:rPr>
        <w:t>#233-2b.#</w:t>
      </w:r>
      <w:bookmarkEnd w:id="336"/>
    </w:p>
    <w:p>
      <w:r>
        <w:t xml:space="preserve">(1) </w:t>
      </w:r>
      <w:r>
        <w:rPr>
          <w:rStyle w:val="Satznummer"/>
        </w:rPr>
        <w:t>1</w:t>
      </w:r>
      <w:r>
        <w:t xml:space="preserve">In den Fällen des § 2a Abs. 1 Satz 1 Buchstabe a und b sind Gebäude und Anlagen von Arbeiter-Wohnungsbaugenossenschaften und von gemeinnützigen Wohnungsgenossenschaften auf ehemals volkseigenen Grundstücken, in den Fällen des § 2a Abs. 1 Satz 1 Buchstabe a Gebäude und Anlagen landwirtschaftlicher Produktionsgenossenschaften, auch soweit dies nicht gesetzlich bestimmt ist, unabhängig vom Eigentum am Grundstück, Eigentum des Nutzers. </w:t>
      </w:r>
      <w:r>
        <w:rPr>
          <w:rStyle w:val="Satznummer"/>
        </w:rPr>
        <w:t>2</w:t>
      </w:r>
      <w:r>
        <w:t xml:space="preserve">Ein beschränkt dingliches Recht am Grundstück besteht nur, wenn dies besonders begründet worden ist. </w:t>
      </w:r>
      <w:r>
        <w:rPr>
          <w:rStyle w:val="Satznummer"/>
        </w:rPr>
        <w:t>3</w:t>
      </w:r>
      <w:r>
        <w:t>Dies gilt auch für Rechtsnachfolger der in Satz 1 bezeichneten Genossenschaften.</w:t>
      </w:r>
    </w:p>
    <w:p>
      <w:r>
        <w:t xml:space="preserve">(2) </w:t>
      </w:r>
      <w:r>
        <w:rPr>
          <w:rStyle w:val="Satznummer"/>
        </w:rPr>
        <w:t>1</w:t>
      </w:r>
      <w:r>
        <w:t xml:space="preserve">Für Gebäudeeigentum, das nach Absatz 1 entsteht oder nach § 27 des Gesetzes über die landwirtschaftlichen Produktionsgenossenschaften vom 2. Juli 1982 (GBl. I Nr. 25 S. 443), das zuletzt durch das Gesetz über die Änderung oder Aufhebung von Gesetzen der Deutschen Demokratischen Republik vom 28. Juni 1990 (GBl. I Nr. 38 S. 483) geändert worden ist, entstanden ist, ist auf Antrag des Nutzers ein Gebäudegrundbuchblatt anzulegen. </w:t>
      </w:r>
      <w:r>
        <w:rPr>
          <w:rStyle w:val="Satznummer"/>
        </w:rPr>
        <w:t>2</w:t>
      </w:r>
      <w:r>
        <w:t xml:space="preserve">Für die Anlegung und Führung des Gebäudegrundbuchblatts sind die vor dem Wirksamwerden des Beitritts geltenden sowie später erlassene Vorschriften entsprechend anzuwenden. </w:t>
      </w:r>
      <w:r>
        <w:rPr>
          <w:rStyle w:val="Satznummer"/>
        </w:rPr>
        <w:t>3</w:t>
      </w:r>
      <w:r>
        <w:t>Ist das Gebäudeeigentum nicht gemäß § 2c Abs. 1 wie eine Belastung im Grundbuch des betroffenen Grundstücks eingetragen, so ist diese Eintragung vor Anlegung des Gebäudegrundbuchblatts von Amts wegen vorzunehmen.</w:t>
      </w:r>
    </w:p>
    <w:p>
      <w:r>
        <w:t xml:space="preserve">(3) </w:t>
      </w:r>
      <w:r>
        <w:rPr>
          <w:rStyle w:val="Satznummer"/>
        </w:rPr>
        <w:t>1</w:t>
      </w:r>
      <w:r>
        <w:t xml:space="preserve">Ob Gebäudeeigentum entstanden ist und wem es zusteht, wird durch Bescheid des Bundesamtes für zentrale Dienste und offene Vermögensfragen festgestellt. </w:t>
      </w:r>
      <w:r>
        <w:rPr>
          <w:rStyle w:val="Satznummer"/>
        </w:rPr>
        <w:t>2</w:t>
      </w:r>
      <w:r>
        <w:t xml:space="preserve">Das Vermögenszuordnungsgesetz ist anzuwenden. </w:t>
      </w:r>
      <w:r>
        <w:rPr>
          <w:rStyle w:val="Satznummer"/>
        </w:rPr>
        <w:t>3</w:t>
      </w:r>
      <w:r>
        <w:t xml:space="preserve">§ 3a des Verwaltungsverfahrensgesetzes findet keine Anwendung. </w:t>
      </w:r>
      <w:r>
        <w:rPr>
          <w:rStyle w:val="Satznummer"/>
        </w:rPr>
        <w:t>4</w:t>
      </w:r>
      <w:r>
        <w:t xml:space="preserve">Den Grundbuchämtern bleibt es unbenommen, Gebäudeeigentum und seinen Inhaber nach Maßgabe der Bestimmungen des Grundbuchrechts festzustellen; ein Antrag nach den Sätzen 1 und 2 darf nicht von der vorherigen Befassung der Grundbuchämter abhängig gemacht werden. </w:t>
      </w:r>
      <w:r>
        <w:rPr>
          <w:rStyle w:val="Satznummer"/>
        </w:rPr>
        <w:t>5</w:t>
      </w:r>
      <w:r>
        <w:t>Im Antrag an das Bundesamt für zentrale Dienste und offene Vermögensfragen oder an das Grundbuchamt hat der Antragsteller zu versichern, daß bei keiner anderen Stelle ein vergleichbarer Antrag anhängig oder ein Antrag nach Satz 1 abschlägig beschieden worden ist.</w:t>
      </w:r>
    </w:p>
    <w:p>
      <w:r>
        <w:t>(4) § 4 Abs. 1, 3 Satz 1 bis 3 und Abs. 6 ist entsprechend anzuwenden.</w:t>
      </w:r>
    </w:p>
    <w:p>
      <w:r>
        <w:t xml:space="preserve">(5) </w:t>
      </w:r>
      <w:r>
        <w:rPr>
          <w:rStyle w:val="Satznummer"/>
        </w:rPr>
        <w:t>1</w:t>
      </w:r>
      <w:r>
        <w:t xml:space="preserve">Ist ein Gebäude nach Absatz 1 vor Inkrafttreten dieser Vorschrift zur Sicherung übereignet worden, so kann der Sicherungsgeber die Rückübertragung Zug um Zug gegen Bestellung eines Grundpfandrechts an dem Gebäudeeigentum verlangen. </w:t>
      </w:r>
      <w:r>
        <w:rPr>
          <w:rStyle w:val="Satznummer"/>
        </w:rPr>
        <w:t>2</w:t>
      </w:r>
      <w:r>
        <w:t>Bestellte Pfandrechte sind in Grundpfandrechte an dem Gebäudeeigentum zu überführen.</w:t>
      </w:r>
    </w:p>
    <w:p>
      <w:r>
        <w:t xml:space="preserve">(6) </w:t>
      </w:r>
      <w:r>
        <w:rPr>
          <w:rStyle w:val="Satznummer"/>
        </w:rPr>
        <w:t>1</w:t>
      </w:r>
      <w:r>
        <w:t xml:space="preserve">Eine bis zum Ablauf des 21. Juli 1992 vorgenommene Übereignung des nach § 27 des Gesetzes über die landwirtschaftlichen Produktionsgenossenschaften oder nach § 459 Abs. 1 Satz 1 des Zivilgesetzbuchs der Deutschen Demokratischen Republik entstandenen selbständigen Gebäudeeigentums ist nicht deshalb unwirksam, weil sie nicht nach den für die Übereignung von Grundstücken geltenden Vorschriften des Bürgerlichen Gesetzbuchs vorgenommen worden ist. </w:t>
      </w:r>
      <w:r>
        <w:rPr>
          <w:rStyle w:val="Satznummer"/>
        </w:rPr>
        <w:t>2</w:t>
      </w:r>
      <w:r>
        <w:t xml:space="preserve">Gleiches gilt für das Rechtsgeschäft, mit dem die Verpflichtung zur Übertragung und zum Erwerb begründet worden ist. </w:t>
      </w:r>
      <w:r>
        <w:rPr>
          <w:rStyle w:val="Satznummer"/>
        </w:rPr>
        <w:t>3</w:t>
      </w:r>
      <w:r>
        <w:t>Die Sätze 1 und 2 sind nicht anzuwenden, soweit eine rechtskräftige Entscheidung entgegensteht.</w:t>
      </w:r>
    </w:p>
    <w:p>
      <w:pPr>
        <w:pStyle w:val="Heading4"/>
      </w:pPr>
      <w:bookmarkStart w:id="337" w:name="b336"/>
      <w:r>
        <w:t>Art 233 § 2c Grundbucheintragung</w:t>
      </w:r>
      <w:r>
        <w:t xml:space="preserve"> </w:t>
      </w:r>
      <w:r>
        <w:rPr>
          <w:rStyle w:val="Suchmarke"/>
        </w:rPr>
        <w:t>#233-2c.#</w:t>
      </w:r>
      <w:bookmarkEnd w:id="337"/>
    </w:p>
    <w:p>
      <w:r>
        <w:t xml:space="preserve">(1) </w:t>
      </w:r>
      <w:r>
        <w:rPr>
          <w:rStyle w:val="Satznummer"/>
        </w:rPr>
        <w:t>1</w:t>
      </w:r>
      <w:r>
        <w:t xml:space="preserve">Selbständiges Gebäudeeigentum nach § 2b ist auf Antrag (§ 13 Abs. 2 der Grundbuchordnung) im Grundbuch wie eine Belastung des betroffenen Grundstücks einzutragen. </w:t>
      </w:r>
      <w:r>
        <w:rPr>
          <w:rStyle w:val="Satznummer"/>
        </w:rPr>
        <w:t>2</w:t>
      </w:r>
      <w:r>
        <w:t>Ist für das Gebäudeeigentum ein Gebäudegrundbuchblatt nicht vorhanden, so wird es bei der Eintragung in das Grundbuch von Amts wegen angelegt.</w:t>
      </w:r>
    </w:p>
    <w:p>
      <w:r>
        <w:t xml:space="preserve">(2) </w:t>
      </w:r>
      <w:r>
        <w:rPr>
          <w:rStyle w:val="Satznummer"/>
        </w:rPr>
        <w:t>1</w:t>
      </w:r>
      <w:r>
        <w:t xml:space="preserve">Zur Sicherung etwaiger Ansprüche aus dem Sachenrechtsbereinigungsgesetz ist auf Antrag des Nutzers ein Vermerk in der Zweiten Abteilung des Grundbuchs für das betroffene Grundstück einzutragen, wenn ein Besitzrecht nach § 2a besteht. </w:t>
      </w:r>
      <w:r>
        <w:rPr>
          <w:rStyle w:val="Satznummer"/>
        </w:rPr>
        <w:t>2</w:t>
      </w:r>
      <w:r>
        <w:t xml:space="preserve">In den in § 121 Abs. 1 und 2 des Sachenrechtsbereinigungsgesetzes genannten Fällen kann die Eintragung des Vermerks auch gegenüber dem Verfügungsberechtigten mit Wirkung gegenüber dem Berechtigten erfolgen, solange das Rückübertragungsverfahren nach dem Vermögensgesetz nicht unanfechtbar abgeschlossen ist. </w:t>
      </w:r>
      <w:r>
        <w:rPr>
          <w:rStyle w:val="Satznummer"/>
        </w:rPr>
        <w:t>3</w:t>
      </w:r>
      <w:r>
        <w:t xml:space="preserve">Der Vermerk hat die Wirkung einer Vormerkung zur Sicherung dieser Ansprüche. </w:t>
      </w:r>
      <w:r>
        <w:rPr>
          <w:rStyle w:val="Satznummer"/>
        </w:rPr>
        <w:t>4</w:t>
      </w:r>
      <w:r>
        <w:t>§ 885 des Bürgerlichen Gesetzbuchs ist entsprechend anzuwenden.</w:t>
      </w:r>
    </w:p>
    <w:p>
      <w:r>
        <w:t>(3) Der Erwerb selbständigen Gebäudeeigentums sowie dinglicher Rechte am Gebäude der in § 2b bezeichneten Art aufgrund der Vorschriften über den öffentlichen Glauben des Grundbuchs ist nur möglich, wenn das Gebäudeeigentum auch bei dem belasteten Grundstück eingetragen ist.</w:t>
      </w:r>
    </w:p>
    <w:p>
      <w:pPr>
        <w:pStyle w:val="Heading4"/>
      </w:pPr>
      <w:bookmarkStart w:id="338" w:name="b337"/>
      <w:r>
        <w:t>Art 233 § 3 Inhalt und Rang beschränkter dinglicher Rechte</w:t>
      </w:r>
      <w:r>
        <w:t xml:space="preserve"> </w:t>
      </w:r>
      <w:r>
        <w:rPr>
          <w:rStyle w:val="Suchmarke"/>
        </w:rPr>
        <w:t>#233-3.#</w:t>
      </w:r>
      <w:bookmarkEnd w:id="338"/>
    </w:p>
    <w:p>
      <w:r>
        <w:t xml:space="preserve">(1) </w:t>
      </w:r>
      <w:r>
        <w:rPr>
          <w:rStyle w:val="Satznummer"/>
        </w:rPr>
        <w:t>1</w:t>
      </w:r>
      <w:r>
        <w:t xml:space="preserve">Rechte, mit denen eine Sache oder ein Recht am Ende des Tages vor dem Wirksamwerden des Beitritts belastet ist, bleiben mit dem sich aus dem bisherigen Recht ergebenden Inhalt und Rang bestehen, soweit sich nicht aus den nachstehenden Vorschriften ein anderes ergibt. </w:t>
      </w:r>
      <w:r>
        <w:rPr>
          <w:rStyle w:val="Satznummer"/>
        </w:rPr>
        <w:t>2</w:t>
      </w:r>
      <w:r>
        <w:t xml:space="preserve">§ 5 Abs. 2 Satz 2 und Abs. 3 des Gesetzes über die Verleihung von Nutzungsrechten an volkseigenen Grundstücken vom 14. Dezember 1970 (GBl. I Nr. 24 S. 372 - Nutzungsrechtsgesetz) sowie § 289 Abs. 2 und 3 und § 293 Abs. 1 Satz 2 des Zivilgesetzbuchs der Deutschen Demokratischen Republik sind nicht mehr anzuwenden. </w:t>
      </w:r>
      <w:r>
        <w:rPr>
          <w:rStyle w:val="Satznummer"/>
        </w:rPr>
        <w:t>3</w:t>
      </w:r>
      <w:r>
        <w:t>Satz 2 gilt entsprechend für die Bestimmungen des Nutzungsrechtsgesetzes und des Zivilgesetzbuchs über den Entzug eines Nutzungsrechts.</w:t>
      </w:r>
    </w:p>
    <w:p>
      <w:r>
        <w:t>(2) Die Aufhebung eines Rechts, mit dem ein Grundstück oder ein Recht an einem Grundstück belastet ist, richtet sich nach den bisherigen Vorschriften, wenn das Recht der Eintragung in das Grundbuch nicht bedurfte und nicht eingetragen ist.</w:t>
      </w:r>
    </w:p>
    <w:p>
      <w:r>
        <w:t xml:space="preserve">(3) </w:t>
      </w:r>
      <w:r>
        <w:rPr>
          <w:rStyle w:val="Satznummer"/>
        </w:rPr>
        <w:t>1</w:t>
      </w:r>
      <w:r>
        <w:t xml:space="preserve">Die Anpassung des vom Grundstückseigentum unabhängigen Eigentums am Gebäude und des in § 4 Abs. 2 bezeichneten Nutzungsrechts an das Bürgerliche Gesetzbuch und seine Nebengesetze und an die veränderten Verhältnisse sowie die Begründung von Rechten zur Absicherung der in § 2a bezeichneten Bebauungen erfolgen nach Maßgabe des Sachenrechtsbereinigungsgesetzes. </w:t>
      </w:r>
      <w:r>
        <w:rPr>
          <w:rStyle w:val="Satznummer"/>
        </w:rPr>
        <w:t>2</w:t>
      </w:r>
      <w:r>
        <w:t>Eine Anpassung im übrigen bleibt vorbehalten.</w:t>
      </w:r>
    </w:p>
    <w:p>
      <w:r>
        <w:t>(4) Auf Vorkaufsrechte, die nach den Vorschriften des Zivilgesetzbuchs der Deutschen Demokratischen Republik bestellt wurden, sind vom 1. Oktober 1994 an die Bestimmungen des Bürgerlichen Gesetzbuchs nach den §§ 1094 bis 1104 anzuwenden.</w:t>
      </w:r>
    </w:p>
    <w:p>
      <w:pPr>
        <w:pStyle w:val="Heading4"/>
      </w:pPr>
      <w:bookmarkStart w:id="339" w:name="b338"/>
      <w:r>
        <w:t>Art 233 § 4 Sondervorschriften für dingliche Nutzungsrechte und Gebäudeeigentum</w:t>
      </w:r>
      <w:r>
        <w:t xml:space="preserve"> </w:t>
      </w:r>
      <w:r>
        <w:rPr>
          <w:rStyle w:val="Suchmarke"/>
        </w:rPr>
        <w:t>#233-4.#</w:t>
      </w:r>
      <w:bookmarkEnd w:id="339"/>
    </w:p>
    <w:p>
      <w:r>
        <w:t xml:space="preserve">(1) </w:t>
      </w:r>
      <w:r>
        <w:rPr>
          <w:rStyle w:val="Satznummer"/>
        </w:rPr>
        <w:t>1</w:t>
      </w:r>
      <w:r>
        <w:t xml:space="preserve">Für das Gebäudeeigentum nach § 288 Abs. 4 oder § 292 Abs. 3 des Zivilgesetzbuchs der Deutschen Demokratischen Republik gelten von dem Wirksamwerden des Beitritts an die sich auf Grundstücke beziehenden Vorschriften des Bürgerlichen Gesetzbuchs mit Ausnahme der §§ 927 und 928 entsprechend. </w:t>
      </w:r>
      <w:r>
        <w:rPr>
          <w:rStyle w:val="Satznummer"/>
        </w:rPr>
        <w:t>2</w:t>
      </w:r>
      <w:r>
        <w:t xml:space="preserve">Vor der Anlegung eines Gebäudegrundbuchblatts ist das dem Gebäudeeigentum zugrundeliegende Nutzungsrecht von Amts wegen im Grundbuch des belasteten Grundstücks einzutragen. </w:t>
      </w:r>
      <w:r>
        <w:rPr>
          <w:rStyle w:val="Satznummer"/>
        </w:rPr>
        <w:t>3</w:t>
      </w:r>
      <w:r>
        <w:t>Der Erwerb eines selbständigen Gebäudeeigentums oder eines dinglichen Rechts am Gebäude der in Satz 1 genannten Art aufgrund der Vorschriften über den öffentlichen Glauben des Grundbuchs ist nur möglich, wenn auch das zugrundeliegende Nutzungsrecht bei dem belasteten Grundstück eingetragen ist.</w:t>
      </w:r>
    </w:p>
    <w:p>
      <w:r>
        <w:t xml:space="preserve">(2) </w:t>
      </w:r>
      <w:r>
        <w:rPr>
          <w:rStyle w:val="Satznummer"/>
        </w:rPr>
        <w:t>1</w:t>
      </w:r>
      <w:r>
        <w:t xml:space="preserve">Ein Nutzungsrecht nach den §§ 287 bis 294 des Zivilgesetzbuchs der Deutschen Demokratischen Republik, das nicht im Grundbuch des belasteten Grundstücks eingetragen ist, wird durch die Vorschriften des Bürgerlichen Gesetzbuchs über den öffentlichen Glauben des Grundbuchs nicht beeinträchtigt, wenn ein aufgrund des Nutzungsrechts zulässiges Eigenheim oder sonstiges Gebäude in dem für den öffentlichen Glauben maßgebenden Zeitpunkt ganz oder teilweise errichtet ist und der dem Erwerb zugrundeliegende Eintragungsantrag vor dem 1. Januar 2001 gestellt worden ist. </w:t>
      </w:r>
      <w:r>
        <w:rPr>
          <w:rStyle w:val="Satznummer"/>
        </w:rPr>
        <w:t>2</w:t>
      </w:r>
      <w:r>
        <w:t>Der Erwerber des Eigentums oder eines sonstigen Rechts an dem belasteten Grundstück kann in diesem Fall die Aufhebung oder Änderung des Nutzungsrechts gegen Ausgleich der dem Nutzungsberechtigten dadurch entstehenden Vermögensnachteile verlangen, wenn das Nutzungsrecht für ihn mit Nachteilen verbunden ist, welche erheblich größer sind als der dem Nutzungsberechtigten durch die Aufhebung oder Änderung seines Rechts entstehende Schaden; dies gilt nicht, wenn er beim Erwerb des Eigentums oder sonstigen Rechts in dem für den öffentlichen Glauben des Grundbuchs maßgeblichen Zeitpunkt das Vorhandensein des Nutzungsrechts kannte.</w:t>
      </w:r>
    </w:p>
    <w:p>
      <w:r>
        <w:t xml:space="preserve">(3) </w:t>
      </w:r>
      <w:r>
        <w:rPr>
          <w:rStyle w:val="Satznummer"/>
        </w:rPr>
        <w:t>1</w:t>
      </w:r>
      <w:r>
        <w:t xml:space="preserve">Der Untergang des Gebäudes läßt den Bestand des Nutzungsrechts unberührt. </w:t>
      </w:r>
      <w:r>
        <w:rPr>
          <w:rStyle w:val="Satznummer"/>
        </w:rPr>
        <w:t>2</w:t>
      </w:r>
      <w:r>
        <w:t xml:space="preserve">Aufgrund des Nutzungsrechts kann ein neues Gebäude errichtet werden; Belastungen des Gebäudeeigentums setzen sich an dem Nutzungsrecht und dem neu errichteten Gebäude fort. </w:t>
      </w:r>
      <w:r>
        <w:rPr>
          <w:rStyle w:val="Satznummer"/>
        </w:rPr>
        <w:t>3</w:t>
      </w:r>
      <w:r>
        <w:t xml:space="preserve">Ist ein Nutzungsrecht nur auf die Gebäudegrundfläche verliehen worden, so umfaßt das Nutzungsrecht auch die Nutzung des Grundstücks in dem für Gebäude der errichteten Art zweckentsprechenden ortsüblichen Umfang, bei Eigenheimen nicht mehr als eine Fläche von 500 </w:t>
      </w:r>
      <w:r>
        <w:t xml:space="preserve">qm. </w:t>
      </w:r>
      <w:r>
        <w:rPr>
          <w:rStyle w:val="Satznummer"/>
        </w:rPr>
        <w:t>4</w:t>
      </w:r>
      <w:r>
        <w:t xml:space="preserve">Auf Antrag ist das Grundbuch entsprechend zu berichtigen. </w:t>
      </w:r>
      <w:r>
        <w:rPr>
          <w:rStyle w:val="Satznummer"/>
        </w:rPr>
        <w:t>5</w:t>
      </w:r>
      <w:r>
        <w:t>Absatz 2 gilt entsprechend.</w:t>
      </w:r>
    </w:p>
    <w:p>
      <w:r>
        <w:t>(4) Besteht am Gebäude selbständiges Eigentum nach § 288 Abs. 4 und § 292 Abs. 3 des Zivilgesetzbuchs der Deutschen Demokratischen Republik, so bleibt bei bis zum Ablauf des 31. Dezember 2000 angeordneten Zwangsversteigerungen ein nach jenem Recht begründetes Nutzungsrecht am Grundstück bei dessen Versteigerung auch dann bestehen, wenn es bei der Feststellung des geringsten Gebots nicht berücksichtigt ist.</w:t>
      </w:r>
    </w:p>
    <w:p>
      <w:r>
        <w:t xml:space="preserve">(5) </w:t>
      </w:r>
      <w:r>
        <w:rPr>
          <w:rStyle w:val="Satznummer"/>
        </w:rPr>
        <w:t>1</w:t>
      </w:r>
      <w:r>
        <w:t xml:space="preserve">War der Nutzer beim Erwerb des Nutzungsrechts unredlich im Sinne des § 4 des Vermögensgesetzes, kann der Grundstückseigentümer die Aufhebung des Nutzungsrechts durch gerichtliche Entscheidung verlangen. </w:t>
      </w:r>
      <w:r>
        <w:rPr>
          <w:rStyle w:val="Satznummer"/>
        </w:rPr>
        <w:t>2</w:t>
      </w:r>
      <w:r>
        <w:t xml:space="preserve">Der Anspruch nach Satz 1 ist ausgeschlossen, wenn er nicht bis zum 31. Dezember 2000 rechtshängig geworden ist. </w:t>
      </w:r>
      <w:r>
        <w:rPr>
          <w:rStyle w:val="Satznummer"/>
        </w:rPr>
        <w:t>3</w:t>
      </w:r>
      <w:r>
        <w:t xml:space="preserve">Ein Klageantrag auf Aufhebung ist unzulässig, wenn der Grundstückseigentümer zu einem Antrag auf Aufhebung des Nutzungsrechts durch Bescheid des Amtes zur Regelung offener Vermögensfragen berechtigt oder berechtigt gewesen ist. </w:t>
      </w:r>
      <w:r>
        <w:rPr>
          <w:rStyle w:val="Satznummer"/>
        </w:rPr>
        <w:t>4</w:t>
      </w:r>
      <w:r>
        <w:t xml:space="preserve">Mit der Aufhebung des Nutzungsrechts erlischt das Eigentum am Gebäude nach § 288 Abs. 4 und § 292 Abs. 3 des Zivilgesetzbuchs der Deutschen Demokratischen Republik. </w:t>
      </w:r>
      <w:r>
        <w:rPr>
          <w:rStyle w:val="Satznummer"/>
        </w:rPr>
        <w:t>5</w:t>
      </w:r>
      <w:r>
        <w:t xml:space="preserve">Das Gebäude wird Bestandteil des Grundstücks. </w:t>
      </w:r>
      <w:r>
        <w:rPr>
          <w:rStyle w:val="Satznummer"/>
        </w:rPr>
        <w:t>6</w:t>
      </w:r>
      <w:r>
        <w:t xml:space="preserve">Der Nutzer kann für Gebäude, Anlagen und Anpflanzungen, mit denen er das Grundstück ausgestattet hat, Ersatz verlangen, soweit der Wert des Grundstücks hierdurch noch zu dem Zeitpunkt der Aufhebung des Nutzungsrechts erhöht ist. </w:t>
      </w:r>
      <w:r>
        <w:rPr>
          <w:rStyle w:val="Satznummer"/>
        </w:rPr>
        <w:t>7</w:t>
      </w:r>
      <w:r>
        <w:t xml:space="preserve">Grundpfandrechte an einem aufgrund des Nutzungsrechts errichteten Gebäude setzen sich am Wertersatzanspruch des Nutzers gegen den Grundstückseigentümer fort. </w:t>
      </w:r>
      <w:r>
        <w:rPr>
          <w:rStyle w:val="Satznummer"/>
        </w:rPr>
        <w:t>8</w:t>
      </w:r>
      <w:r>
        <w:t>§ 16 Abs. 3 Satz 5 des Vermögensgesetzes ist entsprechend anzuwenden.</w:t>
      </w:r>
    </w:p>
    <w:p>
      <w:r>
        <w:t xml:space="preserve">(6) </w:t>
      </w:r>
      <w:r>
        <w:rPr>
          <w:rStyle w:val="Satznummer"/>
        </w:rPr>
        <w:t>1</w:t>
      </w:r>
      <w:r>
        <w:t xml:space="preserve">Auf die Aufhebung eines Nutzungsrechts nach § 287 oder § 291 des Zivilgesetzbuchs der Deutschen Demokratischen Republik finden die §§ 875 und 876 des Bürgerlichen Gesetzbuchs Anwendung. </w:t>
      </w:r>
      <w:r>
        <w:rPr>
          <w:rStyle w:val="Satznummer"/>
        </w:rPr>
        <w:t>2</w:t>
      </w:r>
      <w:r>
        <w:t xml:space="preserve">Ist das Nutzungsrecht nicht im Grundbuch eingetragen, so reicht die notariell beurkundete Erklärung des Berechtigten, daß er das Recht aufgebe, aus, wenn die Erklärung bei dem Grundbuchamt eingereicht wird. </w:t>
      </w:r>
      <w:r>
        <w:rPr>
          <w:rStyle w:val="Satznummer"/>
        </w:rPr>
        <w:t>3</w:t>
      </w:r>
      <w:r>
        <w:t>Mit der Aufhebung des Nutzungsrechts erlischt das Gebäudeeigentum nach § 288 Abs. 4 oder § 292 Abs. 3 des Zivilgesetzbuchs der Deutschen Demokratischen Republik; das Gebäude wird Bestandteil des Grundstücks.</w:t>
      </w:r>
    </w:p>
    <w:p>
      <w:r>
        <w:t>(7) Die Absätze 1 bis 5 gelten entsprechend, soweit aufgrund anderer Rechtsvorschriften Gebäudeeigentum, für das ein Gebäudegrundbuchblatt anzulegen ist, in Verbindung mit einem Nutzungsrecht an dem betroffenen Grundstück besteht.</w:t>
      </w:r>
    </w:p>
    <w:p>
      <w:pPr>
        <w:pStyle w:val="Heading4"/>
      </w:pPr>
      <w:bookmarkStart w:id="340" w:name="b339"/>
      <w:r>
        <w:t>Art 233 § 5 Mitbenutzungsrechte</w:t>
      </w:r>
      <w:r>
        <w:t xml:space="preserve"> </w:t>
      </w:r>
      <w:r>
        <w:rPr>
          <w:rStyle w:val="Suchmarke"/>
        </w:rPr>
        <w:t>#233-5.#</w:t>
      </w:r>
      <w:bookmarkEnd w:id="340"/>
    </w:p>
    <w:p>
      <w:r>
        <w:t>(1) Mitbenutzungsrechte im Sinn des § 321 Abs. 1 bis 3 und des § 322 des Zivilgesetzbuchs der Deutschen Demokratischen Republik gelten als Rechte an dem belasteten Grundstück, soweit ihre Begründung der Zustimmung des Eigentümers dieses Grundstücks bedurfte.</w:t>
      </w:r>
    </w:p>
    <w:p>
      <w:r>
        <w:t xml:space="preserve">(2) </w:t>
      </w:r>
      <w:r>
        <w:rPr>
          <w:rStyle w:val="Satznummer"/>
        </w:rPr>
        <w:t>1</w:t>
      </w:r>
      <w:r>
        <w:t xml:space="preserve">Soweit die in Absatz 1 bezeichneten Rechte nach den am Tag vor dem Wirksamwerden des Beitritts geltenden Rechtsvorschriften gegenüber einem Erwerber des belasteten Grundstücks oder eines Rechts an diesem Grundstück auch dann wirksam bleiben, wenn sie nicht im Grundbuch eingetragen sind, behalten sie ihre Wirksamkeit auch gegenüber den Vorschriften des Bürgerlichen Gesetzbuchs über den öffentlichen Glauben des Grundbuchs, wenn der dem Erwerb zugrundeliegende Eintragungsantrag vor dem 1. Januar 2001 gestellt worden ist. </w:t>
      </w:r>
      <w:r>
        <w:rPr>
          <w:rStyle w:val="Satznummer"/>
        </w:rPr>
        <w:t>2</w:t>
      </w:r>
      <w:r>
        <w:t xml:space="preserve">Der Erwerber des Eigentums oder eines sonstigen Rechts an dem belasteten Grundstück kann in diesem Fall jedoch die Aufhebung oder Änderung des Mitbenutzungsrechts gegen Ausgleich der dem Berechtigten dadurch entstehenden Vermögensnachteile verlangen, wenn das Mitbenutzungsrecht für ihn mit Nachteilen verbunden ist, welche erheblich größer sind als der durch die Aufhebung oder Änderung dieses Rechts dem Berechtigten entstehende Schaden; dies gilt nicht, wenn derjenige, der die Aufhebung oder Änderung des Mitbenutzungsrechts verlangt, beim Erwerb des Eigentums oder sonstigen Rechts an dem belasteten Grundstück in dem für den öffentlichen Glauben des Grundbuchs maßgeblichen Zeitpunkt das Vorhandensein des Mitbenutzungsrechts kannte. </w:t>
      </w:r>
      <w:r>
        <w:rPr>
          <w:rStyle w:val="Satznummer"/>
        </w:rPr>
        <w:t>3</w:t>
      </w:r>
      <w:r>
        <w:t>In der Zwangsversteigerung des Grundstücks ist bei bis zum Ablauf des 31. Dezember 2000 angeordneten Zwangsversteigerungen auf die in Absatz 1 bezeichneten Rechte § 9 des Einführungsgesetzes zu dem Gesetz über die Zwangsversteigerung und die Zwangsverwaltung in der im Bundesgesetzblatt Teil III, Gliederungsnummer 310-13, veröffentlichten bereinigten Fassung, zuletzt geändert durch Artikel 7 Abs. 24 des Gesetzes vom 17. Dezember 1990 (BGBl. I S. 2847), entsprechend anzuwenden.</w:t>
      </w:r>
    </w:p>
    <w:p>
      <w:r>
        <w:t xml:space="preserve">(3) </w:t>
      </w:r>
      <w:r>
        <w:rPr>
          <w:rStyle w:val="Satznummer"/>
        </w:rPr>
        <w:t>1</w:t>
      </w:r>
      <w:r>
        <w:t xml:space="preserve">Ein nach Absatz 1 als Recht an einem Grundstück geltendes Mitbenutzungsrecht kann in das Grundbuch auch dann eingetragen werden, wenn es nach den am Tag vor dem Wirksamwerden des Beitritts geltenden Vorschriften nicht eintragungsfähig war. </w:t>
      </w:r>
      <w:r>
        <w:rPr>
          <w:rStyle w:val="Satznummer"/>
        </w:rPr>
        <w:t>2</w:t>
      </w:r>
      <w:r>
        <w:t xml:space="preserve">Bei Eintragung eines solchen Rechts ist der Zeitpunkt der Entstehung des Rechts zu vermerken, wenn der Antragsteller diesen in der nach der Grundbuchordnung für die Eintragung vorgesehenen Form nachweist. </w:t>
      </w:r>
      <w:r>
        <w:rPr>
          <w:rStyle w:val="Satznummer"/>
        </w:rPr>
        <w:t>3</w:t>
      </w:r>
      <w:r>
        <w:t>Kann der Entstehungszeitpunkt nicht nachgewiesen werden, so ist der Vorrang vor anderen Rechten zu vermerken, wenn dieser von den Betroffenen bewilligt wird.</w:t>
      </w:r>
    </w:p>
    <w:p>
      <w:r>
        <w:t xml:space="preserve">(4) </w:t>
      </w:r>
      <w:r>
        <w:rPr>
          <w:rStyle w:val="Satznummer"/>
        </w:rPr>
        <w:t>1</w:t>
      </w:r>
      <w:r>
        <w:t xml:space="preserve">Durch Landesgesetz kann bestimmt werden, daß ein Mitbenutzungsrecht der in Absatz 1 bezeichneten Art mit dem Inhalt in das Grundbuch einzutragen ist, der dem seit dem 3. Oktober 1990 geltenden Recht entspricht oder am ehesten entspricht. </w:t>
      </w:r>
      <w:r>
        <w:rPr>
          <w:rStyle w:val="Satznummer"/>
        </w:rPr>
        <w:t>2</w:t>
      </w:r>
      <w:r>
        <w:t>Ist die Verpflichtung zur Eintragung durch rechtskräftige Entscheidung festgestellt, so kann das Recht auch in den Fällen des Satzes 1 mit seinem festgestellten Inhalt eingetragen werden.</w:t>
      </w:r>
    </w:p>
    <w:p>
      <w:pPr>
        <w:pStyle w:val="Heading4"/>
      </w:pPr>
      <w:bookmarkStart w:id="341" w:name="b340"/>
      <w:r>
        <w:t>Art 233 § 6 Hypotheken</w:t>
      </w:r>
      <w:r>
        <w:t xml:space="preserve"> </w:t>
      </w:r>
      <w:r>
        <w:rPr>
          <w:rStyle w:val="Suchmarke"/>
        </w:rPr>
        <w:t>#233-6.#</w:t>
      </w:r>
      <w:bookmarkEnd w:id="341"/>
    </w:p>
    <w:p>
      <w:r>
        <w:t xml:space="preserve">(1) </w:t>
      </w:r>
      <w:r>
        <w:rPr>
          <w:rStyle w:val="Satznummer"/>
        </w:rPr>
        <w:t>1</w:t>
      </w:r>
      <w:r>
        <w:t xml:space="preserve">Für die Übertragung von Hypothekenforderungen nach dem Zivilgesetzbuch der Deutschen Demokratischen Republik, die am Tag des Wirksamwerdens des Beitritts bestehen, gelten die Vorschriften des Bürgerlichen Gesetzbuchs, welche bei der Übertragung von Sicherungshypotheken anzuwenden sind, entsprechend. </w:t>
      </w:r>
      <w:r>
        <w:rPr>
          <w:rStyle w:val="Satznummer"/>
        </w:rPr>
        <w:t>2</w:t>
      </w:r>
      <w:r>
        <w:t xml:space="preserve">Das gleiche gilt für die Aufhebung solcher Hypotheken mit der Maßgabe, daß § 1183 des Bürgerlichen Gesetzbuchs und § 27 der Grundbuchordnung nicht anzuwenden sind. </w:t>
      </w:r>
      <w:r>
        <w:rPr>
          <w:rStyle w:val="Satznummer"/>
        </w:rPr>
        <w:t>3</w:t>
      </w:r>
      <w:r>
        <w:t>Die Regelungen des Bürgerlichen Gesetzbuchs über den Verzicht auf eine Hypothek sind bei solchen Hypotheken nicht anzuwenden.</w:t>
      </w:r>
    </w:p>
    <w:p>
      <w:r>
        <w:t>(2) Die Übertragung von Hypotheken, Grundschulden und Rentenschulden aus der Zeit vor Inkrafttreten des Zivilgesetzbuchs der Deutschen Demokratischen Republik und die sonstigen Verfügungen über solche Rechte richten sich nach den entsprechenden Vorschriften des Bürgerlichen Gesetzbuchs.</w:t>
      </w:r>
    </w:p>
    <w:p>
      <w:pPr>
        <w:pStyle w:val="Heading4"/>
      </w:pPr>
      <w:bookmarkStart w:id="342" w:name="b341"/>
      <w:r>
        <w:t>Art 233 § 7 Am Tag des Wirksamwerdens des Beitritts schwebende Rechtsänderungen</w:t>
      </w:r>
      <w:r>
        <w:t xml:space="preserve"> </w:t>
      </w:r>
      <w:r>
        <w:rPr>
          <w:rStyle w:val="Suchmarke"/>
        </w:rPr>
        <w:t>#233-7.#</w:t>
      </w:r>
      <w:bookmarkEnd w:id="342"/>
    </w:p>
    <w:p>
      <w:r>
        <w:t xml:space="preserve">(1) </w:t>
      </w:r>
      <w:r>
        <w:rPr>
          <w:rStyle w:val="Satznummer"/>
        </w:rPr>
        <w:t>1</w:t>
      </w:r>
      <w:r>
        <w:t xml:space="preserve">Die Übertragung des Eigentums an einem Grundstück richtet sich statt nach den Vorschriften des Bürgerlichen Gesetzbuchs nach den am Tag vor dem Wirksamwerden des Beitritts geltenden Rechtsvorschriften, wenn der Antrag auf Eintragung in das Grundbuch vor dem Wirksamwerden des Beitritts gestellt worden ist. </w:t>
      </w:r>
      <w:r>
        <w:rPr>
          <w:rStyle w:val="Satznummer"/>
        </w:rPr>
        <w:t>2</w:t>
      </w:r>
      <w:r>
        <w:t xml:space="preserve">Dies gilt entsprechend für das Gebäudeeigentum. </w:t>
      </w:r>
      <w:r>
        <w:rPr>
          <w:rStyle w:val="Satznummer"/>
        </w:rPr>
        <w:t>3</w:t>
      </w:r>
      <w:r>
        <w:t>Wurde bei einem Vertrag, der vor dem 3. Oktober 1990 beurkundet worden ist, der Antrag nach diesem Zeitpunkt gestellt, so ist eine gesonderte Auflassung nicht erforderlich, wenn die am 2. Oktober 1990 geltenden Vorschriften des Zivilgesetzbuchs der Deutschen Demokratischen Republik über den Eigentumsübergang eingehalten worden sind.</w:t>
      </w:r>
    </w:p>
    <w:p>
      <w:r>
        <w:t xml:space="preserve">(2) </w:t>
      </w:r>
      <w:r>
        <w:rPr>
          <w:rStyle w:val="Satznummer"/>
        </w:rPr>
        <w:t>1</w:t>
      </w:r>
      <w:r>
        <w:t xml:space="preserve">Ein Recht nach den am Tag vor dem Wirksamwerden des Beitritts geltenden Vorschriften kann nach diesem Tage gemäß diesen Vorschriften noch begründet werden, wenn hierzu die Eintragung in das Grundbuch erforderlich ist und diese beim Grundbuchamt vor dem Wirksamwerden des Beitritts beantragt worden ist. </w:t>
      </w:r>
      <w:r>
        <w:rPr>
          <w:rStyle w:val="Satznummer"/>
        </w:rPr>
        <w:t>2</w:t>
      </w:r>
      <w:r>
        <w:t xml:space="preserve">Auf ein solches Recht ist § 3 Abs. 1 und 2 entsprechend anzuwenden. </w:t>
      </w:r>
      <w:r>
        <w:rPr>
          <w:rStyle w:val="Satznummer"/>
        </w:rPr>
        <w:t>3</w:t>
      </w:r>
      <w:r>
        <w:t>Ist die Eintragung einer Verfügung über ein Recht der in Satz 1 bezeichneten Art vor dem Wirksamwerden des Beitritts beim Grundbuchamt beantragt worden, so sind auf die Verfügung die am Tag vor dem Wirksamwerden des Beitritts geltenden Vorschriften anzuwenden.</w:t>
      </w:r>
    </w:p>
    <w:p>
      <w:pPr>
        <w:pStyle w:val="Heading4"/>
      </w:pPr>
      <w:bookmarkStart w:id="343" w:name="b342"/>
      <w:r>
        <w:t>Art 233 § 8 Rechtsverhältnisse nach § 459 des Zivilgesetzbuchs</w:t>
      </w:r>
      <w:r>
        <w:t xml:space="preserve"> </w:t>
      </w:r>
      <w:r>
        <w:rPr>
          <w:rStyle w:val="Suchmarke"/>
        </w:rPr>
        <w:t>#233-8.#</w:t>
      </w:r>
      <w:bookmarkEnd w:id="343"/>
    </w:p>
    <w:p>
      <w:r>
        <w:rPr>
          <w:rStyle w:val="Satznummer"/>
        </w:rPr>
        <w:t>1</w:t>
      </w:r>
      <w:r>
        <w:t xml:space="preserve">Soweit Rechtsverhältnisse und Ansprüche aufgrund des früheren § 459 des Zivilgesetzbuchs der Deutschen Demokratischen Republik und der dazu ergangenen Ausführungsvorschriften am Ende des Tages vor dem Wirksamwerden des Beitritts bestehen, bleiben sie vorbehaltlich des § 2 und der im Sachenrechtsbereinigungsgesetz getroffenen Bestimmungen unberührt. </w:t>
      </w:r>
      <w:r>
        <w:rPr>
          <w:rStyle w:val="Satznummer"/>
        </w:rPr>
        <w:t>2</w:t>
      </w:r>
      <w:r>
        <w:t>Soweit Gebäudeeigentum besteht, sind die §§ 2b und 2c entsprechend anzuwenden.</w:t>
      </w:r>
    </w:p>
    <w:p>
      <w:pPr>
        <w:pStyle w:val="Heading4"/>
      </w:pPr>
      <w:bookmarkStart w:id="344" w:name="b343"/>
      <w:r>
        <w:t>Art 233 § 9 Rangbestimmung</w:t>
      </w:r>
      <w:r>
        <w:t xml:space="preserve"> </w:t>
      </w:r>
      <w:r>
        <w:rPr>
          <w:rStyle w:val="Suchmarke"/>
        </w:rPr>
        <w:t>#233-9.#</w:t>
      </w:r>
      <w:bookmarkEnd w:id="344"/>
    </w:p>
    <w:p>
      <w:r>
        <w:t>(1) Das Rangverhältnis der in § 3 Abs. 1 bezeichneten Rechte an Grundstücken bestimmt sich nach dem Zeitpunkt der Eintragung in das Grundbuch, soweit sich nicht im folgenden etwas anderes ergibt.</w:t>
      </w:r>
    </w:p>
    <w:p>
      <w:r>
        <w:t>(2) Bei Rechten an Grundstücken, die nicht der Eintragung in das Grundbuch bedürfen und nicht eingetragen sind, bestimmt sich der Rang nach dem Zeitpunkt der Entstehung des Rechts, im Falle des § 5 Abs. 3 Satz 2 und 3 nach dem eingetragenen Vermerk.</w:t>
      </w:r>
    </w:p>
    <w:p>
      <w:r>
        <w:t xml:space="preserve">(3) </w:t>
      </w:r>
      <w:r>
        <w:rPr>
          <w:rStyle w:val="Satznummer"/>
        </w:rPr>
        <w:t>1</w:t>
      </w:r>
      <w:r>
        <w:t xml:space="preserve">Der Vorrang von Aufbauhypotheken gemäß § 456 Abs. 3 des Zivilgesetzbuchs der Deutschen Demokratischen Republik in Verbindung mit § 3 des Gesetzes zur Änderung und Ergänzung des Zivilgesetzbuchs der Deutschen Demokratischen Republik vom 28. Juni 1990 (GBl. I Nr. 39 S. 524) bleibt unberührt. </w:t>
      </w:r>
      <w:r>
        <w:rPr>
          <w:rStyle w:val="Satznummer"/>
        </w:rPr>
        <w:t>2</w:t>
      </w:r>
      <w:r>
        <w:t xml:space="preserve">Der Vorrang kann für Zinsänderungen bis zu einem Gesamtumfang von 13 vom Hundert in Anspruch genommen werden. </w:t>
      </w:r>
      <w:r>
        <w:rPr>
          <w:rStyle w:val="Satznummer"/>
        </w:rPr>
        <w:t>3</w:t>
      </w:r>
      <w:r>
        <w:t xml:space="preserve">Die Stundungswirkung der Aufbauhypotheken gemäß § 458 des Zivilgesetzbuchs der Deutschen Demokratischen Republik in Verbindung mit § 3 des Gesetzes zur Änderung und Ergänzung des Zivilgesetzbuchs der Deutschen Demokratischen Republik vom 28. Juni 1990 (GBl. I Nr. 39 S. 524) entfällt. </w:t>
      </w:r>
      <w:r>
        <w:rPr>
          <w:rStyle w:val="Satznummer"/>
        </w:rPr>
        <w:t>4</w:t>
      </w:r>
      <w:r>
        <w:t>Diese Bestimmungen gelten für Aufbaugrundschulden entsprechend.</w:t>
      </w:r>
    </w:p>
    <w:p>
      <w:pPr>
        <w:pStyle w:val="Heading4"/>
      </w:pPr>
      <w:bookmarkStart w:id="345" w:name="b344"/>
      <w:r>
        <w:t>Art 233 § 10 Vertretungsbefugnis für Personenzusammenschlüsse alten Rechts</w:t>
      </w:r>
      <w:r>
        <w:t xml:space="preserve"> </w:t>
      </w:r>
      <w:r>
        <w:rPr>
          <w:rStyle w:val="Suchmarke"/>
        </w:rPr>
        <w:t>#233-10.#</w:t>
      </w:r>
      <w:bookmarkEnd w:id="345"/>
    </w:p>
    <w:p>
      <w:r>
        <w:t xml:space="preserve">(1) </w:t>
      </w:r>
      <w:r>
        <w:rPr>
          <w:rStyle w:val="Satznummer"/>
        </w:rPr>
        <w:t>1</w:t>
      </w:r>
      <w:r>
        <w:t xml:space="preserve">Steht ein dingliches Recht an einem Grundstück einem Personenzusammenschluß zu, dessen Mitglieder nicht namentlich im Grundbuch aufgeführt sind, ist die Gemeinde, in der das Grundstück liegt, vorbehaltlich einer anderweitigen landesgesetzlichen Regelung gesetzliche Vertreterin des Personenzusammenschlusses und dessen Mitglieder in Ansehung des Gemeinschaftsgegenstandes. </w:t>
      </w:r>
      <w:r>
        <w:rPr>
          <w:rStyle w:val="Satznummer"/>
        </w:rPr>
        <w:t>2</w:t>
      </w:r>
      <w:r>
        <w:t>Erstreckt sich das Grundstück auf verschiedene Gemeindebezirke, ermächtigt die Flurneuordnungsbehörde (§ 53 Abs. 4 des Landwirtschaftsanpassungsgesetzes) eine der Gemeinden zur Vertretung des Personenzusammenschlusses.</w:t>
      </w:r>
    </w:p>
    <w:p>
      <w:r>
        <w:t xml:space="preserve">(2) </w:t>
      </w:r>
      <w:r>
        <w:rPr>
          <w:rStyle w:val="Satznummer"/>
        </w:rPr>
        <w:t>1</w:t>
      </w:r>
      <w:r>
        <w:t xml:space="preserve">Im Rahmen der gesetzlichen Vertretung des Personenzusammenschlusses ist die Gemeinde zur Verfügung über das Grundstück befugt. </w:t>
      </w:r>
      <w:r>
        <w:rPr>
          <w:rStyle w:val="Satznummer"/>
        </w:rPr>
        <w:t>2</w:t>
      </w:r>
      <w:r>
        <w:t xml:space="preserve">Verfügungsbeschränkungen, die sich aus den Bestimmungen ergeben, denen der Personenzusammenschluß unterliegt, stehen einer Verfügung durch die Gemeinde nicht entgegen. </w:t>
      </w:r>
      <w:r>
        <w:rPr>
          <w:rStyle w:val="Satznummer"/>
        </w:rPr>
        <w:t>3</w:t>
      </w:r>
      <w:r>
        <w:t xml:space="preserve">Die Gemeinde übt die Vertretung des Personenzusammenschlusses so aus, wie es dem mutmaßlichen Willen der Mitglieder unter Berücksichtigung der Interessen der Allgemeinheit entspricht. </w:t>
      </w:r>
      <w:r>
        <w:rPr>
          <w:rStyle w:val="Satznummer"/>
        </w:rPr>
        <w:t>4</w:t>
      </w:r>
      <w:r>
        <w:t>Hinsichtlich eines Veräußerungserlöses gelten die §§ 666 und 667 des Bürgerlichen Gesetzbuchs entsprechend.</w:t>
      </w:r>
    </w:p>
    <w:p>
      <w:r>
        <w:t>(3) Die Rechte der Organe des Personenzusammenschlusses bleiben unberührt.</w:t>
      </w:r>
    </w:p>
    <w:p>
      <w:r>
        <w:t xml:space="preserve">(4) </w:t>
      </w:r>
      <w:r>
        <w:rPr>
          <w:rStyle w:val="Satznummer"/>
        </w:rPr>
        <w:t>1</w:t>
      </w:r>
      <w:r>
        <w:t xml:space="preserve">Die Vertretungsbefugnis der Gemeinde endet, wenn sie durch Bescheid der Flurneuordnungsbehörde aufgehoben wird und eine Ausfertigung hiervon zu den Grundakten des betroffenen Grundstücks gelangt. </w:t>
      </w:r>
      <w:r>
        <w:rPr>
          <w:rStyle w:val="Satznummer"/>
        </w:rPr>
        <w:t>2</w:t>
      </w:r>
      <w:r>
        <w:t xml:space="preserve">Die Aufhebung der Vertretungsbefugnis kann von jedem Mitglied des Personenzusammenschlusses beantragt werden. </w:t>
      </w:r>
      <w:r>
        <w:rPr>
          <w:rStyle w:val="Satznummer"/>
        </w:rPr>
        <w:t>3</w:t>
      </w:r>
      <w:r>
        <w:t>Die Flurneuordnungsbehörde hat dem Antrag zu entsprechen, wenn die anderweitige Vertretung des Personenzusammenschlusses sichergestellt ist.</w:t>
      </w:r>
    </w:p>
    <w:p>
      <w:r>
        <w:t>(5) Die Absätze 1 bis 4 gelten entsprechend, wenn im Grundbuch das Grundstück ohne Angabe eines Eigentümers als öffentliches bezeichnet wird.</w:t>
      </w:r>
    </w:p>
    <w:p>
      <w:pPr>
        <w:pStyle w:val="Heading3"/>
      </w:pPr>
      <w:bookmarkStart w:id="346" w:name="b345"/>
      <w:r>
        <w:t>Zweiter Abschnitt Abwicklung der Bodenreform</w:t>
      </w:r>
      <w:bookmarkEnd w:id="346"/>
    </w:p>
    <w:p>
      <w:pPr>
        <w:pStyle w:val="Heading4"/>
      </w:pPr>
      <w:bookmarkStart w:id="347" w:name="b346"/>
      <w:r>
        <w:t>Art 233 § 11 Grundsatz</w:t>
      </w:r>
      <w:r>
        <w:t xml:space="preserve"> </w:t>
      </w:r>
      <w:r>
        <w:rPr>
          <w:rStyle w:val="Suchmarke"/>
        </w:rPr>
        <w:t>#233-11.#</w:t>
      </w:r>
      <w:bookmarkEnd w:id="347"/>
    </w:p>
    <w:p>
      <w:r>
        <w:t xml:space="preserve">(1) </w:t>
      </w:r>
      <w:r>
        <w:rPr>
          <w:rStyle w:val="Satznummer"/>
        </w:rPr>
        <w:t>1</w:t>
      </w:r>
      <w:r>
        <w:t xml:space="preserve">Eigentümer eines Grundstücks, das im Grundbuch als Grundstück aus der Bodenreform gekennzeichnet ist oder war, ist der aus einem bestätigten Übergabe-Übernahme-Protokoll oder einer Entscheidung über einen Besitzwechsel nach der (Ersten) Verordnung über die Durchführung des Besitzwechsels bei Bodenreformgrundstücken vom 7. August 1975 (GBl. I Nr. 35 S. 629) in der Fassung der Zweiten Verordnung über die Durchführung des Besitzwechsels bei Bodenreformgrundstücken vom 7. Januar 1988 (GBl. I Nr. 3 S. 25) Begünstigte, wenn vor dem Ablauf des 2. Oktober 1990 bei dem Grundbuchamt ein nicht erledigtes Ersuchen oder ein nicht erledigter Antrag auf Vornahme der Eintragung eingegangen ist. </w:t>
      </w:r>
      <w:r>
        <w:rPr>
          <w:rStyle w:val="Satznummer"/>
        </w:rPr>
        <w:t>2</w:t>
      </w:r>
      <w:r>
        <w:t>Grundstücke aus der Bodenreform, die in Volkseigentum überführt worden sind, sind nach der Dritten Durchführungsverordnung zum Treuhandgesetz vom 29. August 1990 (GBl. I Nr. 57 S. 1333) zu behandeln, wenn vor dem Ablauf des 2. Oktober 1990 ein Ersuchen oder ein Antrag auf Eintragung als Eigentum des Volkes bei dem Grundbuchamt eingegangen ist.</w:t>
      </w:r>
    </w:p>
    <w:p>
      <w:r>
        <w:t xml:space="preserve">(2) </w:t>
      </w:r>
      <w:r>
        <w:rPr>
          <w:rStyle w:val="Satznummer"/>
        </w:rPr>
        <w:t>1</w:t>
      </w:r>
      <w:r>
        <w:t>Das Eigentum an einem anderen als den in Absatz 1 bezeichneten Grundstücken, das im Grundbuch als Grundstück aus der Bodenreform gekennzeichnet ist oder war, wird mit dem Inkrafttreten dieser Vorschriften übertragen,</w:t>
      </w:r>
    </w:p>
    <w:p>
      <w:pPr>
        <w:tabs>
          <w:tab w:pos="567" w:val="left"/>
        </w:tabs>
        <w:ind w:left="567" w:hanging="567"/>
      </w:pPr>
      <w:r>
        <w:t>1.</w:t>
      </w:r>
      <w:r>
        <w:tab/>
      </w:r>
      <w:r>
        <w:t>wenn bei Ablauf des 15. März 1990 eine noch lebende natürliche Person als Eigentümer eingetragen war, dieser Person,</w:t>
      </w:r>
    </w:p>
    <w:p>
      <w:pPr>
        <w:tabs>
          <w:tab w:pos="567" w:val="left"/>
        </w:tabs>
        <w:ind w:left="567" w:hanging="567"/>
      </w:pPr>
      <w:r>
        <w:t>2.</w:t>
      </w:r>
      <w:r>
        <w:tab/>
      </w:r>
      <w:r>
        <w:t>wenn bei Ablauf des 15. März 1990 eine verstorbene natürliche Person als Eigentümer eingetragen war oder die in Nummer 1 genannte Person nach dem 15. März 1990 verstorben ist, derjenigen Person, die sein Erbe ist, oder einer Gemeinschaft, die aus den Erben des zuletzt im Grundbuch eingetragenen Eigentümers gebildet wird.</w:t>
      </w:r>
    </w:p>
    <w:p>
      <w:r>
        <w:rPr>
          <w:rStyle w:val="Satznummer"/>
        </w:rPr>
        <w:t>2</w:t>
      </w:r>
      <w:r>
        <w:t>Auf die Gemeinschaft sind die Vorschriften des Fünfzehnten Titels des Zweiten Buchs des Bürgerlichen Gesetzbuchs anzuwenden, die Bruchteile bestimmen sich jedoch nach den Erbteilen, sofern nicht die Teilhaber übereinstimmend eine andere Aufteilung der Bruchteile bewilligen.</w:t>
      </w:r>
    </w:p>
    <w:p>
      <w:r>
        <w:t xml:space="preserve">(3) </w:t>
      </w:r>
      <w:r>
        <w:rPr>
          <w:rStyle w:val="Satznummer"/>
        </w:rPr>
        <w:t>1</w:t>
      </w:r>
      <w:r>
        <w:t xml:space="preserve">Der nach § 12 Berechtigte kann von demjenigen, dem das Eigentum an einem Grundstück aus der Bodenreform nach Absatz 2 übertragen worden ist, Zug um Zug gegen Übernahme der Verbindlichkeiten nach § 15 Abs. 1 Satz 2 die unentgeltliche Auflassung des Grundstücks verlangen. </w:t>
      </w:r>
      <w:r>
        <w:rPr>
          <w:rStyle w:val="Satznummer"/>
        </w:rPr>
        <w:t>2</w:t>
      </w:r>
      <w:r>
        <w:t xml:space="preserve">Die Übertragung ist gebührenfrei. </w:t>
      </w:r>
      <w:r>
        <w:rPr>
          <w:rStyle w:val="Satznummer"/>
        </w:rPr>
        <w:t>3</w:t>
      </w:r>
      <w:r>
        <w:t xml:space="preserve">Jeder Beteiligte trägt seine Auslagen selbst; die Kosten einer Beurkundung von Rechtsgeschäften, zu denen der Eigentümer nach Satz 1 verpflichtet ist, trägt der Berechtigte. </w:t>
      </w:r>
      <w:r>
        <w:rPr>
          <w:rStyle w:val="Satznummer"/>
        </w:rPr>
        <w:t>4</w:t>
      </w:r>
      <w:r>
        <w:t xml:space="preserve">Als Ersatz für die Auflassung kann der Berechtigte auch Zahlung des Verkehrswertes des Grundstücks verlangen; maßgeblich ist der Zeitpunkt des Verlangens. </w:t>
      </w:r>
      <w:r>
        <w:rPr>
          <w:rStyle w:val="Satznummer"/>
        </w:rPr>
        <w:t>5</w:t>
      </w:r>
      <w:r>
        <w:t>Der Anspruch nach Satz 4 kann nur geltend gemacht werden, wenn der Eigentümer zur Zahlung aufgefordert worden ist und nicht innerhalb von 2 Wochen von dem Eingang der Zahlungsaufforderung an darauf bestanden hat, den Anspruch durch Auflassung des Grundstücks erfüllen zu können.</w:t>
      </w:r>
    </w:p>
    <w:p>
      <w:r>
        <w:t xml:space="preserve">(4) </w:t>
      </w:r>
      <w:r>
        <w:rPr>
          <w:rStyle w:val="Satznummer"/>
        </w:rPr>
        <w:t>1</w:t>
      </w:r>
      <w:r>
        <w:t xml:space="preserve">Auf den Anspruch nach Absatz 3 sind die Vorschriften des Bürgerlichen Gesetzbuchs über Schuldverhältnisse anzuwenden. </w:t>
      </w:r>
      <w:r>
        <w:rPr>
          <w:rStyle w:val="Satznummer"/>
        </w:rPr>
        <w:t>2</w:t>
      </w:r>
      <w:r>
        <w:t xml:space="preserve">Der Eigentümer nach Absatz 2 gilt bis zum Zeitpunkt der Übereignung aufgrund eines Anspruchs nach Absatz 3 dem Berechtigten gegenüber als mit der Verwaltung des Grundstücks beauftragt. </w:t>
      </w:r>
      <w:r>
        <w:rPr>
          <w:rStyle w:val="Satznummer"/>
        </w:rPr>
        <w:t>3</w:t>
      </w:r>
      <w:r>
        <w:t>Für Klagen nach den Absätzen 3, 4 und 6 ist das Gericht ausschließlich zuständig, in dessen Bezirk das Grundstück ganz oder überwiegend liegt.</w:t>
      </w:r>
    </w:p>
    <w:p>
      <w:r>
        <w:t xml:space="preserve">(5) </w:t>
      </w:r>
      <w:r>
        <w:rPr>
          <w:rStyle w:val="Satznummer"/>
        </w:rPr>
        <w:t>1</w:t>
      </w:r>
      <w:r>
        <w:t xml:space="preserve">Ist die in Absatz 1 Satz 1 oder in Absatz 2 Satz 1 bezeichnete Person in dem maßgeblichen Zeitpunkt verheiratet und unterlag die Ehe vor dem Wirksamwerden des Beitritts dem gesetzlichen Güterstand der Eigentums- und Vermögensgemeinschaft des Familiengesetzbuchs der Deutschen Demokratischen Republik, so sind diese Person und ihr Ehegatte zu gleichen Bruchteilen Eigentümer, wenn der Ehegatte den 22. Juli 1992 erlebt hat. </w:t>
      </w:r>
      <w:r>
        <w:rPr>
          <w:rStyle w:val="Satznummer"/>
        </w:rPr>
        <w:t>2</w:t>
      </w:r>
      <w:r>
        <w:t>Maßgeblich ist</w:t>
      </w:r>
    </w:p>
    <w:p>
      <w:pPr>
        <w:tabs>
          <w:tab w:pos="567" w:val="left"/>
        </w:tabs>
        <w:ind w:left="567" w:hanging="567"/>
      </w:pPr>
      <w:r>
        <w:t>1.</w:t>
      </w:r>
      <w:r>
        <w:tab/>
      </w:r>
      <w:r>
        <w:t>in den Fällen des Absatzes 1 Satz 1 der Zeitpunkt der Bestätigung des Übergabe-Übernahme-Protokolls oder der Entscheidung,</w:t>
      </w:r>
    </w:p>
    <w:p>
      <w:pPr>
        <w:tabs>
          <w:tab w:pos="567" w:val="left"/>
        </w:tabs>
        <w:ind w:left="567" w:hanging="567"/>
      </w:pPr>
      <w:r>
        <w:t>2.</w:t>
      </w:r>
      <w:r>
        <w:tab/>
      </w:r>
      <w:r>
        <w:t>in den Fällen des Absatzes 2 Satz 1 Nr. 1 und 2 Fall 2 der Ablauf des 15. März 1990 und</w:t>
      </w:r>
    </w:p>
    <w:p>
      <w:pPr>
        <w:tabs>
          <w:tab w:pos="567" w:val="left"/>
        </w:tabs>
        <w:ind w:left="567" w:hanging="567"/>
      </w:pPr>
      <w:r>
        <w:t>3.</w:t>
      </w:r>
      <w:r>
        <w:tab/>
      </w:r>
      <w:r>
        <w:t>in den Fällen des Absatzes 2 Nr. 2 Fall 1 der Tod der als Eigentümer eingetragenen Person.</w:t>
      </w:r>
    </w:p>
    <w:p>
      <w:pPr>
        <w:pStyle w:val="Heading4"/>
      </w:pPr>
      <w:bookmarkStart w:id="348" w:name="b347"/>
      <w:r>
        <w:t>Art 233 § 12 Berechtigter</w:t>
      </w:r>
      <w:r>
        <w:t xml:space="preserve"> </w:t>
      </w:r>
      <w:r>
        <w:rPr>
          <w:rStyle w:val="Suchmarke"/>
        </w:rPr>
        <w:t>#233-12.#</w:t>
      </w:r>
      <w:bookmarkEnd w:id="348"/>
    </w:p>
    <w:p>
      <w:r>
        <w:t>(1) Berechtigter ist in den Fällen des § 11 Abs. 2 Satz 1 Nr. 1 und Nr. 2 Fall 2 in nachfolgender Reihenfolge:</w:t>
      </w:r>
    </w:p>
    <w:p>
      <w:pPr>
        <w:tabs>
          <w:tab w:pos="567" w:val="left"/>
        </w:tabs>
        <w:ind w:left="567" w:hanging="567"/>
      </w:pPr>
      <w:r>
        <w:t>1.</w:t>
      </w:r>
      <w:r>
        <w:tab/>
      </w:r>
      <w:r>
        <w:t>diejenige Person, der das Grundstück oder der Grundstücksteil nach den Vorschriften über die Bodenreform oder den Besitzwechsel bei Grundstücken aus der Bodenreform förmlich zugewiesen oder übergeben worden ist, auch wenn der Besitzwechsel nicht im Grundbuch eingetragen worden ist,</w:t>
      </w:r>
    </w:p>
    <w:p>
      <w:pPr>
        <w:tabs>
          <w:tab w:pos="567" w:val="left"/>
        </w:tabs>
        <w:ind w:left="567" w:hanging="567"/>
      </w:pPr>
      <w:r>
        <w:t>2.</w:t>
      </w:r>
      <w:r>
        <w:tab/>
      </w:r>
      <w:r>
        <w:t>diejenige Person, die das Grundstück oder den Grundstücksteil auf Veranlassung einer staatlichen Stelle oder mit deren ausdrücklicher Billigung wie ein Eigentümer in Besitz genommen, den Besitzwechsel beantragt hat und zuteilungsfähig ist, sofern es sich um Häuser und die dazu gehörenden Gärten handelt.</w:t>
      </w:r>
    </w:p>
    <w:p>
      <w:r>
        <w:t>(2) Berechtigter ist in den Fällen des § 11 Abs. 2 Satz 1 Nr. 2 Fall 1 in nachfolgender Reihenfolge:</w:t>
      </w:r>
    </w:p>
    <w:p>
      <w:pPr>
        <w:tabs>
          <w:tab w:pos="567" w:val="left"/>
        </w:tabs>
        <w:ind w:left="567" w:hanging="567"/>
      </w:pPr>
      <w:r>
        <w:t>1.</w:t>
      </w:r>
      <w:r>
        <w:tab/>
      </w:r>
      <w:r>
        <w:t>bei nicht im wesentlichen gewerblich genutzten, zum Ablauf des 15. März 1990 noch vorhandenen Häusern und den dazugehörenden Gärten</w:t>
      </w:r>
    </w:p>
    <w:p>
      <w:pPr>
        <w:tabs>
          <w:tab w:pos="1134" w:val="left"/>
        </w:tabs>
        <w:ind w:left="1134" w:hanging="567"/>
      </w:pPr>
      <w:r>
        <w:t>a)</w:t>
      </w:r>
      <w:r>
        <w:tab/>
      </w:r>
      <w:r>
        <w:t>diejenige Person, der das Grundstück oder der Grundstücksteil, auf dem sie sich befinden, nach den Vorschriften über die Bodenreform oder den Besitzwechsel bei Grundstücken aus der Bodenreform förmlich zugewiesen oder übergeben worden ist, auch wenn der Besitzwechsel nicht im Grundbuch eingetragen worden ist,</w:t>
      </w:r>
    </w:p>
    <w:p>
      <w:pPr>
        <w:tabs>
          <w:tab w:pos="1134" w:val="left"/>
        </w:tabs>
        <w:ind w:left="1134" w:hanging="567"/>
      </w:pPr>
      <w:r>
        <w:t>b)</w:t>
      </w:r>
      <w:r>
        <w:tab/>
      </w:r>
      <w:r>
        <w:t>diejenige Person, die das Grundstück oder den Grundstücksteil, auf dem sie sich befinden, auf Veranlassung einer staatlichen Stelle oder mit deren ausdrücklicher Billigung wie ein Eigentümer in Besitz genommen, den Besitzwechsel beantragt hat und zuteilungsfähig ist,</w:t>
      </w:r>
    </w:p>
    <w:p>
      <w:pPr>
        <w:tabs>
          <w:tab w:pos="1134" w:val="left"/>
        </w:tabs>
        <w:ind w:left="1134" w:hanging="567"/>
      </w:pPr>
      <w:r>
        <w:t>c)</w:t>
      </w:r>
      <w:r>
        <w:tab/>
      </w:r>
      <w:r>
        <w:t>der Erbe des zuletzt im Grundbuch aufgrund einer Entscheidung nach den Vorschriften über die Bodenreform oder über die Durchführung des Besitzwechsels eingetragenen Eigentümers, der das Haus am Ende des 15. März 1990 bewohnte,</w:t>
      </w:r>
    </w:p>
    <w:p>
      <w:pPr>
        <w:tabs>
          <w:tab w:pos="1134" w:val="left"/>
        </w:tabs>
        <w:ind w:left="1134" w:hanging="567"/>
      </w:pPr>
      <w:r>
        <w:t>d)</w:t>
      </w:r>
      <w:r>
        <w:tab/>
      </w:r>
      <w:r>
        <w:t>abweichend von den Vorschriften der Dritten Durchführungsverordnung zum Treuhandgesetz vom 29. August 1990 (GBl. I Nr. 57 S. 1333) der Fiskus des Landes, in dem das Hausgrundstück liegt, wenn dieses am 15. März 1990 weder zu Wohnzwecken noch zu gewerblichen Zwecken genutzt wurde.</w:t>
      </w:r>
    </w:p>
    <w:p>
      <w:pPr>
        <w:tabs>
          <w:tab w:pos="567" w:val="left"/>
        </w:tabs>
        <w:ind w:left="567" w:hanging="567"/>
      </w:pPr>
      <w:r>
        <w:t>2.</w:t>
      </w:r>
      <w:r>
        <w:tab/>
      </w:r>
      <w:r>
        <w:t>bei für die Land- oder Forstwirtschaft genutzten Grundstücken (Schlägen)</w:t>
      </w:r>
    </w:p>
    <w:p>
      <w:pPr>
        <w:tabs>
          <w:tab w:pos="1134" w:val="left"/>
        </w:tabs>
        <w:ind w:left="1134" w:hanging="567"/>
      </w:pPr>
      <w:r>
        <w:t>a)</w:t>
      </w:r>
      <w:r>
        <w:tab/>
      </w:r>
      <w:r>
        <w:t>diejenige Person, der das Grundstück oder der Grundstücksteil nach den Vorschriften über die Bodenreform oder den Besitzwechsel bei Grundstücken aus der Bodenreform förmlich zugewiesen oder übergeben worden ist, auch wenn der Besitzwechsel nicht im Grundbuch eingetragen worden ist,</w:t>
      </w:r>
    </w:p>
    <w:p>
      <w:pPr>
        <w:tabs>
          <w:tab w:pos="1134" w:val="left"/>
        </w:tabs>
        <w:ind w:left="1134" w:hanging="567"/>
      </w:pPr>
      <w:r>
        <w:t>b)</w:t>
      </w:r>
      <w:r>
        <w:tab/>
      </w:r>
      <w:r>
        <w:t>der Erbe des zuletzt im Grundbuch aufgrund einer Entscheidung nach den Vorschriften über die Bodenreform oder über die Durchführung des Besitzwechsels eingetragenen Eigentümers, der zuteilungsfähig ist,</w:t>
      </w:r>
    </w:p>
    <w:p>
      <w:pPr>
        <w:tabs>
          <w:tab w:pos="1134" w:val="left"/>
        </w:tabs>
        <w:ind w:left="1134" w:hanging="567"/>
      </w:pPr>
      <w:r>
        <w:t>c)</w:t>
      </w:r>
      <w:r>
        <w:tab/>
      </w:r>
      <w:r>
        <w:t>abweichend von den Vorschriften der Dritten Durchführungsverordnung zum Treuhandgesetz der Fiskus des Landes, in dem das Grundstück liegt.</w:t>
      </w:r>
    </w:p>
    <w:p>
      <w:r>
        <w:t>(3) Zuteilungsfähig im Sinne der Absätze 1 und 2 ist, wer bei Ablauf des 15. März 1990 in dem in Artikel 3 des Einigungsvertrages genannten Gebiet in der Land-, Forst- oder Nahrungsgüterwirtschaft tätig war oder wer vor Ablauf des 15. März 1990 in dem in Artikel 3 des Einigungsvertrages genannten Gebiet in der Land-, Forst- oder Nahrungsgüterwirtschaft insgesamt mindestens zehn Jahre lang tätig war und im Anschluß an diese Tätigkeit keiner anderen Erwerbstätigkeit nachgegangen ist und einer solchen voraussichtlich auf Dauer nicht nachgehen wird.</w:t>
      </w:r>
    </w:p>
    <w:p>
      <w:r>
        <w:t xml:space="preserve">(4) </w:t>
      </w:r>
      <w:r>
        <w:rPr>
          <w:rStyle w:val="Satznummer"/>
        </w:rPr>
        <w:t>1</w:t>
      </w:r>
      <w:r>
        <w:t xml:space="preserve">Erfüllen mehrere Personen die in den Absätzen 1 und 2 genannten Voraussetzungen, so sind sie zu gleichen Teilen berechtigt. </w:t>
      </w:r>
      <w:r>
        <w:rPr>
          <w:rStyle w:val="Satznummer"/>
        </w:rPr>
        <w:t>2</w:t>
      </w:r>
      <w:r>
        <w:t>Ist der nach Absatz 1 Nr. 1 oder Absatz 2 Nr. 1 Buchstaben a und b oder Nr. 2 Buchstabe a Berechtigte verheiratet und unterlag die Ehe vor dem Wirksamwerden des Beitritts dem gesetzlichen Güterstand der Eigentums- und Vermögensgemeinschaft des Familiengesetzbuchs der Deutschen Demokratischen Republik, so ist der Ehegatte zu einem gleichen Anteil berechtigt.</w:t>
      </w:r>
    </w:p>
    <w:p>
      <w:r>
        <w:t xml:space="preserve">(5) </w:t>
      </w:r>
      <w:r>
        <w:rPr>
          <w:rStyle w:val="Satznummer"/>
        </w:rPr>
        <w:t>1</w:t>
      </w:r>
      <w:r>
        <w:t xml:space="preserve">Wenn Ansprüche nach den Absätzen 1 und 2 nicht bestehen, ist der Eigentümer nach § 11 verpflichtet, einem Mitnutzer im Umfang seiner Mitnutzung Miteigentum einzuräumen. </w:t>
      </w:r>
      <w:r>
        <w:rPr>
          <w:rStyle w:val="Satznummer"/>
        </w:rPr>
        <w:t>2</w:t>
      </w:r>
      <w:r>
        <w:t xml:space="preserve">Mitnutzer ist, wem in einem Wohnzwecken dienenden Gebäude auf einem Grundstück aus der Bodenreform Wohnraum zur selbständigen, gleichberechtigten und nicht nur vorübergehenden Nutzung zugewiesen wurde. </w:t>
      </w:r>
      <w:r>
        <w:rPr>
          <w:rStyle w:val="Satznummer"/>
        </w:rPr>
        <w:t>3</w:t>
      </w:r>
      <w:r>
        <w:t xml:space="preserve">Für den Mitnutzer gilt Absatz 4 sinngemäß. </w:t>
      </w:r>
      <w:r>
        <w:rPr>
          <w:rStyle w:val="Satznummer"/>
        </w:rPr>
        <w:t>4</w:t>
      </w:r>
      <w:r>
        <w:t>Der Anspruch besteht nicht, wenn die Einräumung von Miteigentum für den Eigentümer eine insbesondere unter Berücksichtigung der räumlichen Verhältnisse und dem Umfang der bisherigen Nutzung unbillige Härte bedeuten würde.</w:t>
      </w:r>
    </w:p>
    <w:p>
      <w:pPr>
        <w:pStyle w:val="Heading4"/>
      </w:pPr>
      <w:bookmarkStart w:id="349" w:name="b348"/>
      <w:r>
        <w:t>Art 233 § 13 Verfügungen des Eigentümers</w:t>
      </w:r>
      <w:r>
        <w:t xml:space="preserve"> </w:t>
      </w:r>
      <w:r>
        <w:rPr>
          <w:rStyle w:val="Suchmarke"/>
        </w:rPr>
        <w:t>#233-13.#</w:t>
      </w:r>
      <w:bookmarkEnd w:id="349"/>
    </w:p>
    <w:p>
      <w:r>
        <w:rPr>
          <w:rStyle w:val="Satznummer"/>
        </w:rPr>
        <w:t>1</w:t>
      </w:r>
      <w:r>
        <w:t xml:space="preserve">Wird vor dem 3. Oktober 2000 die Berichtigung des Grundbuchs zugunsten desjenigen beantragt, der nach § 11 Abs. 2 Eigentümer ist, so übersendet das Grundbuchamt dem Fiskus des Landes, in dem das Grundstück liegt, eine Nachricht hiervon. </w:t>
      </w:r>
      <w:r>
        <w:rPr>
          <w:rStyle w:val="Satznummer"/>
        </w:rPr>
        <w:t>2</w:t>
      </w:r>
      <w:r>
        <w:t>Das gilt auch für Verfügungen, deren Eintragung dieser Eigentümer vor dem 3. Oktober 2000 beantragt oder beantragen läßt.</w:t>
      </w:r>
    </w:p>
    <w:p>
      <w:pPr>
        <w:pStyle w:val="Heading4"/>
      </w:pPr>
      <w:bookmarkStart w:id="350" w:name="b349"/>
      <w:r>
        <w:t>Art 233 § 13a Vormerkung zugunsten des Fiskus</w:t>
      </w:r>
      <w:r>
        <w:t xml:space="preserve"> </w:t>
      </w:r>
      <w:r>
        <w:rPr>
          <w:rStyle w:val="Suchmarke"/>
        </w:rPr>
        <w:t>#233-13a.#</w:t>
      </w:r>
      <w:bookmarkEnd w:id="350"/>
    </w:p>
    <w:p>
      <w:r>
        <w:rPr>
          <w:rStyle w:val="Satznummer"/>
        </w:rPr>
        <w:t>1</w:t>
      </w:r>
      <w:r>
        <w:t xml:space="preserve">Auf Ersuchen des Fiskus trägt das Grundbuchamt eine Vormerkung zur Sicherung von dessen Anspruch nach § 11 Abs. 3 ein. </w:t>
      </w:r>
      <w:r>
        <w:rPr>
          <w:rStyle w:val="Satznummer"/>
        </w:rPr>
        <w:t>2</w:t>
      </w:r>
      <w:r>
        <w:t>Die Vormerkung ist von Amts wegen zu löschen, wenn das Ersuchen durch das zuständige Verwaltungsgericht aufgehoben wird.</w:t>
      </w:r>
    </w:p>
    <w:p>
      <w:pPr>
        <w:pStyle w:val="Heading4"/>
      </w:pPr>
      <w:bookmarkStart w:id="351" w:name="b350"/>
      <w:r>
        <w:t>Art 233 § 14 Verjährung</w:t>
      </w:r>
      <w:r>
        <w:t xml:space="preserve"> </w:t>
      </w:r>
      <w:r>
        <w:rPr>
          <w:rStyle w:val="Suchmarke"/>
        </w:rPr>
        <w:t>#233-14.#</w:t>
      </w:r>
      <w:bookmarkEnd w:id="351"/>
    </w:p>
    <w:p>
      <w:r>
        <w:rPr>
          <w:rStyle w:val="Satznummer"/>
        </w:rPr>
        <w:t>1</w:t>
      </w:r>
      <w:r>
        <w:t xml:space="preserve">Die Ansprüche nach den §§ 11 und 16 verjähren mit dem Ablauf des 2. Oktober 2000. </w:t>
      </w:r>
      <w:r>
        <w:rPr>
          <w:rStyle w:val="Satznummer"/>
        </w:rPr>
        <w:t>2</w:t>
      </w:r>
      <w:r>
        <w:t>Ist für einen Auflassungsanspruch eine Vormerkung nach § 13 in der bis zum 24. Juli 1997 geltenden Fassung eingetragen, verjährt der gesicherte Auflassungsanspruch innerhalb von 6 Monaten von der Eintragung der Vormerkung.</w:t>
      </w:r>
    </w:p>
    <w:p>
      <w:pPr>
        <w:pStyle w:val="Heading4"/>
      </w:pPr>
      <w:bookmarkStart w:id="352" w:name="b351"/>
      <w:r>
        <w:t>Art 233 § 15 Verbindlichkeiten</w:t>
      </w:r>
      <w:r>
        <w:t xml:space="preserve"> </w:t>
      </w:r>
      <w:r>
        <w:rPr>
          <w:rStyle w:val="Suchmarke"/>
        </w:rPr>
        <w:t>#233-15.#</w:t>
      </w:r>
      <w:bookmarkEnd w:id="352"/>
    </w:p>
    <w:p>
      <w:r>
        <w:t xml:space="preserve">(1) </w:t>
      </w:r>
      <w:r>
        <w:rPr>
          <w:rStyle w:val="Satznummer"/>
        </w:rPr>
        <w:t>1</w:t>
      </w:r>
      <w:r>
        <w:t xml:space="preserve">Auf den Eigentümer nach § 11 Abs. 2 gehen mit Inkrafttreten dieser Vorschriften Verbindlichkeiten über, soweit sie für Maßnahmen an dem Grundstück begründet worden sind. </w:t>
      </w:r>
      <w:r>
        <w:rPr>
          <w:rStyle w:val="Satznummer"/>
        </w:rPr>
        <w:t>2</w:t>
      </w:r>
      <w:r>
        <w:t xml:space="preserve">Sind solche Verbindlichkeiten von einem anderen als dem Eigentümer getilgt worden, so ist der Eigentümer diesem zum Ersatz verpflichtet, soweit die Mittel aus der Verbindlichkeit für das Grundstück verwendet worden sind. </w:t>
      </w:r>
      <w:r>
        <w:rPr>
          <w:rStyle w:val="Satznummer"/>
        </w:rPr>
        <w:t>3</w:t>
      </w:r>
      <w:r>
        <w:t>Der Berechtigte hat die in Satz 1 bezeichneten Verbindlichkeiten und Verpflichtungen zu übernehmen.</w:t>
      </w:r>
    </w:p>
    <w:p>
      <w:r>
        <w:t xml:space="preserve">(2) </w:t>
      </w:r>
      <w:r>
        <w:rPr>
          <w:rStyle w:val="Satznummer"/>
        </w:rPr>
        <w:t>1</w:t>
      </w:r>
      <w:r>
        <w:t xml:space="preserve">Der Eigentümer nach § 11 Abs. 2 ist zur Aufgabe des Eigentums nach Maßgabe des § 928 Abs. 1 des Bürgerlichen Gesetzbuchs berechtigt. </w:t>
      </w:r>
      <w:r>
        <w:rPr>
          <w:rStyle w:val="Satznummer"/>
        </w:rPr>
        <w:t>2</w:t>
      </w:r>
      <w:r>
        <w:t xml:space="preserve">Er kann die Erfüllung auf ihn gemäß Absatz 1 übergegangener Verbindlichkeiten von dem Wirksamwerden des Verzichts an bis zu ihrem Übergang nach Absatz 3 verweigern. </w:t>
      </w:r>
      <w:r>
        <w:rPr>
          <w:rStyle w:val="Satznummer"/>
        </w:rPr>
        <w:t>3</w:t>
      </w:r>
      <w:r>
        <w:t>Die Erklärung des Eigentümers bedarf der Zustimmung der Gemeinde, in der das Grundstück belegen ist, die sie nur zu erteilen hat, wenn ihr ein nach § 12 Berechtigter nicht bekannt ist.</w:t>
      </w:r>
    </w:p>
    <w:p>
      <w:r>
        <w:t xml:space="preserve">(3) </w:t>
      </w:r>
      <w:r>
        <w:rPr>
          <w:rStyle w:val="Satznummer"/>
        </w:rPr>
        <w:t>1</w:t>
      </w:r>
      <w:r>
        <w:t xml:space="preserve">Das Recht zur Aneignung steht im Fall des Absatzes 2 in dieser Reihenfolge dem nach § 12 Berechtigten, dem Fiskus des Landes, in dem das Grundstück liegt, und dem Gläubiger von Verbindlichkeiten nach Absatz 1 zu. </w:t>
      </w:r>
      <w:r>
        <w:rPr>
          <w:rStyle w:val="Satznummer"/>
        </w:rPr>
        <w:t>2</w:t>
      </w:r>
      <w:r>
        <w:t xml:space="preserve">Die Verbindlichkeiten gehen auf den nach § 12 Berechtigten oder den Fiskus des Landes, in dem das Grundstück liegt, über, wenn sie von ihren Aneignungsrechten Gebrauch machen. </w:t>
      </w:r>
      <w:r>
        <w:rPr>
          <w:rStyle w:val="Satznummer"/>
        </w:rPr>
        <w:t>3</w:t>
      </w:r>
      <w:r>
        <w:t xml:space="preserve">Der Gläubiger kann den nach § 12 Berechtigten und den Fiskus des Landes, in dem das Grundstück liegt, zum Verzicht auf ihr Aneignungsrecht auffordern. </w:t>
      </w:r>
      <w:r>
        <w:rPr>
          <w:rStyle w:val="Satznummer"/>
        </w:rPr>
        <w:t>4</w:t>
      </w:r>
      <w:r>
        <w:t xml:space="preserve">Der Verzicht gilt als erklärt, wenn innerhalb von drei Monaten ab Zugang eine Äußerung nicht erfolgt. </w:t>
      </w:r>
      <w:r>
        <w:rPr>
          <w:rStyle w:val="Satznummer"/>
        </w:rPr>
        <w:t>5</w:t>
      </w:r>
      <w:r>
        <w:t xml:space="preserve">Ist er wirksam, entfallen Ansprüche nach § 12. </w:t>
      </w:r>
      <w:r>
        <w:rPr>
          <w:rStyle w:val="Satznummer"/>
        </w:rPr>
        <w:t>6</w:t>
      </w:r>
      <w:r>
        <w:t xml:space="preserve">Ist der Verzicht erklärt oder gilt er als erklärt, so können andere Aneignungsberechtigte mit ihren Rechten im Wege des Aufgebotsverfahrens ausgeschlossen werden, wenn ein Jahr seit dem Verzicht verstrichen ist. </w:t>
      </w:r>
      <w:r>
        <w:rPr>
          <w:rStyle w:val="Satznummer"/>
        </w:rPr>
        <w:t>7</w:t>
      </w:r>
      <w:r>
        <w:t xml:space="preserve">Mit der Rechtskraft des Ausschließungsbeschlusses wird der beantragende Aneignungsberechtigte Eigentümer. </w:t>
      </w:r>
      <w:r>
        <w:rPr>
          <w:rStyle w:val="Satznummer"/>
        </w:rPr>
        <w:t>8</w:t>
      </w:r>
      <w:r>
        <w:t>Mehrere Gläubiger können ihre Rechte nur gemeinsam ausüben.</w:t>
      </w:r>
    </w:p>
    <w:p>
      <w:pPr>
        <w:pStyle w:val="Heading4"/>
      </w:pPr>
      <w:bookmarkStart w:id="353" w:name="b352"/>
      <w:r>
        <w:t>Art 233 § 16 Verhältnis zu anderen Vorschriften, Übergangsvorschriften</w:t>
      </w:r>
      <w:r>
        <w:t xml:space="preserve"> </w:t>
      </w:r>
      <w:r>
        <w:rPr>
          <w:rStyle w:val="Suchmarke"/>
        </w:rPr>
        <w:t>#233-16.#</w:t>
      </w:r>
      <w:bookmarkEnd w:id="353"/>
    </w:p>
    <w:p>
      <w:r>
        <w:t xml:space="preserve">(1) </w:t>
      </w:r>
      <w:r>
        <w:rPr>
          <w:rStyle w:val="Satznummer"/>
        </w:rPr>
        <w:t>1</w:t>
      </w:r>
      <w:r>
        <w:t xml:space="preserve">Die Vorschriften dieses Abschnitts lassen die Bestimmungen des Vermögensgesetzes sowie andere Vorschriften unberührt, nach denen die Aufhebung staatlicher Entscheidungen oder von Verzichtserklärungen oder die Rückübertragung von Vermögenswerten verlangt werden kann. </w:t>
      </w:r>
      <w:r>
        <w:rPr>
          <w:rStyle w:val="Satznummer"/>
        </w:rPr>
        <w:t>2</w:t>
      </w:r>
      <w:r>
        <w:t xml:space="preserve">Durch die Vorschriften dieses Abschnitts, insbesondere § 12 Abs. 2 Nr. 2 Buchstabe c, werden ferner nicht berührt die Vorschriften der Dritten Durchführungsverordnung zum Treuhandgesetz sowie Ansprüche nach </w:t>
      </w:r>
      <w:hyperlink w:anchor="b29" w:history="1">
        <w:r>
          <w:rPr>
            <w:color w:val="0A3A8C"/>
            <w:u w:val="single"/>
          </w:rPr>
          <w:t xml:space="preserve">Artikel 21</w:t>
        </w:r>
      </w:hyperlink>
      <w:r>
        <w:t xml:space="preserve"> Abs. 3 und nach Artikel 22 Abs. 1 Satz 7 des Einigungsvertrages. </w:t>
      </w:r>
      <w:r>
        <w:rPr>
          <w:rStyle w:val="Satznummer"/>
        </w:rPr>
        <w:t>3</w:t>
      </w:r>
      <w:r>
        <w:t>Über die endgültige Aufteilung des Vermögens nach § 12 Abs. 2 Nr. 2 Buchstabe c wird durch besonderes Bundesgesetz entschieden.</w:t>
      </w:r>
    </w:p>
    <w:p>
      <w:r>
        <w:t xml:space="preserve">(2) </w:t>
      </w:r>
      <w:r>
        <w:rPr>
          <w:rStyle w:val="Satznummer"/>
        </w:rPr>
        <w:t>1</w:t>
      </w:r>
      <w:r>
        <w:t xml:space="preserve">Der durch Erbschein oder durch eine andere öffentliche oder öffentlich beglaubigte Urkunde ausgewiesene Erbe des zuletzt eingetragenen Eigentümers eines Grundstücks aus der Bodenreform, das als solches im Grundbuch gekennzeichnet ist, gilt als zur Vornahme von Verfügungen befugt, zu deren Vornahme er sich vor dem Inkrafttreten dieses Abschnitts verpflichtet hat, wenn vor diesem Zeitpunkt die Eintragung der Verfügung erfolgt oder die Eintragung einer Vormerkung zur Sicherung dieses Anspruchs oder die Eintragung dieser Verfügung beantragt worden ist. </w:t>
      </w:r>
      <w:r>
        <w:rPr>
          <w:rStyle w:val="Satznummer"/>
        </w:rPr>
        <w:t>2</w:t>
      </w:r>
      <w:r>
        <w:t xml:space="preserve">Der in § 11 bestimmte Anspruch richtet sich in diesem Falle gegen den Erben; dessen Haftung beschränkt sich auf die in dem Vertrag zu seinen Gunsten vereinbarten Leistungen. </w:t>
      </w:r>
      <w:r>
        <w:rPr>
          <w:rStyle w:val="Satznummer"/>
        </w:rPr>
        <w:t>3</w:t>
      </w:r>
      <w:r>
        <w:t>Die Bestimmungen dieses Absatzes gelten sinngemäß, wenn der Erwerber im Grundbuch eingetragen ist oder wenn der Erwerb von der in § 11 Abs. 2 Satz 1 Nr. 1 bezeichneten Person erfolgt.</w:t>
      </w:r>
    </w:p>
    <w:p>
      <w:r>
        <w:t>(3) Ein Vermerk über die Beschränkungen des Eigentümers nach den Vorschriften über die Bodenreform kann von Amts wegen gelöscht werden.</w:t>
      </w:r>
    </w:p>
    <w:p>
      <w:pPr>
        <w:pStyle w:val="Heading2"/>
      </w:pPr>
      <w:bookmarkStart w:id="354" w:name="b353"/>
      <w:r>
        <w:t>Art 234 Viertes Buch. Familienrecht</w:t>
      </w:r>
      <w:bookmarkEnd w:id="354"/>
    </w:p>
    <w:p>
      <w:pPr>
        <w:pStyle w:val="Heading3"/>
      </w:pPr>
      <w:bookmarkStart w:id="355" w:name="b354"/>
      <w:r>
        <w:t>Art 234 § 1 Grundsatz</w:t>
      </w:r>
      <w:r>
        <w:t xml:space="preserve"> </w:t>
      </w:r>
      <w:r>
        <w:rPr>
          <w:rStyle w:val="Suchmarke"/>
        </w:rPr>
        <w:t>#234-1.#</w:t>
      </w:r>
      <w:bookmarkEnd w:id="355"/>
    </w:p>
    <w:p>
      <w:r>
        <w:t>Das Vierte Buch des Bürgerlichen Gesetzbuchs gilt für alle familienrechtlichen Verhältnisse, die am Tag des Wirksamwerdens des Beitritts bestehen, soweit im folgenden nichts anderes bestimmt ist.</w:t>
      </w:r>
    </w:p>
    <w:p>
      <w:pPr>
        <w:pStyle w:val="Heading3"/>
      </w:pPr>
      <w:bookmarkStart w:id="356" w:name="b355"/>
      <w:r>
        <w:t>Art 234 § 2 Verlöbnis</w:t>
      </w:r>
      <w:r>
        <w:t xml:space="preserve"> </w:t>
      </w:r>
      <w:r>
        <w:rPr>
          <w:rStyle w:val="Suchmarke"/>
        </w:rPr>
        <w:t>#234-2.#</w:t>
      </w:r>
      <w:bookmarkEnd w:id="356"/>
    </w:p>
    <w:p>
      <w:r>
        <w:t>Die Vorschriften über das Verlöbnis gelten nicht für Verlöbnisse, die vor dem Wirksamwerden des Beitritts geschlossen worden sind.</w:t>
      </w:r>
    </w:p>
    <w:p>
      <w:pPr>
        <w:pStyle w:val="Heading3"/>
      </w:pPr>
      <w:bookmarkStart w:id="357" w:name="b356"/>
      <w:r>
        <w:t>Art 234 § 3 (weggefallen)</w:t>
      </w:r>
      <w:r>
        <w:t xml:space="preserve"> </w:t>
      </w:r>
      <w:r>
        <w:rPr>
          <w:rStyle w:val="Suchmarke"/>
        </w:rPr>
        <w:t>#234-3.#</w:t>
      </w:r>
      <w:bookmarkEnd w:id="357"/>
    </w:p>
    <w:p>
      <w:pPr>
        <w:pStyle w:val="Heading3"/>
      </w:pPr>
      <w:bookmarkStart w:id="358" w:name="b357"/>
      <w:r>
        <w:t>Art 234 § 4 Eheliches Güterrecht</w:t>
      </w:r>
      <w:r>
        <w:t xml:space="preserve"> </w:t>
      </w:r>
      <w:r>
        <w:rPr>
          <w:rStyle w:val="Suchmarke"/>
        </w:rPr>
        <w:t>#234-4.#</w:t>
      </w:r>
      <w:bookmarkEnd w:id="358"/>
    </w:p>
    <w:p>
      <w:r>
        <w:t>(1) Haben die Ehegatten am Tag des Wirksamwerdens des Beitritts im gesetzlichen Güterstand der Eigentums- und Vermögensgemeinschaft des Familiengesetzbuchs der Deutschen Demokratischen Republik gelebt, so gelten, soweit die Ehegatten nichts anderes vereinbart haben, von diesem Zeitpunkt an die Vorschriften über den gesetzlichen Güterstand der Zugewinngemeinschaft.</w:t>
      </w:r>
    </w:p>
    <w:p>
      <w:r>
        <w:t xml:space="preserve">(2) </w:t>
      </w:r>
      <w:r>
        <w:rPr>
          <w:rStyle w:val="Satznummer"/>
        </w:rPr>
        <w:t>1</w:t>
      </w:r>
      <w:r>
        <w:t xml:space="preserve">Jeder Ehegatte kann, sofern nicht vorher ein Ehevertrag geschlossen oder die Ehe geschieden worden ist, bis zum Ablauf von zwei Jahren nach Wirksamwerden des Beitritts dem Kreisgericht gegenüber erklären, daß für die Ehe der bisherige gesetzliche Güterstand fortgelten solle. </w:t>
      </w:r>
      <w:r>
        <w:rPr>
          <w:rStyle w:val="Satznummer"/>
        </w:rPr>
        <w:t>2</w:t>
      </w:r>
      <w:r>
        <w:t xml:space="preserve">§ 1411 des Bürgerlichen Gesetzbuchs gilt entsprechend. </w:t>
      </w:r>
      <w:r>
        <w:rPr>
          <w:rStyle w:val="Satznummer"/>
        </w:rPr>
        <w:t>3</w:t>
      </w:r>
      <w:r>
        <w:t xml:space="preserve">Wird die Erklärung abgegeben, so gilt die Überleitung als nicht erfolgt. </w:t>
      </w:r>
      <w:r>
        <w:rPr>
          <w:rStyle w:val="Satznummer"/>
        </w:rPr>
        <w:t>4</w:t>
      </w:r>
      <w:r>
        <w:t>Aus der Wiederherstellung des ursprünglichen Güterstandes können die Ehegatten untereinander und gegenüber einem Dritten Einwendungen gegen ein Rechtsgeschäft, das nach der Überleitung zwischen den Ehegatten oder zwischen einem von ihnen und dem Dritten vorgenommen worden ist, nicht herleiten.</w:t>
      </w:r>
    </w:p>
    <w:p>
      <w:r>
        <w:t xml:space="preserve">(3) </w:t>
      </w:r>
      <w:r>
        <w:rPr>
          <w:rStyle w:val="Satznummer"/>
        </w:rPr>
        <w:t>1</w:t>
      </w:r>
      <w:r>
        <w:t xml:space="preserve">Für die Entgegennahme der Erklärung nach Absatz 2 ist jedes Kreisgericht zuständig. </w:t>
      </w:r>
      <w:r>
        <w:rPr>
          <w:rStyle w:val="Satznummer"/>
        </w:rPr>
        <w:t>2</w:t>
      </w:r>
      <w:r>
        <w:t xml:space="preserve">Die Erklärung muß notariell beurkundet werden. </w:t>
      </w:r>
      <w:r>
        <w:rPr>
          <w:rStyle w:val="Satznummer"/>
        </w:rPr>
        <w:t>3</w:t>
      </w:r>
      <w:r>
        <w:t xml:space="preserve">Haben die Ehegatten die Erklärung nicht gemeinsam abgegeben, so hat das Kreisgericht sie dem anderen Ehegatten nach den für Zustellungen von Amts wegen geltenden Vorschriften der Zivilprozeßordnung bekanntzumachen. </w:t>
      </w:r>
      <w:r>
        <w:rPr>
          <w:rStyle w:val="Satznummer"/>
        </w:rPr>
        <w:t>4</w:t>
      </w:r>
      <w:r>
        <w:t xml:space="preserve">Für die Zustellung werden Auslagen nach § 137 Nr. 2 der Kostenordnung nicht erhoben. </w:t>
      </w:r>
      <w:r>
        <w:rPr>
          <w:rStyle w:val="Satznummer"/>
        </w:rPr>
        <w:t>5</w:t>
      </w:r>
      <w:r>
        <w:t>Für das gerichtliche Verfahren gelten die Vorschriften des Gesetzes über das Verfahren in Familiensachen und in den Angelegenheiten der freiwilligen Gerichtsbarkeit.</w:t>
      </w:r>
    </w:p>
    <w:p>
      <w:r>
        <w:t>(4) In den Fällen des Absatzes 1 gilt für die Auseinandersetzung des bis zum Wirksamwerden des Beitritts erworbenen gemeinschaftlichen Eigentums und Vermögens § 39 des Familiengesetzbuchs der Deutschen Demokratischen Republik sinngemäß.</w:t>
      </w:r>
    </w:p>
    <w:p>
      <w:r>
        <w:t>(5) Für Ehegatten, die vor dem Wirksamwerden des Beitritts geschieden worden sind, bleibt für die Auseinandersetzung des gemeinschaftlichen Eigentums und Vermögens und für die Entscheidung über die Ehewohnung das bisherige Recht maßgebend.</w:t>
      </w:r>
    </w:p>
    <w:p>
      <w:r>
        <w:t>(6) Für die Beurkundung der Erklärung nach Absatz 2 beträgt der Geschäftswert 3 000 Euro.</w:t>
      </w:r>
    </w:p>
    <w:p>
      <w:pPr>
        <w:pStyle w:val="Heading3"/>
      </w:pPr>
      <w:bookmarkStart w:id="359" w:name="b358"/>
      <w:r>
        <w:t>Art 234 § 4a Gemeinschaftliches Eigentum</w:t>
      </w:r>
      <w:r>
        <w:t xml:space="preserve"> </w:t>
      </w:r>
      <w:r>
        <w:rPr>
          <w:rStyle w:val="Suchmarke"/>
        </w:rPr>
        <w:t>#234-4a.#</w:t>
      </w:r>
      <w:bookmarkEnd w:id="359"/>
    </w:p>
    <w:p>
      <w:r>
        <w:t xml:space="preserve">(1) </w:t>
      </w:r>
      <w:r>
        <w:rPr>
          <w:rStyle w:val="Satznummer"/>
        </w:rPr>
        <w:t>1</w:t>
      </w:r>
      <w:r>
        <w:t xml:space="preserve">Haben die Ehegatten keine Erklärung nach § 4 Abs. 2 Satz 1 abgegeben, so wird gemeinschaftliches Eigentum von Ehegatten Eigentum zu gleichen Bruchteilen. </w:t>
      </w:r>
      <w:r>
        <w:rPr>
          <w:rStyle w:val="Satznummer"/>
        </w:rPr>
        <w:t>2</w:t>
      </w:r>
      <w:r>
        <w:t xml:space="preserve">Für Grundstücke und grundstücksgleiche Rechte können die Ehegatten andere Anteile bestimmen. </w:t>
      </w:r>
      <w:r>
        <w:rPr>
          <w:rStyle w:val="Satznummer"/>
        </w:rPr>
        <w:t>3</w:t>
      </w:r>
      <w:r>
        <w:t xml:space="preserve">Die Bestimmung ist binnen sechs Monaten nach Inkrafttreten dieser Vorschrift möglich und erfolgt mit dem Antrag auf Berichtigung des Grundbuchs. </w:t>
      </w:r>
      <w:r>
        <w:rPr>
          <w:rStyle w:val="Satznummer"/>
        </w:rPr>
        <w:t>4</w:t>
      </w:r>
      <w:r>
        <w:t xml:space="preserve">Dieser und die Bestimmung bedürfen nicht der in § 29 der Grundbuchordnung bestimmten Form. </w:t>
      </w:r>
      <w:r>
        <w:rPr>
          <w:rStyle w:val="Satznummer"/>
        </w:rPr>
        <w:t>5</w:t>
      </w:r>
      <w:r>
        <w:t>Das Wahlrecht nach Satz 2 erlischt, unbeschadet des Satzes 3 im übrigen, wenn die Zwangsversteigerung oder Zwangsverwaltung des Grundstücks oder grundstücksgleichen Rechts angeordnet oder wenn bei dem Grundbuchamt die Eintragung einer Zwangshypothek beantragt wird.</w:t>
      </w:r>
    </w:p>
    <w:p>
      <w:r>
        <w:t xml:space="preserve">(2) </w:t>
      </w:r>
      <w:r>
        <w:rPr>
          <w:rStyle w:val="Satznummer"/>
        </w:rPr>
        <w:t>1</w:t>
      </w:r>
      <w:r>
        <w:t xml:space="preserve">Haben die Ehegatten eine Erklärung nach § 4 Abs. 2 Satz 1 abgegeben, so finden auf das bestehende und künftige gemeinschaftliche Eigentum die Vorschriften über das durch beide Ehegatten verwaltete Gesamtgut einer Gütergemeinschaft entsprechende Anwendung. </w:t>
      </w:r>
      <w:r>
        <w:rPr>
          <w:rStyle w:val="Satznummer"/>
        </w:rPr>
        <w:t>2</w:t>
      </w:r>
      <w:r>
        <w:t>Für die Auflösung dieser Gemeinschaft im Falle der Scheidung sind jedoch die Vorschriften des Familiengesetzbuchs der Deutschen Demokratischen Republik nach Maßgabe des § 4 anzuwenden.</w:t>
      </w:r>
    </w:p>
    <w:p>
      <w:r>
        <w:t>(3) Es wird widerleglich vermutet, daß gemeinschaftliches Eigentum von Ehegatten nach dem Familiengesetzbuch der Deutschen Demokratischen Republik Bruchteilseigentum zu ein halb Anteilen ist, sofern sich nicht aus dem Grundbuch andere Bruchteile ergeben.</w:t>
      </w:r>
    </w:p>
    <w:p>
      <w:pPr>
        <w:pStyle w:val="Heading3"/>
      </w:pPr>
      <w:bookmarkStart w:id="360" w:name="b359"/>
      <w:r>
        <w:t>Art 234 § 5 Unterhalt des geschiedenen Ehegatten</w:t>
      </w:r>
      <w:r>
        <w:t xml:space="preserve"> </w:t>
      </w:r>
      <w:r>
        <w:rPr>
          <w:rStyle w:val="Suchmarke"/>
        </w:rPr>
        <w:t>#234-5.#</w:t>
      </w:r>
      <w:bookmarkEnd w:id="360"/>
    </w:p>
    <w:p>
      <w:r>
        <w:rPr>
          <w:rStyle w:val="Satznummer"/>
        </w:rPr>
        <w:t>1</w:t>
      </w:r>
      <w:r>
        <w:t xml:space="preserve">Für den Unterhaltsanspruch eines Ehegatten, dessen Ehe vor dem Wirksamwerden des Beitritts geschieden worden ist, bleibt das bisherige Recht maßgebend. </w:t>
      </w:r>
      <w:r>
        <w:rPr>
          <w:rStyle w:val="Satznummer"/>
        </w:rPr>
        <w:t>2</w:t>
      </w:r>
      <w:r>
        <w:t>Unterhaltsvereinbarungen bleiben unberührt.</w:t>
      </w:r>
    </w:p>
    <w:p>
      <w:pPr>
        <w:pStyle w:val="Heading3"/>
      </w:pPr>
      <w:bookmarkStart w:id="361" w:name="b360"/>
      <w:r>
        <w:t>Art 234 § 6 Versorgungsausgleich</w:t>
      </w:r>
      <w:r>
        <w:t xml:space="preserve"> </w:t>
      </w:r>
      <w:r>
        <w:rPr>
          <w:rStyle w:val="Suchmarke"/>
        </w:rPr>
        <w:t>#234-6.#</w:t>
      </w:r>
      <w:bookmarkEnd w:id="361"/>
    </w:p>
    <w:p>
      <w:r>
        <w:t xml:space="preserve">(1) </w:t>
      </w:r>
      <w:r>
        <w:rPr>
          <w:rStyle w:val="Satznummer"/>
        </w:rPr>
        <w:t>1</w:t>
      </w:r>
      <w:r>
        <w:t xml:space="preserve">Für Ehegatten, die vor dem grundsätzlichen Inkrafttreten der versicherungs- und rentenrechtlichen Vorschriften des Sechsten Buches Sozialgesetzbuch - Gesetzliche Rentenversicherung - in dem in Artikel 3 des Einigungsvertrages genannten Gebiet geschieden worden sind oder geschieden werden, gilt das Recht des Versorgungsausgleichs nicht. </w:t>
      </w:r>
      <w:r>
        <w:rPr>
          <w:rStyle w:val="Satznummer"/>
        </w:rPr>
        <w:t>2</w:t>
      </w:r>
      <w:r>
        <w:t>Wird die Ehe nach diesem Zeitpunkt geschieden, findet der Versorgungsausgleich insoweit nicht statt, als das auszugleichende Anrecht Gegenstand oder Grundlage einer vor dem Wirksamwerden des Beitritts geschlossenen wirksamen Vereinbarung oder gerichtlichen Entscheidung über die Vermögensverteilung war.</w:t>
      </w:r>
    </w:p>
    <w:p>
      <w:r>
        <w:t>(2) Absatz 1 gilt entsprechend in Bezug auf</w:t>
      </w:r>
    </w:p>
    <w:p>
      <w:pPr>
        <w:tabs>
          <w:tab w:pos="567" w:val="left"/>
        </w:tabs>
        <w:ind w:left="567" w:hanging="567"/>
      </w:pPr>
      <w:r>
        <w:t>1.</w:t>
      </w:r>
      <w:r>
        <w:tab/>
      </w:r>
      <w:r>
        <w:t>das Gesetz zur Regelung von Härten im Versorgungsausgleich vom 21. Februar 1983 (BGBl. I S. 105), zuletzt geändert durch Artikel 24 des Gesetzes vom 9. Dezember 2004 (BGBl. I S. 3242),</w:t>
      </w:r>
    </w:p>
    <w:p>
      <w:pPr>
        <w:tabs>
          <w:tab w:pos="567" w:val="left"/>
        </w:tabs>
        <w:ind w:left="567" w:hanging="567"/>
      </w:pPr>
      <w:r>
        <w:t>2.</w:t>
      </w:r>
      <w:r>
        <w:tab/>
      </w:r>
      <w:r>
        <w:t>die Barwert-Verordnung vom 24. Juni 1977 (BGBl. I S. 1014), zuletzt geändert durch die Verordnung vom 26. Mai 2003 (BGBl. I S. 728),</w:t>
      </w:r>
    </w:p>
    <w:p>
      <w:r>
        <w:t>in der jeweils geltenden Fassung.</w:t>
      </w:r>
    </w:p>
    <w:p>
      <w:pPr>
        <w:pStyle w:val="Heading3"/>
      </w:pPr>
      <w:bookmarkStart w:id="362" w:name="b361"/>
      <w:r>
        <w:t>Art 234 § 7 Abstammung</w:t>
      </w:r>
      <w:r>
        <w:t xml:space="preserve"> </w:t>
      </w:r>
      <w:r>
        <w:rPr>
          <w:rStyle w:val="Suchmarke"/>
        </w:rPr>
        <w:t>#234-7.#</w:t>
      </w:r>
      <w:bookmarkEnd w:id="362"/>
    </w:p>
    <w:p>
      <w:r>
        <w:t xml:space="preserve">(1) </w:t>
      </w:r>
      <w:r>
        <w:rPr>
          <w:rStyle w:val="Satznummer"/>
        </w:rPr>
        <w:t>1</w:t>
      </w:r>
      <w:r>
        <w:t xml:space="preserve">Entscheidungen, die vor dem Wirksamwerden des Beitritts ergangen sind und feststellen, daß der Ehemann der Mutter nicht der Vater des Kindes ist, wer der Vater des Kindes ist oder daß eine Anerkennung der Vaterschaft unwirksam ist, bleiben unberührt. </w:t>
      </w:r>
      <w:r>
        <w:rPr>
          <w:rStyle w:val="Satznummer"/>
        </w:rPr>
        <w:t>2</w:t>
      </w:r>
      <w:r>
        <w:t>Dasselbe gilt für eine Anerkennung der Vaterschaft, die nach dem 31. März 1966 und vor dem Wirksamwerden des Beitritts wirksam geworden ist.</w:t>
      </w:r>
    </w:p>
    <w:p>
      <w:r>
        <w:t>(2) Die Fristen für Klagen, durch welche die Ehelichkeit eines Kindes oder die Anerkennung der Vaterschaft angefochten wird, beginnen nicht vor dem Wirksamwerden des Beitritts, wenn der Anfechtungsberechtigte nach dem bisher geltenden Recht nicht klageberechtigt war.</w:t>
      </w:r>
    </w:p>
    <w:p>
      <w:r>
        <w:t>(3) Ist vor dem Wirksamwerden des Beitritts die Vaterschaft angefochten oder Klage auf Feststellung der Unwirksamkeit einer Anerkennung der Vaterschaft erhoben und über die Klagen nicht vor dem Wirksamwerden des Beitritts rechtskräftig entschieden worden, so wird der Zeitraum von der Klageerhebung bis zum Wirksamwerden des Beitritts in die in Absatz 2 genannten Fristen nicht eingerechnet, wenn die Klage aufgrund des Inkrafttretens des Bürgerlichen Gesetzbuchs nicht mehr von dem Kläger erhoben oder nicht mehr gegen den Beklagten gerichtet werden kann.</w:t>
      </w:r>
    </w:p>
    <w:p>
      <w:r>
        <w:t>(4) Andere als die in Absatz 1 genannten Entscheidungen und Erklärungen, die nach dem bisherigen Recht die Wirkung einer Vaterschaftsfeststellung haben, stehen einer Anerkennung der Vaterschaft im Sinne des Absatzes 1 Satz 2 gleich.</w:t>
      </w:r>
    </w:p>
    <w:p>
      <w:pPr>
        <w:pStyle w:val="Heading3"/>
      </w:pPr>
      <w:bookmarkStart w:id="363" w:name="b362"/>
      <w:r>
        <w:t>Art 234 §§ 8 und 9 (weggefallen)</w:t>
      </w:r>
      <w:bookmarkEnd w:id="363"/>
    </w:p>
    <w:p>
      <w:pPr>
        <w:pStyle w:val="Heading3"/>
      </w:pPr>
      <w:bookmarkStart w:id="364" w:name="b363"/>
      <w:r>
        <w:t>Art 234 § 10 Rechtsverhältnis zwischen den Eltern und dem Kind im allgemeinen</w:t>
      </w:r>
      <w:r>
        <w:t xml:space="preserve"> </w:t>
      </w:r>
      <w:r>
        <w:rPr>
          <w:rStyle w:val="Suchmarke"/>
        </w:rPr>
        <w:t>#234-10.#</w:t>
      </w:r>
      <w:bookmarkEnd w:id="364"/>
    </w:p>
    <w:p>
      <w:r>
        <w:t>Der Familienname eines vor dem Wirksamwerden des Beitritts geborenen Kindes bestimmt sich in Ansehung der bis zum Wirksamwerden des Beitritts eingetretenen namensrechtlichen Folgen nach dem bisherigen Recht.</w:t>
      </w:r>
    </w:p>
    <w:p>
      <w:pPr>
        <w:pStyle w:val="Heading3"/>
      </w:pPr>
      <w:bookmarkStart w:id="365" w:name="b364"/>
      <w:r>
        <w:t>Art 234 § 11 (weggefallen)</w:t>
      </w:r>
      <w:r>
        <w:t xml:space="preserve"> </w:t>
      </w:r>
      <w:r>
        <w:rPr>
          <w:rStyle w:val="Suchmarke"/>
        </w:rPr>
        <w:t>#234-11.#</w:t>
      </w:r>
      <w:bookmarkEnd w:id="365"/>
    </w:p>
    <w:p>
      <w:pPr>
        <w:pStyle w:val="Heading3"/>
      </w:pPr>
      <w:bookmarkStart w:id="366" w:name="b365"/>
      <w:r>
        <w:t>Art 234 § 12 Legitimation nichtehelicher Kinder</w:t>
      </w:r>
      <w:r>
        <w:t xml:space="preserve"> </w:t>
      </w:r>
      <w:r>
        <w:rPr>
          <w:rStyle w:val="Suchmarke"/>
        </w:rPr>
        <w:t>#234-12.#</w:t>
      </w:r>
      <w:bookmarkEnd w:id="366"/>
    </w:p>
    <w:p>
      <w:r>
        <w:t>Die Frist nach § 1740e Abs. 1 Satz 1 des Bürgerlichen Gesetzbuchs beginnt nicht vor dem Wirksamwerden des Beitritts.</w:t>
      </w:r>
    </w:p>
    <w:p>
      <w:pPr>
        <w:pStyle w:val="Heading3"/>
      </w:pPr>
      <w:bookmarkStart w:id="367" w:name="b366"/>
      <w:r>
        <w:t>Art 234 § 13 Annahme als Kind</w:t>
      </w:r>
      <w:r>
        <w:t xml:space="preserve"> </w:t>
      </w:r>
      <w:r>
        <w:rPr>
          <w:rStyle w:val="Suchmarke"/>
        </w:rPr>
        <w:t>#234-13.#</w:t>
      </w:r>
      <w:bookmarkEnd w:id="367"/>
    </w:p>
    <w:p>
      <w:r>
        <w:t xml:space="preserve">(1) </w:t>
      </w:r>
      <w:r>
        <w:rPr>
          <w:rStyle w:val="Satznummer"/>
        </w:rPr>
        <w:t>1</w:t>
      </w:r>
      <w:r>
        <w:t xml:space="preserve">Für Annahmeverhältnisse, die vor dem Wirksamwerden des Beitritts begründet worden sind, gelten § 1755 Abs. 1 Satz 2, die §§ 1756 und 1760 Abs. 2 Buchstabe e, § 1762 Abs. 2 und die §§ 1767 bis 1772 des Bürgerlichen Gesetzbuchs nicht. </w:t>
      </w:r>
      <w:r>
        <w:rPr>
          <w:rStyle w:val="Satznummer"/>
        </w:rPr>
        <w:t>2</w:t>
      </w:r>
      <w:r>
        <w:t>§ 1766 des Bürgerlichen Gesetzbuchs gilt nicht, wenn die Ehe vor dem Wirksamwerden des Beitritts geschlossen worden ist.</w:t>
      </w:r>
    </w:p>
    <w:p>
      <w:r>
        <w:t xml:space="preserve">(2) </w:t>
      </w:r>
      <w:r>
        <w:rPr>
          <w:rStyle w:val="Satznummer"/>
        </w:rPr>
        <w:t>1</w:t>
      </w:r>
      <w:r>
        <w:t xml:space="preserve">Vor dem Wirksamwerden des Beitritts ergangene Entscheidungen des Gerichts, durch die ein Annahmeverhältnis aufgehoben worden ist, bleiben unberührt. </w:t>
      </w:r>
      <w:r>
        <w:rPr>
          <w:rStyle w:val="Satznummer"/>
        </w:rPr>
        <w:t>2</w:t>
      </w:r>
      <w:r>
        <w:t>Dasselbe gilt für Entscheidungen eines staatlichen Organs, durch die ein Annahmeverhältnis aufgehoben worden ist und die vor dem Wirksamwerden des Beitritts wirksam geworden sind.</w:t>
      </w:r>
    </w:p>
    <w:p>
      <w:r>
        <w:t>(3) Ist ein Annahmeverhältnis vor dem Wirksamwerden des Beitritts ohne die Einwilligung des Kindes oder eines Elternteils begründet worden, so kann es aus diesem Grund nur aufgehoben werden, wenn die Einwilligung nach dem bisherigen Recht erforderlich war.</w:t>
      </w:r>
    </w:p>
    <w:p>
      <w:r>
        <w:t xml:space="preserve">(4) </w:t>
      </w:r>
      <w:r>
        <w:rPr>
          <w:rStyle w:val="Satznummer"/>
        </w:rPr>
        <w:t>1</w:t>
      </w:r>
      <w:r>
        <w:t>Ist ein Annahmeverhältnis vor dem Wirksamwerden des Beitritts begründet worden und war die Einwilligung eines Elternteils nach dem bisherigen Recht nicht erforderlich, weil</w:t>
      </w:r>
    </w:p>
    <w:p>
      <w:pPr>
        <w:tabs>
          <w:tab w:pos="567" w:val="left"/>
        </w:tabs>
        <w:ind w:left="567" w:hanging="567"/>
      </w:pPr>
      <w:r>
        <w:t>1.</w:t>
      </w:r>
      <w:r>
        <w:tab/>
      </w:r>
      <w:r>
        <w:t>dieser Elternteil zur Abgabe einer Erklärung für eine nicht absehbare Zeit außerstande war,</w:t>
      </w:r>
    </w:p>
    <w:p>
      <w:pPr>
        <w:tabs>
          <w:tab w:pos="567" w:val="left"/>
        </w:tabs>
        <w:ind w:left="567" w:hanging="567"/>
      </w:pPr>
      <w:r>
        <w:t>2.</w:t>
      </w:r>
      <w:r>
        <w:tab/>
      </w:r>
      <w:r>
        <w:t>diesem Elternteil das Erziehungsrecht entzogen war oder</w:t>
      </w:r>
    </w:p>
    <w:p>
      <w:pPr>
        <w:tabs>
          <w:tab w:pos="567" w:val="left"/>
        </w:tabs>
        <w:ind w:left="567" w:hanging="567"/>
      </w:pPr>
      <w:r>
        <w:t>3.</w:t>
      </w:r>
      <w:r>
        <w:tab/>
      </w:r>
      <w:r>
        <w:t>der Aufenthalt dieses Elternteils nicht ermittelt werden konnte,</w:t>
      </w:r>
    </w:p>
    <w:p>
      <w:r>
        <w:t xml:space="preserve">so kann das Annahmeverhältnis gleichwohl auf Antrag dieses Elternteils aufgehoben werden. </w:t>
      </w:r>
      <w:r>
        <w:rPr>
          <w:rStyle w:val="Satznummer"/>
        </w:rPr>
        <w:t>2</w:t>
      </w:r>
      <w:r>
        <w:t>§ 1761 des Bürgerlichen Gesetzbuchs gilt entsprechend.</w:t>
      </w:r>
    </w:p>
    <w:p>
      <w:r>
        <w:t>(5) Ist ein Annahmeverhältnis vor dem Wirksamwerden des Beitritts begründet worden und ist die Einwilligung eines Elternteils ersetzt worden, so gilt Absatz 4 entsprechend.</w:t>
      </w:r>
    </w:p>
    <w:p>
      <w:r>
        <w:t xml:space="preserve">(6) </w:t>
      </w:r>
      <w:r>
        <w:rPr>
          <w:rStyle w:val="Satznummer"/>
        </w:rPr>
        <w:t>1</w:t>
      </w:r>
      <w:r>
        <w:t xml:space="preserve">Ein Antrag auf Aufhebung eines vor dem Wirksamwerden des Beitritts begründeten Annahmeverhältnisses kann nur bis zum Ablauf von drei Jahren nach dem Wirksamwerden des Beitritts gestellt werden. </w:t>
      </w:r>
      <w:r>
        <w:rPr>
          <w:rStyle w:val="Satznummer"/>
        </w:rPr>
        <w:t>2</w:t>
      </w:r>
      <w:r>
        <w:t>Für die Entgegennahme des Antrags ist jedes Vormundschaftsgericht zuständig.</w:t>
      </w:r>
    </w:p>
    <w:p>
      <w:r>
        <w:t xml:space="preserve">(7) </w:t>
      </w:r>
      <w:r>
        <w:rPr>
          <w:rStyle w:val="Satznummer"/>
        </w:rPr>
        <w:t>1</w:t>
      </w:r>
      <w:r>
        <w:t xml:space="preserve">Ist über die Klage eines leiblichen Elternteils auf Aufhebung eines Annahmeverhältnisses am Tag des Wirksamwerdens des Beitritts noch nicht rechtskräftig entschieden worden, so gilt die Klage als Antrag auf Aufhebung des Annahmeverhältnisses. </w:t>
      </w:r>
      <w:r>
        <w:rPr>
          <w:rStyle w:val="Satznummer"/>
        </w:rPr>
        <w:t>2</w:t>
      </w:r>
      <w:r>
        <w:t>§ 1762 Abs. 3 des Bürgerlichen Gesetzbuchs gilt nicht.</w:t>
      </w:r>
    </w:p>
    <w:p>
      <w:pPr>
        <w:pStyle w:val="Heading3"/>
      </w:pPr>
      <w:bookmarkStart w:id="368" w:name="b367"/>
      <w:r>
        <w:t>Art 234 § 14 Vormundschaft</w:t>
      </w:r>
      <w:r>
        <w:t xml:space="preserve"> </w:t>
      </w:r>
      <w:r>
        <w:rPr>
          <w:rStyle w:val="Suchmarke"/>
        </w:rPr>
        <w:t>#234-14.#</w:t>
      </w:r>
      <w:bookmarkEnd w:id="368"/>
    </w:p>
    <w:p>
      <w:r>
        <w:t>(1) Ab dem Wirksamwerden des Beitritts gelten für die bestehenden Vormundschaften und vorläufigen Vormundschaften die Vorschriften des Bürgerlichen Gesetzbuchs.</w:t>
      </w:r>
    </w:p>
    <w:p>
      <w:r>
        <w:t xml:space="preserve">(2) </w:t>
      </w:r>
      <w:r>
        <w:rPr>
          <w:rStyle w:val="Satznummer"/>
        </w:rPr>
        <w:t>1</w:t>
      </w:r>
      <w:r>
        <w:t xml:space="preserve">Bisherige Bestellungen von Vormündern bleiben wirksam. </w:t>
      </w:r>
      <w:r>
        <w:rPr>
          <w:rStyle w:val="Satznummer"/>
        </w:rPr>
        <w:t>2</w:t>
      </w:r>
      <w:r>
        <w:t>Sind Ehegatten nach § 90 Abs. 1 des Familiengesetzbuchs der Deutschen Demokratischen Republik gemeinsam zu Vormündern bestellt, so gilt bei Verhinderung eines Mitvormunds § 1678 Absatz 1 1. Halbsatz des Bürgerlichen Gesetzbuchs entsprechend.</w:t>
      </w:r>
    </w:p>
    <w:p>
      <w:r>
        <w:t>(3) Führt das Jugendamt oder das Staatliche Notariat selbst eine Vormundschaft, so wird diese als bestellte Amtsvormundschaft fortgeführt (§§ 1791b, 1897 Satz 1 des Bürgerlichen Gesetzbuchs).</w:t>
      </w:r>
    </w:p>
    <w:p>
      <w:r>
        <w:t>(4) Die Vorschriften des Bürgerlichen Gesetzbuchs über die Anlegung von Mündelgeld sind erst ab 1. Januar 1992 anzuwenden.</w:t>
      </w:r>
    </w:p>
    <w:p>
      <w:r>
        <w:t>(5) Für Ansprüche des Vormunds auf Vergütungen für die Zeit bis zum Wirksamwerden des Beitritts sowie auf Ersatz für Aufwendungen, die er in dieser Zeit gemacht hat, gilt das bisherige Recht.</w:t>
      </w:r>
    </w:p>
    <w:p>
      <w:r>
        <w:t>(6) § 11 Abs. 4 gilt entsprechend.</w:t>
      </w:r>
    </w:p>
    <w:p>
      <w:pPr>
        <w:pStyle w:val="Heading3"/>
      </w:pPr>
      <w:bookmarkStart w:id="369" w:name="b368"/>
      <w:r>
        <w:t>Art 234 § 15 Pflegschaft</w:t>
      </w:r>
      <w:r>
        <w:t xml:space="preserve"> </w:t>
      </w:r>
      <w:r>
        <w:rPr>
          <w:rStyle w:val="Suchmarke"/>
        </w:rPr>
        <w:t>#234-15.#</w:t>
      </w:r>
      <w:bookmarkEnd w:id="369"/>
    </w:p>
    <w:p>
      <w:r>
        <w:t xml:space="preserve">(1) </w:t>
      </w:r>
      <w:r>
        <w:rPr>
          <w:rStyle w:val="Satznummer"/>
        </w:rPr>
        <w:t>1</w:t>
      </w:r>
      <w:r>
        <w:t xml:space="preserve">Am Tag des Wirksamwerdens des Beitritts werden die bestehenden Pflegschaften zu den entsprechenden Pflegschaften nach dem Bürgerlichen Gesetzbuch. </w:t>
      </w:r>
      <w:r>
        <w:rPr>
          <w:rStyle w:val="Satznummer"/>
        </w:rPr>
        <w:t>2</w:t>
      </w:r>
      <w:r>
        <w:t>Der Wirkungskreis entspricht dem bisher festgelegten Wirkungskreis.</w:t>
      </w:r>
    </w:p>
    <w:p>
      <w:r>
        <w:t>(2) § 14 Abs. 2 bis 6 gilt entsprechend.</w:t>
      </w:r>
    </w:p>
    <w:p>
      <w:pPr>
        <w:pStyle w:val="Heading2"/>
      </w:pPr>
      <w:bookmarkStart w:id="370" w:name="b369"/>
      <w:r>
        <w:t>Art 235 Fünftes Buch. Erbrecht</w:t>
      </w:r>
      <w:bookmarkEnd w:id="370"/>
    </w:p>
    <w:p>
      <w:pPr>
        <w:pStyle w:val="Heading3"/>
      </w:pPr>
      <w:bookmarkStart w:id="371" w:name="b370"/>
      <w:r>
        <w:t>Art 235 § 1 Erbrechtliche Verhältnisse</w:t>
      </w:r>
      <w:r>
        <w:t xml:space="preserve"> </w:t>
      </w:r>
      <w:r>
        <w:rPr>
          <w:rStyle w:val="Suchmarke"/>
        </w:rPr>
        <w:t>#235-1.#</w:t>
      </w:r>
      <w:bookmarkEnd w:id="371"/>
    </w:p>
    <w:p>
      <w:r>
        <w:t>Für die erbrechtlichen Verhältnisse bleibt das bisherige Recht maßgebend, wenn der Erblasser vor dem Wirksamwerden des Beitritts gestorben ist.</w:t>
      </w:r>
    </w:p>
    <w:p>
      <w:pPr>
        <w:pStyle w:val="Heading3"/>
      </w:pPr>
      <w:bookmarkStart w:id="372" w:name="b371"/>
      <w:r>
        <w:t>Art 235 § 2 Verfügungen von Todes wegen</w:t>
      </w:r>
      <w:r>
        <w:t xml:space="preserve"> </w:t>
      </w:r>
      <w:r>
        <w:rPr>
          <w:rStyle w:val="Suchmarke"/>
        </w:rPr>
        <w:t>#235-2.#</w:t>
      </w:r>
      <w:bookmarkEnd w:id="372"/>
    </w:p>
    <w:p>
      <w:r>
        <w:rPr>
          <w:rStyle w:val="Satznummer"/>
        </w:rPr>
        <w:t>1</w:t>
      </w:r>
      <w:r>
        <w:t xml:space="preserve">Die Errichtung oder Aufhebung einer Verfügung von Todes wegen vor dem Wirksamwerden des Beitritts wird nach dem bisherigen Recht beurteilt, auch wenn der Erblasser nach dem Wirksamwerden des Beitritts stirbt. </w:t>
      </w:r>
      <w:r>
        <w:rPr>
          <w:rStyle w:val="Satznummer"/>
        </w:rPr>
        <w:t>2</w:t>
      </w:r>
      <w:r>
        <w:t>Dies gilt auch für die Bindung des Erblassers bei einem gemeinschaftlichen Testament, sofern das Testament vor dem Wirksamwerden des Beitritts errichtet worden ist.</w:t>
      </w:r>
    </w:p>
    <w:p>
      <w:pPr>
        <w:pStyle w:val="Heading2"/>
      </w:pPr>
      <w:bookmarkStart w:id="373" w:name="b372"/>
      <w:r>
        <w:t>Art 236 Einführungsgesetz - Internationales Privatrecht</w:t>
      </w:r>
      <w:bookmarkEnd w:id="373"/>
    </w:p>
    <w:p>
      <w:pPr>
        <w:pStyle w:val="Heading3"/>
      </w:pPr>
      <w:bookmarkStart w:id="374" w:name="b373"/>
      <w:r>
        <w:t>Art 236 § 1 Abgeschlossene Vorgänge</w:t>
      </w:r>
      <w:r>
        <w:t xml:space="preserve"> </w:t>
      </w:r>
      <w:r>
        <w:rPr>
          <w:rStyle w:val="Suchmarke"/>
        </w:rPr>
        <w:t>#236-1.#</w:t>
      </w:r>
      <w:bookmarkEnd w:id="374"/>
    </w:p>
    <w:p>
      <w:r>
        <w:t>Auf vor dem Wirksamwerden des Beitritts abgeschlossene Vorgänge bleibt das bisherige Internationale Privatrecht anwendbar.</w:t>
      </w:r>
    </w:p>
    <w:p>
      <w:pPr>
        <w:pStyle w:val="Heading3"/>
      </w:pPr>
      <w:bookmarkStart w:id="375" w:name="b374"/>
      <w:r>
        <w:t>Art 236 § 2 Wirkungen familienrechtlicher Rechtsverhältnisse</w:t>
      </w:r>
      <w:r>
        <w:t xml:space="preserve"> </w:t>
      </w:r>
      <w:r>
        <w:rPr>
          <w:rStyle w:val="Suchmarke"/>
        </w:rPr>
        <w:t>#236-2.#</w:t>
      </w:r>
      <w:bookmarkEnd w:id="375"/>
    </w:p>
    <w:p>
      <w:r>
        <w:t>Die Wirkungen familienrechtlicher Rechtsverhältnisse unterliegen von dem Wirksamwerden des Beitritts an den Vorschriften des Zweiten Kapitels des Ersten Teils.</w:t>
      </w:r>
    </w:p>
    <w:p>
      <w:pPr>
        <w:pStyle w:val="Heading3"/>
      </w:pPr>
      <w:bookmarkStart w:id="376" w:name="b375"/>
      <w:r>
        <w:t>Art 236 § 3 Güterstand</w:t>
      </w:r>
      <w:r>
        <w:t xml:space="preserve"> </w:t>
      </w:r>
      <w:r>
        <w:rPr>
          <w:rStyle w:val="Suchmarke"/>
        </w:rPr>
        <w:t>#236-3.#</w:t>
      </w:r>
      <w:bookmarkEnd w:id="376"/>
    </w:p>
    <w:p>
      <w:r>
        <w:rPr>
          <w:rStyle w:val="Satznummer"/>
        </w:rPr>
        <w:t>1</w:t>
      </w:r>
      <w:r>
        <w:t xml:space="preserve">Die güterrechtlichen Wirkungen von Ehen, die vor dem Wirksamwerden des Beitritts geschlossen worden sind, unterliegen von diesem Tag an dem Artikel 15 in der bis einschließlich 28. Januar 2019 geltenden Fassung; dabei tritt an die Stelle des Zeitpunkts der Eheschließung der Tag des Wirksamwerdens des Beitritts. </w:t>
      </w:r>
      <w:r>
        <w:rPr>
          <w:rStyle w:val="Satznummer"/>
        </w:rPr>
        <w:t>2</w:t>
      </w:r>
      <w:r>
        <w:t>Soweit sich allein aus einem Wechsel des anzuwendenden Rechts nach Satz 1 Ansprüche wegen der Beendigung des früheren Güterstandes ergeben würden, gelten sie bis zum Ablauf von zwei Jahren nach Wirksamwerden des Beitritts als gestundet.</w:t>
      </w:r>
    </w:p>
    <w:p>
      <w:pPr>
        <w:pStyle w:val="Heading2"/>
      </w:pPr>
      <w:bookmarkStart w:id="377" w:name="b376"/>
      <w:r>
        <w:t>Art 237 Bestandsschutz, Ausschlußfrist</w:t>
      </w:r>
      <w:bookmarkEnd w:id="377"/>
    </w:p>
    <w:p>
      <w:pPr>
        <w:pStyle w:val="Heading3"/>
      </w:pPr>
      <w:bookmarkStart w:id="378" w:name="b377"/>
      <w:r>
        <w:t>Art 237 § 1 Bestandsschutz</w:t>
      </w:r>
      <w:r>
        <w:t xml:space="preserve"> </w:t>
      </w:r>
      <w:r>
        <w:rPr>
          <w:rStyle w:val="Suchmarke"/>
        </w:rPr>
        <w:t>#237-1.#</w:t>
      </w:r>
      <w:bookmarkEnd w:id="378"/>
    </w:p>
    <w:p>
      <w:r>
        <w:t xml:space="preserve">(1) </w:t>
      </w:r>
      <w:r>
        <w:rPr>
          <w:rStyle w:val="Satznummer"/>
        </w:rPr>
        <w:t>1</w:t>
      </w:r>
      <w:r>
        <w:t xml:space="preserve">Fehler bei dem Ankauf, der Enteignung oder der sonstigen Überführung eines Grundstücks oder selbständigen Gebäudeeigentums in Volkseigentum sind nur zu beachten, wenn das Grundstück oder selbständige Gebäudeeigentum nach den allgemeinen Rechtsvorschriften, Verfahrensgrundsätzen und der ordnungsgemäßen Verwaltungspraxis, die im Zeitpunkt der Überführung in Volkseigentum hierfür maßgeblich waren (§ 4 Abs. 3 Buchstabe a Halbsatz 1 des Vermögensgesetzes), nicht wirksam in Volkseigentum hätte überführt werden können oder wenn die mögliche Überführung in Volkseigentum mit rechtsstaatlichen Grundsätzen schlechthin unvereinbar war. </w:t>
      </w:r>
      <w:r>
        <w:rPr>
          <w:rStyle w:val="Satznummer"/>
        </w:rPr>
        <w:t>2</w:t>
      </w:r>
      <w:r>
        <w:t>Mit rechtsstaatlichen Grundsätzen schlechthin unvereinbar sind Maßnahmen, die in schwerwiegender Weise gegen die Prinzipien der Gerechtigkeit, der Rechtssicherheit oder der Verhältnismäßigkeit verstoßen oder Willkürakte im Einzelfall dargestellt haben.</w:t>
      </w:r>
    </w:p>
    <w:p>
      <w:r>
        <w:t xml:space="preserve">(2) </w:t>
      </w:r>
      <w:r>
        <w:rPr>
          <w:rStyle w:val="Satznummer"/>
        </w:rPr>
        <w:t>1</w:t>
      </w:r>
      <w:r>
        <w:t xml:space="preserve">Ist die Überführung in Volkseigentum nach Maßgabe von Absatz 1 unwirksam, stehen dem Nutzer des Grundstücks die in Kapitel 2 in Verbindung mit § 2 des Sachenrechtsbereinigungsgesetzes bestimmten Ansprüche zu, wenn die dort oder die in den nachfolgenden Sätzen bestimmten Voraussetzungen gegeben sind. </w:t>
      </w:r>
      <w:r>
        <w:rPr>
          <w:rStyle w:val="Satznummer"/>
        </w:rPr>
        <w:t>2</w:t>
      </w:r>
      <w:r>
        <w:t xml:space="preserve">Eine bauliche Maßnahme ist auch dann anzunehmen, wenn der Nutzer ein auf dem Grundstück befindliches Ein- oder Zweifamilienhaus nach den Vorschriften über den Verkauf volkseigener Gebäude gekauft hat oder das Grundstück durch den früheren Rechtsträger, einen Zuordnungsempfänger oder dessen Rechtsnachfolger der gewerblichen Nutzung zugeführt oder in eine Unternehmenseinheit einbezogen worden ist. </w:t>
      </w:r>
      <w:r>
        <w:rPr>
          <w:rStyle w:val="Satznummer"/>
        </w:rPr>
        <w:t>3</w:t>
      </w:r>
      <w:r>
        <w:t>Es genügt abweichend von § 8 des Sachenrechtsbereinigungsgesetzes, wenn die bauliche Maßnahme bis zu dem Tag, an dem eine Klage auf Herausgabe des Grundstücks oder auf Bewilligung der Grundbuchberichtigung rechtshängig geworden ist, spätestens bis zum 24. Juli 1997, vorgenommen oder begonnen worden ist.</w:t>
      </w:r>
    </w:p>
    <w:p>
      <w:r>
        <w:t>(3) Für Sachverhalte, die einen Tatbestand des § 1 des Vermögensgesetzes erfüllen, gelten die vorstehenden Absätze nicht; hier gilt das Vermögensgesetz.</w:t>
      </w:r>
    </w:p>
    <w:p>
      <w:pPr>
        <w:pStyle w:val="Heading3"/>
      </w:pPr>
      <w:bookmarkStart w:id="379" w:name="b378"/>
      <w:r>
        <w:t>Art 237 § 2 Ausschlußfrist</w:t>
      </w:r>
      <w:r>
        <w:t xml:space="preserve"> </w:t>
      </w:r>
      <w:r>
        <w:rPr>
          <w:rStyle w:val="Suchmarke"/>
        </w:rPr>
        <w:t>#237-2.#</w:t>
      </w:r>
      <w:bookmarkEnd w:id="379"/>
    </w:p>
    <w:p>
      <w:r>
        <w:t xml:space="preserve">(1) </w:t>
      </w:r>
      <w:r>
        <w:rPr>
          <w:rStyle w:val="Satznummer"/>
        </w:rPr>
        <w:t>1</w:t>
      </w:r>
      <w:r>
        <w:t xml:space="preserve">Wer als Eigentümer eines Grundstücks oder Gebäudes im Grundbuch eingetragen ist, ohne daß er das Eigentum erlangt hat, erwirbt das Eigentum, wenn die Eintragung vor dem 3. Oktober 1990 erfolgt ist und sie bis zum Ablauf des 30. September 1998 nicht durch eine rechtshängige Klage des wirklichen Eigentümers oder einen beim Grundbuchamt eingereichten und durch eine Bewilligung des eingetragenen Eigentümers oder die einstweilige Verfügung eines Gerichts begründeten Antrag auf Eintragung eines Widerspruchs angegriffen worden ist. </w:t>
      </w:r>
      <w:r>
        <w:rPr>
          <w:rStyle w:val="Satznummer"/>
        </w:rPr>
        <w:t>2</w:t>
      </w:r>
      <w:r>
        <w:t xml:space="preserve">Zwischenzeitliche Verfügungen über das Grundstück bleiben unberührt. </w:t>
      </w:r>
      <w:r>
        <w:rPr>
          <w:rStyle w:val="Satznummer"/>
        </w:rPr>
        <w:t>3</w:t>
      </w:r>
      <w:r>
        <w:t xml:space="preserve">Wird der Widerspruch gelöscht, ist die rechtzeitige Erhebung der Klage erforderlich. </w:t>
      </w:r>
      <w:r>
        <w:rPr>
          <w:rStyle w:val="Satznummer"/>
        </w:rPr>
        <w:t>4</w:t>
      </w:r>
      <w:r>
        <w:t>Gegen die unverschuldete Versäumung der Frist kann Wiedereinsetzung in den vorigen Stand nach den §§ 233 bis 238 der Zivilprozeßordnung gewährt werden.</w:t>
      </w:r>
    </w:p>
    <w:p>
      <w:r>
        <w:t xml:space="preserve">(2) </w:t>
      </w:r>
      <w:r>
        <w:rPr>
          <w:rStyle w:val="Satznummer"/>
        </w:rPr>
        <w:t>1</w:t>
      </w:r>
      <w:r>
        <w:t xml:space="preserve">Ist im Grundbuch oder im Bestandsblatt (§ 113 Abs. 1 Nr. 5 der Grundbuchverfügung) eines Grundstücks oder Gebäudes als Eigentümer Eigentum des Volkes eingetragen, ohne daß Volkseigentum entstanden ist, so erwirbt die nach den Vorschriften über die Abwicklung des Volkseigentums berechtigte juristische Person des öffentlichen oder des Privatrechts das Eigentum, wenn die Eintragung vor dem 3. Oktober 1990 erfolgt ist und sie bis zum Ablauf des 30. September 1998 nicht durch eine rechtshängige Klage des wirklichen Eigentümers oder einen beim Grundbuchamt eingereichten und durch eine Bewilligung des eingetragenen Eigentümers oder des Verfügungsbefugten (§ 8 des Vermögenszuordnungsgesetzes) oder die einstweilige Verfügung eines Gerichts begründeten Antrag auf Eintragung eines Widerspruchs angegriffen worden ist. </w:t>
      </w:r>
      <w:r>
        <w:rPr>
          <w:rStyle w:val="Satznummer"/>
        </w:rPr>
        <w:t>2</w:t>
      </w:r>
      <w:r>
        <w:t xml:space="preserve">Die Klage oder der Antrag auf Erlaß einer einstweiligen Verfügung kann, wenn ein Zuordnungsbescheid noch nicht erlassen ist, auch gegen den Verfügungsbefugten gerichtet werden. </w:t>
      </w:r>
      <w:r>
        <w:rPr>
          <w:rStyle w:val="Satznummer"/>
        </w:rPr>
        <w:t>3</w:t>
      </w:r>
      <w:r>
        <w:t>Absatz 1 Satz 2 und 3 gilt entsprechend.</w:t>
      </w:r>
    </w:p>
    <w:p>
      <w:r>
        <w:t>(3) Ein Amtswiderspruch steht einem Widerspruch nach den Absätzen 1 und 2 gleich.</w:t>
      </w:r>
    </w:p>
    <w:p>
      <w:r>
        <w:t xml:space="preserve">(4) </w:t>
      </w:r>
      <w:r>
        <w:rPr>
          <w:rStyle w:val="Satznummer"/>
        </w:rPr>
        <w:t>1</w:t>
      </w:r>
      <w:r>
        <w:t xml:space="preserve">Die Vorschriften über die Abwicklung des Volkseigentums sowie Ansprüche nach dem Vermögensgesetz und nach </w:t>
      </w:r>
      <w:hyperlink w:anchor="b346" w:history="1">
        <w:r>
          <w:rPr>
            <w:color w:val="0A3A8C"/>
            <w:u w:val="single"/>
          </w:rPr>
          <w:t xml:space="preserve">Artikel 233 §§ 11</w:t>
        </w:r>
      </w:hyperlink>
      <w:r>
        <w:t xml:space="preserve"> bis </w:t>
      </w:r>
      <w:hyperlink w:anchor="b352" w:history="1">
        <w:r>
          <w:rPr>
            <w:color w:val="0A3A8C"/>
            <w:u w:val="single"/>
          </w:rPr>
          <w:t xml:space="preserve">16</w:t>
        </w:r>
      </w:hyperlink>
      <w:r>
        <w:t xml:space="preserve"> bleiben unberührt. </w:t>
      </w:r>
      <w:r>
        <w:rPr>
          <w:rStyle w:val="Satznummer"/>
        </w:rPr>
        <w:t>2</w:t>
      </w:r>
      <w:r>
        <w:t>Ist am 24. Juli 1997 ein Verfahren nach dem Vermögensgesetz anhängig oder schweben zu diesem Zeitpunkt Verhandlungen zwischen dem Verfügungsberechtigten und einem früheren Eigentümer des Grundstücks, so treten die in den Absätzen 1 bis 3 bezeichneten Wirkungen erst nach Ablauf eines Monats nach Beendigung des Verfahrens oder dem Abbruch der Verhandlungen, frühestens jedoch am 1. Oktober 1998 ein.</w:t>
      </w:r>
    </w:p>
    <w:p>
      <w:r>
        <w:t>(5) Die vorstehenden Absätze finden keine Anwendung, wenn die Betroffenen vor dem 24. Juli 1997 etwas Abweichendes vereinbart haben oder zwischen ihnen abweichende Urteile ergangen sind.</w:t>
      </w:r>
    </w:p>
    <w:p>
      <w:pPr>
        <w:pStyle w:val="Heading1"/>
      </w:pPr>
      <w:bookmarkStart w:id="380" w:name="b379"/>
      <w:r>
        <w:t>Siebter Teil Durchführung des Bürgerlichen Gesetzbuchs, Verordnungsermächtigungen, Länderöffnungsklauseln, Informationspflichten</w:t>
      </w:r>
      <w:bookmarkEnd w:id="380"/>
    </w:p>
    <w:p>
      <w:pPr>
        <w:pStyle w:val="Heading2"/>
      </w:pPr>
      <w:bookmarkStart w:id="381" w:name="b380"/>
      <w:r>
        <w:t>Art 238 Datenverarbeitung und Auskunftspflichten für qualifizierte Mietspiegel</w:t>
      </w:r>
      <w:bookmarkEnd w:id="381"/>
    </w:p>
    <w:p>
      <w:pPr>
        <w:pStyle w:val="Heading3"/>
      </w:pPr>
      <w:bookmarkStart w:id="382" w:name="b381"/>
      <w:r>
        <w:t>Art 238 § 1 Erhebung und Übermittlung von Daten</w:t>
      </w:r>
      <w:r>
        <w:t xml:space="preserve"> </w:t>
      </w:r>
      <w:r>
        <w:rPr>
          <w:rStyle w:val="Suchmarke"/>
        </w:rPr>
        <w:t>#238-1.#</w:t>
      </w:r>
      <w:bookmarkEnd w:id="382"/>
    </w:p>
    <w:p>
      <w:r>
        <w:t>(1) Zur Erstellung eines qualifizierten Mietspiegels dürfen die nach Landesrecht zuständigen Behörden bezogen auf das Gebiet, für das der Mietspiegel erstellt werden soll, die bei der Verwaltung der Grundsteuer bekannt gewordenen Namen und Anschriften der Grundstückseigentümer von den für die Verwaltung der Grundsteuer zuständigen Behörden erheben und in sonstiger Weise verarbeiten.</w:t>
      </w:r>
    </w:p>
    <w:p>
      <w:r>
        <w:t xml:space="preserve">(2) </w:t>
      </w:r>
      <w:r>
        <w:rPr>
          <w:rStyle w:val="Satznummer"/>
        </w:rPr>
        <w:t>1</w:t>
      </w:r>
      <w:r>
        <w:t>Zur Erstellung eines qualifizierten Mietspiegels übermittelt die Meldebehörde der nach Landesrecht zuständigen Behörde bezogen auf das Gebiet, für das der Mietspiegel erstellt werden soll, auf Ersuchen die nachfolgenden Daten aller volljährigen Personen:</w:t>
      </w:r>
    </w:p>
    <w:p>
      <w:pPr>
        <w:tabs>
          <w:tab w:pos="567" w:val="left"/>
        </w:tabs>
        <w:ind w:left="567" w:hanging="567"/>
      </w:pPr>
      <w:r>
        <w:t>1.</w:t>
      </w:r>
      <w:r>
        <w:tab/>
      </w:r>
      <w:r>
        <w:t>Familienname,</w:t>
      </w:r>
    </w:p>
    <w:p>
      <w:pPr>
        <w:tabs>
          <w:tab w:pos="567" w:val="left"/>
        </w:tabs>
        <w:ind w:left="567" w:hanging="567"/>
      </w:pPr>
      <w:r>
        <w:t>2.</w:t>
      </w:r>
      <w:r>
        <w:tab/>
      </w:r>
      <w:r>
        <w:t>Vornamen unter Kennzeichnung des gebräuchlichen Vornamens,</w:t>
      </w:r>
    </w:p>
    <w:p>
      <w:pPr>
        <w:tabs>
          <w:tab w:pos="567" w:val="left"/>
        </w:tabs>
        <w:ind w:left="567" w:hanging="567"/>
      </w:pPr>
      <w:r>
        <w:t>3.</w:t>
      </w:r>
      <w:r>
        <w:tab/>
      </w:r>
      <w:r>
        <w:t>derzeitige Anschriften im Zuständigkeitsbereich der Meldebehörde,</w:t>
      </w:r>
    </w:p>
    <w:p>
      <w:pPr>
        <w:tabs>
          <w:tab w:pos="567" w:val="left"/>
        </w:tabs>
        <w:ind w:left="567" w:hanging="567"/>
      </w:pPr>
      <w:r>
        <w:t>4.</w:t>
      </w:r>
      <w:r>
        <w:tab/>
      </w:r>
      <w:r>
        <w:t>Einzugsdaten sowie</w:t>
      </w:r>
    </w:p>
    <w:p>
      <w:pPr>
        <w:tabs>
          <w:tab w:pos="567" w:val="left"/>
        </w:tabs>
        <w:ind w:left="567" w:hanging="567"/>
      </w:pPr>
      <w:r>
        <w:t>5.</w:t>
      </w:r>
      <w:r>
        <w:tab/>
      </w:r>
      <w:r>
        <w:t>Namen und Anschriften der Wohnungsgeber.</w:t>
      </w:r>
    </w:p>
    <w:p>
      <w:r>
        <w:rPr>
          <w:rStyle w:val="Satznummer"/>
        </w:rPr>
        <w:t>2</w:t>
      </w:r>
      <w:r>
        <w:t xml:space="preserve">Das Ersuchen kann nur alle zwei Jahre gestellt werden. </w:t>
      </w:r>
      <w:r>
        <w:rPr>
          <w:rStyle w:val="Satznummer"/>
        </w:rPr>
        <w:t>3</w:t>
      </w:r>
      <w:r>
        <w:t>Die nach Landesrecht zuständigen Behörden dürfen die in Satz 1 genannten Daten in dem zur Erstellung eines qualifizierten Mietspiegels erforderlichen Umfang erheben und in sonstiger Weise verarbeiten.</w:t>
      </w:r>
    </w:p>
    <w:p>
      <w:r>
        <w:t>(3) Die in den Absätzen 1 und 2 Satz 1 genannten Daten dürfen auch von Stellen verarbeitet werden, die von der nach Landesrecht zuständigen Behörde damit beauftragt wurden, wenn die Datenverarbeitung auf der Grundlage einer Vereinbarung nach Artikel 28 Absatz 3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erfolgt.</w:t>
      </w:r>
    </w:p>
    <w:p>
      <w:r>
        <w:t xml:space="preserve">(4) </w:t>
      </w:r>
      <w:r>
        <w:rPr>
          <w:rStyle w:val="Satznummer"/>
        </w:rPr>
        <w:t>1</w:t>
      </w:r>
      <w:r>
        <w:t xml:space="preserve">Die nach Landesrecht zuständige Behörde und die in Absatz 3 bezeichneten Stellen haben die nach den Absätzen 1 und 2 erhobenen Daten unverzüglich zu löschen, sobald sie für die Erstellung des qualifizierten Mietspiegels nicht mehr erforderlich sind, es sei denn, sie werden für eine Anpassung mittels Stichprobe nach § 558d Absatz 2 Satz 2 des Bürgerlichen Gesetzbuchs benötigt. </w:t>
      </w:r>
      <w:r>
        <w:rPr>
          <w:rStyle w:val="Satznummer"/>
        </w:rPr>
        <w:t>2</w:t>
      </w:r>
      <w:r>
        <w:t>Die nach den Absätzen 1 und 2 erhobenen Daten sind spätestens drei Jahre nach ihrer Erhebung zu löschen.</w:t>
      </w:r>
    </w:p>
    <w:p>
      <w:r>
        <w:t xml:space="preserve">(5) </w:t>
      </w:r>
      <w:r>
        <w:rPr>
          <w:rStyle w:val="Satznummer"/>
        </w:rPr>
        <w:t>1</w:t>
      </w:r>
      <w:r>
        <w:t>Zur Erstellung eines qualifizierten Mietspiegels dürfen die Statistikstellen der Gemeinden und der Gemeindeverbände, sofern sie das Statistikgeheimnis gewährleisten, von den Statistischen Ämtern des Bundes und der Länder folgende Daten aus der Gebäude- und Wohnungszählung des Zensus, bezogen auf das Gebiet, für das der Mietspiegel erstellt werden soll, erheben und in sonstiger Weise verarbeiten:</w:t>
      </w:r>
    </w:p>
    <w:p>
      <w:pPr>
        <w:tabs>
          <w:tab w:pos="567" w:val="left"/>
        </w:tabs>
        <w:ind w:left="567" w:hanging="567"/>
      </w:pPr>
      <w:r>
        <w:t>1.</w:t>
      </w:r>
      <w:r>
        <w:tab/>
      </w:r>
      <w:r>
        <w:t>Erhebungsmerkmale für Gebäude mit Wohnraum und bewohnte Unterkünfte:</w:t>
      </w:r>
    </w:p>
    <w:p>
      <w:pPr>
        <w:tabs>
          <w:tab w:pos="1134" w:val="left"/>
        </w:tabs>
        <w:ind w:left="1134" w:hanging="567"/>
      </w:pPr>
      <w:r>
        <w:t>a)</w:t>
      </w:r>
      <w:r>
        <w:tab/>
      </w:r>
      <w:r>
        <w:t>Gemeinde, Postleitzahl und amtlicher Gemeindeschlüssel,</w:t>
      </w:r>
    </w:p>
    <w:p>
      <w:pPr>
        <w:tabs>
          <w:tab w:pos="1134" w:val="left"/>
        </w:tabs>
        <w:ind w:left="1134" w:hanging="567"/>
      </w:pPr>
      <w:r>
        <w:t>b)</w:t>
      </w:r>
      <w:r>
        <w:tab/>
      </w:r>
      <w:r>
        <w:t>Art des Gebäudes,</w:t>
      </w:r>
    </w:p>
    <w:p>
      <w:pPr>
        <w:tabs>
          <w:tab w:pos="1134" w:val="left"/>
        </w:tabs>
        <w:ind w:left="1134" w:hanging="567"/>
      </w:pPr>
      <w:r>
        <w:t>c)</w:t>
      </w:r>
      <w:r>
        <w:tab/>
      </w:r>
      <w:r>
        <w:t>Eigentumsverhältnisse,</w:t>
      </w:r>
    </w:p>
    <w:p>
      <w:pPr>
        <w:tabs>
          <w:tab w:pos="1134" w:val="left"/>
        </w:tabs>
        <w:ind w:left="1134" w:hanging="567"/>
      </w:pPr>
      <w:r>
        <w:t>d)</w:t>
      </w:r>
      <w:r>
        <w:tab/>
      </w:r>
      <w:r>
        <w:t>Gebäudetyp,</w:t>
      </w:r>
    </w:p>
    <w:p>
      <w:pPr>
        <w:tabs>
          <w:tab w:pos="1134" w:val="left"/>
        </w:tabs>
        <w:ind w:left="1134" w:hanging="567"/>
      </w:pPr>
      <w:r>
        <w:t>e)</w:t>
      </w:r>
      <w:r>
        <w:tab/>
      </w:r>
      <w:r>
        <w:t>Baujahr,</w:t>
      </w:r>
    </w:p>
    <w:p>
      <w:pPr>
        <w:tabs>
          <w:tab w:pos="1134" w:val="left"/>
        </w:tabs>
        <w:ind w:left="1134" w:hanging="567"/>
      </w:pPr>
      <w:r>
        <w:t>f)</w:t>
      </w:r>
      <w:r>
        <w:tab/>
      </w:r>
      <w:r>
        <w:t>Heizungsart und Energieträger,</w:t>
      </w:r>
    </w:p>
    <w:p>
      <w:pPr>
        <w:tabs>
          <w:tab w:pos="1134" w:val="left"/>
        </w:tabs>
        <w:ind w:left="1134" w:hanging="567"/>
      </w:pPr>
      <w:r>
        <w:t>g)</w:t>
      </w:r>
      <w:r>
        <w:tab/>
      </w:r>
      <w:r>
        <w:t>Zahl der Wohnungen,</w:t>
      </w:r>
    </w:p>
    <w:p>
      <w:pPr>
        <w:tabs>
          <w:tab w:pos="567" w:val="left"/>
        </w:tabs>
        <w:ind w:left="567" w:hanging="567"/>
      </w:pPr>
      <w:r>
        <w:t>2.</w:t>
      </w:r>
      <w:r>
        <w:tab/>
      </w:r>
      <w:r>
        <w:t>Erhebungsmerkmale für Wohnungen:</w:t>
      </w:r>
    </w:p>
    <w:p>
      <w:pPr>
        <w:tabs>
          <w:tab w:pos="1134" w:val="left"/>
        </w:tabs>
        <w:ind w:left="1134" w:hanging="567"/>
      </w:pPr>
      <w:r>
        <w:t>a)</w:t>
      </w:r>
      <w:r>
        <w:tab/>
      </w:r>
      <w:r>
        <w:t>Art der Nutzung,</w:t>
      </w:r>
    </w:p>
    <w:p>
      <w:pPr>
        <w:tabs>
          <w:tab w:pos="1134" w:val="left"/>
        </w:tabs>
        <w:ind w:left="1134" w:hanging="567"/>
      </w:pPr>
      <w:r>
        <w:t>b)</w:t>
      </w:r>
      <w:r>
        <w:tab/>
      </w:r>
      <w:r>
        <w:t>Leerstandsdauer,</w:t>
      </w:r>
    </w:p>
    <w:p>
      <w:pPr>
        <w:tabs>
          <w:tab w:pos="1134" w:val="left"/>
        </w:tabs>
        <w:ind w:left="1134" w:hanging="567"/>
      </w:pPr>
      <w:r>
        <w:t>c)</w:t>
      </w:r>
      <w:r>
        <w:tab/>
      </w:r>
      <w:r>
        <w:t>Fläche der Wohnung,</w:t>
      </w:r>
    </w:p>
    <w:p>
      <w:pPr>
        <w:tabs>
          <w:tab w:pos="1134" w:val="left"/>
        </w:tabs>
        <w:ind w:left="1134" w:hanging="567"/>
      </w:pPr>
      <w:r>
        <w:t>d)</w:t>
      </w:r>
      <w:r>
        <w:tab/>
      </w:r>
      <w:r>
        <w:t>Zahl der Räume,</w:t>
      </w:r>
    </w:p>
    <w:p>
      <w:pPr>
        <w:tabs>
          <w:tab w:pos="1134" w:val="left"/>
        </w:tabs>
        <w:ind w:left="1134" w:hanging="567"/>
      </w:pPr>
      <w:r>
        <w:t>e)</w:t>
      </w:r>
      <w:r>
        <w:tab/>
      </w:r>
      <w:r>
        <w:t>Nettokaltmiete,</w:t>
      </w:r>
    </w:p>
    <w:p>
      <w:pPr>
        <w:tabs>
          <w:tab w:pos="567" w:val="left"/>
        </w:tabs>
        <w:ind w:left="567" w:hanging="567"/>
      </w:pPr>
      <w:r>
        <w:t>3.</w:t>
      </w:r>
      <w:r>
        <w:tab/>
      </w:r>
      <w:r>
        <w:t>Hilfsmerkmale:</w:t>
      </w:r>
    </w:p>
    <w:p>
      <w:pPr>
        <w:ind w:left="567"/>
      </w:pPr>
      <w:r>
        <w:t>Straße und Hausnummer der Wohnung.</w:t>
      </w:r>
    </w:p>
    <w:p>
      <w:r>
        <w:rPr>
          <w:rStyle w:val="Satznummer"/>
        </w:rPr>
        <w:t>2</w:t>
      </w:r>
      <w:r>
        <w:t>Die Statistikstellen der Gemeinden und Gemeindeverbände haben die nach Satz 1 Nummer 3 erhobenen Hilfsmerkmale zum frühestmöglichen Zeitpunkt, spätestens jedoch zwei Jahre nach Erhebung, zu löschen.</w:t>
      </w:r>
    </w:p>
    <w:p>
      <w:pPr>
        <w:pStyle w:val="Heading3"/>
      </w:pPr>
      <w:bookmarkStart w:id="383" w:name="b382"/>
      <w:r>
        <w:t>Art 238 § 2 Auskunftspflichten</w:t>
      </w:r>
      <w:r>
        <w:t xml:space="preserve"> </w:t>
      </w:r>
      <w:r>
        <w:rPr>
          <w:rStyle w:val="Suchmarke"/>
        </w:rPr>
        <w:t>#238-2.#</w:t>
      </w:r>
      <w:bookmarkEnd w:id="383"/>
    </w:p>
    <w:p>
      <w:r>
        <w:t>(1) Zur Erstellung eines qualifizierten Mietspiegels und zu seiner Anpassung mittels Stichprobe sind Eigentümer und Mieter von Wohnraum verpflichtet, der nach Landesrecht zuständigen Behörde auf Verlangen Auskunft zu erteilen darüber, ob der Wohnraum vermietet ist, sowie über die Anschrift der Wohnung.</w:t>
      </w:r>
    </w:p>
    <w:p>
      <w:r>
        <w:t>(2) Zur Erstellung eines qualifizierten Mietspiegels und zu seiner Anpassung mittels Stichprobe sind Vermieter und Mieter von Wohnraum verpflichtet, der nach Landesrecht zuständigen Behörde auf Verlangen Auskunft über folgende Merkmale zu erteilen:</w:t>
      </w:r>
    </w:p>
    <w:p>
      <w:pPr>
        <w:tabs>
          <w:tab w:pos="567" w:val="left"/>
        </w:tabs>
        <w:ind w:left="567" w:hanging="567"/>
      </w:pPr>
      <w:r>
        <w:t>1.</w:t>
      </w:r>
      <w:r>
        <w:tab/>
      </w:r>
      <w:r>
        <w:t>Erhebungsmerkmale:</w:t>
      </w:r>
    </w:p>
    <w:p>
      <w:pPr>
        <w:tabs>
          <w:tab w:pos="1134" w:val="left"/>
        </w:tabs>
        <w:ind w:left="1134" w:hanging="567"/>
      </w:pPr>
      <w:r>
        <w:t>a)</w:t>
      </w:r>
      <w:r>
        <w:tab/>
      </w:r>
      <w:r>
        <w:t>Beginn des Mietverhältnisses,</w:t>
      </w:r>
    </w:p>
    <w:p>
      <w:pPr>
        <w:tabs>
          <w:tab w:pos="1134" w:val="left"/>
        </w:tabs>
        <w:ind w:left="1134" w:hanging="567"/>
      </w:pPr>
      <w:r>
        <w:t>b)</w:t>
      </w:r>
      <w:r>
        <w:tab/>
      </w:r>
      <w:r>
        <w:t>Zeitpunkt und Art der letzten Mieterhöhung mit Ausnahme von Erhöhungen nach § 560 des Bürgerlichen Gesetzbuchs,</w:t>
      </w:r>
    </w:p>
    <w:p>
      <w:pPr>
        <w:tabs>
          <w:tab w:pos="1134" w:val="left"/>
        </w:tabs>
        <w:ind w:left="1134" w:hanging="567"/>
      </w:pPr>
      <w:r>
        <w:t>c)</w:t>
      </w:r>
      <w:r>
        <w:tab/>
      </w:r>
      <w:r>
        <w:t>Festlegungen der Miethöhe durch Gesetz oder im Zusammenhang mit einer Förderzusage,</w:t>
      </w:r>
    </w:p>
    <w:p>
      <w:pPr>
        <w:tabs>
          <w:tab w:pos="1134" w:val="left"/>
        </w:tabs>
        <w:ind w:left="1134" w:hanging="567"/>
      </w:pPr>
      <w:r>
        <w:t>d)</w:t>
      </w:r>
      <w:r>
        <w:tab/>
      </w:r>
      <w:r>
        <w:t>Art der Miete und Miethöhe,</w:t>
      </w:r>
    </w:p>
    <w:p>
      <w:pPr>
        <w:tabs>
          <w:tab w:pos="1134" w:val="left"/>
        </w:tabs>
        <w:ind w:left="1134" w:hanging="567"/>
      </w:pPr>
      <w:r>
        <w:t>e)</w:t>
      </w:r>
      <w:r>
        <w:tab/>
      </w:r>
      <w:r>
        <w:t>Art, Größe, Ausstattung, Beschaffenheit und Lage des vermieteten Wohnraums einschließlich seiner energetischen Ausstattung und Beschaffenheit (§ 558 Absatz 2 Satz 1 des Bürgerlichen Gesetzbuchs),</w:t>
      </w:r>
    </w:p>
    <w:p>
      <w:pPr>
        <w:tabs>
          <w:tab w:pos="1134" w:val="left"/>
        </w:tabs>
        <w:ind w:left="1134" w:hanging="567"/>
      </w:pPr>
      <w:r>
        <w:t>f)</w:t>
      </w:r>
      <w:r>
        <w:tab/>
      </w:r>
      <w:r>
        <w:t>Vorliegen besonderer Umstände, die zu einer Ermäßigung der Miethöhe geführt haben, insbesondere Verwandtschaft zwischen Vermieter und Mieter, ein zwischen Vermieter und Mieter bestehendes Beschäftigungsverhältnis oder die Übernahme besonderer Pflichten durch den Mieter,</w:t>
      </w:r>
    </w:p>
    <w:p>
      <w:pPr>
        <w:tabs>
          <w:tab w:pos="567" w:val="left"/>
        </w:tabs>
        <w:ind w:left="567" w:hanging="567"/>
      </w:pPr>
      <w:r>
        <w:t>2.</w:t>
      </w:r>
      <w:r>
        <w:tab/>
      </w:r>
      <w:r>
        <w:t>Hilfsmerkmale:</w:t>
      </w:r>
    </w:p>
    <w:p>
      <w:pPr>
        <w:tabs>
          <w:tab w:pos="1134" w:val="left"/>
        </w:tabs>
        <w:ind w:left="1134" w:hanging="567"/>
      </w:pPr>
      <w:r>
        <w:t>a)</w:t>
      </w:r>
      <w:r>
        <w:tab/>
      </w:r>
      <w:r>
        <w:t>Anschrift der Wohnung,</w:t>
      </w:r>
    </w:p>
    <w:p>
      <w:pPr>
        <w:tabs>
          <w:tab w:pos="1134" w:val="left"/>
        </w:tabs>
        <w:ind w:left="1134" w:hanging="567"/>
      </w:pPr>
      <w:r>
        <w:t>b)</w:t>
      </w:r>
      <w:r>
        <w:tab/>
      </w:r>
      <w:r>
        <w:t>Namen und Anschriften der Mieter und Vermieter.</w:t>
      </w:r>
    </w:p>
    <w:p>
      <w:r>
        <w:t>(3) Die Auskunftspflichten nach den Absätzen 1 und 2 bestehen auch gegenüber Stellen, die von der nach Landesrecht zuständigen Behörde mit der Erstellung oder Anpassung eines qualifizierten Mietspiegels nach § 1 Absatz 3 beauftragt wurden.</w:t>
      </w:r>
    </w:p>
    <w:p>
      <w:pPr>
        <w:pStyle w:val="Heading3"/>
      </w:pPr>
      <w:bookmarkStart w:id="384" w:name="b383"/>
      <w:r>
        <w:t>Art 238 § 3 Datenverarbeitung</w:t>
      </w:r>
      <w:r>
        <w:t xml:space="preserve"> </w:t>
      </w:r>
      <w:r>
        <w:rPr>
          <w:rStyle w:val="Suchmarke"/>
        </w:rPr>
        <w:t>#238-3.#</w:t>
      </w:r>
      <w:bookmarkEnd w:id="384"/>
    </w:p>
    <w:p>
      <w:r>
        <w:t xml:space="preserve">(1) </w:t>
      </w:r>
      <w:r>
        <w:rPr>
          <w:rStyle w:val="Satznummer"/>
        </w:rPr>
        <w:t>1</w:t>
      </w:r>
      <w:r>
        <w:t xml:space="preserve">Die nach Landesrecht zuständige Behörde darf die in § 2 Absatz 1 und 2 genannten Merkmale in dem zur Erstellung oder Anpassung eines qualifizierten Mietspiegels erforderlichen Umfang erheben und in sonstiger Weise verarbeiten. </w:t>
      </w:r>
      <w:r>
        <w:rPr>
          <w:rStyle w:val="Satznummer"/>
        </w:rPr>
        <w:t>2</w:t>
      </w:r>
      <w:r>
        <w:t>Doppelerhebungen sind nur dann zulässig, wenn begründete Zweifel an der Richtigkeit einer Erhebung bestehen oder wenn dies zur stichprobenartigen Prüfung der Qualität der Erhebung erforderlich ist.</w:t>
      </w:r>
    </w:p>
    <w:p>
      <w:r>
        <w:t xml:space="preserve">(2) </w:t>
      </w:r>
      <w:r>
        <w:rPr>
          <w:rStyle w:val="Satznummer"/>
        </w:rPr>
        <w:t>1</w:t>
      </w:r>
      <w:r>
        <w:t xml:space="preserve">Die nach Landesrecht zuständige Behörde hat die Hilfsmerkmale des § 2 Absatz 2 Nummer 2 von den weiteren erhobenen Merkmalen zum frühestmöglichen Zeitpunkt zu trennen und gesondert zu verarbeiten. </w:t>
      </w:r>
      <w:r>
        <w:rPr>
          <w:rStyle w:val="Satznummer"/>
        </w:rPr>
        <w:t>2</w:t>
      </w:r>
      <w:r>
        <w:t>Die Hilfsmerkmale sind zu löschen, sobald die Überprüfung der Erhebungs- und Hilfsmerkmale auf ihre Schlüssigkeit und Vollständigkeit abgeschlossen ist und sie auch für eine Anpassung des Mietspiegels nach § 558d Absatz 2 Satz 2 des Bürgerlichen Gesetzbuchs nicht mehr benötigt werden.</w:t>
      </w:r>
    </w:p>
    <w:p>
      <w:r>
        <w:t>(3) Die Absätze 1 und 2 gelten entsprechend für Stellen, die von der nach Landesrecht zuständigen Behörde mit der Erstellung oder Anpassung eines qualifizierten Mietspiegels nach § 1 Absatz 3 beauftragt worden sind.</w:t>
      </w:r>
    </w:p>
    <w:p>
      <w:r>
        <w:t xml:space="preserve">(4) </w:t>
      </w:r>
      <w:r>
        <w:rPr>
          <w:rStyle w:val="Satznummer"/>
        </w:rPr>
        <w:t>1</w:t>
      </w:r>
      <w:r>
        <w:t xml:space="preserve">Die nach Landesrecht zuständige Behörde darf die nach Absatz 1 erhobenen Daten zu wissenschaftlichen Forschungszwecken in anonymisierter Form an Hochschulen, an andere Einrichtungen, die wissenschaftliche Forschung betreiben, und an öffentliche Stellen übermitteln. </w:t>
      </w:r>
      <w:r>
        <w:rPr>
          <w:rStyle w:val="Satznummer"/>
        </w:rPr>
        <w:t>2</w:t>
      </w:r>
      <w:r>
        <w:t>Sie ist befugt, die Daten zu diesem Zweck zu anonymisieren.</w:t>
      </w:r>
    </w:p>
    <w:p>
      <w:pPr>
        <w:pStyle w:val="Heading3"/>
      </w:pPr>
      <w:bookmarkStart w:id="385" w:name="b384"/>
      <w:r>
        <w:t>Art 238 § 4 Bußgeldvorschriften</w:t>
      </w:r>
      <w:r>
        <w:t xml:space="preserve"> </w:t>
      </w:r>
      <w:r>
        <w:rPr>
          <w:rStyle w:val="Suchmarke"/>
        </w:rPr>
        <w:t>#238-4.#</w:t>
      </w:r>
      <w:bookmarkEnd w:id="385"/>
    </w:p>
    <w:p>
      <w:r>
        <w:t>(1) Ordnungswidrig handelt, wer vorsätzlich oder fahrlässig entgegen § 2 Absatz 1 oder 2, jeweils auch in Verbindung mit Absatz 3, eine Auskunft nicht, nicht rechtzeitig, nicht richtig oder nicht vollständig erteilt.</w:t>
      </w:r>
    </w:p>
    <w:p>
      <w:r>
        <w:t>(2) Die Ordnungswidrigkeit kann mit einer Geldbuße bis zu fünftausend Euro geahndet werden.</w:t>
      </w:r>
    </w:p>
    <w:p>
      <w:pPr>
        <w:pStyle w:val="Heading3"/>
      </w:pPr>
      <w:bookmarkStart w:id="386" w:name="b385"/>
      <w:r>
        <w:t>Art 239 Länderöffnungsklausel</w:t>
      </w:r>
      <w:r>
        <w:t xml:space="preserve"> </w:t>
      </w:r>
      <w:r>
        <w:rPr>
          <w:rStyle w:val="Suchmarke"/>
        </w:rPr>
        <w:t>#239.#</w:t>
      </w:r>
      <w:bookmarkEnd w:id="386"/>
    </w:p>
    <w:p>
      <w:r>
        <w:t>Die Länder können durch Gesetz bestimmen, dass der Antrag auf Erteilung eines Erbscheins der notariellen Beurkundung bedarf und die Versicherung an Eides statt nach § 352 Absatz 3 Satz 3 des Gesetzes über das Verfahren in Familiensachen und in den Angelegenheiten der freiwilligen Gerichtsbarkeit und nach § 36 Absatz 2 Satz 1 des Internationalen Erbrechtsverfahrensgesetzes vom 29. Juni 2015 (BGBl. I S. 1042) nur vor einem Notar abzugeben ist.</w:t>
      </w:r>
    </w:p>
    <w:p>
      <w:pPr>
        <w:pStyle w:val="Heading2"/>
      </w:pPr>
      <w:bookmarkStart w:id="387" w:name="b386"/>
      <w:r>
        <w:t>Art 240 (weggefallen)</w:t>
      </w:r>
      <w:bookmarkEnd w:id="387"/>
    </w:p>
    <w:p>
      <w:pPr>
        <w:pStyle w:val="Heading3"/>
      </w:pPr>
      <w:bookmarkStart w:id="388" w:name="b387"/>
      <w:r>
        <w:t>Art 240 § 1 (weggefallen)</w:t>
      </w:r>
      <w:r>
        <w:t xml:space="preserve"> </w:t>
      </w:r>
      <w:r>
        <w:rPr>
          <w:rStyle w:val="Suchmarke"/>
        </w:rPr>
        <w:t>#240-1.#</w:t>
      </w:r>
      <w:bookmarkEnd w:id="388"/>
    </w:p>
    <w:p>
      <w:pPr>
        <w:pStyle w:val="Heading3"/>
      </w:pPr>
      <w:bookmarkStart w:id="389" w:name="b388"/>
      <w:r>
        <w:t>Art 240 § 2 (weggefallen)</w:t>
      </w:r>
      <w:r>
        <w:t xml:space="preserve"> </w:t>
      </w:r>
      <w:r>
        <w:rPr>
          <w:rStyle w:val="Suchmarke"/>
        </w:rPr>
        <w:t>#240-2.#</w:t>
      </w:r>
      <w:bookmarkEnd w:id="389"/>
    </w:p>
    <w:p>
      <w:pPr>
        <w:pStyle w:val="Heading3"/>
      </w:pPr>
      <w:bookmarkStart w:id="390" w:name="b389"/>
      <w:r>
        <w:t>Art 240 § 3 (weggefallen)</w:t>
      </w:r>
      <w:r>
        <w:t xml:space="preserve"> </w:t>
      </w:r>
      <w:r>
        <w:rPr>
          <w:rStyle w:val="Suchmarke"/>
        </w:rPr>
        <w:t>#240-3.#</w:t>
      </w:r>
      <w:bookmarkEnd w:id="390"/>
    </w:p>
    <w:p>
      <w:pPr>
        <w:pStyle w:val="Heading3"/>
      </w:pPr>
      <w:bookmarkStart w:id="391" w:name="b390"/>
      <w:r>
        <w:t>Art 240 § 4 (weggefallen)</w:t>
      </w:r>
      <w:r>
        <w:t xml:space="preserve"> </w:t>
      </w:r>
      <w:r>
        <w:rPr>
          <w:rStyle w:val="Suchmarke"/>
        </w:rPr>
        <w:t>#240-4.#</w:t>
      </w:r>
      <w:bookmarkEnd w:id="391"/>
    </w:p>
    <w:p>
      <w:pPr>
        <w:pStyle w:val="Heading3"/>
      </w:pPr>
      <w:bookmarkStart w:id="392" w:name="b391"/>
      <w:r>
        <w:t>Art 240 § 5 (weggefallen)</w:t>
      </w:r>
      <w:r>
        <w:t xml:space="preserve"> </w:t>
      </w:r>
      <w:r>
        <w:rPr>
          <w:rStyle w:val="Suchmarke"/>
        </w:rPr>
        <w:t>#240-5.#</w:t>
      </w:r>
      <w:bookmarkEnd w:id="392"/>
    </w:p>
    <w:p>
      <w:pPr>
        <w:pStyle w:val="Heading3"/>
      </w:pPr>
      <w:bookmarkStart w:id="393" w:name="b392"/>
      <w:r>
        <w:t>Art 240 § 6 (weggefallen)</w:t>
      </w:r>
      <w:r>
        <w:t xml:space="preserve"> </w:t>
      </w:r>
      <w:r>
        <w:rPr>
          <w:rStyle w:val="Suchmarke"/>
        </w:rPr>
        <w:t>#240-6.#</w:t>
      </w:r>
      <w:bookmarkEnd w:id="393"/>
    </w:p>
    <w:p>
      <w:pPr>
        <w:pStyle w:val="Heading3"/>
      </w:pPr>
      <w:bookmarkStart w:id="394" w:name="b393"/>
      <w:r>
        <w:t>Art 240 § 7 (weggefallen)</w:t>
      </w:r>
      <w:r>
        <w:t xml:space="preserve"> </w:t>
      </w:r>
      <w:r>
        <w:rPr>
          <w:rStyle w:val="Suchmarke"/>
        </w:rPr>
        <w:t>#240-7.#</w:t>
      </w:r>
      <w:bookmarkEnd w:id="394"/>
    </w:p>
    <w:p>
      <w:pPr>
        <w:pStyle w:val="Heading3"/>
      </w:pPr>
      <w:bookmarkStart w:id="395" w:name="b394"/>
      <w:r>
        <w:t>Art 241 (weggefallen)</w:t>
      </w:r>
      <w:r>
        <w:t xml:space="preserve"> </w:t>
      </w:r>
      <w:r>
        <w:rPr>
          <w:rStyle w:val="Suchmarke"/>
        </w:rPr>
        <w:t>#241.#</w:t>
      </w:r>
      <w:bookmarkEnd w:id="395"/>
    </w:p>
    <w:p>
      <w:pPr>
        <w:pStyle w:val="Heading2"/>
      </w:pPr>
      <w:bookmarkStart w:id="396" w:name="b395"/>
      <w:r>
        <w:t>Art 242 Informationspflichten bei Teilzeit-Wohnrechteverträgen, Verträgen über langfristige Urlaubsprodukte, Vermittlungsverträgen sowie Tauschsystemverträgen</w:t>
      </w:r>
      <w:bookmarkEnd w:id="396"/>
    </w:p>
    <w:p>
      <w:pPr>
        <w:pStyle w:val="Heading3"/>
      </w:pPr>
      <w:bookmarkStart w:id="397" w:name="b396"/>
      <w:r>
        <w:t>Art 242 § 1 Vorvertragliche und vertragliche Pflichtangaben</w:t>
      </w:r>
      <w:r>
        <w:t xml:space="preserve"> </w:t>
      </w:r>
      <w:r>
        <w:rPr>
          <w:rStyle w:val="Suchmarke"/>
        </w:rPr>
        <w:t>#242-1.#</w:t>
      </w:r>
      <w:bookmarkEnd w:id="397"/>
    </w:p>
    <w:p>
      <w:r>
        <w:t>(1) Als vorvertragliche Informationen nach § 482 Absatz 1 des Bürgerlichen Gesetzbuchs für den Abschluss eines Teilzeit-Wohnrechtevertrags, eines Vertrags über ein langfristiges Urlaubsprodukt, eines Vermittlungsvertrags oder eines Tauschsystemvertrags sind die Angaben nach den Anhängen der Richtlinie 2008/122/EG des Europäischen Parlaments und des Rates vom 14. Januar 2009 über den Schutz der Verbraucher im Hinblick auf bestimmte Aspekte von Teilzeitnutzungsverträgen, Verträgen über langfristige Urlaubsprodukte sowie Wiederverkaufs- und Tauschverträgen (ABl. L 33 vom 3.2.2009, S. 10) in leicht zugänglicher Form zur Verfügung zu stellen, und zwar</w:t>
      </w:r>
    </w:p>
    <w:p>
      <w:pPr>
        <w:tabs>
          <w:tab w:pos="567" w:val="left"/>
        </w:tabs>
        <w:ind w:left="567" w:hanging="567"/>
      </w:pPr>
      <w:r>
        <w:t>1.</w:t>
      </w:r>
      <w:r>
        <w:tab/>
      </w:r>
      <w:r>
        <w:t>für einen Teilzeit-Wohnrechtevertrag die Angaben nach Anhang I der Richtlinie,</w:t>
      </w:r>
    </w:p>
    <w:p>
      <w:pPr>
        <w:tabs>
          <w:tab w:pos="567" w:val="left"/>
        </w:tabs>
        <w:ind w:left="567" w:hanging="567"/>
      </w:pPr>
      <w:r>
        <w:t>2.</w:t>
      </w:r>
      <w:r>
        <w:tab/>
      </w:r>
      <w:r>
        <w:t>für einen Vertrag über ein langfristiges Urlaubsprodukt die Angaben nach Anhang II der Richtlinie,</w:t>
      </w:r>
    </w:p>
    <w:p>
      <w:pPr>
        <w:tabs>
          <w:tab w:pos="567" w:val="left"/>
        </w:tabs>
        <w:ind w:left="567" w:hanging="567"/>
      </w:pPr>
      <w:r>
        <w:t>3.</w:t>
      </w:r>
      <w:r>
        <w:tab/>
      </w:r>
      <w:r>
        <w:t>für einen Vermittlungsvertrag die Angaben nach Anhang III der Richtlinie,</w:t>
      </w:r>
    </w:p>
    <w:p>
      <w:pPr>
        <w:tabs>
          <w:tab w:pos="567" w:val="left"/>
        </w:tabs>
        <w:ind w:left="567" w:hanging="567"/>
      </w:pPr>
      <w:r>
        <w:t>4.</w:t>
      </w:r>
      <w:r>
        <w:tab/>
      </w:r>
      <w:r>
        <w:t>für einen Tauschsystemvertrag die Angaben nach Anhang IV der Richtlinie.</w:t>
      </w:r>
    </w:p>
    <w:p>
      <w:r>
        <w:t xml:space="preserve">(2) </w:t>
      </w:r>
      <w:r>
        <w:rPr>
          <w:rStyle w:val="Satznummer"/>
        </w:rPr>
        <w:t>1</w:t>
      </w:r>
      <w:r>
        <w:t xml:space="preserve">Die Angaben in den Teilen 1 und 2 der Anhänge nach Absatz 1 Nummer 1 bis 4 sind in einem Formblatt nach den in den Anhängen enthaltenen Mustern zur Verfügung zu stellen. </w:t>
      </w:r>
      <w:r>
        <w:rPr>
          <w:rStyle w:val="Satznummer"/>
        </w:rPr>
        <w:t>2</w:t>
      </w:r>
      <w:r>
        <w:t xml:space="preserve">Die Angaben nach Teil 3 des Anhangs können in das Formblatt aufgenommen oder auf andere Weise zur Verfügung gestellt werden. </w:t>
      </w:r>
      <w:r>
        <w:rPr>
          <w:rStyle w:val="Satznummer"/>
        </w:rPr>
        <w:t>3</w:t>
      </w:r>
      <w:r>
        <w:t>Werden sie nicht in das Formblatt aufgenommen, ist auf dem Formblatt darauf hinzuweisen, wo die Angaben zu finden sind.</w:t>
      </w:r>
    </w:p>
    <w:p>
      <w:pPr>
        <w:pStyle w:val="Heading3"/>
      </w:pPr>
      <w:bookmarkStart w:id="398" w:name="b397"/>
      <w:r>
        <w:t>Art 242 § 2 Informationen über das Widerrufsrecht</w:t>
      </w:r>
      <w:r>
        <w:t xml:space="preserve"> </w:t>
      </w:r>
      <w:r>
        <w:rPr>
          <w:rStyle w:val="Suchmarke"/>
        </w:rPr>
        <w:t>#242-2.#</w:t>
      </w:r>
      <w:bookmarkEnd w:id="398"/>
    </w:p>
    <w:p>
      <w:r>
        <w:t>Einem Teilzeit-Wohnrechtevertrag, einem Vertrag über ein langfristiges Urlaubsprodukt, einem Vermittlungsvertrag oder einem Tauschsystemvertrag ist ein Formblatt gemäß dem Muster in Anhang V der Richtlinie 2008/122/EG des Europäischen Parlaments und des Rates vom 14. Januar 2009 über den Schutz der Verbraucher im Hinblick auf bestimmte Aspekte von Teilzeitnutzungsverträgen, Verträgen über langfristige Urlaubsprodukte sowie Wiederverkaufs- und Tauschverträgen (ABl. L 33 vom 3.2.2009, S. 10) in der Sprache nach § 483 Absatz 1 des Bürgerlichen Gesetzbuchs beizufügen, in das die einschlägigen Informationen zum Widerrufsrecht deutlich und verständlich eingefügt sind.</w:t>
      </w:r>
    </w:p>
    <w:p>
      <w:pPr>
        <w:pStyle w:val="Heading3"/>
      </w:pPr>
      <w:bookmarkStart w:id="399" w:name="b398"/>
      <w:r>
        <w:t>Art 243 Ver- und Entsorgungsbedingungen</w:t>
      </w:r>
      <w:r>
        <w:t xml:space="preserve"> </w:t>
      </w:r>
      <w:r>
        <w:rPr>
          <w:rStyle w:val="Suchmarke"/>
        </w:rPr>
        <w:t>#243.#</w:t>
      </w:r>
      <w:bookmarkEnd w:id="399"/>
    </w:p>
    <w:p>
      <w:r>
        <w:rPr>
          <w:rStyle w:val="Satznummer"/>
        </w:rPr>
        <w:t>1</w:t>
      </w:r>
      <w:r>
        <w:t>Das Bundesministerium für Wirtschaft und Energie kann im Einvernehmen mit dem Bundesministerium der Justiz und für Verbraucherschutz durch Rechtsverordnung mit Zustimmung des Bundesrates die Allgemeinen Bedingungen für die Versorgung mit Wasser und Fernwärme sowie die Entsorgung von Abwasser einschließlich von Rahmenregelungen über die Entgelte ausgewogen gestalten und hierbei unter angemessener Berücksichtigung der beiderseitigen Interessen</w:t>
      </w:r>
    </w:p>
    <w:p>
      <w:pPr>
        <w:tabs>
          <w:tab w:pos="567" w:val="left"/>
        </w:tabs>
        <w:ind w:left="567" w:hanging="567"/>
      </w:pPr>
      <w:r>
        <w:t>1.</w:t>
      </w:r>
      <w:r>
        <w:tab/>
      </w:r>
      <w:r>
        <w:t>die Bestimmungen der Verträge einheitlich festsetzen,</w:t>
      </w:r>
    </w:p>
    <w:p>
      <w:pPr>
        <w:tabs>
          <w:tab w:pos="567" w:val="left"/>
        </w:tabs>
        <w:ind w:left="567" w:hanging="567"/>
      </w:pPr>
      <w:r>
        <w:t>2.</w:t>
      </w:r>
      <w:r>
        <w:tab/>
      </w:r>
      <w:r>
        <w:t>Regelungen über den Vertragsschluss, den Gegenstand und die Beendigung der Verträge treffen sowie</w:t>
      </w:r>
    </w:p>
    <w:p>
      <w:pPr>
        <w:tabs>
          <w:tab w:pos="567" w:val="left"/>
        </w:tabs>
        <w:ind w:left="567" w:hanging="567"/>
      </w:pPr>
      <w:r>
        <w:t>3.</w:t>
      </w:r>
      <w:r>
        <w:tab/>
      </w:r>
      <w:r>
        <w:t>die Rechte und Pflichten der Vertragsparteien festlegen.</w:t>
      </w:r>
    </w:p>
    <w:p>
      <w:r>
        <w:rPr>
          <w:rStyle w:val="Satznummer"/>
        </w:rPr>
        <w:t>2</w:t>
      </w:r>
      <w:r>
        <w:t>Satz 1 gilt entsprechend für Bedingungen öffentlich-rechtlich gestalteter Ver- und Entsorgungsverhältnisse mit Ausnahme der Regelung des Verwaltungsverfahrens.</w:t>
      </w:r>
    </w:p>
    <w:p>
      <w:pPr>
        <w:pStyle w:val="Heading3"/>
      </w:pPr>
      <w:bookmarkStart w:id="400" w:name="b399"/>
      <w:r>
        <w:t>Art 244 Abschlagszahlungen beim Hausbau</w:t>
      </w:r>
      <w:r>
        <w:t xml:space="preserve"> </w:t>
      </w:r>
      <w:r>
        <w:rPr>
          <w:rStyle w:val="Suchmarke"/>
        </w:rPr>
        <w:t>#244.#</w:t>
      </w:r>
      <w:bookmarkEnd w:id="400"/>
    </w:p>
    <w:p>
      <w:r>
        <w:t>Das Bundesministerium der Justiz und für Verbraucherschutz wird ermächtigt, im Einvernehmen mit dem Bundesministerium für Wirtschaft und Energie durch Rechtsverordnung ohne Zustimmung des Bundesrates auch unter Abweichung von § 632a oder § 650m des Bürgerlichen Gesetzbuchs zu regeln, welche Abschlagszahlungen bei Werkverträgen verlangt werden können, die die Errichtung oder den Umbau eines Hauses oder eines vergleichbaren Bauwerks zum Gegenstand haben, insbesondere wie viele Abschläge vereinbart werden können, welche erbrachten Gewerke hierbei mit welchen Prozentsätzen der Gesamtbausumme angesetzt werden können, welcher Abschlag für eine in dem Vertrag enthaltene Verpflichtung zur Verschaffung des Eigentums angesetzt werden kann und welche Sicherheit dem Besteller hierfür zu leisten ist.</w:t>
      </w:r>
    </w:p>
    <w:p>
      <w:pPr>
        <w:pStyle w:val="Heading2"/>
      </w:pPr>
      <w:bookmarkStart w:id="401" w:name="b400"/>
      <w:r>
        <w:t>Art 245 Europäisches Formular für Reparaturinformationen</w:t>
      </w:r>
      <w:bookmarkEnd w:id="401"/>
    </w:p>
    <w:p>
      <w:pPr>
        <w:pStyle w:val="Heading3"/>
      </w:pPr>
      <w:bookmarkStart w:id="402" w:name="b401"/>
      <w:r>
        <w:t>Art 245 § 1 Freiwillige Verwendung</w:t>
      </w:r>
      <w:r>
        <w:t xml:space="preserve"> </w:t>
      </w:r>
      <w:r>
        <w:rPr>
          <w:rStyle w:val="Suchmarke"/>
        </w:rPr>
        <w:t>#245-1.#</w:t>
      </w:r>
      <w:bookmarkEnd w:id="402"/>
    </w:p>
    <w:p>
      <w:r>
        <w:t>(1) Reparaturbetriebe können für den Abschluss eines Reparaturvertrags mit einem Verbraucher das Europäische Formular für Reparaturinformationen (Anlage 19) gemäß den Vorschriften dieses Artikels nutzen.</w:t>
      </w:r>
    </w:p>
    <w:p>
      <w:r>
        <w:t>(2) Reparaturbetrieb ist jeder Unternehmer, der eine Reparaturleistung erbringt, einschließlich des Herstellers und des Unternehmers, der die Ware verkauft hat.</w:t>
      </w:r>
    </w:p>
    <w:p>
      <w:pPr>
        <w:pStyle w:val="Heading3"/>
      </w:pPr>
      <w:bookmarkStart w:id="403" w:name="b402"/>
      <w:r>
        <w:t>Art 245 § 2 Übermittlung, Zeitpunkt und Kosten</w:t>
      </w:r>
      <w:r>
        <w:t xml:space="preserve"> </w:t>
      </w:r>
      <w:r>
        <w:rPr>
          <w:rStyle w:val="Suchmarke"/>
        </w:rPr>
        <w:t>#245-2.#</w:t>
      </w:r>
      <w:bookmarkEnd w:id="403"/>
    </w:p>
    <w:p>
      <w:r>
        <w:t>(1) Bei Verwendung des Europäischen Formulars für Reparaturinformationen ist dieses dem Verbraucher auf einem dauerhaften Datenträger und innerhalb einer angemessenen Frist nach seiner Anfrage wegen der Reparatur der Ware und bevor der Verbraucher durch seine Vertragserklärung über einen Vertrag über die Erbringung von Reparaturleistungen gebunden ist, kostenlos zur Verfügung zu stellen.</w:t>
      </w:r>
    </w:p>
    <w:p>
      <w:r>
        <w:t xml:space="preserve">(2) </w:t>
      </w:r>
      <w:r>
        <w:rPr>
          <w:rStyle w:val="Satznummer"/>
        </w:rPr>
        <w:t>1</w:t>
      </w:r>
      <w:r>
        <w:t xml:space="preserve">Wenn eine Diagnosedienstleistung einschließlich einer Überprüfung vor Ort oder einer Fernüberprüfung erforderlich ist, um die Art des Defekts und die Art der Reparatur zu bestimmen und die Kosten für die Reparatur zu schätzen, kann der Reparaturbetrieb vom Verbraucher verlangen, dass dieser die erforderlichen Kosten für diese Dienstleistung trägt. </w:t>
      </w:r>
      <w:r>
        <w:rPr>
          <w:rStyle w:val="Satznummer"/>
        </w:rPr>
        <w:t>2</w:t>
      </w:r>
      <w:r>
        <w:t>Der Reparaturbetrieb informiert den Verbraucher vor der Erbringung der Diagnosedienstleistung und vor der Bereitstellung des Europäischen Formulars für Reparaturinformationen über die Kosten der Diagnosedienstleistung.</w:t>
      </w:r>
    </w:p>
    <w:p>
      <w:pPr>
        <w:pStyle w:val="Heading3"/>
      </w:pPr>
      <w:bookmarkStart w:id="404" w:name="b403"/>
      <w:r>
        <w:t>Art 245 § 3 Inhalt und Wirkung</w:t>
      </w:r>
      <w:r>
        <w:t xml:space="preserve"> </w:t>
      </w:r>
      <w:r>
        <w:rPr>
          <w:rStyle w:val="Suchmarke"/>
        </w:rPr>
        <w:t>#245-3.#</w:t>
      </w:r>
      <w:bookmarkEnd w:id="404"/>
    </w:p>
    <w:p>
      <w:r>
        <w:t>(1) Im Europäischen Formular für Reparaturinformationen ist klar und verständlich Folgendes anzugeben:</w:t>
      </w:r>
    </w:p>
    <w:p>
      <w:pPr>
        <w:tabs>
          <w:tab w:pos="567" w:val="left"/>
        </w:tabs>
        <w:ind w:left="567" w:hanging="567"/>
      </w:pPr>
      <w:r>
        <w:t>1.</w:t>
      </w:r>
      <w:r>
        <w:tab/>
      </w:r>
      <w:r>
        <w:t>die Identität des Reparaturbetriebs;</w:t>
      </w:r>
    </w:p>
    <w:p>
      <w:pPr>
        <w:tabs>
          <w:tab w:pos="567" w:val="left"/>
        </w:tabs>
        <w:ind w:left="567" w:hanging="567"/>
      </w:pPr>
      <w:r>
        <w:t>2.</w:t>
      </w:r>
      <w:r>
        <w:tab/>
      </w:r>
      <w:r>
        <w:t>die Anschrift, an der der Reparaturbetrieb niedergelassen ist, sowie seine Telefonnummer und E-Mail-Adresse und gegebenenfalls andere Online-Kommunikationsmittel, die es dem Verbraucher ermöglichen, schnell, effizient und auf zugängliche Weise mit dem Reparaturbetrieb Kontakt aufzunehmen und mit ihm zu kommunizieren;</w:t>
      </w:r>
    </w:p>
    <w:p>
      <w:pPr>
        <w:tabs>
          <w:tab w:pos="567" w:val="left"/>
        </w:tabs>
        <w:ind w:left="567" w:hanging="567"/>
      </w:pPr>
      <w:r>
        <w:t>3.</w:t>
      </w:r>
      <w:r>
        <w:tab/>
      </w:r>
      <w:r>
        <w:t>die zu reparierende Ware;</w:t>
      </w:r>
    </w:p>
    <w:p>
      <w:pPr>
        <w:tabs>
          <w:tab w:pos="567" w:val="left"/>
        </w:tabs>
        <w:ind w:left="567" w:hanging="567"/>
      </w:pPr>
      <w:r>
        <w:t>4.</w:t>
      </w:r>
      <w:r>
        <w:tab/>
      </w:r>
      <w:r>
        <w:t>die Art des Defekts und die Art der vorgeschlagenen Reparatur;</w:t>
      </w:r>
    </w:p>
    <w:p>
      <w:pPr>
        <w:tabs>
          <w:tab w:pos="567" w:val="left"/>
        </w:tabs>
        <w:ind w:left="567" w:hanging="567"/>
      </w:pPr>
      <w:r>
        <w:t>5.</w:t>
      </w:r>
      <w:r>
        <w:tab/>
      </w:r>
      <w:r>
        <w:t>der Preis oder, falls der Preis vernünftigerweise nicht im Voraus berechnet werden kann, die Art und Weise, wie der Preis berechnet wird, und der Höchstpreis für die Reparatur;</w:t>
      </w:r>
    </w:p>
    <w:p>
      <w:pPr>
        <w:tabs>
          <w:tab w:pos="567" w:val="left"/>
        </w:tabs>
        <w:ind w:left="567" w:hanging="567"/>
      </w:pPr>
      <w:r>
        <w:t>6.</w:t>
      </w:r>
      <w:r>
        <w:tab/>
      </w:r>
      <w:r>
        <w:t>die Dauer der Reparatur;</w:t>
      </w:r>
    </w:p>
    <w:p>
      <w:pPr>
        <w:tabs>
          <w:tab w:pos="567" w:val="left"/>
        </w:tabs>
        <w:ind w:left="567" w:hanging="567"/>
      </w:pPr>
      <w:r>
        <w:t>7.</w:t>
      </w:r>
      <w:r>
        <w:tab/>
      </w:r>
      <w:r>
        <w:t>die Verfügbarkeit vorübergehender Ersatzwaren während der Reparatur und gegebenenfalls die Kosten des vorübergehenden Ersatzes für den Verbraucher;</w:t>
      </w:r>
    </w:p>
    <w:p>
      <w:pPr>
        <w:tabs>
          <w:tab w:pos="567" w:val="left"/>
        </w:tabs>
        <w:ind w:left="567" w:hanging="567"/>
      </w:pPr>
      <w:r>
        <w:t>8.</w:t>
      </w:r>
      <w:r>
        <w:tab/>
      </w:r>
      <w:r>
        <w:t>der Ort, an dem der Verbraucher die Waren zur Reparatur übergibt;</w:t>
      </w:r>
    </w:p>
    <w:p>
      <w:pPr>
        <w:tabs>
          <w:tab w:pos="567" w:val="left"/>
        </w:tabs>
        <w:ind w:left="567" w:hanging="567"/>
      </w:pPr>
      <w:r>
        <w:t>9.</w:t>
      </w:r>
      <w:r>
        <w:tab/>
      </w:r>
      <w:r>
        <w:t>gegebenenfalls die Verfügbarkeit der vom Reparaturbetrieb angebotenen Nebenleistungen, wie Ausbau, Montage und Transport, und gegebenenfalls die Aufstellung der Kosten dieser Dienstleistungen für den Verbraucher;</w:t>
      </w:r>
    </w:p>
    <w:p>
      <w:pPr>
        <w:tabs>
          <w:tab w:pos="567" w:val="left"/>
        </w:tabs>
        <w:ind w:left="567" w:hanging="567"/>
      </w:pPr>
      <w:r>
        <w:t>10.</w:t>
      </w:r>
      <w:r>
        <w:tab/>
      </w:r>
      <w:r>
        <w:t>die Gültigkeitsdauer des Europäischen Formulars für Reparaturinformationen;</w:t>
      </w:r>
    </w:p>
    <w:p>
      <w:pPr>
        <w:tabs>
          <w:tab w:pos="567" w:val="left"/>
        </w:tabs>
        <w:ind w:left="567" w:hanging="567"/>
      </w:pPr>
      <w:r>
        <w:t>11.</w:t>
      </w:r>
      <w:r>
        <w:tab/>
      </w:r>
      <w:r>
        <w:t>gegebenenfalls zusätzliche Informationen.</w:t>
      </w:r>
    </w:p>
    <w:p>
      <w:r>
        <w:t xml:space="preserve">(2) </w:t>
      </w:r>
      <w:r>
        <w:rPr>
          <w:rStyle w:val="Satznummer"/>
        </w:rPr>
        <w:t>1</w:t>
      </w:r>
      <w:r>
        <w:t xml:space="preserve">Ein Europäisches Formular für Reparaturinformationen, das die Angaben nach Absatz 1 enthält, ist ein Antrag zur Schließung eines Reparaturvertrags mit dem im Formular angegebenen Inhalt. </w:t>
      </w:r>
      <w:r>
        <w:rPr>
          <w:rStyle w:val="Satznummer"/>
        </w:rPr>
        <w:t>2</w:t>
      </w:r>
      <w:r>
        <w:t xml:space="preserve">An den Antrag ist der Reparaturbetrieb nach dem Zugang beim Verbraucher 30 Kalendertage gebunden. </w:t>
      </w:r>
      <w:r>
        <w:rPr>
          <w:rStyle w:val="Satznummer"/>
        </w:rPr>
        <w:t>3</w:t>
      </w:r>
      <w:r>
        <w:t>Der Reparaturbetrieb kann eine längere Gültigkeitsdauer für den Antrag bestimmen.</w:t>
      </w:r>
    </w:p>
    <w:p>
      <w:pPr>
        <w:pStyle w:val="Heading3"/>
      </w:pPr>
      <w:bookmarkStart w:id="405" w:name="b404"/>
      <w:r>
        <w:t>Art 245 § 4 Erfüllung von Informationspflichten</w:t>
      </w:r>
      <w:r>
        <w:t xml:space="preserve"> </w:t>
      </w:r>
      <w:r>
        <w:rPr>
          <w:rStyle w:val="Suchmarke"/>
        </w:rPr>
        <w:t>#245-4.#</w:t>
      </w:r>
      <w:bookmarkEnd w:id="405"/>
    </w:p>
    <w:p>
      <w:r>
        <w:t>Hat der Reparaturbetrieb dem Verbraucher ein vollständiges und korrektes Europäisches Formular für Reparaturinformationen zur Verfügung gestellt, so gelten die folgenden Informationspflichten als erfüllt:</w:t>
      </w:r>
    </w:p>
    <w:p>
      <w:pPr>
        <w:tabs>
          <w:tab w:pos="567" w:val="left"/>
        </w:tabs>
        <w:ind w:left="567" w:hanging="567"/>
      </w:pPr>
      <w:r>
        <w:t>1.</w:t>
      </w:r>
      <w:r>
        <w:tab/>
      </w:r>
      <w:r>
        <w:t xml:space="preserve">Informationspflichten in Bezug auf die wesentlichen Merkmale der Reparaturleistung gemäß </w:t>
      </w:r>
      <w:hyperlink w:anchor="b406" w:history="1">
        <w:r>
          <w:rPr>
            <w:color w:val="0A3A8C"/>
            <w:u w:val="single"/>
          </w:rPr>
          <w:t xml:space="preserve">Artikel 246</w:t>
        </w:r>
      </w:hyperlink>
      <w:r>
        <w:t xml:space="preserve"> Absatz 1 Nummer 1 und </w:t>
      </w:r>
      <w:hyperlink w:anchor="b408" w:history="1">
        <w:r>
          <w:rPr>
            <w:color w:val="0A3A8C"/>
            <w:u w:val="single"/>
          </w:rPr>
          <w:t xml:space="preserve">Artikel 246a § 1</w:t>
        </w:r>
      </w:hyperlink>
      <w:r>
        <w:t xml:space="preserve"> Absatz 1 Satz 1 Nummer 1 sowie gemäß § 2 Absatz 1 Nummer 10 der Dienstleistungs-Informationspflichten-Verordnung;</w:t>
      </w:r>
    </w:p>
    <w:p>
      <w:pPr>
        <w:tabs>
          <w:tab w:pos="567" w:val="left"/>
        </w:tabs>
        <w:ind w:left="567" w:hanging="567"/>
      </w:pPr>
      <w:r>
        <w:t>2.</w:t>
      </w:r>
      <w:r>
        <w:tab/>
      </w:r>
      <w:r>
        <w:t xml:space="preserve">Informationspflichten in Bezug auf die Identität des Reparaturbetriebs und die Kontaktdaten gemäß </w:t>
      </w:r>
      <w:hyperlink w:anchor="b406" w:history="1">
        <w:r>
          <w:rPr>
            <w:color w:val="0A3A8C"/>
            <w:u w:val="single"/>
          </w:rPr>
          <w:t xml:space="preserve">Artikel 246</w:t>
        </w:r>
      </w:hyperlink>
      <w:r>
        <w:t xml:space="preserve"> Absatz 1 Nummer 2 und </w:t>
      </w:r>
      <w:hyperlink w:anchor="b408" w:history="1">
        <w:r>
          <w:rPr>
            <w:color w:val="0A3A8C"/>
            <w:u w:val="single"/>
          </w:rPr>
          <w:t xml:space="preserve">Artikel 246a § 1</w:t>
        </w:r>
      </w:hyperlink>
      <w:r>
        <w:t xml:space="preserve"> Absatz 1 Satz 1 Nummer 2 und 3 sowie gemäß § 2 Absatz 1 Nummer 1 und 2 der Dienstleistungs-Informationspflichten-Verordnung;</w:t>
      </w:r>
    </w:p>
    <w:p>
      <w:pPr>
        <w:tabs>
          <w:tab w:pos="567" w:val="left"/>
        </w:tabs>
        <w:ind w:left="567" w:hanging="567"/>
      </w:pPr>
      <w:r>
        <w:t>3.</w:t>
      </w:r>
      <w:r>
        <w:tab/>
      </w:r>
      <w:r>
        <w:t xml:space="preserve">Informationspflichten in Bezug auf den Preis gemäß </w:t>
      </w:r>
      <w:hyperlink w:anchor="b406" w:history="1">
        <w:r>
          <w:rPr>
            <w:color w:val="0A3A8C"/>
            <w:u w:val="single"/>
          </w:rPr>
          <w:t xml:space="preserve">Artikel 246</w:t>
        </w:r>
      </w:hyperlink>
      <w:r>
        <w:t xml:space="preserve"> Absatz 1 Nummer 3 und </w:t>
      </w:r>
      <w:hyperlink w:anchor="b408" w:history="1">
        <w:r>
          <w:rPr>
            <w:color w:val="0A3A8C"/>
            <w:u w:val="single"/>
          </w:rPr>
          <w:t xml:space="preserve">Artikel 246a § 1</w:t>
        </w:r>
      </w:hyperlink>
      <w:r>
        <w:t xml:space="preserve"> Absatz 1 Satz 1 Nummer 5 sowie der Preisangabenverordnung;</w:t>
      </w:r>
    </w:p>
    <w:p>
      <w:pPr>
        <w:tabs>
          <w:tab w:pos="567" w:val="left"/>
        </w:tabs>
        <w:ind w:left="567" w:hanging="567"/>
      </w:pPr>
      <w:r>
        <w:t>4.</w:t>
      </w:r>
      <w:r>
        <w:tab/>
      </w:r>
      <w:r>
        <w:t xml:space="preserve">Informationspflichten in Bezug auf die Modalitäten der Leistung und den Zeitpunkt der Erbringung der Reparaturleistung gemäß </w:t>
      </w:r>
      <w:hyperlink w:anchor="b406" w:history="1">
        <w:r>
          <w:rPr>
            <w:color w:val="0A3A8C"/>
            <w:u w:val="single"/>
          </w:rPr>
          <w:t xml:space="preserve">Artikel 246</w:t>
        </w:r>
      </w:hyperlink>
      <w:r>
        <w:t xml:space="preserve"> Absatz 1 Nummer 4 und </w:t>
      </w:r>
      <w:hyperlink w:anchor="b408" w:history="1">
        <w:r>
          <w:rPr>
            <w:color w:val="0A3A8C"/>
            <w:u w:val="single"/>
          </w:rPr>
          <w:t xml:space="preserve">Artikel 246a § 1</w:t>
        </w:r>
      </w:hyperlink>
      <w:r>
        <w:t xml:space="preserve"> Absatz 1 Satz 1 Nummer 10.</w:t>
      </w:r>
    </w:p>
    <w:p>
      <w:pPr>
        <w:pStyle w:val="Heading3"/>
      </w:pPr>
      <w:bookmarkStart w:id="406" w:name="b405"/>
      <w:r>
        <w:t>Art 245 § 5 Abweichende Vereinbarungen</w:t>
      </w:r>
      <w:r>
        <w:t xml:space="preserve"> </w:t>
      </w:r>
      <w:r>
        <w:rPr>
          <w:rStyle w:val="Suchmarke"/>
        </w:rPr>
        <w:t>#245-5.#</w:t>
      </w:r>
      <w:bookmarkEnd w:id="406"/>
    </w:p>
    <w:p>
      <w:r>
        <w:t>Stellt ein Reparaturbetrieb das Europäische Formular für Reparaturinformationen freiwillig zur Verfügung, kann er sich nicht auf eine Vereinbarung berufen, die zum Nachteil des Verbrauchers von den §§ 2 und 3 abweicht.</w:t>
      </w:r>
    </w:p>
    <w:p>
      <w:pPr>
        <w:pStyle w:val="Heading3"/>
      </w:pPr>
      <w:bookmarkStart w:id="407" w:name="b406"/>
      <w:r>
        <w:t>Art 246 Informationspflichten beim Verbrauchervertrag</w:t>
      </w:r>
      <w:r>
        <w:t xml:space="preserve"> </w:t>
      </w:r>
      <w:r>
        <w:rPr>
          <w:rStyle w:val="Suchmarke"/>
        </w:rPr>
        <w:t>#246.#</w:t>
      </w:r>
      <w:bookmarkEnd w:id="407"/>
    </w:p>
    <w:p>
      <w:r>
        <w:t>(1) Der Unternehmer ist, sofern sich diese Informationen nicht aus den Umständen ergeben, nach § 312a Absatz 2 des Bürgerlichen Gesetzbuchs verpflichtet, dem Verbraucher vor Abgabe von dessen Vertragserklärung folgende Informationen in klarer und verständlicher Weise zur Verfügung zu stellen:</w:t>
      </w:r>
    </w:p>
    <w:p>
      <w:pPr>
        <w:tabs>
          <w:tab w:pos="567" w:val="left"/>
        </w:tabs>
        <w:ind w:left="567" w:hanging="567"/>
      </w:pPr>
      <w:r>
        <w:t>1.</w:t>
      </w:r>
      <w:r>
        <w:tab/>
      </w:r>
      <w:r>
        <w:t>die wesentlichen Eigenschaften der Waren oder Dienstleistungen in dem für den Datenträger und die Waren oder Dienstleistungen angemessenen Umfang,</w:t>
      </w:r>
    </w:p>
    <w:p>
      <w:pPr>
        <w:tabs>
          <w:tab w:pos="567" w:val="left"/>
        </w:tabs>
        <w:ind w:left="567" w:hanging="567"/>
      </w:pPr>
      <w:r>
        <w:t>2.</w:t>
      </w:r>
      <w:r>
        <w:tab/>
      </w:r>
      <w:r>
        <w:t>seine Identität, beispielsweise seinen Handelsnamen und die Anschrift des Ortes, an dem er niedergelassen ist, sowie seine Telefonnummer,</w:t>
      </w:r>
    </w:p>
    <w:p>
      <w:pPr>
        <w:tabs>
          <w:tab w:pos="567" w:val="left"/>
        </w:tabs>
        <w:ind w:left="567" w:hanging="567"/>
      </w:pPr>
      <w:r>
        <w:t>3.</w:t>
      </w:r>
      <w:r>
        <w:tab/>
      </w:r>
      <w:r>
        <w:t>den Gesamtpreis der Waren und Dienstleistungen einschließlich aller Steuern und Abgaben oder in den Fällen, in denen der Preis auf Grund der Beschaffenheit der Ware oder Dienstleistung vernünftigerweise nicht im Voraus berechnet werden kann, die Art der Preisberechnung sowie gegebenenfalls alle zusätzlichen Fracht-, Liefer- oder Versandkosten und alle sonstigen Kosten oder in den Fällen, in denen diese Kosten vernünftigerweise nicht im Voraus berechnet werden können, die Tatsache, dass solche zusätzlichen Kosten anfallen können,</w:t>
      </w:r>
    </w:p>
    <w:p>
      <w:pPr>
        <w:tabs>
          <w:tab w:pos="567" w:val="left"/>
        </w:tabs>
        <w:ind w:left="567" w:hanging="567"/>
      </w:pPr>
      <w:r>
        <w:t>4.</w:t>
      </w:r>
      <w:r>
        <w:tab/>
      </w:r>
      <w:r>
        <w:t>gegebenenfalls die Zahlungs-, Liefer- und Leistungsbedingungen, den Termin, bis zu dem sich der Unternehmer verpflichtet hat, die Waren zu liefern oder die Dienstleistungen zu erbringen, sowie das Verfahren des Unternehmers zum Umgang mit Beschwerden,</w:t>
      </w:r>
    </w:p>
    <w:p>
      <w:pPr>
        <w:tabs>
          <w:tab w:pos="567" w:val="left"/>
        </w:tabs>
        <w:ind w:left="567" w:hanging="567"/>
      </w:pPr>
      <w:r>
        <w:t>5.</w:t>
      </w:r>
      <w:r>
        <w:tab/>
      </w:r>
      <w:r>
        <w:t>das Bestehen eines gesetzlichen Gewährleistungsrechts für Waren und seine wichtigsten Elemente, einschließlich seiner Mindestdauer von zwei Jahren, in hervorgehobener Weise unter Verwendung der harmonisierten Mitteilung nach Anhang I der Durchführungsverordnung (EU) 2025/1960 in der Fassung vom 25. September 2025,</w:t>
      </w:r>
    </w:p>
    <w:p>
      <w:pPr>
        <w:tabs>
          <w:tab w:pos="567" w:val="left"/>
        </w:tabs>
        <w:ind w:left="567" w:hanging="567"/>
      </w:pPr>
      <w:r>
        <w:t>5a.</w:t>
      </w:r>
      <w:r>
        <w:tab/>
      </w:r>
      <w:r>
        <w:t>wenn der Hersteller dem Verbraucher eine gewerbliche Haltbarkeitsgarantie für die gesamte Ware ohne zusätzliche Kosten und mit einer Dauer von mehr als zwei Jahren gewährt und diese Informationen dem Unternehmer zur Verfügung stellt, die Information, dass für diese Ware eine solche Garantie gilt, deren Dauer und einen Hinweis auf das Bestehen des gesetzlichen Gewährleistungsrechts in hervorgehobener Weise unter Verwendung der harmonisierten Kennzeichnung nach Anhang II der Durchführungsverordnung (EU) 2025/1960 in der Fassung vom 25. September 2025,</w:t>
      </w:r>
    </w:p>
    <w:p>
      <w:pPr>
        <w:tabs>
          <w:tab w:pos="567" w:val="left"/>
        </w:tabs>
        <w:ind w:left="567" w:hanging="567"/>
      </w:pPr>
      <w:r>
        <w:t>5b.</w:t>
      </w:r>
      <w:r>
        <w:tab/>
      </w:r>
      <w:r>
        <w:t>das Bestehen des gesetzlichen Gewährleistungsrechts für digitale Inhalte und digitale Dienstleistungen,</w:t>
      </w:r>
    </w:p>
    <w:p>
      <w:pPr>
        <w:tabs>
          <w:tab w:pos="567" w:val="left"/>
        </w:tabs>
        <w:ind w:left="567" w:hanging="567"/>
      </w:pPr>
      <w:r>
        <w:t>5c.</w:t>
      </w:r>
      <w:r>
        <w:tab/>
      </w:r>
      <w:r>
        <w:t>gegebenenfalls das Bestehen und die Bedingungen von Kundendienstleistungen und gewerblichen Garantien,</w:t>
      </w:r>
    </w:p>
    <w:p>
      <w:pPr>
        <w:tabs>
          <w:tab w:pos="567" w:val="left"/>
        </w:tabs>
        <w:ind w:left="567" w:hanging="567"/>
      </w:pPr>
      <w:r>
        <w:t>5d.</w:t>
      </w:r>
      <w:r>
        <w:tab/>
      </w:r>
      <w:r>
        <w:t>für Waren mit digitalen Elementen, für digitale Inhalte und für digitale Dienstleistungen die Mindestdauer, ausgedrückt als Zeitraum oder durch Angabe eines Datums, für die der Hersteller oder der Anbieter Softwareaktualisierungen bereitstellt, sofern der Hersteller oder der Anbieter dem Unternehmer diese Informationen zur Verfügung stellt,</w:t>
      </w:r>
    </w:p>
    <w:p>
      <w:pPr>
        <w:tabs>
          <w:tab w:pos="567" w:val="left"/>
        </w:tabs>
        <w:ind w:left="567" w:hanging="567"/>
      </w:pPr>
      <w:r>
        <w:t>6.</w:t>
      </w:r>
      <w:r>
        <w:tab/>
      </w:r>
      <w:r>
        <w:t>gegebenenfalls die Laufzeit des Vertrags oder die Bedingungen der Kündigung unbefristeter Verträge oder sich automatisch verlängernder Verträge,</w:t>
      </w:r>
    </w:p>
    <w:p>
      <w:pPr>
        <w:tabs>
          <w:tab w:pos="567" w:val="left"/>
        </w:tabs>
        <w:ind w:left="567" w:hanging="567"/>
      </w:pPr>
      <w:r>
        <w:t>7.</w:t>
      </w:r>
      <w:r>
        <w:tab/>
      </w:r>
      <w:r>
        <w:t>gegebenenfalls die Funktionalität der Waren mit digitalen Elementen oder der digitalen Produkte, einschließlich anwendbarer technischer Schutzmaßnahmen,</w:t>
      </w:r>
    </w:p>
    <w:p>
      <w:pPr>
        <w:tabs>
          <w:tab w:pos="567" w:val="left"/>
        </w:tabs>
        <w:ind w:left="567" w:hanging="567"/>
      </w:pPr>
      <w:r>
        <w:t>8.</w:t>
      </w:r>
      <w:r>
        <w:tab/>
      </w:r>
      <w:r>
        <w:t>gegebenenfalls, soweit wesentlich, die Kompatibilität und die Interoperabilität der Waren mit digitalen Elementen oder der digitalen Produkte, soweit diese Informationen dem Unternehmer bekannt sind oder bekannt sein müssen,</w:t>
      </w:r>
    </w:p>
    <w:p>
      <w:pPr>
        <w:tabs>
          <w:tab w:pos="567" w:val="left"/>
        </w:tabs>
        <w:ind w:left="567" w:hanging="567"/>
      </w:pPr>
      <w:r>
        <w:t>9.</w:t>
      </w:r>
      <w:r>
        <w:tab/>
      </w:r>
      <w:r>
        <w:t>gegebenenfalls den auf der Grundlage von auf Unionsebene festgelegten harmonisierten Anforderungen ermittelten Reparierbarkeitswert der Waren und</w:t>
      </w:r>
    </w:p>
    <w:p>
      <w:pPr>
        <w:tabs>
          <w:tab w:pos="567" w:val="left"/>
        </w:tabs>
        <w:ind w:left="567" w:hanging="567"/>
      </w:pPr>
      <w:r>
        <w:t>10.</w:t>
      </w:r>
      <w:r>
        <w:tab/>
      </w:r>
      <w:r>
        <w:t>wenn Nummer 9 nicht anwendbar ist und sofern der Hersteller dem Unternehmer diese Informationen zur Verfügung stellt, Informationen über die Verfügbarkeit, die geschätzten Kosten und das Verfahren für die Bestellung von Ersatzteilen, die für den Erhalt der Vertragsmäßigkeit der Waren erforderlich sind, über die Verfügbarkeit von Reparatur- und Wartungsanleitungen sowie über Reparatureinschränkungen.</w:t>
      </w:r>
    </w:p>
    <w:p>
      <w:r>
        <w:t>(2) Absatz 1 ist nicht anzuwenden auf Verträge, die Geschäfte des täglichen Lebens zum Gegenstand haben und bei Vertragsschluss sofort erfüllt werden.</w:t>
      </w:r>
    </w:p>
    <w:p>
      <w:r>
        <w:t xml:space="preserve">(3) </w:t>
      </w:r>
      <w:r>
        <w:rPr>
          <w:rStyle w:val="Satznummer"/>
        </w:rPr>
        <w:t>1</w:t>
      </w:r>
      <w:r>
        <w:t xml:space="preserve">Steht dem Verbraucher ein Widerrufsrecht zu, ist der Unternehmer verpflichtet, den Verbraucher in Textform über sein Widerrufsrecht zu belehren. </w:t>
      </w:r>
      <w:r>
        <w:rPr>
          <w:rStyle w:val="Satznummer"/>
        </w:rPr>
        <w:t>2</w:t>
      </w:r>
      <w:r>
        <w:t xml:space="preserve">Die Widerrufsbelehrung muss deutlich gestaltet sein und dem Verbraucher seine wesentlichen Rechte in einer dem benutzten Kommunikationsmittel angepassten Weise deutlich machen. </w:t>
      </w:r>
      <w:r>
        <w:rPr>
          <w:rStyle w:val="Satznummer"/>
        </w:rPr>
        <w:t>3</w:t>
      </w:r>
      <w:r>
        <w:t>Sie muss Folgendes enthalten:</w:t>
      </w:r>
    </w:p>
    <w:p>
      <w:pPr>
        <w:tabs>
          <w:tab w:pos="567" w:val="left"/>
        </w:tabs>
        <w:ind w:left="567" w:hanging="567"/>
      </w:pPr>
      <w:r>
        <w:t>1.</w:t>
      </w:r>
      <w:r>
        <w:tab/>
      </w:r>
      <w:r>
        <w:t>einen Hinweis auf das Recht zum Widerruf,</w:t>
      </w:r>
    </w:p>
    <w:p>
      <w:pPr>
        <w:tabs>
          <w:tab w:pos="567" w:val="left"/>
        </w:tabs>
        <w:ind w:left="567" w:hanging="567"/>
      </w:pPr>
      <w:r>
        <w:t>2.</w:t>
      </w:r>
      <w:r>
        <w:tab/>
      </w:r>
      <w:r>
        <w:t>einen Hinweis darauf, dass der Widerruf durch Erklärung gegenüber dem Unternehmer erfolgt und keiner Begründung bedarf,</w:t>
      </w:r>
    </w:p>
    <w:p>
      <w:pPr>
        <w:tabs>
          <w:tab w:pos="567" w:val="left"/>
        </w:tabs>
        <w:ind w:left="567" w:hanging="567"/>
      </w:pPr>
      <w:r>
        <w:t>3.</w:t>
      </w:r>
      <w:r>
        <w:tab/>
      </w:r>
      <w:r>
        <w:t>den Namen und die ladungsfähige Anschrift desjenigen, gegenüber dem der Widerruf zu erklären ist, und</w:t>
      </w:r>
    </w:p>
    <w:p>
      <w:pPr>
        <w:tabs>
          <w:tab w:pos="567" w:val="left"/>
        </w:tabs>
        <w:ind w:left="567" w:hanging="567"/>
      </w:pPr>
      <w:r>
        <w:t>4.</w:t>
      </w:r>
      <w:r>
        <w:tab/>
      </w:r>
      <w:r>
        <w:t>einen Hinweis auf Dauer und Beginn der Widerrufsfrist sowie darauf, dass zur Fristwahrung die rechtzeitige Absendung der Widerrufserklärung genügt.</w:t>
      </w:r>
    </w:p>
    <w:p>
      <w:pPr>
        <w:pStyle w:val="Heading2"/>
      </w:pPr>
      <w:bookmarkStart w:id="408" w:name="b407"/>
      <w:r>
        <w:t>Art 246a Informationspflichten bei außerhalb von Geschäftsräumen geschlossenen Verträgen und Fernabsatzverträgen mit Ausnahme von Verträgen über Finanzdienstleistungen</w:t>
      </w:r>
      <w:bookmarkEnd w:id="408"/>
    </w:p>
    <w:p>
      <w:pPr>
        <w:pStyle w:val="Heading3"/>
      </w:pPr>
      <w:bookmarkStart w:id="409" w:name="b408"/>
      <w:r>
        <w:t>Art 246a § 1 Informationspflichten</w:t>
      </w:r>
      <w:r>
        <w:t xml:space="preserve"> </w:t>
      </w:r>
      <w:r>
        <w:rPr>
          <w:rStyle w:val="Suchmarke"/>
        </w:rPr>
        <w:t>#246a-1.#</w:t>
      </w:r>
      <w:bookmarkEnd w:id="409"/>
    </w:p>
    <w:p>
      <w:r>
        <w:t xml:space="preserve">(1) </w:t>
      </w:r>
      <w:r>
        <w:rPr>
          <w:rStyle w:val="Satznummer"/>
        </w:rPr>
        <w:t>1</w:t>
      </w:r>
      <w:r>
        <w:t>Der Unternehmer ist nach § 312d Absatz 1 des Bürgerlichen Gesetzbuchs verpflichtet, dem Verbraucher folgende Informationen zur Verfügung zu stellen:</w:t>
      </w:r>
    </w:p>
    <w:p>
      <w:pPr>
        <w:tabs>
          <w:tab w:pos="567" w:val="left"/>
        </w:tabs>
        <w:ind w:left="567" w:hanging="567"/>
      </w:pPr>
      <w:r>
        <w:t>1.</w:t>
      </w:r>
      <w:r>
        <w:tab/>
      </w:r>
      <w:r>
        <w:t>die wesentlichen Eigenschaften der Waren oder Dienstleistungen in dem für das Kommunikationsmittel und für die Waren und Dienstleistungen angemessenen Umfang,</w:t>
      </w:r>
    </w:p>
    <w:p>
      <w:pPr>
        <w:tabs>
          <w:tab w:pos="567" w:val="left"/>
        </w:tabs>
        <w:ind w:left="567" w:hanging="567"/>
      </w:pPr>
      <w:r>
        <w:t>2.</w:t>
      </w:r>
      <w:r>
        <w:tab/>
      </w:r>
      <w:r>
        <w:t>seine Identität, beispielsweise seinen Handelsnamen, sowie die Anschrift des Ortes, an dem er niedergelassen ist, sowie gegebenenfalls die Identität und die Anschrift des Unternehmers, in dessen Auftrag er handelt,</w:t>
      </w:r>
    </w:p>
    <w:p>
      <w:pPr>
        <w:tabs>
          <w:tab w:pos="567" w:val="left"/>
        </w:tabs>
        <w:ind w:left="567" w:hanging="567"/>
      </w:pPr>
      <w:r>
        <w:t>3.</w:t>
      </w:r>
      <w:r>
        <w:tab/>
      </w:r>
      <w:r>
        <w:t>seine Telefonnummer, seine E-Mail-Adresse sowie gegebenenfalls andere von ihm zur Verfügung gestellte Online-Kommunikationsmittel, sofern diese gewährleisten, dass der Verbraucher seine Korrespondenz mit dem Unternehmer, einschließlich deren Datums und deren Uhrzeit, auf einem dauerhaften Datenträger speichern kann,</w:t>
      </w:r>
    </w:p>
    <w:p>
      <w:pPr>
        <w:tabs>
          <w:tab w:pos="567" w:val="left"/>
        </w:tabs>
        <w:ind w:left="567" w:hanging="567"/>
      </w:pPr>
      <w:r>
        <w:t>4.</w:t>
      </w:r>
      <w:r>
        <w:tab/>
      </w:r>
      <w:r>
        <w:t>zusätzlich zu den Angaben gemäß den Nummern 2 und 3 die Geschäftsanschrift des Unternehmers und gegebenenfalls die Anschrift des Unternehmers, in dessen Auftrag er handelt, an die sich der Verbraucher mit jeder Beschwerde wenden kann, falls diese Anschrift von der Anschrift nach Nummer 2 abweicht,</w:t>
      </w:r>
    </w:p>
    <w:p>
      <w:pPr>
        <w:tabs>
          <w:tab w:pos="567" w:val="left"/>
        </w:tabs>
        <w:ind w:left="567" w:hanging="567"/>
      </w:pPr>
      <w:r>
        <w:t>5.</w:t>
      </w:r>
      <w:r>
        <w:tab/>
      </w:r>
      <w:r>
        <w:t>den Gesamtpreis der Waren oder der Dienstleistungen, einschließlich aller Steuern und Abgaben, oder in den Fällen, in denen der Preis auf Grund der Beschaffenheit der Waren oder der Dienstleistungen vernünftigerweise nicht im Voraus berechnet werden kann, die Art der Preisberechnung,</w:t>
      </w:r>
    </w:p>
    <w:p>
      <w:pPr>
        <w:tabs>
          <w:tab w:pos="567" w:val="left"/>
        </w:tabs>
        <w:ind w:left="567" w:hanging="567"/>
      </w:pPr>
      <w:r>
        <w:t>6.</w:t>
      </w:r>
      <w:r>
        <w:tab/>
      </w:r>
      <w:r>
        <w:t>gegebenenfalls den Hinweis, dass der Preis auf der Grundlage einer automatisierten Entscheidungsfindung personalisiert wurde,</w:t>
      </w:r>
    </w:p>
    <w:p>
      <w:pPr>
        <w:tabs>
          <w:tab w:pos="567" w:val="left"/>
        </w:tabs>
        <w:ind w:left="567" w:hanging="567"/>
      </w:pPr>
      <w:r>
        <w:t>7.</w:t>
      </w:r>
      <w:r>
        <w:tab/>
      </w:r>
      <w:r>
        <w:t>gegebenenfalls alle zusätzlich zu dem Gesamtpreis nach Nummer 5 anfallenden Fracht-, Liefer- oder Versandkosten und alle sonstigen Kosten, oder in den Fällen, in denen diese Kosten vernünftigerweise nicht im Voraus berechnet werden können, die Tatsache, dass solche zusätzlichen Kosten anfallen können,</w:t>
      </w:r>
    </w:p>
    <w:p>
      <w:pPr>
        <w:tabs>
          <w:tab w:pos="567" w:val="left"/>
        </w:tabs>
        <w:ind w:left="567" w:hanging="567"/>
      </w:pPr>
      <w:r>
        <w:t>8.</w:t>
      </w:r>
      <w:r>
        <w:tab/>
      </w:r>
      <w:r>
        <w:t>im Falle eines unbefristeten Vertrags oder eines Abonnement-Vertrags den Gesamtpreis; dieser umfasst die pro Abrechnungszeitraum anfallenden Gesamtkosten und, wenn für einen solchen Vertrag Festbeträge in Rechnung gestellt werden, ebenfalls die monatlichen Gesamtkosten; wenn die Gesamtkosten vernünftigerweise nicht im Voraus berechnet werden können, ist die Art der Preisberechnung anzugeben,</w:t>
      </w:r>
    </w:p>
    <w:p>
      <w:pPr>
        <w:tabs>
          <w:tab w:pos="567" w:val="left"/>
        </w:tabs>
        <w:ind w:left="567" w:hanging="567"/>
      </w:pPr>
      <w:r>
        <w:t>9.</w:t>
      </w:r>
      <w:r>
        <w:tab/>
      </w:r>
      <w:r>
        <w:t>die Kosten für den Einsatz des für den Vertragsabschluss genutzten Fernkommunikationsmittels, sofern dem Verbraucher Kosten berechnet werden, die über die Kosten für die bloße Nutzung des Fernkommunikationsmittels hinausgehen,</w:t>
      </w:r>
    </w:p>
    <w:p>
      <w:pPr>
        <w:tabs>
          <w:tab w:pos="567" w:val="left"/>
        </w:tabs>
        <w:ind w:left="567" w:hanging="567"/>
      </w:pPr>
      <w:r>
        <w:t>10.</w:t>
      </w:r>
      <w:r>
        <w:tab/>
      </w:r>
      <w:r>
        <w:t>die Zahlungs-, Liefer- und Leistungsbedingungen, einschließlich, sofern verfügbar, umweltfreundlicher Liefermöglichkeiten, den Termin, bis zu dem sich der Unternehmer verpflichtet, die Waren zu liefern oder die Dienstleistung zu erbringen, und gegebenenfalls das Verfahren des Unternehmers zum Umgang mit Beschwerden,</w:t>
      </w:r>
    </w:p>
    <w:p>
      <w:pPr>
        <w:tabs>
          <w:tab w:pos="567" w:val="left"/>
        </w:tabs>
        <w:ind w:left="567" w:hanging="567"/>
      </w:pPr>
      <w:r>
        <w:t>11.</w:t>
      </w:r>
      <w:r>
        <w:tab/>
      </w:r>
      <w:r>
        <w:t>das Bestehen eines gesetzlichen Gewährleistungsrechts für Waren und seine wichtigsten Elemente, einschließlich seiner Mindestdauer von zwei Jahren, in hervorgehobener Weise unter Verwendung der harmonisierten Mitteilung nach Anhang I der Durchführungsverordnung (EU) 2025/1960 in der Fassung vom 25. September 2025,</w:t>
      </w:r>
    </w:p>
    <w:p>
      <w:pPr>
        <w:tabs>
          <w:tab w:pos="567" w:val="left"/>
        </w:tabs>
        <w:ind w:left="567" w:hanging="567"/>
      </w:pPr>
      <w:r>
        <w:t>11a.</w:t>
      </w:r>
      <w:r>
        <w:tab/>
      </w:r>
      <w:r>
        <w:t>wenn der Hersteller dem Verbraucher eine gewerbliche Haltbarkeitsgarantie ohne zusätzliche Kosten für die gesamte Ware und mit einer Dauer von mehr als zwei Jahren gewährt und diese Informationen dem Unternehmer zur Verfügung stellt, die Information, dass für diese Ware eine solche Garantie gilt, deren Dauer und einen Hinweis auf das Bestehen des gesetzlichen Gewährleistungsrechts, in hervorgehobener Weise unter Verwendung der harmonisierten Kennzeichnung nach Anhang II der Durchführungsverordnung (EU) 2025/1960 in der Fassung vom 25. September 2025,</w:t>
      </w:r>
    </w:p>
    <w:p>
      <w:pPr>
        <w:tabs>
          <w:tab w:pos="567" w:val="left"/>
        </w:tabs>
        <w:ind w:left="567" w:hanging="567"/>
      </w:pPr>
      <w:r>
        <w:t>11b.</w:t>
      </w:r>
      <w:r>
        <w:tab/>
      </w:r>
      <w:r>
        <w:t>einen Hinweis auf das Bestehen des gesetzlichen Gewährleistungsrechts für digitale Inhalte und digitale Dienstleistungen,</w:t>
      </w:r>
    </w:p>
    <w:p>
      <w:pPr>
        <w:tabs>
          <w:tab w:pos="567" w:val="left"/>
        </w:tabs>
        <w:ind w:left="567" w:hanging="567"/>
      </w:pPr>
      <w:r>
        <w:t>11c.</w:t>
      </w:r>
      <w:r>
        <w:tab/>
      </w:r>
      <w:r>
        <w:t>für Waren mit digitalen Elementen, für digitale Inhalte und für digitale Dienstleistungen die Mindestdauer, ausgedrückt als Zeitraum oder durch Angabe eines Datums, für die der Hersteller oder der Anbieter Softwareaktualisierungen bereitstellt, sofern der Hersteller oder der Anbieter dem Unternehmer diese Informationen zur Verfügung stellt,</w:t>
      </w:r>
    </w:p>
    <w:p>
      <w:pPr>
        <w:tabs>
          <w:tab w:pos="567" w:val="left"/>
        </w:tabs>
        <w:ind w:left="567" w:hanging="567"/>
      </w:pPr>
      <w:r>
        <w:t>12.</w:t>
      </w:r>
      <w:r>
        <w:tab/>
      </w:r>
      <w:r>
        <w:t>gegebenenfalls das Bestehen und die Bedingungen von Kundendienst, Kundendienstleistungen und Garantien,</w:t>
      </w:r>
    </w:p>
    <w:p>
      <w:pPr>
        <w:tabs>
          <w:tab w:pos="567" w:val="left"/>
        </w:tabs>
        <w:ind w:left="567" w:hanging="567"/>
      </w:pPr>
      <w:r>
        <w:t>13.</w:t>
      </w:r>
      <w:r>
        <w:tab/>
      </w:r>
      <w:r>
        <w:t>gegebenenfalls bestehende einschlägige Verhaltenskodizes gemäß Artikel 2 Buchstabe f der Richtlinie 2005/29/EG des Europäischen Parlaments und des Rates vom 11. Mai 2005 über unlautere Geschäftspraktiken im binnenmarktinternen Geschäftsverkehr zwischen Unternehmen und Verbrauchern und zur Änderung der Richtlinie 84/450/EWG des Rates, der Richtlinien 97/7/EG, 98/27/EG und 2002/65/EG des Europäischen Parlaments und des Rates sowie der Verordnung (EG) Nr. 2006/2004 des Europäischen Parlaments und des Rates (ABl. L 149 vom 11.6.2005, S. 22; L 253 vom 25.9.2009, S. 18), die zuletzt durch die Richtlinie (EU) 2019/2161 (ABl. L 328 vom 18.12.2019, S. 7) geändert worden ist, und wie Exemplare davon erhalten werden können,</w:t>
      </w:r>
    </w:p>
    <w:p>
      <w:pPr>
        <w:tabs>
          <w:tab w:pos="567" w:val="left"/>
        </w:tabs>
        <w:ind w:left="567" w:hanging="567"/>
      </w:pPr>
      <w:r>
        <w:t>14.</w:t>
      </w:r>
      <w:r>
        <w:tab/>
      </w:r>
      <w:r>
        <w:t>gegebenenfalls die Laufzeit des Vertrags oder die Bedingungen der Kündigung unbefristeter Verträge oder sich automatisch verlängernder Verträge,</w:t>
      </w:r>
    </w:p>
    <w:p>
      <w:pPr>
        <w:tabs>
          <w:tab w:pos="567" w:val="left"/>
        </w:tabs>
        <w:ind w:left="567" w:hanging="567"/>
      </w:pPr>
      <w:r>
        <w:t>15.</w:t>
      </w:r>
      <w:r>
        <w:tab/>
      </w:r>
      <w:r>
        <w:t>gegebenenfalls die Mindestdauer der Verpflichtungen, die der Verbraucher mit dem Vertrag eingeht,</w:t>
      </w:r>
    </w:p>
    <w:p>
      <w:pPr>
        <w:tabs>
          <w:tab w:pos="567" w:val="left"/>
        </w:tabs>
        <w:ind w:left="567" w:hanging="567"/>
      </w:pPr>
      <w:r>
        <w:t>16.</w:t>
      </w:r>
      <w:r>
        <w:tab/>
      </w:r>
      <w:r>
        <w:t>gegebenenfalls die Tatsache, dass der Unternehmer vom Verbraucher die Stellung einer Kaution oder die Leistung anderer finanzieller Sicherheiten verlangen kann, sowie deren Bedingungen,</w:t>
      </w:r>
    </w:p>
    <w:p>
      <w:pPr>
        <w:tabs>
          <w:tab w:pos="567" w:val="left"/>
        </w:tabs>
        <w:ind w:left="567" w:hanging="567"/>
      </w:pPr>
      <w:r>
        <w:t>17.</w:t>
      </w:r>
      <w:r>
        <w:tab/>
      </w:r>
      <w:r>
        <w:t>gegebenenfalls die Funktionalität der Waren mit digitalen Elementen oder der digitalen Produkte, einschließlich anwendbarer technischer Schutzmaßnahmen,</w:t>
      </w:r>
    </w:p>
    <w:p>
      <w:pPr>
        <w:tabs>
          <w:tab w:pos="567" w:val="left"/>
        </w:tabs>
        <w:ind w:left="567" w:hanging="567"/>
      </w:pPr>
      <w:r>
        <w:t>18.</w:t>
      </w:r>
      <w:r>
        <w:tab/>
      </w:r>
      <w:r>
        <w:t>gegebenenfalls, soweit wesentlich, die Kompatibilität und die Interoperabilität der Waren mit digitalen Elementen oder der digitalen Produkte, soweit diese Informationen dem Unternehmer bekannt sind oder bekannt sein müssen,</w:t>
      </w:r>
    </w:p>
    <w:p>
      <w:pPr>
        <w:tabs>
          <w:tab w:pos="567" w:val="left"/>
        </w:tabs>
        <w:ind w:left="567" w:hanging="567"/>
      </w:pPr>
      <w:r>
        <w:t>19.</w:t>
      </w:r>
      <w:r>
        <w:tab/>
      </w:r>
      <w:r>
        <w:t>gegebenenfalls, dass der Verbraucher ein außergerichtliches Beschwerde- und Rechtsbehelfsverfahren, dem der Unternehmer unterworfen ist, nutzen kann, und dessen Zugangsvoraussetzungen,</w:t>
      </w:r>
    </w:p>
    <w:p>
      <w:pPr>
        <w:tabs>
          <w:tab w:pos="567" w:val="left"/>
        </w:tabs>
        <w:ind w:left="567" w:hanging="567"/>
      </w:pPr>
      <w:r>
        <w:t>20.</w:t>
      </w:r>
      <w:r>
        <w:tab/>
      </w:r>
      <w:r>
        <w:t>Gegebenenfalls den auf der Grundlage von auf Unionsebene festgelegten harmonisierten Anforderungen ermittelten Reparierbarkeitswert der Waren und</w:t>
      </w:r>
    </w:p>
    <w:p>
      <w:pPr>
        <w:tabs>
          <w:tab w:pos="567" w:val="left"/>
        </w:tabs>
        <w:ind w:left="567" w:hanging="567"/>
      </w:pPr>
      <w:r>
        <w:t>21.</w:t>
      </w:r>
      <w:r>
        <w:tab/>
      </w:r>
      <w:r>
        <w:t>wenn Nummer 20 nicht anwendbar ist und sofern der Hersteller dem Unternehmer diese Informationen zur Verfügung stellt, Informationen über die Verfügbarkeit, die geschätzten Kosten und das Verfahren für die Bestellung von Ersatzteilen, die für den Erhalt der Vertragsmäßigkeit der Waren erforderlich sind, über die Verfügbarkeit von Reparatur- und Wartungsanleitungen sowie über Reparatureinschränkungen.</w:t>
      </w:r>
    </w:p>
    <w:p>
      <w:r>
        <w:rPr>
          <w:rStyle w:val="Satznummer"/>
        </w:rPr>
        <w:t>2</w:t>
      </w:r>
      <w:r>
        <w:t>Wird der Vertrag im Rahmen einer öffentlich zugänglichen Versteigerung geschlossen, können anstelle der Angaben nach Satz 1 Nummer 2 bis 4 die entsprechenden Angaben des Versteigerers zur Verfügung gestellt werden.</w:t>
      </w:r>
    </w:p>
    <w:p>
      <w:r>
        <w:t xml:space="preserve">(2) </w:t>
      </w:r>
      <w:r>
        <w:rPr>
          <w:rStyle w:val="Satznummer"/>
        </w:rPr>
        <w:t>1</w:t>
      </w:r>
      <w:r>
        <w:t>Steht dem Verbraucher ein Widerrufsrecht nach § 312g Absatz 1 des Bürgerlichen Gesetzbuchs zu, ist der Unternehmer verpflichtet, den Verbraucher zu informieren</w:t>
      </w:r>
    </w:p>
    <w:p>
      <w:pPr>
        <w:tabs>
          <w:tab w:pos="567" w:val="left"/>
        </w:tabs>
        <w:ind w:left="567" w:hanging="567"/>
      </w:pPr>
      <w:r>
        <w:t>1.</w:t>
      </w:r>
      <w:r>
        <w:tab/>
      </w:r>
      <w:r>
        <w:t>über die Bedingungen, die Fristen und das Verfahren für die Ausübung des Widerrufsrechts nach § 355 Absatz 1 des Bürgerlichen Gesetzbuchs sowie das Muster-Widerrufsformular in der Anlage 2 sowie gegebenenfalls über das Bestehen und die Platzierung der Widerrufsfunktion nach § 356a des Bürgerlichen Gesetzbuchs,</w:t>
      </w:r>
    </w:p>
    <w:p>
      <w:pPr>
        <w:tabs>
          <w:tab w:pos="567" w:val="left"/>
        </w:tabs>
        <w:ind w:left="567" w:hanging="567"/>
      </w:pPr>
      <w:r>
        <w:t>2.</w:t>
      </w:r>
      <w:r>
        <w:tab/>
      </w:r>
      <w:r>
        <w:t>gegebenenfalls darüber, dass der Verbraucher im Widerrufsfall die Kosten für die Rücksendung der Waren zu tragen hat, und bei Fernabsatzverträgen zusätzlich über die Kosten für die Rücksendung der Waren, wenn die Waren auf Grund ihrer Beschaffenheit nicht auf dem normalen Postweg zurückgesendet werden können, und</w:t>
      </w:r>
    </w:p>
    <w:p>
      <w:pPr>
        <w:tabs>
          <w:tab w:pos="567" w:val="left"/>
        </w:tabs>
        <w:ind w:left="567" w:hanging="567"/>
      </w:pPr>
      <w:r>
        <w:t>3.</w:t>
      </w:r>
      <w:r>
        <w:tab/>
      </w:r>
      <w:r>
        <w:t>darüber, dass der Verbraucher, wenn er das Widerrufsrecht ausübt, nachdem er vom Unternehmer ausdrücklich schon die Erbringung vertraglicher Leistungen vor Ablauf der Widerrufsfrist verlangt hat, dem Unternehmer einen angemessenen Betrag nach § 357a Absatz 2 des Bürgerlichen Gesetzbuchs schuldet</w:t>
      </w:r>
    </w:p>
    <w:p>
      <w:pPr>
        <w:tabs>
          <w:tab w:pos="1134" w:val="left"/>
        </w:tabs>
        <w:ind w:left="1134" w:hanging="567"/>
      </w:pPr>
      <w:r>
        <w:t>a)</w:t>
      </w:r>
      <w:r>
        <w:tab/>
      </w:r>
      <w:r>
        <w:t>für die bis zum Widerruf erbrachten Dienstleistungen, für die der Vertrag die Zahlung eines Preises vorsieht, oder</w:t>
      </w:r>
    </w:p>
    <w:p>
      <w:pPr>
        <w:tabs>
          <w:tab w:pos="1134" w:val="left"/>
        </w:tabs>
        <w:ind w:left="1134" w:hanging="567"/>
      </w:pPr>
      <w:r>
        <w:t>b)</w:t>
      </w:r>
      <w:r>
        <w:tab/>
      </w:r>
      <w:r>
        <w:t>für die bis zum Widerruf erfolgte Lieferung von Wasser, Gas oder Strom in nicht bestimmten Mengen oder in nicht begrenztem Umfang oder von Fernwärme.</w:t>
      </w:r>
    </w:p>
    <w:p>
      <w:r>
        <w:rPr>
          <w:rStyle w:val="Satznummer"/>
        </w:rPr>
        <w:t>2</w:t>
      </w:r>
      <w:r>
        <w:t>Der Unternehmer kann diese Informationspflichten dadurch erfüllen, dass er das in der Anlage 1 vorgesehene Muster für die Widerrufsbelehrung zutreffend ausgefüllt in Textform übermittelt.</w:t>
      </w:r>
    </w:p>
    <w:p>
      <w:r>
        <w:t>(3) Der Unternehmer hat den Verbraucher auch zu informieren, wenn</w:t>
      </w:r>
    </w:p>
    <w:p>
      <w:pPr>
        <w:tabs>
          <w:tab w:pos="567" w:val="left"/>
        </w:tabs>
        <w:ind w:left="567" w:hanging="567"/>
      </w:pPr>
      <w:r>
        <w:t>1.</w:t>
      </w:r>
      <w:r>
        <w:tab/>
      </w:r>
      <w:r>
        <w:t>dem Verbraucher nach § 312g Absatz 2 Nummer 1, 2, 5 und 7 bis 13 des Bürgerlichen Gesetzbuchs ein Widerrufsrecht nicht zusteht, dass der Verbraucher seine Willenserklärung nicht widerrufen kann, oder</w:t>
      </w:r>
    </w:p>
    <w:p>
      <w:pPr>
        <w:tabs>
          <w:tab w:pos="567" w:val="left"/>
        </w:tabs>
        <w:ind w:left="567" w:hanging="567"/>
      </w:pPr>
      <w:r>
        <w:t>2.</w:t>
      </w:r>
      <w:r>
        <w:tab/>
      </w:r>
      <w:r>
        <w:t>das Widerrufsrecht des Verbrauchers nach § 312g Absatz 2 Nummer 3, 4 und 6 sowie § 356 Absatz 5 und 6 des Bürgerlichen Gesetzbuchs vorzeitig erlöschen kann, über die Umstände, unter denen der Verbraucher ein zunächst bestehendes Widerrufsrecht verliert.</w:t>
      </w:r>
    </w:p>
    <w:p>
      <w:pPr>
        <w:pStyle w:val="Heading3"/>
      </w:pPr>
      <w:bookmarkStart w:id="410" w:name="b409"/>
      <w:r>
        <w:t>Art 246a § 2 Erleichterte Informationspflichten bei Reparatur- und Instandhaltungsarbeiten</w:t>
      </w:r>
      <w:r>
        <w:t xml:space="preserve"> </w:t>
      </w:r>
      <w:r>
        <w:rPr>
          <w:rStyle w:val="Suchmarke"/>
        </w:rPr>
        <w:t>#246a-2.#</w:t>
      </w:r>
      <w:bookmarkEnd w:id="410"/>
    </w:p>
    <w:p>
      <w:r>
        <w:t>(1) Hat der Verbraucher bei einem Vertrag über Reparatur- und Instandhaltungsarbeiten, der außerhalb von Geschäftsräumen geschlossen wird, bei dem die beiderseitigen Leistungen sofort erfüllt werden und die vom Verbraucher zu leistende Vergütung 200 Euro nicht übersteigt, ausdrücklich die Dienste des Unternehmers angefordert, muss der Unternehmer dem Verbraucher lediglich folgende Informationen zur Verfügung stellen:</w:t>
      </w:r>
    </w:p>
    <w:p>
      <w:pPr>
        <w:tabs>
          <w:tab w:pos="567" w:val="left"/>
        </w:tabs>
        <w:ind w:left="567" w:hanging="567"/>
      </w:pPr>
      <w:r>
        <w:t>1.</w:t>
      </w:r>
      <w:r>
        <w:tab/>
      </w:r>
      <w:r>
        <w:t>die Angaben nach § 1 Absatz 1 Satz 1 Nummer 2 und 3 sowie</w:t>
      </w:r>
    </w:p>
    <w:p>
      <w:pPr>
        <w:tabs>
          <w:tab w:pos="567" w:val="left"/>
        </w:tabs>
        <w:ind w:left="567" w:hanging="567"/>
      </w:pPr>
      <w:r>
        <w:t>2.</w:t>
      </w:r>
      <w:r>
        <w:tab/>
      </w:r>
      <w:r>
        <w:t>den Preis oder die Art der Preisberechnung zusammen mit einem Kostenvoranschlag über die Gesamtkosten.</w:t>
      </w:r>
    </w:p>
    <w:p>
      <w:r>
        <w:t>(2) Ferner hat der Unternehmer dem Verbraucher folgende Informationen zur Verfügung zu stellen:</w:t>
      </w:r>
    </w:p>
    <w:p>
      <w:pPr>
        <w:tabs>
          <w:tab w:pos="567" w:val="left"/>
        </w:tabs>
        <w:ind w:left="567" w:hanging="567"/>
      </w:pPr>
      <w:r>
        <w:t>1.</w:t>
      </w:r>
      <w:r>
        <w:tab/>
      </w:r>
      <w:r>
        <w:t>die wesentlichen Eigenschaften der Waren oder Dienstleistungen in dem für das Kommunikationsmittel und die Waren oder Dienstleistungen angemessenen Umfang,</w:t>
      </w:r>
    </w:p>
    <w:p>
      <w:pPr>
        <w:tabs>
          <w:tab w:pos="567" w:val="left"/>
        </w:tabs>
        <w:ind w:left="567" w:hanging="567"/>
      </w:pPr>
      <w:r>
        <w:t>2.</w:t>
      </w:r>
      <w:r>
        <w:tab/>
      </w:r>
      <w:r>
        <w:t>gegebenenfalls die Bedingungen, die Fristen und das Verfahren für die Ausübung des Widerrufsrechts sowie das Muster-Widerrufsformular in der Anlage 2 und</w:t>
      </w:r>
    </w:p>
    <w:p>
      <w:pPr>
        <w:tabs>
          <w:tab w:pos="567" w:val="left"/>
        </w:tabs>
        <w:ind w:left="567" w:hanging="567"/>
      </w:pPr>
      <w:r>
        <w:t>3.</w:t>
      </w:r>
      <w:r>
        <w:tab/>
      </w:r>
      <w:r>
        <w:t>gegebenenfalls die Information, dass der Verbraucher seine Willenserklärung nicht widerrufen kann, oder die Umstände, unter denen der Verbraucher ein zunächst bestehendes Widerrufsrecht vorzeitig verliert.</w:t>
      </w:r>
    </w:p>
    <w:p>
      <w:r>
        <w:t>(3) Eine vom Unternehmer zur Verfügung gestellte Abschrift oder Bestätigung des Vertrags nach § 312f Absatz 1 des Bürgerlichen Gesetzbuchs muss alle nach § 1 zu erteilenden Informationen enthalten.</w:t>
      </w:r>
    </w:p>
    <w:p>
      <w:pPr>
        <w:pStyle w:val="Heading3"/>
      </w:pPr>
      <w:bookmarkStart w:id="411" w:name="b410"/>
      <w:r>
        <w:t>Art 246a § 3 Erleichterte Informationspflichten bei begrenzter Darstellungsmöglichkeit</w:t>
      </w:r>
      <w:r>
        <w:t xml:space="preserve"> </w:t>
      </w:r>
      <w:r>
        <w:rPr>
          <w:rStyle w:val="Suchmarke"/>
        </w:rPr>
        <w:t>#246a-3.#</w:t>
      </w:r>
      <w:bookmarkEnd w:id="411"/>
    </w:p>
    <w:p>
      <w:r>
        <w:rPr>
          <w:rStyle w:val="Satznummer"/>
        </w:rPr>
        <w:t>1</w:t>
      </w:r>
      <w:r>
        <w:t>Soll ein Fernabsatzvertrag mittels eines Fernkommunikationsmittels geschlossen werden, das nur begrenzten Raum oder begrenzte Zeit für die dem Verbraucher zu erteilenden Informationen bietet, ist der Unternehmer verpflichtet, dem Verbraucher mittels dieses Fernkommunikationsmittels zumindest folgende Informationen zur Verfügung zu stellen:</w:t>
      </w:r>
    </w:p>
    <w:p>
      <w:pPr>
        <w:tabs>
          <w:tab w:pos="567" w:val="left"/>
        </w:tabs>
        <w:ind w:left="567" w:hanging="567"/>
      </w:pPr>
      <w:r>
        <w:t>1.</w:t>
      </w:r>
      <w:r>
        <w:tab/>
      </w:r>
      <w:r>
        <w:t>die wesentlichen Eigenschaften der Waren oder Dienstleistungen,</w:t>
      </w:r>
    </w:p>
    <w:p>
      <w:pPr>
        <w:tabs>
          <w:tab w:pos="567" w:val="left"/>
        </w:tabs>
        <w:ind w:left="567" w:hanging="567"/>
      </w:pPr>
      <w:r>
        <w:t>2.</w:t>
      </w:r>
      <w:r>
        <w:tab/>
      </w:r>
      <w:r>
        <w:t>die Identität des Unternehmers,</w:t>
      </w:r>
    </w:p>
    <w:p>
      <w:pPr>
        <w:tabs>
          <w:tab w:pos="567" w:val="left"/>
        </w:tabs>
        <w:ind w:left="567" w:hanging="567"/>
      </w:pPr>
      <w:r>
        <w:t>3.</w:t>
      </w:r>
      <w:r>
        <w:tab/>
      </w:r>
      <w:r>
        <w:t>den Gesamtpreis oder in den Fällen, in denen der Preis auf Grund der Beschaffenheit der Waren oder Dienstleistungen vernünftigerweise nicht im Voraus berechnet werden kann, die Art der Preisberechnung,</w:t>
      </w:r>
    </w:p>
    <w:p>
      <w:pPr>
        <w:tabs>
          <w:tab w:pos="567" w:val="left"/>
        </w:tabs>
        <w:ind w:left="567" w:hanging="567"/>
      </w:pPr>
      <w:r>
        <w:t>4.</w:t>
      </w:r>
      <w:r>
        <w:tab/>
      </w:r>
      <w:r>
        <w:t>gegebenenfalls die Bedingungen, die Fristen und das Verfahren für die Ausübung des Widerrufsrechts nach § 355 Absatz 1 des Bürgerlichen Gesetzbuchs und</w:t>
      </w:r>
    </w:p>
    <w:p>
      <w:pPr>
        <w:tabs>
          <w:tab w:pos="567" w:val="left"/>
        </w:tabs>
        <w:ind w:left="567" w:hanging="567"/>
      </w:pPr>
      <w:r>
        <w:t>5.</w:t>
      </w:r>
      <w:r>
        <w:tab/>
      </w:r>
      <w:r>
        <w:t>gegebenenfalls die Vertragslaufzeit und die Bedingungen für die Kündigung eines Dauerschuldverhältnisses.</w:t>
      </w:r>
    </w:p>
    <w:p>
      <w:r>
        <w:rPr>
          <w:rStyle w:val="Satznummer"/>
        </w:rPr>
        <w:t>2</w:t>
      </w:r>
      <w:r>
        <w:t>Die weiteren Angaben nach § 1 hat der Unternehmer dem Verbraucher in geeigneter Weise unter Beachtung von § 4 Absatz 3 zugänglich zu machen.</w:t>
      </w:r>
    </w:p>
    <w:p>
      <w:pPr>
        <w:pStyle w:val="Heading3"/>
      </w:pPr>
      <w:bookmarkStart w:id="412" w:name="b411"/>
      <w:r>
        <w:t>Art 246a § 4 Formale Anforderungen an die Erfüllung der Informationspflichten</w:t>
      </w:r>
      <w:r>
        <w:t xml:space="preserve"> </w:t>
      </w:r>
      <w:r>
        <w:rPr>
          <w:rStyle w:val="Suchmarke"/>
        </w:rPr>
        <w:t>#246a-4.#</w:t>
      </w:r>
      <w:bookmarkEnd w:id="412"/>
    </w:p>
    <w:p>
      <w:r>
        <w:t>(1) Der Unternehmer muss dem Verbraucher die Informationen nach den §§ 1 bis 3 vor Abgabe von dessen Vertragserklärung in klarer und verständlicher Weise zur Verfügung stellen.</w:t>
      </w:r>
    </w:p>
    <w:p>
      <w:r>
        <w:t xml:space="preserve">(2) </w:t>
      </w:r>
      <w:r>
        <w:rPr>
          <w:rStyle w:val="Satznummer"/>
        </w:rPr>
        <w:t>1</w:t>
      </w:r>
      <w:r>
        <w:t xml:space="preserve">Bei einem außerhalb von Geschäftsräumen geschlossenen Vertrag muss der Unternehmer die Informationen auf Papier oder, wenn der Verbraucher zustimmt, auf einem anderen dauerhaften Datenträger zur Verfügung stellen. </w:t>
      </w:r>
      <w:r>
        <w:rPr>
          <w:rStyle w:val="Satznummer"/>
        </w:rPr>
        <w:t>2</w:t>
      </w:r>
      <w:r>
        <w:t xml:space="preserve">Die Informationen müssen lesbar sein. </w:t>
      </w:r>
      <w:r>
        <w:rPr>
          <w:rStyle w:val="Satznummer"/>
        </w:rPr>
        <w:t>3</w:t>
      </w:r>
      <w:r>
        <w:t xml:space="preserve">Die Person des erklärenden Unternehmers muss genannt sein. </w:t>
      </w:r>
      <w:r>
        <w:rPr>
          <w:rStyle w:val="Satznummer"/>
        </w:rPr>
        <w:t>4</w:t>
      </w:r>
      <w:r>
        <w:t>Der Unternehmer kann die Informationen nach § 2 Absatz 2 in anderer Form zur Verfügung stellen, wenn sich der Verbraucher hiermit ausdrücklich einverstanden erklärt hat.</w:t>
      </w:r>
    </w:p>
    <w:p>
      <w:r>
        <w:t xml:space="preserve">(3) </w:t>
      </w:r>
      <w:r>
        <w:rPr>
          <w:rStyle w:val="Satznummer"/>
        </w:rPr>
        <w:t>1</w:t>
      </w:r>
      <w:r>
        <w:t xml:space="preserve">Bei einem Fernabsatzvertrag muss der Unternehmer dem Verbraucher die Informationen in einer den benutzten Fernkommunikationsmitteln angepassten Weise zur Verfügung stellen. </w:t>
      </w:r>
      <w:r>
        <w:rPr>
          <w:rStyle w:val="Satznummer"/>
        </w:rPr>
        <w:t>2</w:t>
      </w:r>
      <w:r>
        <w:t xml:space="preserve">Soweit die Informationen auf einem dauerhaften Datenträger zur Verfügung gestellt werden, müssen sie lesbar sein, und die Person des erklärenden Unternehmers muss genannt sein. </w:t>
      </w:r>
      <w:r>
        <w:rPr>
          <w:rStyle w:val="Satznummer"/>
        </w:rPr>
        <w:t>3</w:t>
      </w:r>
      <w:r>
        <w:t>Abweichend von Satz 1 kann der Unternehmer dem Verbraucher die in § 3 Satz 2 genannten Informationen in geeigneter Weise zugänglich machen.</w:t>
      </w:r>
    </w:p>
    <w:p>
      <w:pPr>
        <w:pStyle w:val="Heading2"/>
      </w:pPr>
      <w:bookmarkStart w:id="413" w:name="b412"/>
      <w:r>
        <w:t>Art 246b Informationspflichten bei außerhalb von Geschäftsräumen geschlossenen Verträgen und Fernabsatzverträgen über Finanzdienstleistungen; Gestaltung der Online-Benutzeroberfläche</w:t>
      </w:r>
      <w:bookmarkEnd w:id="413"/>
    </w:p>
    <w:p>
      <w:pPr>
        <w:pStyle w:val="Heading3"/>
      </w:pPr>
      <w:bookmarkStart w:id="414" w:name="b413"/>
      <w:r>
        <w:t>Art 246b § 1 Informationspflichten</w:t>
      </w:r>
      <w:r>
        <w:t xml:space="preserve"> </w:t>
      </w:r>
      <w:r>
        <w:rPr>
          <w:rStyle w:val="Suchmarke"/>
        </w:rPr>
        <w:t>#246b-1.#</w:t>
      </w:r>
      <w:bookmarkEnd w:id="414"/>
    </w:p>
    <w:p>
      <w:r>
        <w:t>(1) Der Unternehmer ist nach § 312d Absatz 2 des Bürgerlichen Gesetzbuchs verpflichtet, dem Verbraucher rechtzeitig vor Abgabe von dessen Willenserklärung folgende Informationen zur Verfügung zu stellen:</w:t>
      </w:r>
    </w:p>
    <w:p>
      <w:pPr>
        <w:tabs>
          <w:tab w:pos="567" w:val="left"/>
        </w:tabs>
        <w:ind w:left="567" w:hanging="567"/>
      </w:pPr>
      <w:r>
        <w:t>1.</w:t>
      </w:r>
      <w:r>
        <w:tab/>
      </w:r>
      <w:r>
        <w:t>die Identität und die Hauptgeschäftstätigkeit des Unternehmers, gegebenenfalls die Identität und die Hauptgeschäftstätigkeit des Unternehmers, in dessen Auftrag er handelt,</w:t>
      </w:r>
    </w:p>
    <w:p>
      <w:pPr>
        <w:tabs>
          <w:tab w:pos="567" w:val="left"/>
        </w:tabs>
        <w:ind w:left="567" w:hanging="567"/>
      </w:pPr>
      <w:r>
        <w:t>2.</w:t>
      </w:r>
      <w:r>
        <w:tab/>
      </w:r>
      <w:r>
        <w:t xml:space="preserve">die Anschrift des Ortes, an dem der Unternehmer niedergelassen ist, sowie seine Telefonnummer und </w:t>
      </w:r>
      <w:r>
        <w:t>E-Mail-Adresse</w:t>
      </w:r>
      <w:r>
        <w:t xml:space="preserve"> oder Angaben zu anderen Kommunikationsmitteln, die der Unternehmer beziehungsweise gegebenenfalls der Unternehmer, in dessen Auftrag er handelt, anbietet,</w:t>
      </w:r>
    </w:p>
    <w:p>
      <w:pPr>
        <w:tabs>
          <w:tab w:pos="567" w:val="left"/>
        </w:tabs>
        <w:ind w:left="567" w:hanging="567"/>
      </w:pPr>
      <w:r>
        <w:t>3.</w:t>
      </w:r>
      <w:r>
        <w:tab/>
      </w:r>
      <w:r>
        <w:t>einschlägige Kontaktangaben, die es dem Verbraucher ermöglichen, Beschwerden an den Unternehmer sowie gegebenenfalls an den Unternehmer, in dessen Auftrag er handelt, zu richten,</w:t>
      </w:r>
    </w:p>
    <w:p>
      <w:pPr>
        <w:tabs>
          <w:tab w:pos="567" w:val="left"/>
        </w:tabs>
        <w:ind w:left="567" w:hanging="567"/>
      </w:pPr>
      <w:r>
        <w:t>4.</w:t>
      </w:r>
      <w:r>
        <w:tab/>
      </w:r>
      <w:r>
        <w:t>wenn der Unternehmer in ein Handelsregister oder ein vergleichbares öffentliches Register eingetragen ist, das Register, in das er eingetragen ist, und die Registernummer oder eine gleichwertige in diesem Register verwendete Kennung,</w:t>
      </w:r>
    </w:p>
    <w:p>
      <w:pPr>
        <w:tabs>
          <w:tab w:pos="567" w:val="left"/>
        </w:tabs>
        <w:ind w:left="567" w:hanging="567"/>
      </w:pPr>
      <w:r>
        <w:t>5.</w:t>
      </w:r>
      <w:r>
        <w:tab/>
      </w:r>
      <w:r>
        <w:t>soweit für die Tätigkeit des Unternehmers eine Zulassung erforderlich ist, den Namen, die Anschrift, die Website und etwaige andere Kontaktangaben der zuständigen Aufsichtsbehörde,</w:t>
      </w:r>
    </w:p>
    <w:p>
      <w:pPr>
        <w:tabs>
          <w:tab w:pos="567" w:val="left"/>
        </w:tabs>
        <w:ind w:left="567" w:hanging="567"/>
      </w:pPr>
      <w:r>
        <w:t>6.</w:t>
      </w:r>
      <w:r>
        <w:tab/>
      </w:r>
      <w:r>
        <w:t>eine Beschreibung der wesentlichen Merkmale der Finanzdienstleistung,</w:t>
      </w:r>
    </w:p>
    <w:p>
      <w:pPr>
        <w:tabs>
          <w:tab w:pos="567" w:val="left"/>
        </w:tabs>
        <w:ind w:left="567" w:hanging="567"/>
      </w:pPr>
      <w:r>
        <w:t>7.</w:t>
      </w:r>
      <w:r>
        <w:tab/>
      </w:r>
      <w:r>
        <w:t>den Gesamtpreis, den der Verbraucher dem Unternehmer für die Finanzdienstleistung schuldet, einschließlich aller damit verbundenen Provisionen, Gebühren, und Abgaben sowie aller über den Unternehmer abgeführten Steuern, oder, wenn kein genauer Preis angegeben werden kann, die Grundlage für seine Berechnung, die dem Verbraucher eine Überprüfung des Preises ermöglicht,</w:t>
      </w:r>
    </w:p>
    <w:p>
      <w:pPr>
        <w:tabs>
          <w:tab w:pos="567" w:val="left"/>
        </w:tabs>
        <w:ind w:left="567" w:hanging="567"/>
      </w:pPr>
      <w:r>
        <w:t>8.</w:t>
      </w:r>
      <w:r>
        <w:tab/>
      </w:r>
      <w:r>
        <w:t>gegebenenfalls Informationen zu den Konsequenzen bei Zahlungsverzug oder Zahlungsausfall,</w:t>
      </w:r>
    </w:p>
    <w:p>
      <w:pPr>
        <w:tabs>
          <w:tab w:pos="567" w:val="left"/>
        </w:tabs>
        <w:ind w:left="567" w:hanging="567"/>
      </w:pPr>
      <w:r>
        <w:t>9.</w:t>
      </w:r>
      <w:r>
        <w:tab/>
      </w:r>
      <w:r>
        <w:t>gegebenenfalls den Hinweis, dass der Preis auf der Grundlage einer automatisierten Entscheidungsfindung personalisiert worden ist,</w:t>
      </w:r>
    </w:p>
    <w:p>
      <w:pPr>
        <w:tabs>
          <w:tab w:pos="567" w:val="left"/>
        </w:tabs>
        <w:ind w:left="567" w:hanging="567"/>
      </w:pPr>
      <w:r>
        <w:t>10.</w:t>
      </w:r>
      <w:r>
        <w:tab/>
      </w:r>
      <w:r>
        <w:t>gegebenenfalls einen Hinweis, dass sich die Finanzdienstleistung auf Finanzinstrumente bezieht, die wegen ihrer spezifischen Merkmale oder der durchzuführenden Vorgänge mit speziellen Risiken behaftet sind oder deren Preis Schwankungen auf dem Finanzmarkt unterliegt, auf die der Unternehmer keinen Einfluss hat, und einen Hinweis, dass in der Vergangenheit erwirtschaftete Erträge kein Indikator für künftige Erträge sind,</w:t>
      </w:r>
    </w:p>
    <w:p>
      <w:pPr>
        <w:tabs>
          <w:tab w:pos="567" w:val="left"/>
        </w:tabs>
        <w:ind w:left="567" w:hanging="567"/>
      </w:pPr>
      <w:r>
        <w:t>11.</w:t>
      </w:r>
      <w:r>
        <w:tab/>
      </w:r>
      <w:r>
        <w:t>einen Hinweis auf mögliche weitere Steuern oder Kosten, die nicht über den Unternehmer abgeführt oder von ihm in Rechnung gestellt werden,</w:t>
      </w:r>
    </w:p>
    <w:p>
      <w:pPr>
        <w:tabs>
          <w:tab w:pos="567" w:val="left"/>
        </w:tabs>
        <w:ind w:left="567" w:hanging="567"/>
      </w:pPr>
      <w:r>
        <w:t>12.</w:t>
      </w:r>
      <w:r>
        <w:tab/>
      </w:r>
      <w:r>
        <w:t>etwaige Beschränkungen des Zeitraums, währenddessen die gemäß diesem Absatz zur Verfügung gestellten Informationen gültig sind,</w:t>
      </w:r>
    </w:p>
    <w:p>
      <w:pPr>
        <w:tabs>
          <w:tab w:pos="567" w:val="left"/>
        </w:tabs>
        <w:ind w:left="567" w:hanging="567"/>
      </w:pPr>
      <w:r>
        <w:t>13.</w:t>
      </w:r>
      <w:r>
        <w:tab/>
      </w:r>
      <w:r>
        <w:t>Einzelheiten hinsichtlich der Zahlung und der Erfüllung,</w:t>
      </w:r>
    </w:p>
    <w:p>
      <w:pPr>
        <w:tabs>
          <w:tab w:pos="567" w:val="left"/>
        </w:tabs>
        <w:ind w:left="567" w:hanging="567"/>
      </w:pPr>
      <w:r>
        <w:t>14.</w:t>
      </w:r>
      <w:r>
        <w:tab/>
      </w:r>
      <w:r>
        <w:t>etwaige spezifische zusätzliche Kosten, die der Verbraucher für die Benutzung des Fernkommunikationsmittels zu tragen hat, wenn solche zusätzlichen Kosten in Rechnung gestellt werden,</w:t>
      </w:r>
    </w:p>
    <w:p>
      <w:pPr>
        <w:tabs>
          <w:tab w:pos="567" w:val="left"/>
        </w:tabs>
        <w:ind w:left="567" w:hanging="567"/>
      </w:pPr>
      <w:r>
        <w:t>15.</w:t>
      </w:r>
      <w:r>
        <w:tab/>
      </w:r>
      <w:r>
        <w:t>wenn ökologische oder soziale Faktoren in die Anlagestrategie der Finanzdienstleistung eingebunden werden, Informationen über ökologische oder soziale Ziele, die mit der Finanzdienstleistung verfolgt werden,</w:t>
      </w:r>
    </w:p>
    <w:p>
      <w:pPr>
        <w:tabs>
          <w:tab w:pos="567" w:val="left"/>
        </w:tabs>
        <w:ind w:left="567" w:hanging="567"/>
      </w:pPr>
      <w:r>
        <w:t>16.</w:t>
      </w:r>
      <w:r>
        <w:tab/>
      </w:r>
      <w:r>
        <w:t>das Bestehen oder Nichtbestehen eines Widerrufsrechts und für den Fall, dass ein Widerrufsrecht besteht, Angaben zur Widerrufsfrist und zu den Modalitäten für die Ausübung des Widerrufsrechts, einschließlich des Betrags, den der Verbraucher gegebenenfalls zu entrichten hat, sowie die Folgen der Nichtausübung dieses Rechts,</w:t>
      </w:r>
    </w:p>
    <w:p>
      <w:pPr>
        <w:tabs>
          <w:tab w:pos="567" w:val="left"/>
        </w:tabs>
        <w:ind w:left="567" w:hanging="567"/>
      </w:pPr>
      <w:r>
        <w:t>17.</w:t>
      </w:r>
      <w:r>
        <w:tab/>
      </w:r>
      <w:r>
        <w:t>die Mindestlaufzeit des Fernabsatzvertrags, wenn dieser die Erbringung einer dauerhaften oder regelmäßig wiederkehrenden Finanzdienstleistung zum Inhalt hat,</w:t>
      </w:r>
    </w:p>
    <w:p>
      <w:pPr>
        <w:tabs>
          <w:tab w:pos="567" w:val="left"/>
        </w:tabs>
        <w:ind w:left="567" w:hanging="567"/>
      </w:pPr>
      <w:r>
        <w:t>18.</w:t>
      </w:r>
      <w:r>
        <w:tab/>
      </w:r>
      <w:r>
        <w:t>Angaben zum Recht der Parteien, den Fernabsatzvertrag vorzeitig oder einseitig aufgrund der Vertragsbedingungen zu kündigen, einschließlich aller Vertragsstrafen, die in einem solchen Fall auferlegt werden,</w:t>
      </w:r>
    </w:p>
    <w:p>
      <w:pPr>
        <w:tabs>
          <w:tab w:pos="567" w:val="left"/>
        </w:tabs>
        <w:ind w:left="567" w:hanging="567"/>
      </w:pPr>
      <w:r>
        <w:t>19.</w:t>
      </w:r>
      <w:r>
        <w:tab/>
      </w:r>
      <w:r>
        <w:t>praktische Hinweise und Verfahren zur Ausübung des Widerrufsrechts nach § 355 des Bürgerlichen Gesetzbuchs, darunter Telefonnummer und E-Mail-Adresse des Unternehmers oder Angaben zu anderen einschlägigen Kommunikationsmitteln für die Übermittlung der Widerrufserklärung, und bei über eine Online-Benutzeroberfläche geschlossenen Finanzdienstleistungsverträgen Informationen über das Bestehen und die Platzierung der Widerrufsfunktion nach § 356a des Bürgerlichen Gesetzbuchs,</w:t>
      </w:r>
    </w:p>
    <w:p>
      <w:pPr>
        <w:tabs>
          <w:tab w:pos="567" w:val="left"/>
        </w:tabs>
        <w:ind w:left="567" w:hanging="567"/>
      </w:pPr>
      <w:r>
        <w:t>20.</w:t>
      </w:r>
      <w:r>
        <w:tab/>
      </w:r>
      <w:r>
        <w:t>etwaige Vertragsklauseln, die das auf den Fernabsatzvertrag anwendbare Recht oder das zuständige Gericht bestimmen,</w:t>
      </w:r>
    </w:p>
    <w:p>
      <w:pPr>
        <w:tabs>
          <w:tab w:pos="567" w:val="left"/>
        </w:tabs>
        <w:ind w:left="567" w:hanging="567"/>
      </w:pPr>
      <w:r>
        <w:t>21.</w:t>
      </w:r>
      <w:r>
        <w:tab/>
      </w:r>
      <w:r>
        <w:t>in welcher Sprache oder in welchen Sprachen die Vertragsbedingungen und die in diesem Artikel genannten Vorabinformationen mitgeteilt werden sowie über die Sprache oder die Sprachen, zu deren Benutzung sich der Unternehmer mit Zustimmung des Verbrauchers für die Kommunikation während der Laufzeit des Fernabsatzvertrags verpflichtet,</w:t>
      </w:r>
    </w:p>
    <w:p>
      <w:pPr>
        <w:tabs>
          <w:tab w:pos="567" w:val="left"/>
        </w:tabs>
        <w:ind w:left="567" w:hanging="567"/>
      </w:pPr>
      <w:r>
        <w:t>22.</w:t>
      </w:r>
      <w:r>
        <w:tab/>
      </w:r>
      <w:r>
        <w:t>gegebenenfalls die Möglichkeit des Zugangs zu einem außergerichtlichen Beschwerde- und Rechtsbehelfsverfahren, dem der Unternehmer unterworfen ist, und die Voraussetzungen für diesen Zugang,</w:t>
      </w:r>
    </w:p>
    <w:p>
      <w:pPr>
        <w:tabs>
          <w:tab w:pos="567" w:val="left"/>
        </w:tabs>
        <w:ind w:left="567" w:hanging="567"/>
      </w:pPr>
      <w:r>
        <w:t>23.</w:t>
      </w:r>
      <w:r>
        <w:tab/>
      </w:r>
      <w:r>
        <w:t>das Bestehen eines Garantiefonds oder anderer Entschädigungsregelungen, die nicht unter die Richtlinie 2014/49/EU in der Fassung vom 16. April 2014 und die Richtlinie 97/9/EG in der Fassung vom 3. März 1997 fallen.</w:t>
      </w:r>
    </w:p>
    <w:p>
      <w:r>
        <w:t xml:space="preserve">(2) </w:t>
      </w:r>
      <w:r>
        <w:rPr>
          <w:rStyle w:val="Satznummer"/>
        </w:rPr>
        <w:t>1</w:t>
      </w:r>
      <w:r>
        <w:t xml:space="preserve">Die Pflichten nach Absatz 1 bestehen nicht, wenn in Bezug auf den abzuschließenden Vertrag über Finanzdienstleistungen bereits in anderen Vorschriften Bestimmungen zu vorvertraglichen Informationspflichten enthalten sind. </w:t>
      </w:r>
      <w:r>
        <w:rPr>
          <w:rStyle w:val="Satznummer"/>
        </w:rPr>
        <w:t>2</w:t>
      </w:r>
      <w:r>
        <w:t xml:space="preserve">Informationspflichten nach dem Vermögensanlagengesetz und der Finanzanlagenvermittlungsverordnung sind keine Informationspflichten nach Satz 1. </w:t>
      </w:r>
      <w:r>
        <w:rPr>
          <w:rStyle w:val="Satznummer"/>
        </w:rPr>
        <w:t>3</w:t>
      </w:r>
      <w:r>
        <w:t>Enthalten die anderen Vorschriften keine Informationen zum Widerrufsrecht, ist der Unternehmer verpflichtet, den Verbraucher nach Maßgabe von Absatz 1 Nummer 16 über das Bestehen oder Nichtbestehen eines solchen Rechts zu informieren.</w:t>
      </w:r>
    </w:p>
    <w:p>
      <w:r>
        <w:t xml:space="preserve">(3) </w:t>
      </w:r>
      <w:r>
        <w:rPr>
          <w:rStyle w:val="Satznummer"/>
        </w:rPr>
        <w:t>1</w:t>
      </w:r>
      <w:r>
        <w:t xml:space="preserve">Bei einem Telefongespräch hat der Unternehmer nur die Informationen nach Absatz 1 Nummer 1, 6, 7, 11 und 16 zur Verfügung zu stellen, bevor der Verbraucher durch den Vertrag gebunden ist. </w:t>
      </w:r>
      <w:r>
        <w:rPr>
          <w:rStyle w:val="Satznummer"/>
        </w:rPr>
        <w:t>2</w:t>
      </w:r>
      <w:r>
        <w:t xml:space="preserve">Er hat den Verbraucher über Art und Verfügbarkeit der übrigen in Absatz 1 genannten Informationen zu unterrichten. </w:t>
      </w:r>
      <w:r>
        <w:rPr>
          <w:rStyle w:val="Satznummer"/>
        </w:rPr>
        <w:t>3</w:t>
      </w:r>
      <w:r>
        <w:t>Die Sätze 1 und 2 gelten nur, wenn der Verbraucher ausdrücklich zugestimmt hat.</w:t>
      </w:r>
    </w:p>
    <w:p>
      <w:pPr>
        <w:pStyle w:val="Heading3"/>
      </w:pPr>
      <w:bookmarkStart w:id="415" w:name="b414"/>
      <w:r>
        <w:t>Art 246b § 2 Formale Anforderungen</w:t>
      </w:r>
      <w:r>
        <w:t xml:space="preserve"> </w:t>
      </w:r>
      <w:r>
        <w:rPr>
          <w:rStyle w:val="Suchmarke"/>
        </w:rPr>
        <w:t>#246b-2.#</w:t>
      </w:r>
      <w:bookmarkEnd w:id="415"/>
    </w:p>
    <w:p>
      <w:r>
        <w:t xml:space="preserve">(1) </w:t>
      </w:r>
      <w:r>
        <w:rPr>
          <w:rStyle w:val="Satznummer"/>
        </w:rPr>
        <w:t>1</w:t>
      </w:r>
      <w:r>
        <w:t xml:space="preserve">Der Unternehmer hat dem Verbraucher die Informationen nach § 1 Absatz 1 in klarer und verständlicher Sprache leicht lesbar auf einem dauerhaften Datenträger zur Verfügung zu stellen. </w:t>
      </w:r>
      <w:r>
        <w:rPr>
          <w:rStyle w:val="Satznummer"/>
        </w:rPr>
        <w:t>2</w:t>
      </w:r>
      <w:r>
        <w:t xml:space="preserve">Verbrauchern mit Behinderungen, einschließlich Sehbehinderungen, sind bei Fernabsatzverträgen diese Informationen auf Verlangen in einem geeigneten und barrierefreien Format zur Verfügung zu stellen. </w:t>
      </w:r>
      <w:r>
        <w:rPr>
          <w:rStyle w:val="Satznummer"/>
        </w:rPr>
        <w:t>3</w:t>
      </w:r>
      <w:r>
        <w:t>Im Falle des § 1 Absatz 3 sind dem Verbraucher die übrigen Informationen nach § 1 Absatz 1 unverzüglich nach Abschluss des Vertrages auf einem dauerhaften Datenträger zur Verfügung zu stellen.</w:t>
      </w:r>
    </w:p>
    <w:p>
      <w:r>
        <w:t xml:space="preserve">(2) </w:t>
      </w:r>
      <w:r>
        <w:rPr>
          <w:rStyle w:val="Satznummer"/>
        </w:rPr>
        <w:t>1</w:t>
      </w:r>
      <w:r>
        <w:t xml:space="preserve">Werden bei einem Fernabsatzvertrag die Informationen nach § 1 Absatz 1 weniger als einen Tag vor dem Zeitpunkt, zu dem der Verbraucher durch den Vertrag gebunden ist, bereitgestellt, hat der Unternehmer den Verbraucher an die Möglichkeit des Widerrufs nach § 355 des Bürgerlichen Gesetzbuchs sowie an das Verfahren für den Widerruf zu erinnern. </w:t>
      </w:r>
      <w:r>
        <w:rPr>
          <w:rStyle w:val="Satznummer"/>
        </w:rPr>
        <w:t>2</w:t>
      </w:r>
      <w:r>
        <w:t>Diese Erinnerung ist dem Verbraucher zwischen einem Tag und sieben Tagen nach Abschluss des Fernabsatzvertrages auf einem dauerhaften Datenträger zu übermitteln.</w:t>
      </w:r>
    </w:p>
    <w:p>
      <w:r>
        <w:t xml:space="preserve">(3) </w:t>
      </w:r>
      <w:r>
        <w:rPr>
          <w:rStyle w:val="Satznummer"/>
        </w:rPr>
        <w:t>1</w:t>
      </w:r>
      <w:r>
        <w:t xml:space="preserve">Werden die Informationen nach § 1 Absatz 1 auf elektronischem Wege bereitgestellt, kann der Unternehmer diese schichten; dies gilt nicht für die in § 1 Absatz 1 Nummer 1, 6, 7, 11 und 16 genannten Informationen. </w:t>
      </w:r>
      <w:r>
        <w:rPr>
          <w:rStyle w:val="Satznummer"/>
        </w:rPr>
        <w:t>2</w:t>
      </w:r>
      <w:r>
        <w:t xml:space="preserve">Im Falle der Schichtung muss es möglich sein, die in § 1 Absatz 1 genannten Informationen in einem einzigen Dokument einzusehen, zu speichern und auszudrucken. </w:t>
      </w:r>
      <w:r>
        <w:rPr>
          <w:rStyle w:val="Satznummer"/>
        </w:rPr>
        <w:t>3</w:t>
      </w:r>
      <w:r>
        <w:t>Der Unternehmer hat dem Verbraucher alle in § 1 Absatz 1 genannten Informationen vor Abschluss des Vertrages zur Verfügung zu stellen.</w:t>
      </w:r>
    </w:p>
    <w:p>
      <w:pPr>
        <w:pStyle w:val="Heading3"/>
      </w:pPr>
      <w:bookmarkStart w:id="416" w:name="b415"/>
      <w:r>
        <w:t>Art 246b § 3 Angemessene Erläuterungen</w:t>
      </w:r>
      <w:r>
        <w:t xml:space="preserve"> </w:t>
      </w:r>
      <w:r>
        <w:rPr>
          <w:rStyle w:val="Suchmarke"/>
        </w:rPr>
        <w:t>#246b-3.#</w:t>
      </w:r>
      <w:bookmarkEnd w:id="416"/>
    </w:p>
    <w:p>
      <w:r>
        <w:t xml:space="preserve">(1) </w:t>
      </w:r>
      <w:r>
        <w:rPr>
          <w:rStyle w:val="Satznummer"/>
        </w:rPr>
        <w:t>1</w:t>
      </w:r>
      <w:r>
        <w:t xml:space="preserve">Bei Fernabsatzverträgen ist der Unternehmer verpflichtet, dem Verbraucher vor Abschluss des Vertrages kostenfrei auf einem dauerhaften Datenträger angemessene Erläuterungen zur Verfügung zu stellen, damit der Verbraucher in die Lage versetzt wird zu beurteilen, ob der angebotene Vertrag und die Nebenleistungen seinen Bedürfnissen und seiner finanziellen Situation entsprechen. </w:t>
      </w:r>
      <w:r>
        <w:rPr>
          <w:rStyle w:val="Satznummer"/>
        </w:rPr>
        <w:t>2</w:t>
      </w:r>
      <w:r>
        <w:t>Hierzu hat der Unternehmer</w:t>
      </w:r>
    </w:p>
    <w:p>
      <w:pPr>
        <w:tabs>
          <w:tab w:pos="567" w:val="left"/>
        </w:tabs>
        <w:ind w:left="567" w:hanging="567"/>
      </w:pPr>
      <w:r>
        <w:t>1.</w:t>
      </w:r>
      <w:r>
        <w:tab/>
      </w:r>
      <w:r>
        <w:t>die erforderlichen vorvertraglichen Informationen zu übermitteln,</w:t>
      </w:r>
    </w:p>
    <w:p>
      <w:pPr>
        <w:tabs>
          <w:tab w:pos="567" w:val="left"/>
        </w:tabs>
        <w:ind w:left="567" w:hanging="567"/>
      </w:pPr>
      <w:r>
        <w:t>2.</w:t>
      </w:r>
      <w:r>
        <w:tab/>
      </w:r>
      <w:r>
        <w:t>die Hauptmerkmale des angebotenen Vertrags, einschließlich möglicher Nebenleistungen, zu erläutern sowie</w:t>
      </w:r>
    </w:p>
    <w:p>
      <w:pPr>
        <w:tabs>
          <w:tab w:pos="567" w:val="left"/>
        </w:tabs>
        <w:ind w:left="567" w:hanging="567"/>
      </w:pPr>
      <w:r>
        <w:t>3.</w:t>
      </w:r>
      <w:r>
        <w:tab/>
      </w:r>
      <w:r>
        <w:t>auf die besonderen Folgen hinzuweisen, die sich aus dem angebotenen Vertrag für den Verbraucher ergeben können, gegebenenfalls einschließlich der Folgen bei Zahlungsausfall und Zahlungsverzug.</w:t>
      </w:r>
    </w:p>
    <w:p>
      <w:r>
        <w:rPr>
          <w:rStyle w:val="Satznummer"/>
        </w:rPr>
        <w:t>3</w:t>
      </w:r>
      <w:r>
        <w:t>Bei einem Telefongespräch findet § 1 Absatz 3 entsprechende Anwendung.</w:t>
      </w:r>
    </w:p>
    <w:p>
      <w:r>
        <w:t>(2) Die Pflichten nach Absatz 1 bestehen nicht, wenn für den abzuschließenden Vertrag über Finanzdienstleistungen bereits in anderen Vorschriften Bestimmungen zu angemessenen Erläuterungen enthalten sind.</w:t>
      </w:r>
    </w:p>
    <w:p>
      <w:r>
        <w:t>(3) Verwendet der Unternehmer bei Fernabsatzverträgen über Finanzdienstleistungen Online-Tools, hat der Unternehmer auf Verlangen des Verbrauchers vor Vertragsschluss sowie in begründeten Fällen auch nach Vertragsschluss menschliches Eingreifen bereitzustellen.</w:t>
      </w:r>
    </w:p>
    <w:p>
      <w:pPr>
        <w:pStyle w:val="Heading3"/>
      </w:pPr>
      <w:bookmarkStart w:id="417" w:name="b416"/>
      <w:r>
        <w:t>Art 246b § 4 Gestaltung der Online-Benutzeroberfläche</w:t>
      </w:r>
      <w:r>
        <w:t xml:space="preserve"> </w:t>
      </w:r>
      <w:r>
        <w:rPr>
          <w:rStyle w:val="Suchmarke"/>
        </w:rPr>
        <w:t>#246b-4.#</w:t>
      </w:r>
      <w:bookmarkEnd w:id="417"/>
    </w:p>
    <w:p>
      <w:r>
        <w:t>(1) Der Unternehmer hat seine Online-Benutzeroberfläche so zu konzipieren, organisieren und betreiben, dass der Verbraucher beim Abschluss eines Fernabsatzvertrages über Finanzdienstleistungen nicht manipuliert oder anderweitig in seiner Fähigkeit, eine freie und informierte Entscheidung zu treffen, maßgeblich beeinträchtigt oder behindert wird.</w:t>
      </w:r>
    </w:p>
    <w:p>
      <w:r>
        <w:t>(2) Insbesondere ist unzulässig:</w:t>
      </w:r>
    </w:p>
    <w:p>
      <w:pPr>
        <w:tabs>
          <w:tab w:pos="567" w:val="left"/>
        </w:tabs>
        <w:ind w:left="567" w:hanging="567"/>
      </w:pPr>
      <w:r>
        <w:t>1.</w:t>
      </w:r>
      <w:r>
        <w:tab/>
      </w:r>
      <w:r>
        <w:t>eine stärkere Hervorhebung bestimmter Auswahlmöglichkeiten, wenn der Verbraucher, der Empfänger der Dienstleistung ist, aufgefordert wird, eine Entscheidung zu treffen,</w:t>
      </w:r>
    </w:p>
    <w:p>
      <w:pPr>
        <w:tabs>
          <w:tab w:pos="567" w:val="left"/>
        </w:tabs>
        <w:ind w:left="567" w:hanging="567"/>
      </w:pPr>
      <w:r>
        <w:t>2.</w:t>
      </w:r>
      <w:r>
        <w:tab/>
      </w:r>
      <w:r>
        <w:t>die wiederholte Aufforderung an den Verbraucher, der Empfänger der Dienstleistung ist, eine Auswahl zu treffen, wenn eine solche Auswahl bereits getroffen wurde, insbesondere durch die Einblendung eines Pop-up-Fensters, mit der die Nutzererfahrung beeinträchtigt wird, und</w:t>
      </w:r>
    </w:p>
    <w:p>
      <w:pPr>
        <w:tabs>
          <w:tab w:pos="567" w:val="left"/>
        </w:tabs>
        <w:ind w:left="567" w:hanging="567"/>
      </w:pPr>
      <w:r>
        <w:t>3.</w:t>
      </w:r>
      <w:r>
        <w:tab/>
      </w:r>
      <w:r>
        <w:t>die Erschwerung des Verfahrens zur Beendigung eines Dienstes im Vergleich zur Anmeldung bei diesem Dienst.</w:t>
      </w:r>
    </w:p>
    <w:p>
      <w:pPr>
        <w:pStyle w:val="Heading3"/>
      </w:pPr>
      <w:bookmarkStart w:id="418" w:name="b417"/>
      <w:r>
        <w:t>Art 246c Informationspflichten bei Verträgen im elektronischen Geschäftsverkehr</w:t>
      </w:r>
      <w:r>
        <w:t xml:space="preserve"> </w:t>
      </w:r>
      <w:r>
        <w:rPr>
          <w:rStyle w:val="Suchmarke"/>
        </w:rPr>
        <w:t>#246c.#</w:t>
      </w:r>
      <w:bookmarkEnd w:id="418"/>
    </w:p>
    <w:p>
      <w:r>
        <w:t>Bei Verträgen im elektronischen Geschäftsverkehr muss der Unternehmer den Kunden unterrichten</w:t>
      </w:r>
    </w:p>
    <w:p>
      <w:pPr>
        <w:tabs>
          <w:tab w:pos="567" w:val="left"/>
        </w:tabs>
        <w:ind w:left="567" w:hanging="567"/>
      </w:pPr>
      <w:r>
        <w:t>1.</w:t>
      </w:r>
      <w:r>
        <w:tab/>
      </w:r>
      <w:r>
        <w:t>über die einzelnen technischen Schritte, die zu einem Vertragsschluss führen,</w:t>
      </w:r>
    </w:p>
    <w:p>
      <w:pPr>
        <w:tabs>
          <w:tab w:pos="567" w:val="left"/>
        </w:tabs>
        <w:ind w:left="567" w:hanging="567"/>
      </w:pPr>
      <w:r>
        <w:t>2.</w:t>
      </w:r>
      <w:r>
        <w:tab/>
      </w:r>
      <w:r>
        <w:t>darüber, ob der Vertragstext nach dem Vertragsschluss von dem Unternehmer gespeichert wird und ob er dem Kunden zugänglich ist,</w:t>
      </w:r>
    </w:p>
    <w:p>
      <w:pPr>
        <w:tabs>
          <w:tab w:pos="567" w:val="left"/>
        </w:tabs>
        <w:ind w:left="567" w:hanging="567"/>
      </w:pPr>
      <w:r>
        <w:t>3.</w:t>
      </w:r>
      <w:r>
        <w:tab/>
      </w:r>
      <w:r>
        <w:t>darüber, wie er mit den nach § 312i Absatz 1 Satz 1 Nummer 1 des Bürgerlichen Gesetzbuchs zur Verfügung gestellten technischen Mitteln Eingabefehler vor Abgabe der Vertragserklärung erkennen und berichtigen kann,</w:t>
      </w:r>
    </w:p>
    <w:p>
      <w:pPr>
        <w:tabs>
          <w:tab w:pos="567" w:val="left"/>
        </w:tabs>
        <w:ind w:left="567" w:hanging="567"/>
      </w:pPr>
      <w:r>
        <w:t>4.</w:t>
      </w:r>
      <w:r>
        <w:tab/>
      </w:r>
      <w:r>
        <w:t>über die für den Vertragsschluss zur Verfügung stehenden Sprachen und</w:t>
      </w:r>
    </w:p>
    <w:p>
      <w:pPr>
        <w:tabs>
          <w:tab w:pos="567" w:val="left"/>
        </w:tabs>
        <w:ind w:left="567" w:hanging="567"/>
      </w:pPr>
      <w:r>
        <w:t>5.</w:t>
      </w:r>
      <w:r>
        <w:tab/>
      </w:r>
      <w:r>
        <w:t>über sämtliche einschlägigen Verhaltenskodizes, denen sich der Unternehmer unterwirft, sowie über die Möglichkeit eines elektronischen Zugangs zu diesen Regelwerken.</w:t>
      </w:r>
    </w:p>
    <w:p>
      <w:pPr>
        <w:pStyle w:val="Heading2"/>
      </w:pPr>
      <w:bookmarkStart w:id="419" w:name="b418"/>
      <w:r>
        <w:t>Art 246d Allgemeine Informationspflichten für Betreiber von Online-Marktplätzen</w:t>
      </w:r>
      <w:bookmarkEnd w:id="419"/>
    </w:p>
    <w:p>
      <w:pPr>
        <w:pStyle w:val="Heading3"/>
      </w:pPr>
      <w:bookmarkStart w:id="420" w:name="b419"/>
      <w:r>
        <w:t>Art 246d § 1 Informationspflichten</w:t>
      </w:r>
      <w:r>
        <w:t xml:space="preserve"> </w:t>
      </w:r>
      <w:r>
        <w:rPr>
          <w:rStyle w:val="Suchmarke"/>
        </w:rPr>
        <w:t>#246d-1.#</w:t>
      </w:r>
      <w:bookmarkEnd w:id="420"/>
    </w:p>
    <w:p>
      <w:r>
        <w:t>Der Betreiber eines Online-Marktplatzes muss den Verbraucher informieren</w:t>
      </w:r>
    </w:p>
    <w:p>
      <w:pPr>
        <w:tabs>
          <w:tab w:pos="567" w:val="left"/>
        </w:tabs>
        <w:ind w:left="567" w:hanging="567"/>
      </w:pPr>
      <w:r>
        <w:t>1.</w:t>
      </w:r>
      <w:r>
        <w:tab/>
      </w:r>
      <w:r>
        <w:t>zum Ranking der Waren, Dienstleistungen oder digitalen Inhalte, die dem Verbraucher als Ergebnis seiner Suchanfrage auf dem Online-Marktplatz präsentiert werden, allgemein über</w:t>
      </w:r>
    </w:p>
    <w:p>
      <w:pPr>
        <w:tabs>
          <w:tab w:pos="1134" w:val="left"/>
        </w:tabs>
        <w:ind w:left="1134" w:hanging="567"/>
      </w:pPr>
      <w:r>
        <w:t>a)</w:t>
      </w:r>
      <w:r>
        <w:tab/>
      </w:r>
      <w:r>
        <w:t>die Hauptparameter zur Festlegung des Rankings und</w:t>
      </w:r>
    </w:p>
    <w:p>
      <w:pPr>
        <w:tabs>
          <w:tab w:pos="1134" w:val="left"/>
        </w:tabs>
        <w:ind w:left="1134" w:hanging="567"/>
      </w:pPr>
      <w:r>
        <w:t>b)</w:t>
      </w:r>
      <w:r>
        <w:tab/>
      </w:r>
      <w:r>
        <w:t>die relative Gewichtung der Hauptparameter zur Festlegung des Rankings im Vergleich zu anderen Parametern,</w:t>
      </w:r>
    </w:p>
    <w:p>
      <w:pPr>
        <w:tabs>
          <w:tab w:pos="567" w:val="left"/>
        </w:tabs>
        <w:ind w:left="567" w:hanging="567"/>
      </w:pPr>
      <w:r>
        <w:t>2.</w:t>
      </w:r>
      <w:r>
        <w:tab/>
      </w:r>
      <w:r>
        <w:t>falls dem Verbraucher auf dem Online-Marktplatz das Ergebnis eines Vergleichs von Waren, Dienstleistungen oder digitalen Inhalten präsentiert wird, über die Anbieter, die bei der Erstellung des Vergleichs einbezogen wurden,</w:t>
      </w:r>
    </w:p>
    <w:p>
      <w:pPr>
        <w:tabs>
          <w:tab w:pos="567" w:val="left"/>
        </w:tabs>
        <w:ind w:left="567" w:hanging="567"/>
      </w:pPr>
      <w:r>
        <w:t>3.</w:t>
      </w:r>
      <w:r>
        <w:tab/>
      </w:r>
      <w:r>
        <w:t>gegebenenfalls darüber, dass es sich bei ihm und dem Anbieter der Waren, Dienstleistungen oder digitalen Inhalte um verbundene Unternehmen im Sinne von § 15 des Aktiengesetzes handelt,</w:t>
      </w:r>
    </w:p>
    <w:p>
      <w:pPr>
        <w:tabs>
          <w:tab w:pos="567" w:val="left"/>
        </w:tabs>
        <w:ind w:left="567" w:hanging="567"/>
      </w:pPr>
      <w:r>
        <w:t>4.</w:t>
      </w:r>
      <w:r>
        <w:tab/>
      </w:r>
      <w:r>
        <w:t>darüber, ob es sich bei dem Anbieter der Waren, Dienstleistungen oder digitalen Inhalte nach dessen eigener Erklärung gegenüber dem Betreiber des Online-Marktplatzes um einen Unternehmer handelt,</w:t>
      </w:r>
    </w:p>
    <w:p>
      <w:pPr>
        <w:tabs>
          <w:tab w:pos="567" w:val="left"/>
        </w:tabs>
        <w:ind w:left="567" w:hanging="567"/>
      </w:pPr>
      <w:r>
        <w:t>5.</w:t>
      </w:r>
      <w:r>
        <w:tab/>
      </w:r>
      <w:r>
        <w:t>falls es sich bei dem Anbieter der Waren, Dienstleistungen oder digitalen Inhalte nach dessen eigener Erklärung gegenüber dem Betreiber des Online-Marktplatzes nicht um einen Unternehmer handelt, darüber, dass die besonderen Vorschriften für Verbraucherverträge auf den Vertrag nicht anzuwenden sind,</w:t>
      </w:r>
    </w:p>
    <w:p>
      <w:pPr>
        <w:tabs>
          <w:tab w:pos="567" w:val="left"/>
        </w:tabs>
        <w:ind w:left="567" w:hanging="567"/>
      </w:pPr>
      <w:r>
        <w:t>6.</w:t>
      </w:r>
      <w:r>
        <w:tab/>
      </w:r>
      <w:r>
        <w:t>gegebenenfalls darüber, in welchem Umfang der Anbieter der Waren, Dienstleistungen oder digitalen Inhalte sich des Betreibers des Online-Marktplatzes bei der Erfüllung von Verbindlichkeiten aus dem Vertrag mit dem Verbraucher bedient, und darüber, dass dem Verbraucher hierdurch keine eigenen vertraglichen Ansprüche gegenüber dem Betreiber des Online-Marktplatzes entstehen, und</w:t>
      </w:r>
    </w:p>
    <w:p>
      <w:pPr>
        <w:tabs>
          <w:tab w:pos="567" w:val="left"/>
        </w:tabs>
        <w:ind w:left="567" w:hanging="567"/>
      </w:pPr>
      <w:r>
        <w:t>7.</w:t>
      </w:r>
      <w:r>
        <w:tab/>
      </w:r>
      <w:r>
        <w:t>falls ein Anbieter eine Eintrittsberechtigung für eine Veranstaltung weiterverkaufen will, ob und gegebenenfalls in welcher Höhe der Veranstalter nach Angaben des Anbieters einen Preis für den Erwerb dieser Eintrittsberechtigung festgelegt hat.</w:t>
      </w:r>
    </w:p>
    <w:p>
      <w:pPr>
        <w:pStyle w:val="Heading3"/>
      </w:pPr>
      <w:bookmarkStart w:id="421" w:name="b420"/>
      <w:r>
        <w:t>Art 246d § 2 Formale Anforderungen</w:t>
      </w:r>
      <w:r>
        <w:t xml:space="preserve"> </w:t>
      </w:r>
      <w:r>
        <w:rPr>
          <w:rStyle w:val="Suchmarke"/>
        </w:rPr>
        <w:t>#246d-2.#</w:t>
      </w:r>
      <w:bookmarkEnd w:id="421"/>
    </w:p>
    <w:p>
      <w:r>
        <w:t>(1) Der Betreiber eines Online-Marktplatzes muss dem Verbraucher die Informationen nach § 1 vor Abgabe von dessen Vertragserklärung in klarer, verständlicher und in einer den benutzten Fernkommunikationsmitteln angepassten Weise zur Verfügung stellen.</w:t>
      </w:r>
    </w:p>
    <w:p>
      <w:r>
        <w:t>(2) Die Informationen nach § 1 Nummer 1 und 2 müssen dem Verbraucher in einem bestimmten Bereich der Online-Benutzeroberfläche zur Verfügung gestellt werden, der von der Webseite, auf der die Angebote angezeigt werden, unmittelbar und leicht zugänglich ist.</w:t>
      </w:r>
    </w:p>
    <w:p>
      <w:pPr>
        <w:pStyle w:val="Heading2"/>
      </w:pPr>
      <w:bookmarkStart w:id="422" w:name="b421"/>
      <w:r>
        <w:t>Art 246e Verbotene Verletzung von Verbraucherinteressen und Bußgeldvorschriften</w:t>
      </w:r>
      <w:bookmarkEnd w:id="422"/>
    </w:p>
    <w:p>
      <w:pPr>
        <w:pStyle w:val="Heading3"/>
      </w:pPr>
      <w:bookmarkStart w:id="423" w:name="b422"/>
      <w:r>
        <w:t>Art 246e § 1 Verbotene Verletzung von Verbraucherinteressen im Zusammenhang mit Verbraucherverträgen</w:t>
      </w:r>
      <w:r>
        <w:t xml:space="preserve"> </w:t>
      </w:r>
      <w:r>
        <w:rPr>
          <w:rStyle w:val="Suchmarke"/>
        </w:rPr>
        <w:t>#246e-1.#</w:t>
      </w:r>
      <w:bookmarkEnd w:id="423"/>
    </w:p>
    <w:p>
      <w:r>
        <w:t xml:space="preserve">(1) Die Verletzung von Verbraucherinteressen im Zusammenhang mit Verbraucherverträgen, bei der es sich um einen weitverbreiteten Verstoß gemäß </w:t>
      </w:r>
      <w:hyperlink w:anchor="b6" w:history="1">
        <w:r>
          <w:rPr>
            <w:color w:val="0A3A8C"/>
            <w:u w:val="single"/>
          </w:rPr>
          <w:t xml:space="preserve">Artikel 3</w:t>
        </w:r>
      </w:hyperlink>
      <w:r>
        <w:t xml:space="preserve"> Nummer 3 oder um einen weitverbreiteten Verstoß mit Unions-Dimension gemäß Artikel 3 Nummer 4 der Verordnung (EU) 2017/2394 in der Fassung vom 19. Dezember 2024 handelt, ist verboten.</w:t>
      </w:r>
    </w:p>
    <w:p>
      <w:r>
        <w:t>(2) Eine Verletzung von Verbraucherinteressen im Zusammenhang mit Verbraucherverträgen im Sinne des Absatzes 1 liegt vor, wenn</w:t>
      </w:r>
    </w:p>
    <w:p>
      <w:pPr>
        <w:tabs>
          <w:tab w:pos="567" w:val="left"/>
        </w:tabs>
        <w:ind w:left="567" w:hanging="567"/>
      </w:pPr>
      <w:r>
        <w:t>1.</w:t>
      </w:r>
      <w:r>
        <w:tab/>
      </w:r>
      <w:r>
        <w:t>gegenüber dem Verbraucher ein nach § 241a Absatz 1 des Bürgerlichen Gesetzbuchs nicht begründeter Anspruch geltend gemacht wird,</w:t>
      </w:r>
    </w:p>
    <w:p>
      <w:pPr>
        <w:tabs>
          <w:tab w:pos="567" w:val="left"/>
        </w:tabs>
        <w:ind w:left="567" w:hanging="567"/>
      </w:pPr>
      <w:r>
        <w:t>2.</w:t>
      </w:r>
      <w:r>
        <w:tab/>
      </w:r>
      <w:r>
        <w:t>von einem Unternehmer in seinen Allgemeinen Geschäftsbedingungen eine Bestimmung empfohlen oder verwendet wird,</w:t>
      </w:r>
    </w:p>
    <w:p>
      <w:pPr>
        <w:tabs>
          <w:tab w:pos="1134" w:val="left"/>
        </w:tabs>
        <w:ind w:left="1134" w:hanging="567"/>
      </w:pPr>
      <w:r>
        <w:t>a)</w:t>
      </w:r>
      <w:r>
        <w:tab/>
      </w:r>
      <w:r>
        <w:t>die nach § 309 des Bürgerlichen Gesetzbuchs unwirksam ist oder</w:t>
      </w:r>
    </w:p>
    <w:p>
      <w:pPr>
        <w:tabs>
          <w:tab w:pos="1134" w:val="left"/>
        </w:tabs>
        <w:ind w:left="1134" w:hanging="567"/>
      </w:pPr>
      <w:r>
        <w:t>b)</w:t>
      </w:r>
      <w:r>
        <w:tab/>
      </w:r>
      <w:r>
        <w:t>deren Empfehlung oder Verwendung gegenüber Verbrauchern dem Unternehmer durch rechtskräftiges Urteil untersagt wurde,</w:t>
      </w:r>
    </w:p>
    <w:p>
      <w:pPr>
        <w:tabs>
          <w:tab w:pos="567" w:val="left"/>
        </w:tabs>
        <w:ind w:left="567" w:hanging="567"/>
      </w:pPr>
      <w:r>
        <w:t>3.</w:t>
      </w:r>
      <w:r>
        <w:tab/>
      </w:r>
      <w:r>
        <w:t>eine Identität oder der geschäftliche Zweck eines Anrufs nicht nach § 312a Absatz 1 Satz 1 des Bürgerlichen Gesetzbuchs offengelegt wird,</w:t>
      </w:r>
    </w:p>
    <w:p>
      <w:pPr>
        <w:tabs>
          <w:tab w:pos="567" w:val="left"/>
        </w:tabs>
        <w:ind w:left="567" w:hanging="567"/>
      </w:pPr>
      <w:r>
        <w:t>3a.</w:t>
      </w:r>
      <w:r>
        <w:tab/>
      </w:r>
      <w:r>
        <w:t>der Verbraucher nicht nach § 312a Absatz 1 Satz 2 des Bürgerlichen Gesetzbuchs in Kenntnis gesetzt wird,</w:t>
      </w:r>
    </w:p>
    <w:p>
      <w:pPr>
        <w:tabs>
          <w:tab w:pos="567" w:val="left"/>
        </w:tabs>
        <w:ind w:left="567" w:hanging="567"/>
      </w:pPr>
      <w:r>
        <w:t>4.</w:t>
      </w:r>
      <w:r>
        <w:tab/>
      </w:r>
      <w:r>
        <w:t>der Verbraucher nicht nach § 312a Absatz 2 Satz 1 oder § 312d Absatz 1 und 2 Satz 1 des Bürgerlichen Gesetzbuchs informiert wird oder der Unternehmer seine Online-Benutzeroberfläche nicht nach § 312d Absatz 2 Satz 2 des Bürgerlichen Gesetzbuchs konzipiert, organisiert oder betreibt,</w:t>
      </w:r>
    </w:p>
    <w:p>
      <w:pPr>
        <w:tabs>
          <w:tab w:pos="567" w:val="left"/>
        </w:tabs>
        <w:ind w:left="567" w:hanging="567"/>
      </w:pPr>
      <w:r>
        <w:t>5.</w:t>
      </w:r>
      <w:r>
        <w:tab/>
      </w:r>
      <w:r>
        <w:t>eine Vereinbarung nach § 312a Absatz 3 Satz 1, auch in Verbindung mit Satz 2, des Bürgerlichen Gesetzbuchs nicht ausdrücklich getroffen wird,</w:t>
      </w:r>
    </w:p>
    <w:p>
      <w:pPr>
        <w:tabs>
          <w:tab w:pos="567" w:val="left"/>
        </w:tabs>
        <w:ind w:left="567" w:hanging="567"/>
      </w:pPr>
      <w:r>
        <w:t>6.</w:t>
      </w:r>
      <w:r>
        <w:tab/>
      </w:r>
      <w:r>
        <w:t>eine nach § 312a Absatz 4 Nummer 2 oder Absatz 5 Satz 1 des Bürgerlichen Gesetzbuchs unwirksame Vereinbarung abgeschlossen wird,</w:t>
      </w:r>
    </w:p>
    <w:p>
      <w:pPr>
        <w:tabs>
          <w:tab w:pos="567" w:val="left"/>
        </w:tabs>
        <w:ind w:left="567" w:hanging="567"/>
      </w:pPr>
      <w:r>
        <w:t>6a.</w:t>
      </w:r>
      <w:r>
        <w:tab/>
      </w:r>
      <w:r>
        <w:t xml:space="preserve">dem Verbraucher entgegen </w:t>
      </w:r>
      <w:hyperlink w:anchor="b415" w:history="1">
        <w:r>
          <w:rPr>
            <w:color w:val="0A3A8C"/>
            <w:u w:val="single"/>
          </w:rPr>
          <w:t xml:space="preserve">Artikel 246b § 3</w:t>
        </w:r>
      </w:hyperlink>
      <w:r>
        <w:t xml:space="preserve"> Absatz 3 kein menschliches Eingreifen bereitgestellt wird,</w:t>
      </w:r>
    </w:p>
    <w:p>
      <w:pPr>
        <w:tabs>
          <w:tab w:pos="567" w:val="left"/>
        </w:tabs>
        <w:ind w:left="567" w:hanging="567"/>
      </w:pPr>
      <w:r>
        <w:t>7.</w:t>
      </w:r>
      <w:r>
        <w:tab/>
      </w:r>
      <w:r>
        <w:t>von dem Verbraucher entgegen § 312e des Bürgerlichen Gesetzbuchs die Erstattung der Kosten verlangt wird,</w:t>
      </w:r>
    </w:p>
    <w:p>
      <w:pPr>
        <w:tabs>
          <w:tab w:pos="567" w:val="left"/>
        </w:tabs>
        <w:ind w:left="567" w:hanging="567"/>
      </w:pPr>
      <w:r>
        <w:t>8.</w:t>
      </w:r>
      <w:r>
        <w:tab/>
      </w:r>
      <w:r>
        <w:t>eine Abschrift oder eine Bestätigung des Vertrags nach § 312f Absatz 1 Satz 1, auch in Verbindung mit Satz 2, oder nach Absatz 2 Satz 1 des Bürgerlichen Gesetzbuchs nicht zur Verfügung gestellt wird,</w:t>
      </w:r>
    </w:p>
    <w:p>
      <w:pPr>
        <w:tabs>
          <w:tab w:pos="567" w:val="left"/>
        </w:tabs>
        <w:ind w:left="567" w:hanging="567"/>
      </w:pPr>
      <w:r>
        <w:t>9.</w:t>
      </w:r>
      <w:r>
        <w:tab/>
      </w:r>
      <w:r>
        <w:t>im elektronischen Geschäftsverkehr gegenüber Verbrauchern</w:t>
      </w:r>
    </w:p>
    <w:p>
      <w:pPr>
        <w:tabs>
          <w:tab w:pos="1134" w:val="left"/>
        </w:tabs>
        <w:ind w:left="1134" w:hanging="567"/>
      </w:pPr>
      <w:r>
        <w:t>a)</w:t>
      </w:r>
      <w:r>
        <w:tab/>
      </w:r>
      <w:r>
        <w:t>eine zusätzliche Angabe nicht nach den Vorgaben des § 312j Absatz 1 des Bürgerlichen Gesetzbuchs gemacht wird,</w:t>
      </w:r>
    </w:p>
    <w:p>
      <w:pPr>
        <w:tabs>
          <w:tab w:pos="1134" w:val="left"/>
        </w:tabs>
        <w:ind w:left="1134" w:hanging="567"/>
      </w:pPr>
      <w:r>
        <w:t>b)</w:t>
      </w:r>
      <w:r>
        <w:tab/>
      </w:r>
      <w:r>
        <w:t>eine Information nicht nach den Vorgaben des § 312j Absatz 2 des Bürgerlichen Gesetzbuchs zur Verfügung gestellt wird oder</w:t>
      </w:r>
    </w:p>
    <w:p>
      <w:pPr>
        <w:tabs>
          <w:tab w:pos="1134" w:val="left"/>
        </w:tabs>
        <w:ind w:left="1134" w:hanging="567"/>
      </w:pPr>
      <w:r>
        <w:t>c)</w:t>
      </w:r>
      <w:r>
        <w:tab/>
      </w:r>
      <w:r>
        <w:t>die Bestellsituation nicht nach den Vorgaben des § 312j Absatz 3 des Bürgerlichen Gesetzbuchs gestaltet wird,</w:t>
      </w:r>
    </w:p>
    <w:p>
      <w:pPr>
        <w:tabs>
          <w:tab w:pos="567" w:val="left"/>
        </w:tabs>
        <w:ind w:left="567" w:hanging="567"/>
      </w:pPr>
      <w:r>
        <w:t>10.</w:t>
      </w:r>
      <w:r>
        <w:tab/>
      </w:r>
      <w:r>
        <w:t>der Verbraucher nicht nach § 312l Absatz 1 des Bürgerlichen Gesetzbuchs informiert wird,</w:t>
      </w:r>
    </w:p>
    <w:p>
      <w:pPr>
        <w:tabs>
          <w:tab w:pos="567" w:val="left"/>
        </w:tabs>
        <w:ind w:left="567" w:hanging="567"/>
      </w:pPr>
      <w:r>
        <w:t>11.</w:t>
      </w:r>
      <w:r>
        <w:tab/>
      </w:r>
      <w:r>
        <w:t>eine Sache bei einem Verbrauchsgüterkauf nicht innerhalb einer dem Unternehmer nach § 323 Absatz 1 des Bürgerlichen Gesetzbuchs gesetzten angemessenen Frist geliefert wird,</w:t>
      </w:r>
    </w:p>
    <w:p>
      <w:pPr>
        <w:tabs>
          <w:tab w:pos="567" w:val="left"/>
        </w:tabs>
        <w:ind w:left="567" w:hanging="567"/>
      </w:pPr>
      <w:r>
        <w:t>12.</w:t>
      </w:r>
      <w:r>
        <w:tab/>
      </w:r>
      <w:r>
        <w:t>nach einem wirksamen Widerruf des Vertrags durch den Verbraucher</w:t>
      </w:r>
    </w:p>
    <w:p>
      <w:pPr>
        <w:tabs>
          <w:tab w:pos="1134" w:val="left"/>
        </w:tabs>
        <w:ind w:left="1134" w:hanging="567"/>
      </w:pPr>
      <w:r>
        <w:t>a)</w:t>
      </w:r>
      <w:r>
        <w:tab/>
      </w:r>
      <w:r>
        <w:t>Inhalte entgegen § 327p Absatz 2 Satz 1 in Verbindung mit § 357 Absatz 8 des Bürgerlichen Gesetzbuchs genutzt werden,</w:t>
      </w:r>
    </w:p>
    <w:p>
      <w:pPr>
        <w:tabs>
          <w:tab w:pos="1134" w:val="left"/>
        </w:tabs>
        <w:ind w:left="1134" w:hanging="567"/>
      </w:pPr>
      <w:r>
        <w:t>b)</w:t>
      </w:r>
      <w:r>
        <w:tab/>
      </w:r>
      <w:r>
        <w:t>Inhalte nicht nach § 327p Absatz 3 Satz 1 in Verbindung mit § 357 Absatz 8 des Bürgerlichen Gesetzbuchs bereitgestellt werden,</w:t>
      </w:r>
    </w:p>
    <w:p>
      <w:pPr>
        <w:tabs>
          <w:tab w:pos="1134" w:val="left"/>
        </w:tabs>
        <w:ind w:left="1134" w:hanging="567"/>
      </w:pPr>
      <w:r>
        <w:t>c)</w:t>
      </w:r>
      <w:r>
        <w:tab/>
      </w:r>
      <w:r>
        <w:t>eine empfangene Leistung dem Verbraucher nicht nach § 355 Absatz 3 Satz 1 in Verbindung mit § 357 Absatz 1 bis 3 oder mit § 357b Absatz 1 und 2 Satz 1 des Bürgerlichen Gesetzbuchs zurückgewährt wird oder</w:t>
      </w:r>
    </w:p>
    <w:p>
      <w:pPr>
        <w:tabs>
          <w:tab w:pos="1134" w:val="left"/>
        </w:tabs>
        <w:ind w:left="1134" w:hanging="567"/>
      </w:pPr>
      <w:r>
        <w:t>d)</w:t>
      </w:r>
      <w:r>
        <w:tab/>
      </w:r>
      <w:r>
        <w:t>Ware nicht nach § 357 Absatz 7 des Bürgerlichen Gesetzbuchs auf eigene Kosten abgeholt wird,</w:t>
      </w:r>
    </w:p>
    <w:p>
      <w:pPr>
        <w:tabs>
          <w:tab w:pos="567" w:val="left"/>
        </w:tabs>
        <w:ind w:left="567" w:hanging="567"/>
      </w:pPr>
      <w:r>
        <w:t>13.</w:t>
      </w:r>
      <w:r>
        <w:tab/>
      </w:r>
      <w:r>
        <w:t>im Falle eines Rücktritts des Verbrauchers von einem Verbrauchsgüterkauf eine Leistung des Verbrauchers nicht nach § 346 Absatz 1 des Bürgerlichen Gesetzbuchs zurückgewährt wird,</w:t>
      </w:r>
    </w:p>
    <w:p>
      <w:pPr>
        <w:tabs>
          <w:tab w:pos="567" w:val="left"/>
        </w:tabs>
        <w:ind w:left="567" w:hanging="567"/>
      </w:pPr>
      <w:r>
        <w:t>14.</w:t>
      </w:r>
      <w:r>
        <w:tab/>
      </w:r>
      <w:r>
        <w:t>der Zugang eines Widerrufs nicht nach § 356 Absatz 1 Satz 2 des Bürgerlichen Gesetzbuchs bestätigt wird,</w:t>
      </w:r>
    </w:p>
    <w:p>
      <w:pPr>
        <w:tabs>
          <w:tab w:pos="567" w:val="left"/>
        </w:tabs>
        <w:ind w:left="567" w:hanging="567"/>
      </w:pPr>
      <w:r>
        <w:t>14a.</w:t>
      </w:r>
      <w:r>
        <w:tab/>
      </w:r>
      <w:r>
        <w:t>eine elektronische Widerrufsfunktion nach § 356a des Bürgerlichen Gesetzbuchs, auch in Verbindung mit § 8 Absatz 1 Satz 3 des Versicherungsvertragsgesetzes, nicht oder nicht nach Maßgabe von § 356a Absatz 1 bis 3 des Bürgerlichen Gesetzbuchs zur Verfügung gestellt wird oder wenn dem Verbraucher keine Eingangsbestätigung nach Maßgabe von § 356a Absatz 4 des Bürgerlichen Gesetzbuchs übermittelt wird, oder</w:t>
      </w:r>
    </w:p>
    <w:p>
      <w:pPr>
        <w:tabs>
          <w:tab w:pos="567" w:val="left"/>
        </w:tabs>
        <w:ind w:left="567" w:hanging="567"/>
      </w:pPr>
      <w:r>
        <w:t>15.</w:t>
      </w:r>
      <w:r>
        <w:tab/>
      </w:r>
      <w:r>
        <w:t>eine Sache dem Verbraucher nicht innerhalb der nach § 433 Absatz 1 Satz 1 in Verbindung mit § 475 Absatz 1 Satz 1 und 2 des Bürgerlichen Gesetzbuchs maßgeblichen Leistungszeit übergeben wird.</w:t>
      </w:r>
    </w:p>
    <w:p>
      <w:r>
        <w:t>(3) Eine Verletzung von Verbraucherinteressen im Zusammenhang mit Verbraucherverträgen nach Absatz 1 liegt auch vor, wenn</w:t>
      </w:r>
    </w:p>
    <w:p>
      <w:pPr>
        <w:tabs>
          <w:tab w:pos="567" w:val="left"/>
        </w:tabs>
        <w:ind w:left="567" w:hanging="567"/>
      </w:pPr>
      <w:r>
        <w:t>1.</w:t>
      </w:r>
      <w:r>
        <w:tab/>
      </w:r>
      <w:r>
        <w:t>eine Handlung oder Unterlassung die tatsächlichen Voraussetzungen eines der in Absatz 2 geregelten Fälle erfüllt und</w:t>
      </w:r>
    </w:p>
    <w:p>
      <w:pPr>
        <w:tabs>
          <w:tab w:pos="567" w:val="left"/>
        </w:tabs>
        <w:ind w:left="567" w:hanging="567"/>
      </w:pPr>
      <w:r>
        <w:t>2.</w:t>
      </w:r>
      <w:r>
        <w:tab/>
      </w:r>
      <w:r>
        <w:t>auf den Verbrauchervertrag das nationale Recht eines anderen Mitgliedstaates der Europäischen Union anwendbar ist, welches eine Vorschrift enthält, die der jeweiligen in Absatz 2 genannten Vorschrift entspricht.</w:t>
      </w:r>
    </w:p>
    <w:p>
      <w:pPr>
        <w:pStyle w:val="Heading3"/>
      </w:pPr>
      <w:bookmarkStart w:id="424" w:name="b423"/>
      <w:r>
        <w:t>Art 246e § 2 Bußgeldvorschriften</w:t>
      </w:r>
      <w:r>
        <w:t xml:space="preserve"> </w:t>
      </w:r>
      <w:r>
        <w:rPr>
          <w:rStyle w:val="Suchmarke"/>
        </w:rPr>
        <w:t>#246e-2.#</w:t>
      </w:r>
      <w:bookmarkEnd w:id="424"/>
    </w:p>
    <w:p>
      <w:r>
        <w:t>(1) Ordnungswidrig handelt, wer vorsätzlich oder fahrlässig entgegen § 1 Absatz 1 Verbraucherinteressen im Zusammenhang mit Verbraucherverträgen nach § 1 Absatz 2 oder 3 verletzt.</w:t>
      </w:r>
    </w:p>
    <w:p>
      <w:r>
        <w:t>(2) Die Ordnungswidrigkeit nach Absatz 1 kann mit einer Geldbuße bis zu fünfzigtausend Euro geahndet werden.</w:t>
      </w:r>
    </w:p>
    <w:p>
      <w:r>
        <w:t xml:space="preserve">(3) </w:t>
      </w:r>
      <w:r>
        <w:rPr>
          <w:rStyle w:val="Satznummer"/>
        </w:rPr>
        <w:t>1</w:t>
      </w:r>
      <w:r>
        <w:t xml:space="preserve">Gegenüber einem Unternehmer mit einem Jahresumsatz von mehr als 1,25 Millionen Euro kann abweichend von Absatz 2, auch in Verbindung mit § 30 Absatz 2 Satz 2 des Gesetzes über Ordnungswidrigkeiten, die Ordnungswidrigkeit nach Absatz 1 mit einer Geldbuße bis zu 4 Prozent des Jahresumsatzes geahndet werden. </w:t>
      </w:r>
      <w:r>
        <w:rPr>
          <w:rStyle w:val="Satznummer"/>
        </w:rPr>
        <w:t>2</w:t>
      </w:r>
      <w:r>
        <w:t xml:space="preserve">Jahresumsatz nach Satz 1 ist die Summe aller Umsatzerlöse, die der Unternehmer in dem der Behördenentscheidung vorausgegangenen Geschäftsjahr in den Mitgliedstaaten der Europäischen Union erzielt hat, die von dem Verstoß betroffen sind. </w:t>
      </w:r>
      <w:r>
        <w:rPr>
          <w:rStyle w:val="Satznummer"/>
        </w:rPr>
        <w:t>3</w:t>
      </w:r>
      <w:r>
        <w:t xml:space="preserve">Der Jahresumsatz kann geschätzt werden. </w:t>
      </w:r>
      <w:r>
        <w:rPr>
          <w:rStyle w:val="Satznummer"/>
        </w:rPr>
        <w:t>4</w:t>
      </w:r>
      <w:r>
        <w:t>Liegen keine Anhaltspunkte für eine Schätzung des Jahresumsatzes vor, beträgt das Höchstmaß der Geldbuße zwei Millionen Euro.</w:t>
      </w:r>
    </w:p>
    <w:p>
      <w:r>
        <w:t>(4) § 17 Absatz 2 des Gesetzes über Ordnungswidrigkeiten ist auf die Festsetzung der Geldbuße gegen einen Unternehmer nicht anzuwenden.</w:t>
      </w:r>
    </w:p>
    <w:p>
      <w:r>
        <w:t>(5) Die Ordnungswidrigkeit kann nur im Rahmen einer koordinierten Durchsetzungsmaßnahme nach Artikel 21 der Verordnung (EU) 2017/2394 in der Fassung vom 19. Dezember 2024 geahndet werden.</w:t>
      </w:r>
    </w:p>
    <w:p>
      <w:r>
        <w:t>(6) Verwaltungsbehörde im Sinne des § 36 Absatz 1 Nummer 1 des Gesetzes über Ordnungswidrigkeiten ist das Bundesamt für Justiz.</w:t>
      </w:r>
    </w:p>
    <w:p>
      <w:pPr>
        <w:pStyle w:val="Heading2"/>
      </w:pPr>
      <w:bookmarkStart w:id="425" w:name="b424"/>
      <w:r>
        <w:t>Art 247 Informationspflichten bei Verbraucherdarlehensverträgen, entgeltlichen Finanzierungshilfen und Darlehensvermittlungsverträgen</w:t>
      </w:r>
      <w:bookmarkEnd w:id="425"/>
    </w:p>
    <w:p>
      <w:pPr>
        <w:pStyle w:val="Heading3"/>
      </w:pPr>
      <w:bookmarkStart w:id="426" w:name="b425"/>
      <w:r>
        <w:t>Art 247 § 1 Vorvertragliche Informationen bei Immobiliar-Verbraucherdarlehensverträgen</w:t>
      </w:r>
      <w:r>
        <w:t xml:space="preserve"> </w:t>
      </w:r>
      <w:r>
        <w:rPr>
          <w:rStyle w:val="Suchmarke"/>
        </w:rPr>
        <w:t>#247-1.#</w:t>
      </w:r>
      <w:bookmarkEnd w:id="426"/>
    </w:p>
    <w:p>
      <w:r>
        <w:t xml:space="preserve">(1) </w:t>
      </w:r>
      <w:r>
        <w:rPr>
          <w:rStyle w:val="Satznummer"/>
        </w:rPr>
        <w:t>1</w:t>
      </w:r>
      <w:r>
        <w:t xml:space="preserve">Bei einem Immobiliar-Verbraucherdarlehensvertrag muss der Darlehensgeber dem Darlehensnehmer mitteilen, welche Informationen und Nachweise er innerhalb welchen Zeitraums von ihm benötigt, um eine ordnungsgemäße Kreditwürdigkeitsprüfung durchführen zu können. </w:t>
      </w:r>
      <w:r>
        <w:rPr>
          <w:rStyle w:val="Satznummer"/>
        </w:rPr>
        <w:t>2</w:t>
      </w:r>
      <w:r>
        <w:t>Er hat den Darlehensnehmer darauf hinzuweisen, dass eine Kreditwürdigkeitsprüfung für den Abschluss des Darlehensvertrags zwingend ist und nur durchgeführt werden kann, wenn die hierfür benötigten Informationen und Nachweise richtig sind und vollständig beigebracht werden.</w:t>
      </w:r>
    </w:p>
    <w:p>
      <w:r>
        <w:t xml:space="preserve">(2) </w:t>
      </w:r>
      <w:r>
        <w:rPr>
          <w:rStyle w:val="Satznummer"/>
        </w:rPr>
        <w:t>1</w:t>
      </w:r>
      <w:r>
        <w:t xml:space="preserve">Der Darlehensgeber muss dem Darlehensnehmer die vorvertraglichen Informationen in Textform übermitteln, und zwar unverzüglich nachdem er die Angaben gemäß Absatz 1 erhalten hat und rechtzeitig vor Abgabe der Vertragserklärung des Darlehensnehmers. </w:t>
      </w:r>
      <w:r>
        <w:rPr>
          <w:rStyle w:val="Satznummer"/>
        </w:rPr>
        <w:t>2</w:t>
      </w:r>
      <w:r>
        <w:t xml:space="preserve">Dafür muss der Darlehensgeber das entsprechend ausgefüllte Europäische Standardisierte Merkblatt gemäß dem Muster in Anlage 6 (ESIS-Merkblatt) verwenden. </w:t>
      </w:r>
      <w:r>
        <w:rPr>
          <w:rStyle w:val="Satznummer"/>
        </w:rPr>
        <w:t>3</w:t>
      </w:r>
      <w:r>
        <w:t xml:space="preserve">Der Darlehensgeber hat das ESIS-Merkblatt auch jedem Vertragsangebot und jedem Vertragsvorschlag, an dessen Bedingungen er sich bindet, beizufügen. </w:t>
      </w:r>
      <w:r>
        <w:rPr>
          <w:rStyle w:val="Satznummer"/>
        </w:rPr>
        <w:t>4</w:t>
      </w:r>
      <w:r>
        <w:t xml:space="preserve">Dies gilt nicht, wenn der Darlehensnehmer bereits ein Merkblatt erhalten hat, das über die speziellen Bedingungen des Vertragsangebots oder Vertragsvorschlags informiert. </w:t>
      </w:r>
      <w:r>
        <w:rPr>
          <w:rStyle w:val="Satznummer"/>
        </w:rPr>
        <w:t>5</w:t>
      </w:r>
      <w:r>
        <w:t>Jeder bindende Vertragsvorschlag ist dem Darlehensnehmer in Textform zur Verfügung zu stellen.</w:t>
      </w:r>
    </w:p>
    <w:p>
      <w:r>
        <w:t xml:space="preserve">(3) </w:t>
      </w:r>
      <w:r>
        <w:rPr>
          <w:rStyle w:val="Satznummer"/>
        </w:rPr>
        <w:t>1</w:t>
      </w:r>
      <w:r>
        <w:t xml:space="preserve">Weitere vorvertragliche Informationen sind, soweit nichts anderes bestimmt ist, in einem gesonderten Dokument zu erteilen, das dem ESIS-Merkblatt beigefügt werden kann. </w:t>
      </w:r>
      <w:r>
        <w:rPr>
          <w:rStyle w:val="Satznummer"/>
        </w:rPr>
        <w:t>2</w:t>
      </w:r>
      <w:r>
        <w:t>Die weiteren vorvertraglichen Informationen müssen auch einen deutlich gestalteten Hinweis darauf enthalten, dass der Darlehensgeber Forderungen aus dem Darlehensvertrag ohne Zustimmung des Darlehensnehmers abtreten und das Vertragsverhältnis auf einen Dritten übertragen darf, soweit nicht die Abtretung im Vertrag ausgeschlossen wird oder der Darlehensnehmer der Übertragung zustimmen muss.</w:t>
      </w:r>
    </w:p>
    <w:p>
      <w:r>
        <w:t>(4) Wenn der Darlehensgeber entscheidet, den Darlehensvertrag nicht abzuschließen, muss er dies dem Darlehensnehmer unverzüglich mitteilen.</w:t>
      </w:r>
    </w:p>
    <w:p>
      <w:pPr>
        <w:pStyle w:val="Heading3"/>
      </w:pPr>
      <w:bookmarkStart w:id="427" w:name="b426"/>
      <w:r>
        <w:t>Art 247 § 2 Form, Zeitpunkt und Muster der vorvertraglichen Informationen bei Allgemein-Verbraucherdarlehensverträgen</w:t>
      </w:r>
      <w:r>
        <w:t xml:space="preserve"> </w:t>
      </w:r>
      <w:r>
        <w:rPr>
          <w:rStyle w:val="Suchmarke"/>
        </w:rPr>
        <w:t>#247-2.#</w:t>
      </w:r>
      <w:bookmarkEnd w:id="427"/>
    </w:p>
    <w:p>
      <w:r>
        <w:t xml:space="preserve">(1) </w:t>
      </w:r>
      <w:r>
        <w:rPr>
          <w:rStyle w:val="Satznummer"/>
        </w:rPr>
        <w:t>1</w:t>
      </w:r>
      <w:r>
        <w:t xml:space="preserve">Bei einem Allgemein-Verbraucherdarlehensvertrag muss der Darlehensgeber den Darlehensnehmer über die Einzelheiten nach den §§ 3 bis 5 und 8 bis 13 unterrichten, und zwar rechtzeitig vor Abgabe der Vertragserklärung des Darlehensnehmers. </w:t>
      </w:r>
      <w:r>
        <w:rPr>
          <w:rStyle w:val="Satznummer"/>
        </w:rPr>
        <w:t>2</w:t>
      </w:r>
      <w:r>
        <w:t>Die Unterrichtung erfolgt in Textform.</w:t>
      </w:r>
    </w:p>
    <w:p>
      <w:r>
        <w:t>(2) Für die Unterrichtung nach Absatz 1 ist vorbehaltlich des Absatzes 3 die Europäische Standardinformation für Verbraucherkredite gemäß dem Muster in Anlage 4 zu verwenden.</w:t>
      </w:r>
    </w:p>
    <w:p>
      <w:r>
        <w:t xml:space="preserve">(3) </w:t>
      </w:r>
      <w:r>
        <w:rPr>
          <w:rStyle w:val="Satznummer"/>
        </w:rPr>
        <w:t>1</w:t>
      </w:r>
      <w:r>
        <w:t xml:space="preserve">Soll ein Allgemein-Verbraucherdarlehensvertrag gemäß § 495 Absatz 2 Nummer 1 oder § 504 Absatz 2 des Bürgerlichen Gesetzbuchs abgeschlossen werden, kann der Darlehensgeber zur Unterrichtung die Europäische Verbraucherkreditinformation gemäß dem Muster in Anlage 5 verwenden. </w:t>
      </w:r>
      <w:r>
        <w:rPr>
          <w:rStyle w:val="Satznummer"/>
        </w:rPr>
        <w:t>2</w:t>
      </w:r>
      <w:r>
        <w:t>Verwendet der Darlehensgeber das Muster nicht, hat er bei der Unterrichtung alle nach den §§ 3 bis 5 und 8 bis 13 erforderlichen Angaben gleichartig zu gestalten und hervorzuheben.</w:t>
      </w:r>
    </w:p>
    <w:p>
      <w:r>
        <w:t xml:space="preserve">(4) </w:t>
      </w:r>
      <w:r>
        <w:rPr>
          <w:rStyle w:val="Satznummer"/>
        </w:rPr>
        <w:t>1</w:t>
      </w:r>
      <w:r>
        <w:t xml:space="preserve">Die Verpflichtung zur Unterrichtung nach § 491a Abs. 1 des Bürgerlichen Gesetzbuchs gilt als erfüllt, wenn der Darlehensgeber dem Darlehensnehmer das ordnungsgemäß ausgefüllte Muster in Textform übermittelt hat. </w:t>
      </w:r>
      <w:r>
        <w:rPr>
          <w:rStyle w:val="Satznummer"/>
        </w:rPr>
        <w:t>2</w:t>
      </w:r>
      <w:r>
        <w:t>Die in diesem Absatz genannten Verpflichtungen gelten bis 31. Dezember 2010 auch bei Übermittlung des Musters in den Anlagen 4 und 5 in der Fassung des Gesetzes zur Umsetzung der Verbraucherkreditrichtlinie, des zivilrechtlichen Teils der Zahlungsdiensterichtlinie sowie zur Neuordnung der Vorschriften über das Widerrufs- und Rückgaberecht vom 29. Juli 2009 (BGBl. I S. 2355) als erfüllt.</w:t>
      </w:r>
    </w:p>
    <w:p>
      <w:pPr>
        <w:pStyle w:val="Heading3"/>
      </w:pPr>
      <w:bookmarkStart w:id="428" w:name="b427"/>
      <w:r>
        <w:t>Art 247 § 3 Inhalt der vorvertraglichen Information bei Allgemein-Verbraucherdarlehensverträgen</w:t>
      </w:r>
      <w:r>
        <w:t xml:space="preserve"> </w:t>
      </w:r>
      <w:r>
        <w:rPr>
          <w:rStyle w:val="Suchmarke"/>
        </w:rPr>
        <w:t>#247-3.#</w:t>
      </w:r>
      <w:bookmarkEnd w:id="428"/>
    </w:p>
    <w:p>
      <w:r>
        <w:t>(1) Die Unterrichtung vor Vertragsschluss muss folgende Informationen enthalten:</w:t>
      </w:r>
    </w:p>
    <w:p>
      <w:pPr>
        <w:tabs>
          <w:tab w:pos="567" w:val="left"/>
        </w:tabs>
        <w:ind w:left="567" w:hanging="567"/>
      </w:pPr>
      <w:r>
        <w:t>1.</w:t>
      </w:r>
      <w:r>
        <w:tab/>
      </w:r>
      <w:r>
        <w:t>den Namen und die Anschrift des Darlehensgebers,</w:t>
      </w:r>
    </w:p>
    <w:p>
      <w:pPr>
        <w:tabs>
          <w:tab w:pos="567" w:val="left"/>
        </w:tabs>
        <w:ind w:left="567" w:hanging="567"/>
      </w:pPr>
      <w:r>
        <w:t>2.</w:t>
      </w:r>
      <w:r>
        <w:tab/>
      </w:r>
      <w:r>
        <w:t>die Art des Darlehens,</w:t>
      </w:r>
    </w:p>
    <w:p>
      <w:pPr>
        <w:tabs>
          <w:tab w:pos="567" w:val="left"/>
        </w:tabs>
        <w:ind w:left="567" w:hanging="567"/>
      </w:pPr>
      <w:r>
        <w:t>3.</w:t>
      </w:r>
      <w:r>
        <w:tab/>
      </w:r>
      <w:r>
        <w:t>den effektiven Jahreszins,</w:t>
      </w:r>
    </w:p>
    <w:p>
      <w:pPr>
        <w:tabs>
          <w:tab w:pos="567" w:val="left"/>
        </w:tabs>
        <w:ind w:left="567" w:hanging="567"/>
      </w:pPr>
      <w:r>
        <w:t>4.</w:t>
      </w:r>
      <w:r>
        <w:tab/>
      </w:r>
      <w:r>
        <w:t>den Nettodarlehensbetrag,</w:t>
      </w:r>
    </w:p>
    <w:p>
      <w:pPr>
        <w:tabs>
          <w:tab w:pos="567" w:val="left"/>
        </w:tabs>
        <w:ind w:left="567" w:hanging="567"/>
      </w:pPr>
      <w:r>
        <w:t>5.</w:t>
      </w:r>
      <w:r>
        <w:tab/>
      </w:r>
      <w:r>
        <w:t>den Sollzinssatz,</w:t>
      </w:r>
    </w:p>
    <w:p>
      <w:pPr>
        <w:tabs>
          <w:tab w:pos="567" w:val="left"/>
        </w:tabs>
        <w:ind w:left="567" w:hanging="567"/>
      </w:pPr>
      <w:r>
        <w:t>6.</w:t>
      </w:r>
      <w:r>
        <w:tab/>
      </w:r>
      <w:r>
        <w:t>die Vertragslaufzeit,</w:t>
      </w:r>
    </w:p>
    <w:p>
      <w:pPr>
        <w:tabs>
          <w:tab w:pos="567" w:val="left"/>
        </w:tabs>
        <w:ind w:left="567" w:hanging="567"/>
      </w:pPr>
      <w:r>
        <w:t>7.</w:t>
      </w:r>
      <w:r>
        <w:tab/>
      </w:r>
      <w:r>
        <w:t>Betrag, Zahl und Fälligkeit der einzelnen Teilzahlungen,</w:t>
      </w:r>
    </w:p>
    <w:p>
      <w:pPr>
        <w:tabs>
          <w:tab w:pos="567" w:val="left"/>
        </w:tabs>
        <w:ind w:left="567" w:hanging="567"/>
      </w:pPr>
      <w:r>
        <w:t>8.</w:t>
      </w:r>
      <w:r>
        <w:tab/>
      </w:r>
      <w:r>
        <w:t>den Gesamtbetrag,</w:t>
      </w:r>
    </w:p>
    <w:p>
      <w:pPr>
        <w:tabs>
          <w:tab w:pos="567" w:val="left"/>
        </w:tabs>
        <w:ind w:left="567" w:hanging="567"/>
      </w:pPr>
      <w:r>
        <w:t>9.</w:t>
      </w:r>
      <w:r>
        <w:tab/>
      </w:r>
      <w:r>
        <w:t>die Auszahlungsbedingungen,</w:t>
      </w:r>
    </w:p>
    <w:p>
      <w:pPr>
        <w:tabs>
          <w:tab w:pos="567" w:val="left"/>
        </w:tabs>
        <w:ind w:left="567" w:hanging="567"/>
      </w:pPr>
      <w:r>
        <w:t>10.</w:t>
      </w:r>
      <w:r>
        <w:tab/>
      </w:r>
      <w:r>
        <w:t>alle sonstigen Kosten, insbesondere in Zusammenhang mit der Auszahlung oder der Verwendung eines Zahlungsinstruments, mit dem sowohl Zahlungsvorgänge als auch Abhebungen getätigt werden können, sowie die Bedingungen, unter denen die Kosten angepasst werden können,</w:t>
      </w:r>
    </w:p>
    <w:p>
      <w:pPr>
        <w:tabs>
          <w:tab w:pos="567" w:val="left"/>
        </w:tabs>
        <w:ind w:left="567" w:hanging="567"/>
      </w:pPr>
      <w:r>
        <w:t>11.</w:t>
      </w:r>
      <w:r>
        <w:tab/>
      </w:r>
      <w:r>
        <w:t>den Verzugszinssatz und die Art und Weise seiner etwaigen Anpassung sowie gegebenenfalls anfallende Verzugskosten,</w:t>
      </w:r>
    </w:p>
    <w:p>
      <w:pPr>
        <w:tabs>
          <w:tab w:pos="567" w:val="left"/>
        </w:tabs>
        <w:ind w:left="567" w:hanging="567"/>
      </w:pPr>
      <w:r>
        <w:t>12.</w:t>
      </w:r>
      <w:r>
        <w:tab/>
      </w:r>
      <w:r>
        <w:t>einen Warnhinweis zu den Folgen ausbleibender Zahlungen,</w:t>
      </w:r>
    </w:p>
    <w:p>
      <w:pPr>
        <w:tabs>
          <w:tab w:pos="567" w:val="left"/>
        </w:tabs>
        <w:ind w:left="567" w:hanging="567"/>
      </w:pPr>
      <w:r>
        <w:t>13.</w:t>
      </w:r>
      <w:r>
        <w:tab/>
      </w:r>
      <w:r>
        <w:t>das Bestehen oder Nichtbestehen eines Widerrufsrechts,</w:t>
      </w:r>
    </w:p>
    <w:p>
      <w:pPr>
        <w:tabs>
          <w:tab w:pos="567" w:val="left"/>
        </w:tabs>
        <w:ind w:left="567" w:hanging="567"/>
      </w:pPr>
      <w:r>
        <w:t>14.</w:t>
      </w:r>
      <w:r>
        <w:tab/>
      </w:r>
      <w:r>
        <w:t>das Recht des Darlehensnehmers, das Darlehen vorzeitig zurückzuzahlen,</w:t>
      </w:r>
    </w:p>
    <w:p>
      <w:pPr>
        <w:tabs>
          <w:tab w:pos="567" w:val="left"/>
        </w:tabs>
        <w:ind w:left="567" w:hanging="567"/>
      </w:pPr>
      <w:r>
        <w:t>15.</w:t>
      </w:r>
      <w:r>
        <w:tab/>
      </w:r>
      <w:r>
        <w:t>die sich aus § 491a Abs. 2 des Bürgerlichen Gesetzbuchs ergebenden Rechte,</w:t>
      </w:r>
    </w:p>
    <w:p>
      <w:pPr>
        <w:tabs>
          <w:tab w:pos="567" w:val="left"/>
        </w:tabs>
        <w:ind w:left="567" w:hanging="567"/>
      </w:pPr>
      <w:r>
        <w:t>16.</w:t>
      </w:r>
      <w:r>
        <w:tab/>
      </w:r>
      <w:r>
        <w:t>die sich aus § 29 Abs. 7 des Bundesdatenschutzgesetzes ergebenden Rechte.</w:t>
      </w:r>
    </w:p>
    <w:p>
      <w:r>
        <w:t xml:space="preserve">(2) </w:t>
      </w:r>
      <w:r>
        <w:rPr>
          <w:rStyle w:val="Satznummer"/>
        </w:rPr>
        <w:t>1</w:t>
      </w:r>
      <w:r>
        <w:t xml:space="preserve">Gesamtbetrag ist die Summe aus Nettodarlehensbetrag und Gesamtkosten. </w:t>
      </w:r>
      <w:r>
        <w:rPr>
          <w:rStyle w:val="Satznummer"/>
        </w:rPr>
        <w:t>2</w:t>
      </w:r>
      <w:r>
        <w:t xml:space="preserve">Nettodarlehensbetrag ist der Höchstbetrag, auf den der Darlehensnehmer aufgrund des Darlehensvertrags Anspruch hat. </w:t>
      </w:r>
      <w:r>
        <w:rPr>
          <w:rStyle w:val="Satznummer"/>
        </w:rPr>
        <w:t>3</w:t>
      </w:r>
      <w:r>
        <w:t>Die Gesamtkosten und der effektive Jahreszins sind nach § 16 der Preisangabenverordnung zu berechnen.</w:t>
      </w:r>
    </w:p>
    <w:p>
      <w:r>
        <w:t xml:space="preserve">(3) </w:t>
      </w:r>
      <w:r>
        <w:rPr>
          <w:rStyle w:val="Satznummer"/>
        </w:rPr>
        <w:t>1</w:t>
      </w:r>
      <w:r>
        <w:t xml:space="preserve">Der Gesamtbetrag und der effektive Jahreszins sind anhand eines repräsentativen Beispiels zu erläutern. </w:t>
      </w:r>
      <w:r>
        <w:rPr>
          <w:rStyle w:val="Satznummer"/>
        </w:rPr>
        <w:t>2</w:t>
      </w:r>
      <w:r>
        <w:t xml:space="preserve">Dabei sind sämtliche in die Berechnung des effektiven Jahreszinses einfließenden Annahmen anzugeben und die vom Darlehensnehmer genannten Wünsche zu einzelnen Vertragsbedingungen zu berücksichtigen. </w:t>
      </w:r>
      <w:r>
        <w:rPr>
          <w:rStyle w:val="Satznummer"/>
        </w:rPr>
        <w:t>3</w:t>
      </w:r>
      <w:r>
        <w:t>Der Darlehensgeber hat darauf hinzuweisen, dass sich der effektive Jahreszins unter Umständen erhöht, wenn der Verbraucherdarlehensvertrag mehrere Auszahlungsmöglichkeiten mit unterschiedlichen Kosten oder Sollzinssätzen vorsieht und die Berechnung des effektiven Jahreszinses auf der Vermutung beruht, dass die für die Art des Darlehens übliche Auszahlungsmöglichkeit vereinbart werde.</w:t>
      </w:r>
    </w:p>
    <w:p>
      <w:r>
        <w:t xml:space="preserve">(4) </w:t>
      </w:r>
      <w:r>
        <w:rPr>
          <w:rStyle w:val="Satznummer"/>
        </w:rPr>
        <w:t>1</w:t>
      </w:r>
      <w:r>
        <w:t xml:space="preserve">Die Angabe zum Sollzinssatz muss die Bedingungen und den Zeitraum für seine Anwendung sowie die Art und Weise seiner Anpassung enthalten. </w:t>
      </w:r>
      <w:r>
        <w:rPr>
          <w:rStyle w:val="Satznummer"/>
        </w:rPr>
        <w:t>2</w:t>
      </w:r>
      <w:r>
        <w:t xml:space="preserve">Ist der Sollzinssatz von einem Index oder Referenzzinssatz abhängig, sind diese anzugeben. </w:t>
      </w:r>
      <w:r>
        <w:rPr>
          <w:rStyle w:val="Satznummer"/>
        </w:rPr>
        <w:t>3</w:t>
      </w:r>
      <w:r>
        <w:t xml:space="preserve">Sieht der Verbraucherdarlehensvertrag mehrere Sollzinssätze vor, sind die Angaben für alle Sollzinssätze zu erteilen. </w:t>
      </w:r>
      <w:r>
        <w:rPr>
          <w:rStyle w:val="Satznummer"/>
        </w:rPr>
        <w:t>4</w:t>
      </w:r>
      <w:r>
        <w:t>Sind im Fall des Satzes 3 Teilzahlungen vorgesehen, ist anzugeben, in welcher Reihenfolge die ausstehenden Forderungen des Darlehensgebers, für die unterschiedliche Sollzinssätze gelten, durch die Teilzahlungen getilgt werden.</w:t>
      </w:r>
    </w:p>
    <w:p>
      <w:pPr>
        <w:pStyle w:val="Heading3"/>
      </w:pPr>
      <w:bookmarkStart w:id="429" w:name="b428"/>
      <w:r>
        <w:t>Art 247 § 4 Weitere Angaben bei der vorvertraglichen Information bei Allgemein-Verbraucherdarlehensverträgen</w:t>
      </w:r>
      <w:r>
        <w:t xml:space="preserve"> </w:t>
      </w:r>
      <w:r>
        <w:rPr>
          <w:rStyle w:val="Suchmarke"/>
        </w:rPr>
        <w:t>#247-4.#</w:t>
      </w:r>
      <w:bookmarkEnd w:id="429"/>
    </w:p>
    <w:p>
      <w:r>
        <w:t>(1) Die Unterrichtung muss bei Allgemein-Verbraucherdarlehensverträgen folgende Angaben enthalten, soweit sie für den in Betracht kommenden Vertragsabschluss erheblich sind:</w:t>
      </w:r>
    </w:p>
    <w:p>
      <w:pPr>
        <w:tabs>
          <w:tab w:pos="567" w:val="left"/>
        </w:tabs>
        <w:ind w:left="567" w:hanging="567"/>
      </w:pPr>
      <w:r>
        <w:t>1.</w:t>
      </w:r>
      <w:r>
        <w:tab/>
      </w:r>
      <w:r>
        <w:t>einen Hinweis, dass der Darlehensnehmer infolge des Vertragsabschlusses Notarkosten zu tragen hat,</w:t>
      </w:r>
    </w:p>
    <w:p>
      <w:pPr>
        <w:tabs>
          <w:tab w:pos="567" w:val="left"/>
        </w:tabs>
        <w:ind w:left="567" w:hanging="567"/>
      </w:pPr>
      <w:r>
        <w:t>2.</w:t>
      </w:r>
      <w:r>
        <w:tab/>
      </w:r>
      <w:r>
        <w:t>Sicherheiten, die der Darlehensgeber verlangt,</w:t>
      </w:r>
    </w:p>
    <w:p>
      <w:pPr>
        <w:tabs>
          <w:tab w:pos="567" w:val="left"/>
        </w:tabs>
        <w:ind w:left="567" w:hanging="567"/>
      </w:pPr>
      <w:r>
        <w:t>3.</w:t>
      </w:r>
      <w:r>
        <w:tab/>
      </w:r>
      <w:r>
        <w:t>den Anspruch auf Vorfälligkeitsentschädigung und dessen Berechnungsmethode, soweit der Darlehensgeber diesen Anspruch geltend macht, falls der Darlehensnehmer das Darlehen vorzeitig zurückzahlt,</w:t>
      </w:r>
    </w:p>
    <w:p>
      <w:pPr>
        <w:tabs>
          <w:tab w:pos="567" w:val="left"/>
        </w:tabs>
        <w:ind w:left="567" w:hanging="567"/>
      </w:pPr>
      <w:r>
        <w:t>4.</w:t>
      </w:r>
      <w:r>
        <w:tab/>
      </w:r>
      <w:r>
        <w:t>gegebenenfalls den Zeitraum, für den sich der Darlehensgeber an die übermittelten Informationen bindet.</w:t>
      </w:r>
    </w:p>
    <w:p>
      <w:r>
        <w:t>(2) Weitere Hinweise des Darlehensgebers müssen räumlich getrennt von den Angaben nach Absatz 1 und nach den §§ 3 und 8 bis 13a übermittelt werden.</w:t>
      </w:r>
    </w:p>
    <w:p>
      <w:r>
        <w:t>(3) Wird in einem Allgemein-Verbraucherdarlehensvertrag auf einen Referenzwert im Sinne des Artikels 3 Absatz 1 Nummer 3 der Verordnung (EU) 2016/1011 des Europäischen Parlaments und des Rates vom 8. Juni 2016 über Indizes, die bei Finanzinstrumenten und Finanzkontrakten als Referenzwert oder zur Messung der Wertentwicklung eines Investmentfonds verwendet werden, und zur Änderung der Richtlinien 2008/48/EG und 2014/17/EU sowie der Verordnung (EU) Nr. 596/2014 (ABl. L 171 vom 29.6.2016, S. 1) Bezug genommen, teilt der Darlehensgeber dem Darlehensnehmer in einem gesonderten Dokument, das dem Formular „Europäische Standardinformationen für Verbraucherkredite“ beigefügt werden kann, die Bezeichnung des Referenzwerts und den Namen des Administrators sowie die möglichen Auswirkungen auf den Darlehensnehmer mit.</w:t>
      </w:r>
    </w:p>
    <w:p>
      <w:pPr>
        <w:pStyle w:val="Heading3"/>
      </w:pPr>
      <w:bookmarkStart w:id="430" w:name="b429"/>
      <w:r>
        <w:t>Art 247 § 5 Information bei besonderen Kommunikationsmitteln</w:t>
      </w:r>
      <w:r>
        <w:t xml:space="preserve"> </w:t>
      </w:r>
      <w:r>
        <w:rPr>
          <w:rStyle w:val="Suchmarke"/>
        </w:rPr>
        <w:t>#247-5.#</w:t>
      </w:r>
      <w:bookmarkEnd w:id="430"/>
    </w:p>
    <w:p>
      <w:r>
        <w:t xml:space="preserve">(1) </w:t>
      </w:r>
      <w:r>
        <w:rPr>
          <w:rStyle w:val="Satznummer"/>
        </w:rPr>
        <w:t>1</w:t>
      </w:r>
      <w:r>
        <w:t xml:space="preserve">Wählt der Darlehensnehmer für die Vertragsanbahnung bei Allgemein-Verbraucherdarlehensverträgen Kommunikationsmittel, die die Übermittlung der vorstehenden Informationen in der in § 2 vorgesehenen Form nicht gestatten, ist die vollständige Unterrichtung nach § 2 unverzüglich nachzuholen. </w:t>
      </w:r>
      <w:r>
        <w:rPr>
          <w:rStyle w:val="Satznummer"/>
        </w:rPr>
        <w:t>2</w:t>
      </w:r>
      <w:r>
        <w:t xml:space="preserve">Bei Telefongesprächen muss die Beschreibung der wesentlichen Merkmale nach </w:t>
      </w:r>
      <w:hyperlink w:anchor="b413" w:history="1">
        <w:r>
          <w:rPr>
            <w:color w:val="0A3A8C"/>
            <w:u w:val="single"/>
          </w:rPr>
          <w:t xml:space="preserve">Artikel 246b § 1</w:t>
        </w:r>
      </w:hyperlink>
      <w:r>
        <w:t xml:space="preserve"> Absatz 1 Nummer 6 zumindest die Angaben nach § 3 Abs. 1 Nr. 3 bis 9, Abs. 3 und 4 enthalten.</w:t>
      </w:r>
    </w:p>
    <w:p>
      <w:r>
        <w:t xml:space="preserve">(2) Bei Telefongesprächen, die sich auf Immobiliar-Verbraucherdarlehensverträge beziehen, muss die Beschreibung der wesentlichen Merkmale nach </w:t>
      </w:r>
      <w:hyperlink w:anchor="b413" w:history="1">
        <w:r>
          <w:rPr>
            <w:color w:val="0A3A8C"/>
            <w:u w:val="single"/>
          </w:rPr>
          <w:t xml:space="preserve">Artikel 246b § 1</w:t>
        </w:r>
      </w:hyperlink>
      <w:r>
        <w:t xml:space="preserve"> Absatz 1 Nummer 6 zumindest die Angaben nach Teil A Abschnitt 3 bis 6 des ESIS-Merkblatts gemäß dem Muster in Anlage 6 enthalten.</w:t>
      </w:r>
    </w:p>
    <w:p>
      <w:pPr>
        <w:pStyle w:val="Heading3"/>
      </w:pPr>
      <w:bookmarkStart w:id="431" w:name="b430"/>
      <w:r>
        <w:t>Art 247 § 6 Vertragsinhalt</w:t>
      </w:r>
      <w:r>
        <w:t xml:space="preserve"> </w:t>
      </w:r>
      <w:r>
        <w:rPr>
          <w:rStyle w:val="Suchmarke"/>
        </w:rPr>
        <w:t>#247-6.#</w:t>
      </w:r>
      <w:bookmarkEnd w:id="431"/>
    </w:p>
    <w:p>
      <w:r>
        <w:t xml:space="preserve">(1) </w:t>
      </w:r>
      <w:r>
        <w:rPr>
          <w:rStyle w:val="Satznummer"/>
        </w:rPr>
        <w:t>1</w:t>
      </w:r>
      <w:r>
        <w:t>Der Verbraucherdarlehensvertrag muss klar und verständlich folgende Angaben enthalten:</w:t>
      </w:r>
    </w:p>
    <w:p>
      <w:pPr>
        <w:tabs>
          <w:tab w:pos="567" w:val="left"/>
        </w:tabs>
        <w:ind w:left="567" w:hanging="567"/>
      </w:pPr>
      <w:r>
        <w:t>1.</w:t>
      </w:r>
      <w:r>
        <w:tab/>
      </w:r>
      <w:r>
        <w:t>die in § 3 Abs. 1 Nr. 1 bis 14 und Abs. 4 genannten Angaben,</w:t>
      </w:r>
    </w:p>
    <w:p>
      <w:pPr>
        <w:tabs>
          <w:tab w:pos="567" w:val="left"/>
        </w:tabs>
        <w:ind w:left="567" w:hanging="567"/>
      </w:pPr>
      <w:r>
        <w:t>2.</w:t>
      </w:r>
      <w:r>
        <w:tab/>
      </w:r>
      <w:r>
        <w:t>den Namen und die Anschrift des Darlehensnehmers,</w:t>
      </w:r>
    </w:p>
    <w:p>
      <w:pPr>
        <w:tabs>
          <w:tab w:pos="567" w:val="left"/>
        </w:tabs>
        <w:ind w:left="567" w:hanging="567"/>
      </w:pPr>
      <w:r>
        <w:t>3.</w:t>
      </w:r>
      <w:r>
        <w:tab/>
      </w:r>
      <w:r>
        <w:t>die für den Darlehensgeber zuständige Aufsichtsbehörde,</w:t>
      </w:r>
    </w:p>
    <w:p>
      <w:pPr>
        <w:tabs>
          <w:tab w:pos="567" w:val="left"/>
        </w:tabs>
        <w:ind w:left="567" w:hanging="567"/>
      </w:pPr>
      <w:r>
        <w:t>4.</w:t>
      </w:r>
      <w:r>
        <w:tab/>
      </w:r>
      <w:r>
        <w:t>einen Hinweis auf den Anspruch des Darlehensnehmers auf einen Tilgungsplan nach § 492 Abs. 3 Satz 2 des Bürgerlichen Gesetzbuchs,</w:t>
      </w:r>
    </w:p>
    <w:p>
      <w:pPr>
        <w:tabs>
          <w:tab w:pos="567" w:val="left"/>
        </w:tabs>
        <w:ind w:left="567" w:hanging="567"/>
      </w:pPr>
      <w:r>
        <w:t>5.</w:t>
      </w:r>
      <w:r>
        <w:tab/>
      </w:r>
      <w:r>
        <w:t>das einzuhaltende Verfahren bei der Kündigung des Vertrags,</w:t>
      </w:r>
    </w:p>
    <w:p>
      <w:pPr>
        <w:tabs>
          <w:tab w:pos="567" w:val="left"/>
        </w:tabs>
        <w:ind w:left="567" w:hanging="567"/>
      </w:pPr>
      <w:r>
        <w:t>6.</w:t>
      </w:r>
      <w:r>
        <w:tab/>
      </w:r>
      <w:r>
        <w:t>sämtliche weitere Vertragsbedingungen.</w:t>
      </w:r>
    </w:p>
    <w:p>
      <w:r>
        <w:rPr>
          <w:rStyle w:val="Satznummer"/>
        </w:rPr>
        <w:t>2</w:t>
      </w:r>
      <w:r>
        <w:t xml:space="preserve">Bei einem Immobiliar-Verbraucherdarlehensvertrag sind abweichend von Satz 1 nur die in § 3 Absatz 1 Nummer 1 bis 7, 10 und 13 sowie Absatz 4 genannten Angaben zwingend. </w:t>
      </w:r>
      <w:r>
        <w:rPr>
          <w:rStyle w:val="Satznummer"/>
        </w:rPr>
        <w:t>3</w:t>
      </w:r>
      <w:r>
        <w:t>Abweichend von § 3 Absatz 1 Nummer 7 ist die Anzahl der Teilzahlungen nicht anzugeben, wenn die Laufzeit des Darlehensvertrags von dem Zeitpunkt der Zuteilung eines Bausparvertrags abhängt.</w:t>
      </w:r>
    </w:p>
    <w:p>
      <w:r>
        <w:t xml:space="preserve">(2) </w:t>
      </w:r>
      <w:r>
        <w:rPr>
          <w:rStyle w:val="Satznummer"/>
        </w:rPr>
        <w:t>1</w:t>
      </w:r>
      <w:r>
        <w:t xml:space="preserve">Besteht ein Widerrufsrecht nach § 495 des Bürgerlichen Gesetzbuchs, müssen im Vertrag Angaben zur Frist und zu anderen Umständen für die Erklärung des Widerrufs sowie ein Hinweis auf die Verpflichtung des Darlehensnehmers enthalten sein, ein bereits ausbezahltes Darlehen zurückzuzahlen und Zinsen zu vergüten. </w:t>
      </w:r>
      <w:r>
        <w:rPr>
          <w:rStyle w:val="Satznummer"/>
        </w:rPr>
        <w:t>2</w:t>
      </w:r>
      <w:r>
        <w:t xml:space="preserve">Der pro Tag zu zahlende Zinsbetrag ist anzugeben. </w:t>
      </w:r>
      <w:r>
        <w:rPr>
          <w:rStyle w:val="Satznummer"/>
        </w:rPr>
        <w:t>3</w:t>
      </w:r>
      <w:r>
        <w:t xml:space="preserve">Enthält der Verbraucherdarlehensvertrag eine Vertragsklausel in hervorgehobener und deutlich gestalteter Form, die bei Allgemein-Verbraucherdarlehensverträgen dem Muster in Anlage 7 und bei Immobiliar-Verbraucherdarlehensverträgen dem Muster in Anlage 8 entspricht, genügt diese Vertragsklausel den Anforderungen der Sätze 1 und 2. </w:t>
      </w:r>
      <w:r>
        <w:rPr>
          <w:rStyle w:val="Satznummer"/>
        </w:rPr>
        <w:t>4</w:t>
      </w:r>
      <w:r>
        <w:t xml:space="preserve">Dies gilt bis zum Ablauf des 4. November 2011 auch bei entsprechender Verwendung dieses Musters in der Fassung des Gesetzes zur Einführung einer Musterwiderrufsinformation für Verbraucherdarlehensverträge, zur Änderung der Vorschriften über das Widerrufsrecht bei Verbraucherdarlehensverträgen und zur Änderung des Darlehensvermittlungsrechts vom 24. Juli 2010 (BGBl. I S. 977). </w:t>
      </w:r>
      <w:r>
        <w:rPr>
          <w:rStyle w:val="Satznummer"/>
        </w:rPr>
        <w:t>5</w:t>
      </w:r>
      <w:r>
        <w:t>Der Darlehensgeber darf unter Beachtung von Satz 3 in Format und Schriftgröße jeweils von dem Muster abweichen.</w:t>
      </w:r>
    </w:p>
    <w:p>
      <w:r>
        <w:t>(3) Bei Allgemein-Verbraucherdarlehensverträgen hat die Angabe des Gesamtbetrags und des effektiven Jahreszinses unter Angabe der Annahmen zu erfolgen, die zum Zeitpunkt des Abschlusses des Vertrags bekannt sind und die in die Berechnung des effektiven Jahreszinses einfließen.</w:t>
      </w:r>
    </w:p>
    <w:p>
      <w:pPr>
        <w:pStyle w:val="Heading3"/>
      </w:pPr>
      <w:bookmarkStart w:id="432" w:name="b431"/>
      <w:r>
        <w:t>Art 247 § 7 Weitere Angaben im Vertrag</w:t>
      </w:r>
      <w:r>
        <w:t xml:space="preserve"> </w:t>
      </w:r>
      <w:r>
        <w:rPr>
          <w:rStyle w:val="Suchmarke"/>
        </w:rPr>
        <w:t>#247-7.#</w:t>
      </w:r>
      <w:bookmarkEnd w:id="432"/>
    </w:p>
    <w:p>
      <w:r>
        <w:t>(1) Der Allgemein-Verbraucherdarlehensvertrag muss folgende klar und verständlich formulierte weitere Angaben enthalten, soweit sie für den Vertrag bedeutsam sind:</w:t>
      </w:r>
    </w:p>
    <w:p>
      <w:pPr>
        <w:tabs>
          <w:tab w:pos="567" w:val="left"/>
        </w:tabs>
        <w:ind w:left="567" w:hanging="567"/>
      </w:pPr>
      <w:r>
        <w:t>1.</w:t>
      </w:r>
      <w:r>
        <w:tab/>
      </w:r>
      <w:r>
        <w:t>einen Hinweis, dass der Darlehensnehmer Notarkosten zu tragen hat,</w:t>
      </w:r>
    </w:p>
    <w:p>
      <w:pPr>
        <w:tabs>
          <w:tab w:pos="567" w:val="left"/>
        </w:tabs>
        <w:ind w:left="567" w:hanging="567"/>
      </w:pPr>
      <w:r>
        <w:t>2.</w:t>
      </w:r>
      <w:r>
        <w:tab/>
      </w:r>
      <w:r>
        <w:t>die vom Darlehensgeber verlangten Sicherheiten und Versicherungen, im Fall von entgeltlichen Finanzierungshilfen insbesondere einen Eigentumsvorbehalt,</w:t>
      </w:r>
    </w:p>
    <w:p>
      <w:pPr>
        <w:tabs>
          <w:tab w:pos="567" w:val="left"/>
        </w:tabs>
        <w:ind w:left="567" w:hanging="567"/>
      </w:pPr>
      <w:r>
        <w:t>3.</w:t>
      </w:r>
      <w:r>
        <w:tab/>
      </w:r>
      <w:r>
        <w:t>die Berechnungsmethode des Anspruchs auf Vorfälligkeitsentschädigung, soweit der Darlehensgeber beabsichtigt, diesen Anspruch geltend zu machen, falls der Darlehensnehmer das Darlehen vorzeitig zurückzahlt,</w:t>
      </w:r>
    </w:p>
    <w:p>
      <w:pPr>
        <w:tabs>
          <w:tab w:pos="567" w:val="left"/>
        </w:tabs>
        <w:ind w:left="567" w:hanging="567"/>
      </w:pPr>
      <w:r>
        <w:t>4.</w:t>
      </w:r>
      <w:r>
        <w:tab/>
      </w:r>
      <w:r>
        <w:t>den Zugang des Darlehensnehmers zu einem außergerichtlichen Beschwerde- und Rechtsbehelfsverfahren und gegebenenfalls die Voraussetzungen für diesen Zugang.</w:t>
      </w:r>
    </w:p>
    <w:p>
      <w:r>
        <w:t>(2) Der Immobiliar-Verbraucherdarlehensvertrag muss folgende klar und verständlich formulierte weitere Angaben enthalten, soweit sie für den Vertrag bedeutsam sind:</w:t>
      </w:r>
    </w:p>
    <w:p>
      <w:pPr>
        <w:tabs>
          <w:tab w:pos="567" w:val="left"/>
        </w:tabs>
        <w:ind w:left="567" w:hanging="567"/>
      </w:pPr>
      <w:r>
        <w:t>1.</w:t>
      </w:r>
      <w:r>
        <w:tab/>
      </w:r>
      <w:r>
        <w:t>die Voraussetzungen und die Berechnungsmethode für den Anspruch auf Vorfälligkeitsentschädigung, soweit der Darlehensgeber beabsichtigt, diesen Anspruch geltend zu machen, falls der Darlehensnehmer das Darlehen vorzeitig zurückzahlt, und die sich aus § 493 Absatz 5 des Bürgerlichen Gesetzbuchs ergebenden Pflichten,</w:t>
      </w:r>
    </w:p>
    <w:p>
      <w:pPr>
        <w:tabs>
          <w:tab w:pos="567" w:val="left"/>
        </w:tabs>
        <w:ind w:left="567" w:hanging="567"/>
      </w:pPr>
      <w:r>
        <w:t>2.</w:t>
      </w:r>
      <w:r>
        <w:tab/>
      </w:r>
      <w:r>
        <w:t>bei einem Immobiliar-Verbraucherdarlehensvertrag in Fremdwährung auch die sich aus den §§ 503 und 493 Absatz 4 des Bürgerlichen Gesetzbuchs ergebenden Rechte des Darlehensnehmers.</w:t>
      </w:r>
    </w:p>
    <w:p>
      <w:pPr>
        <w:pStyle w:val="Heading3"/>
      </w:pPr>
      <w:bookmarkStart w:id="433" w:name="b432"/>
      <w:r>
        <w:t>Art 247 § 8 Verträge mit Zusatzleistungen</w:t>
      </w:r>
      <w:r>
        <w:t xml:space="preserve"> </w:t>
      </w:r>
      <w:r>
        <w:rPr>
          <w:rStyle w:val="Suchmarke"/>
        </w:rPr>
        <w:t>#247-8.#</w:t>
      </w:r>
      <w:bookmarkEnd w:id="433"/>
    </w:p>
    <w:p>
      <w:r>
        <w:t xml:space="preserve">(1) </w:t>
      </w:r>
      <w:r>
        <w:rPr>
          <w:rStyle w:val="Satznummer"/>
        </w:rPr>
        <w:t>1</w:t>
      </w:r>
      <w:r>
        <w:t xml:space="preserve">Verlangt der Darlehensgeber zum Abschluss eines Allgemein-Verbraucherdarlehensvertrags, dass der Darlehensnehmer zusätzliche Leistungen des Darlehensgebers annimmt oder einen weiteren Vertrag abschließt, insbesondere einen Versicherungsvertrag oder Kontoführungsvertrag, hat der Darlehensgeber dies zusammen mit der vorvertraglichen Information anzugeben. </w:t>
      </w:r>
      <w:r>
        <w:rPr>
          <w:rStyle w:val="Satznummer"/>
        </w:rPr>
        <w:t>2</w:t>
      </w:r>
      <w:r>
        <w:t>In der vorvertraglichen Information sind Kontoführungsgebühren sowie die Bedingungen, unter denen sie angepasst werden können, anzugeben.</w:t>
      </w:r>
    </w:p>
    <w:p>
      <w:r>
        <w:t>(2) Werden im Zusammenhang mit einem Verbraucherdarlehensvertrag Kontoführungsgebühren erhoben, so sind diese sowie die Bedingungen, unter denen die Gebühren angepasst werden können, im Vertrag anzugeben.</w:t>
      </w:r>
    </w:p>
    <w:p>
      <w:r>
        <w:t xml:space="preserve">(3) </w:t>
      </w:r>
      <w:r>
        <w:rPr>
          <w:rStyle w:val="Satznummer"/>
        </w:rPr>
        <w:t>1</w:t>
      </w:r>
      <w:r>
        <w:t xml:space="preserve">Dienen die vom Darlehensnehmer geleisteten Zahlungen nicht der unmittelbaren Darlehenstilgung, sind die Zeiträume und Bedingungen für die Zahlung der Sollzinsen und der damit verbundenen wiederkehrenden und nicht wiederkehrenden Kosten im Verbraucherdarlehensvertrag aufzustellen. </w:t>
      </w:r>
      <w:r>
        <w:rPr>
          <w:rStyle w:val="Satznummer"/>
        </w:rPr>
        <w:t>2</w:t>
      </w:r>
      <w:r>
        <w:t>Verpflichtet sich der Darlehensnehmer mit dem Abschluss eines Verbraucherdarlehensvertrags auch zur Vermögensbildung, muss aus der vorvertraglichen Information und aus dem Verbraucherdarlehensvertrag klar und verständlich hervorgehen, dass weder die während der Vertragslaufzeit fälligen Zahlungsverpflichtungen noch die Ansprüche, die der Darlehensnehmer aus der Vermögensbildung erwirbt, die Tilgung des Darlehens gewährleisten, es sei denn, dies wird vertraglich vereinbart.</w:t>
      </w:r>
    </w:p>
    <w:p>
      <w:pPr>
        <w:pStyle w:val="Heading3"/>
      </w:pPr>
      <w:bookmarkStart w:id="434" w:name="b433"/>
      <w:r>
        <w:t>Art 247 § 9 (weggefallen)</w:t>
      </w:r>
      <w:r>
        <w:t xml:space="preserve"> </w:t>
      </w:r>
      <w:r>
        <w:rPr>
          <w:rStyle w:val="Suchmarke"/>
        </w:rPr>
        <w:t>#247-9.#</w:t>
      </w:r>
      <w:bookmarkEnd w:id="434"/>
    </w:p>
    <w:p>
      <w:pPr>
        <w:pStyle w:val="Heading3"/>
      </w:pPr>
      <w:bookmarkStart w:id="435" w:name="b434"/>
      <w:r>
        <w:t>Art 247 § 10 Abweichende Mitteilungspflichten bei Überziehungsmöglichkeiten gemäß § 504 Abs. 2 des Bürgerlichen Gesetzbuchs</w:t>
      </w:r>
      <w:r>
        <w:t xml:space="preserve"> </w:t>
      </w:r>
      <w:r>
        <w:rPr>
          <w:rStyle w:val="Suchmarke"/>
        </w:rPr>
        <w:t>#247-10.#</w:t>
      </w:r>
      <w:bookmarkEnd w:id="435"/>
    </w:p>
    <w:p>
      <w:r>
        <w:t>(1) Bei Überziehungsmöglichkeiten im Sinne des § 504 Abs. 2 des Bürgerlichen Gesetzbuchs sind abweichend von den §§ 3, 4 und 6 nur anzugeben:</w:t>
      </w:r>
    </w:p>
    <w:p>
      <w:pPr>
        <w:tabs>
          <w:tab w:pos="567" w:val="left"/>
        </w:tabs>
        <w:ind w:left="567" w:hanging="567"/>
      </w:pPr>
      <w:r>
        <w:t>1.</w:t>
      </w:r>
      <w:r>
        <w:tab/>
      </w:r>
      <w:r>
        <w:t>in der vorvertraglichen Information</w:t>
      </w:r>
    </w:p>
    <w:p>
      <w:pPr>
        <w:tabs>
          <w:tab w:pos="1134" w:val="left"/>
        </w:tabs>
        <w:ind w:left="1134" w:hanging="567"/>
      </w:pPr>
      <w:r>
        <w:t>a)</w:t>
      </w:r>
      <w:r>
        <w:tab/>
      </w:r>
      <w:r>
        <w:t>die Angaben nach § 3 Absatz 1 Nummer 1 bis 6, 10, 11 und 16, Absatz 3 und 4 sowie gegebenenfalls nach § 4 Abs. 1 Nr. 4,</w:t>
      </w:r>
    </w:p>
    <w:p>
      <w:pPr>
        <w:tabs>
          <w:tab w:pos="1134" w:val="left"/>
        </w:tabs>
        <w:ind w:left="1134" w:hanging="567"/>
      </w:pPr>
      <w:r>
        <w:t>b)</w:t>
      </w:r>
      <w:r>
        <w:tab/>
      </w:r>
      <w:r>
        <w:t>die Bedingungen zur Beendigung des Darlehensverhältnisses und</w:t>
      </w:r>
    </w:p>
    <w:p>
      <w:pPr>
        <w:tabs>
          <w:tab w:pos="1134" w:val="left"/>
        </w:tabs>
        <w:ind w:left="1134" w:hanging="567"/>
      </w:pPr>
      <w:r>
        <w:t>c)</w:t>
      </w:r>
      <w:r>
        <w:tab/>
      </w:r>
      <w:r>
        <w:t>der Hinweis, dass der Darlehensnehmer jederzeit zur Rückzahlung des gesamten Darlehensbetrags aufgefordert werden kann, falls ein entsprechendes Kündigungsrecht für den Darlehensgeber vereinbart werden soll;</w:t>
      </w:r>
    </w:p>
    <w:p>
      <w:pPr>
        <w:tabs>
          <w:tab w:pos="567" w:val="left"/>
        </w:tabs>
        <w:ind w:left="567" w:hanging="567"/>
      </w:pPr>
      <w:r>
        <w:t>2.</w:t>
      </w:r>
      <w:r>
        <w:tab/>
      </w:r>
      <w:r>
        <w:t>im Vertrag</w:t>
      </w:r>
    </w:p>
    <w:p>
      <w:pPr>
        <w:tabs>
          <w:tab w:pos="1134" w:val="left"/>
        </w:tabs>
        <w:ind w:left="1134" w:hanging="567"/>
      </w:pPr>
      <w:r>
        <w:t>a)</w:t>
      </w:r>
      <w:r>
        <w:tab/>
      </w:r>
      <w:r>
        <w:t>die Angaben nach § 6 Abs. 1 Nr. 1 in Verbindung mit § 3 Abs. 1 Nr. 1 bis 6, 9 und 10, Abs. 4,</w:t>
      </w:r>
    </w:p>
    <w:p>
      <w:pPr>
        <w:tabs>
          <w:tab w:pos="1134" w:val="left"/>
        </w:tabs>
        <w:ind w:left="1134" w:hanging="567"/>
      </w:pPr>
      <w:r>
        <w:t>b)</w:t>
      </w:r>
      <w:r>
        <w:tab/>
      </w:r>
      <w:r>
        <w:t>die Angaben nach § 6 Abs. 1 Nr. 2 und 5,</w:t>
      </w:r>
    </w:p>
    <w:p>
      <w:pPr>
        <w:tabs>
          <w:tab w:pos="1134" w:val="left"/>
        </w:tabs>
        <w:ind w:left="1134" w:hanging="567"/>
      </w:pPr>
      <w:r>
        <w:t>c)</w:t>
      </w:r>
      <w:r>
        <w:tab/>
      </w:r>
      <w:r>
        <w:t>die Gesamtkosten sowie</w:t>
      </w:r>
    </w:p>
    <w:p>
      <w:pPr>
        <w:tabs>
          <w:tab w:pos="1134" w:val="left"/>
        </w:tabs>
        <w:ind w:left="1134" w:hanging="567"/>
      </w:pPr>
      <w:r>
        <w:t>d)</w:t>
      </w:r>
      <w:r>
        <w:tab/>
      </w:r>
      <w:r>
        <w:t>gegebenenfalls der Hinweis nach Nummer 1 Buchstabe c.</w:t>
      </w:r>
    </w:p>
    <w:p>
      <w:r>
        <w:t xml:space="preserve">(2) In den Fällen des § 5 Absatz 1 muss die Beschreibung der wesentlichen Merkmale nach </w:t>
      </w:r>
      <w:hyperlink w:anchor="b413" w:history="1">
        <w:r>
          <w:rPr>
            <w:color w:val="0A3A8C"/>
            <w:u w:val="single"/>
          </w:rPr>
          <w:t xml:space="preserve">Artikel 246b § 1</w:t>
        </w:r>
      </w:hyperlink>
      <w:r>
        <w:t xml:space="preserve"> Absatz 1 Nummer 6 zumindest die Angaben nach § 3 Absatz 1 Nummer 3 bis 5, 10, Absatz 3 und 4 sowie nach Absatz 1 Nr. 1 Buchstabe c enthalten.</w:t>
      </w:r>
    </w:p>
    <w:p>
      <w:r>
        <w:t>(3) Die Angabe des effektiven Jahreszinses ist entbehrlich, wenn der Darlehensgeber außer den Sollzinsen keine weiteren Kosten verlangt und die Sollzinsen nicht in kürzeren Zeiträumen als drei Monaten fällig werden.</w:t>
      </w:r>
    </w:p>
    <w:p>
      <w:pPr>
        <w:pStyle w:val="Heading3"/>
      </w:pPr>
      <w:bookmarkStart w:id="436" w:name="b435"/>
      <w:r>
        <w:t>Art 247 § 11 Abweichende Mitteilungspflichten bei Allgemein-Verbraucherdarlehensverträgen zur Umschuldung gemäß § 495 Absatz 2 Nummer 1 des Bürgerlichen Gesetzbuchs</w:t>
      </w:r>
      <w:r>
        <w:t xml:space="preserve"> </w:t>
      </w:r>
      <w:r>
        <w:rPr>
          <w:rStyle w:val="Suchmarke"/>
        </w:rPr>
        <w:t>#247-11.#</w:t>
      </w:r>
      <w:bookmarkEnd w:id="436"/>
    </w:p>
    <w:p>
      <w:r>
        <w:t>(1) Bei Allgemein-Verbraucherdarlehensverträgen zur Umschuldung gemäß § 495 Absatz 2 Nummer 1 des Bürgerlichen Gesetzbuchs sind abweichend von den §§ 3, 4 und 6 nur anzugeben:</w:t>
      </w:r>
    </w:p>
    <w:p>
      <w:pPr>
        <w:tabs>
          <w:tab w:pos="567" w:val="left"/>
        </w:tabs>
        <w:ind w:left="567" w:hanging="567"/>
      </w:pPr>
      <w:r>
        <w:t>1.</w:t>
      </w:r>
      <w:r>
        <w:tab/>
      </w:r>
      <w:r>
        <w:t>in der vorvertraglichen Information</w:t>
      </w:r>
    </w:p>
    <w:p>
      <w:pPr>
        <w:tabs>
          <w:tab w:pos="1134" w:val="left"/>
        </w:tabs>
        <w:ind w:left="1134" w:hanging="567"/>
      </w:pPr>
      <w:r>
        <w:t>a)</w:t>
      </w:r>
      <w:r>
        <w:tab/>
      </w:r>
      <w:r>
        <w:t>die Angaben nach § 3 Abs. 1 Nr. 1 bis 7, 10, 11, 14 und 16, Abs. 3 und 4,</w:t>
      </w:r>
    </w:p>
    <w:p>
      <w:pPr>
        <w:tabs>
          <w:tab w:pos="1134" w:val="left"/>
        </w:tabs>
        <w:ind w:left="1134" w:hanging="567"/>
      </w:pPr>
      <w:r>
        <w:t>b)</w:t>
      </w:r>
      <w:r>
        <w:tab/>
      </w:r>
      <w:r>
        <w:t>die Angaben nach § 4 Abs. 1 Nr. 3,</w:t>
      </w:r>
    </w:p>
    <w:p>
      <w:pPr>
        <w:tabs>
          <w:tab w:pos="1134" w:val="left"/>
        </w:tabs>
        <w:ind w:left="1134" w:hanging="567"/>
      </w:pPr>
      <w:r>
        <w:t>c)</w:t>
      </w:r>
      <w:r>
        <w:tab/>
      </w:r>
      <w:r>
        <w:t>die Angaben nach § 10 Abs. 1 Nr. 1 Buchstabe b sowie</w:t>
      </w:r>
    </w:p>
    <w:p>
      <w:pPr>
        <w:tabs>
          <w:tab w:pos="1134" w:val="left"/>
        </w:tabs>
        <w:ind w:left="1134" w:hanging="567"/>
      </w:pPr>
      <w:r>
        <w:t>d)</w:t>
      </w:r>
      <w:r>
        <w:tab/>
      </w:r>
      <w:r>
        <w:t>gegebenenfalls die Angaben nach § 4 Abs. 1 Nr. 4;</w:t>
      </w:r>
    </w:p>
    <w:p>
      <w:pPr>
        <w:tabs>
          <w:tab w:pos="567" w:val="left"/>
        </w:tabs>
        <w:ind w:left="567" w:hanging="567"/>
      </w:pPr>
      <w:r>
        <w:t>2.</w:t>
      </w:r>
      <w:r>
        <w:tab/>
      </w:r>
      <w:r>
        <w:t>im Vertrag</w:t>
      </w:r>
    </w:p>
    <w:p>
      <w:pPr>
        <w:tabs>
          <w:tab w:pos="1134" w:val="left"/>
        </w:tabs>
        <w:ind w:left="1134" w:hanging="567"/>
      </w:pPr>
      <w:r>
        <w:t>a)</w:t>
      </w:r>
      <w:r>
        <w:tab/>
      </w:r>
      <w:r>
        <w:t>die Angaben nach § 6 Abs. 1 Nr. 1 in Verbindung mit § 3 Abs. 1 Nr. 1 bis 9, 11 und 14, Abs. 3 und 4 sowie</w:t>
      </w:r>
    </w:p>
    <w:p>
      <w:pPr>
        <w:tabs>
          <w:tab w:pos="1134" w:val="left"/>
        </w:tabs>
        <w:ind w:left="1134" w:hanging="567"/>
      </w:pPr>
      <w:r>
        <w:t>b)</w:t>
      </w:r>
      <w:r>
        <w:tab/>
      </w:r>
      <w:r>
        <w:t>die Angaben nach § 6 Abs. 1 Nr. 2 bis 4 und 6.</w:t>
      </w:r>
    </w:p>
    <w:p>
      <w:r>
        <w:t xml:space="preserve">(2) In den Fällen des § 5 Absatz 1 muss die Beschreibung der wesentlichen Merkmale nach </w:t>
      </w:r>
      <w:hyperlink w:anchor="b413" w:history="1">
        <w:r>
          <w:rPr>
            <w:color w:val="0A3A8C"/>
            <w:u w:val="single"/>
          </w:rPr>
          <w:t xml:space="preserve">Artikel 246b § 1</w:t>
        </w:r>
      </w:hyperlink>
      <w:r>
        <w:t xml:space="preserve"> Absatz 1 Nummer 6 zumindest die Angaben nach § 3 Abs. 1 Nr. 3 bis 6, 10 sowie Abs. 3 und 4 enthalten.</w:t>
      </w:r>
    </w:p>
    <w:p>
      <w:r>
        <w:t xml:space="preserve">(3) </w:t>
      </w:r>
      <w:r>
        <w:rPr>
          <w:rStyle w:val="Satznummer"/>
        </w:rPr>
        <w:t>1</w:t>
      </w:r>
      <w:r>
        <w:t xml:space="preserve">Wird ein Verbraucherdarlehensvertrag gemäß § 495 Absatz 2 Nummer 1 des Bürgerlichen Gesetzbuchs als Überziehungsmöglichkeit im Sinne des § 504 Abs. 2 Satz 1 des Bürgerlichen Gesetzbuchs abgeschlossen, gilt § 10. </w:t>
      </w:r>
      <w:r>
        <w:rPr>
          <w:rStyle w:val="Satznummer"/>
        </w:rPr>
        <w:t>2</w:t>
      </w:r>
      <w:r>
        <w:t>Die Absätze 1 und 2 sind nicht anzuwenden.</w:t>
      </w:r>
    </w:p>
    <w:p>
      <w:pPr>
        <w:pStyle w:val="Heading3"/>
      </w:pPr>
      <w:bookmarkStart w:id="437" w:name="b436"/>
      <w:r>
        <w:t>Art 247 § 12 Verbundene Verträge und entgeltliche Finanzierungshilfen</w:t>
      </w:r>
      <w:r>
        <w:t xml:space="preserve"> </w:t>
      </w:r>
      <w:r>
        <w:rPr>
          <w:rStyle w:val="Suchmarke"/>
        </w:rPr>
        <w:t>#247-12.#</w:t>
      </w:r>
      <w:bookmarkEnd w:id="437"/>
    </w:p>
    <w:p>
      <w:r>
        <w:t xml:space="preserve">(1) </w:t>
      </w:r>
      <w:r>
        <w:rPr>
          <w:rStyle w:val="Satznummer"/>
        </w:rPr>
        <w:t>1</w:t>
      </w:r>
      <w:r>
        <w:t xml:space="preserve">Die §§ 1 bis 11 gelten entsprechend für die in § 506 Absatz 1 des Bürgerlichen Gesetzbuchs bezeichneten Verträge über entgeltliche Finanzierungshilfen. </w:t>
      </w:r>
      <w:r>
        <w:rPr>
          <w:rStyle w:val="Satznummer"/>
        </w:rPr>
        <w:t>2</w:t>
      </w:r>
      <w:r>
        <w:t>Bei diesen Verträgen oder Verbraucherdarlehensverträgen, die mit einem anderen Vertrag gemäß § 358 des Bürgerlichen Gesetzbuchs verbunden sind oder in denen eine Ware oder Leistung gemäß § 360 Absatz 2 Satz 2 des Bürgerlichen Gesetzbuchs angegeben ist, muss enthalten:</w:t>
      </w:r>
    </w:p>
    <w:p>
      <w:pPr>
        <w:tabs>
          <w:tab w:pos="567" w:val="left"/>
        </w:tabs>
        <w:ind w:left="567" w:hanging="567"/>
      </w:pPr>
      <w:r>
        <w:t>1.</w:t>
      </w:r>
      <w:r>
        <w:tab/>
      </w:r>
      <w:r>
        <w:t>die vorvertragliche Information, auch in den Fällen des § 5, den Gegenstand und den Barzahlungspreis,</w:t>
      </w:r>
    </w:p>
    <w:p>
      <w:pPr>
        <w:tabs>
          <w:tab w:pos="567" w:val="left"/>
        </w:tabs>
        <w:ind w:left="567" w:hanging="567"/>
      </w:pPr>
      <w:r>
        <w:t>2.</w:t>
      </w:r>
      <w:r>
        <w:tab/>
      </w:r>
      <w:r>
        <w:t>der Vertrag</w:t>
      </w:r>
    </w:p>
    <w:p>
      <w:pPr>
        <w:tabs>
          <w:tab w:pos="1134" w:val="left"/>
        </w:tabs>
        <w:ind w:left="1134" w:hanging="567"/>
      </w:pPr>
      <w:r>
        <w:t>a)</w:t>
      </w:r>
      <w:r>
        <w:tab/>
      </w:r>
      <w:r>
        <w:t>den Gegenstand und den Barzahlungspreis sowie</w:t>
      </w:r>
    </w:p>
    <w:p>
      <w:pPr>
        <w:tabs>
          <w:tab w:pos="1134" w:val="left"/>
        </w:tabs>
        <w:ind w:left="1134" w:hanging="567"/>
      </w:pPr>
      <w:r>
        <w:t>b)</w:t>
      </w:r>
      <w:r>
        <w:tab/>
      </w:r>
      <w:r>
        <w:t>Informationen über die sich aus den §§ 358 und 359 oder § 360 des Bürgerlichen Gesetzbuchs ergebenden Rechte und über die Bedingungen für die Ausübung dieser Rechte.</w:t>
      </w:r>
    </w:p>
    <w:p>
      <w:r>
        <w:rPr>
          <w:rStyle w:val="Satznummer"/>
        </w:rPr>
        <w:t>3</w:t>
      </w:r>
      <w:r>
        <w:t xml:space="preserve">Enthält der Verbraucherdarlehensvertrag eine Vertragsklausel in hervorgehobener und deutlich gestalteter Form, die bei Allgemein-Verbraucherdarlehensverträgen dem Muster in Anlage 7 und bei Immobiliar-Verbraucherdarlehensverträgen dem Muster in Anlage 8 entspricht, genügt diese Vertragsklausel bei verbundenen Verträgen sowie Geschäften gemäß § 360 Absatz 2 Satz 2 des Bürgerlichen Gesetzbuchs den in Satz 2 Nummer 2 Buchstabe b gestellten Anforderungen. </w:t>
      </w:r>
      <w:r>
        <w:rPr>
          <w:rStyle w:val="Satznummer"/>
        </w:rPr>
        <w:t>4</w:t>
      </w:r>
      <w:r>
        <w:t xml:space="preserve">Dies gilt bis zum Ablauf des 4. November 2011 auch bei entsprechender Verwendung dieses Musters in der Fassung des Gesetzes zur Einführung einer Musterwiderrufsinformation für Verbraucherdarlehensverträge, zur Änderung der Vorschriften über das Widerrufsrecht bei Verbraucherdarlehensverträgen und zur Änderung des Darlehensvermittlungsrechts vom 24. Juli 2010 (BGBl. I S. 977). </w:t>
      </w:r>
      <w:r>
        <w:rPr>
          <w:rStyle w:val="Satznummer"/>
        </w:rPr>
        <w:t>5</w:t>
      </w:r>
      <w:r>
        <w:t xml:space="preserve">Bei Verträgen über eine entgeltliche Finanzierungshilfe treten diese Rechtsfolgen nur ein, wenn die Informationen dem im Einzelfall vorliegenden Vertragstyp angepasst sind. </w:t>
      </w:r>
      <w:r>
        <w:rPr>
          <w:rStyle w:val="Satznummer"/>
        </w:rPr>
        <w:t>6</w:t>
      </w:r>
      <w:r>
        <w:t>Der Darlehensgeber darf unter Beachtung von Satz 3 in Format und Schriftgröße von dem Muster abweichen.</w:t>
      </w:r>
    </w:p>
    <w:p>
      <w:r>
        <w:t xml:space="preserve">(2) </w:t>
      </w:r>
      <w:r>
        <w:rPr>
          <w:rStyle w:val="Satznummer"/>
        </w:rPr>
        <w:t>1</w:t>
      </w:r>
      <w:r>
        <w:t xml:space="preserve">Bei Verträgen gemäß § 506 Absatz 2 Satz 1 Nummer 3 des Bürgerlichen Gesetzbuchs sind die Angaben nach § 3 Abs. 1 Nr. 14, § 4 Abs. 1 Nr. 3 und § 7 Nummer 3 entbehrlich. </w:t>
      </w:r>
      <w:r>
        <w:rPr>
          <w:rStyle w:val="Satznummer"/>
        </w:rPr>
        <w:t>2</w:t>
      </w:r>
      <w:r>
        <w:t xml:space="preserve">§ 14 Abs. 1 Satz 2 ist nicht anzuwenden. </w:t>
      </w:r>
      <w:r>
        <w:rPr>
          <w:rStyle w:val="Satznummer"/>
        </w:rPr>
        <w:t>3</w:t>
      </w:r>
      <w:r>
        <w:t>Hat der Unternehmer den Gegenstand für den Verbraucher erworben, tritt an die Stelle des Barzahlungspreises der Anschaffungspreis.</w:t>
      </w:r>
    </w:p>
    <w:p>
      <w:pPr>
        <w:pStyle w:val="Heading3"/>
      </w:pPr>
      <w:bookmarkStart w:id="438" w:name="b437"/>
      <w:r>
        <w:t>Art 247 § 13 Darlehensvermittler bei Verbraucherdarlehensverträgen</w:t>
      </w:r>
      <w:r>
        <w:t xml:space="preserve"> </w:t>
      </w:r>
      <w:r>
        <w:rPr>
          <w:rStyle w:val="Suchmarke"/>
        </w:rPr>
        <w:t>#247-13.#</w:t>
      </w:r>
      <w:bookmarkEnd w:id="438"/>
    </w:p>
    <w:p>
      <w:r>
        <w:t>(1) Ist bei der Anbahnung oder beim Abschluss eines Verbraucherdarlehensvertrags oder eines Vertrags über eine entgeltliche Finanzierungshilfe ein Darlehensvermittler beteiligt, so ist der Vertragsinhalt nach § 6 Abs. 1 um den Namen und die Anschrift des beteiligten Darlehensvermittlers zu ergänzen.</w:t>
      </w:r>
    </w:p>
    <w:p>
      <w:r>
        <w:t xml:space="preserve">(2) </w:t>
      </w:r>
      <w:r>
        <w:rPr>
          <w:rStyle w:val="Satznummer"/>
        </w:rPr>
        <w:t>1</w:t>
      </w:r>
      <w:r>
        <w:t>Wird der Darlehensvermittlungsvertrag im Sinne des § 655a des Bürgerlichen Gesetzbuchs mit einem Verbraucher abgeschlossen, so hat der Darlehensvermittler den Verbraucher rechtzeitig vor Abschluss des Darlehensvermittlungsvertrags auf einem dauerhaften Datenträger zu unterrichten über</w:t>
      </w:r>
    </w:p>
    <w:p>
      <w:pPr>
        <w:tabs>
          <w:tab w:pos="567" w:val="left"/>
        </w:tabs>
        <w:ind w:left="567" w:hanging="567"/>
      </w:pPr>
      <w:r>
        <w:t>1.</w:t>
      </w:r>
      <w:r>
        <w:tab/>
      </w:r>
      <w:r>
        <w:t>die Höhe einer vom Verbraucher verlangten Vergütung,</w:t>
      </w:r>
    </w:p>
    <w:p>
      <w:pPr>
        <w:tabs>
          <w:tab w:pos="567" w:val="left"/>
        </w:tabs>
        <w:ind w:left="567" w:hanging="567"/>
      </w:pPr>
      <w:r>
        <w:t>2.</w:t>
      </w:r>
      <w:r>
        <w:tab/>
      </w:r>
      <w:r>
        <w:t>die Tatsache, ob er für die Vermittlung von einem Dritten ein Entgelt oder sonstige Anreize erhält sowie gegebenenfalls die Höhe,</w:t>
      </w:r>
    </w:p>
    <w:p>
      <w:pPr>
        <w:tabs>
          <w:tab w:pos="567" w:val="left"/>
        </w:tabs>
        <w:ind w:left="567" w:hanging="567"/>
      </w:pPr>
      <w:r>
        <w:t>3.</w:t>
      </w:r>
      <w:r>
        <w:tab/>
      </w:r>
      <w:r>
        <w:t>den Umfang seiner Befugnisse, insbesondere, ob er ausschließlich für einen oder mehrere bestimmte Darlehensgeber oder unabhängig tätig wird, und</w:t>
      </w:r>
    </w:p>
    <w:p>
      <w:pPr>
        <w:tabs>
          <w:tab w:pos="567" w:val="left"/>
        </w:tabs>
        <w:ind w:left="567" w:hanging="567"/>
      </w:pPr>
      <w:r>
        <w:t>4.</w:t>
      </w:r>
      <w:r>
        <w:tab/>
      </w:r>
      <w:r>
        <w:t>gegebenenfalls weitere vom Verbraucher verlangte Nebenentgelte sowie deren Höhe, soweit diese zum Zeitpunkt der Unterrichtung bekannt ist, andernfalls einen Höchstbetrag.</w:t>
      </w:r>
    </w:p>
    <w:p>
      <w:r>
        <w:rPr>
          <w:rStyle w:val="Satznummer"/>
        </w:rPr>
        <w:t>2</w:t>
      </w:r>
      <w:r>
        <w:t>Wird der Darlehensvermittlungsvertrag im Sinne des § 655a des Bürgerlichen Gesetzbuchs ausschließlich mit einem Dritten abgeschlossen, so hat der Darlehensvermittler den Verbraucher rechtzeitig vor Abschluss eines vermittelten Vertrags im Sinne von Absatz 1 auf einem dauerhaften Datenträger über die Einzelheiten gemäß Satz 1 Nummer 2 und 3 zu unterrichten.</w:t>
      </w:r>
    </w:p>
    <w:p>
      <w:r>
        <w:t xml:space="preserve">(3) </w:t>
      </w:r>
      <w:r>
        <w:rPr>
          <w:rStyle w:val="Satznummer"/>
        </w:rPr>
        <w:t>1</w:t>
      </w:r>
      <w:r>
        <w:t xml:space="preserve">Der Darlehensvermittler hat dem Darlehensgeber die Höhe der von ihm verlangten Vergütung vor der Annahme des Auftrags mitzuteilen. </w:t>
      </w:r>
      <w:r>
        <w:rPr>
          <w:rStyle w:val="Satznummer"/>
        </w:rPr>
        <w:t>2</w:t>
      </w:r>
      <w:r>
        <w:t>Darlehensvermittler und Darlehensgeber haben sicherzustellen, dass die andere Partei eine Abschrift des Vertrags im Sinne von Absatz 1 erhält.</w:t>
      </w:r>
    </w:p>
    <w:p>
      <w:r>
        <w:t>(4) Wirbt der Darlehensvermittler gegenüber einem Verbraucher für den Abschluss eines Verbraucherdarlehensvertrags oder eines Vertrags über eine entgeltliche Finanzierungshilfe, so hat er hierbei die Angaben nach Absatz 2 Satz 1 Nummer 3 einzubeziehen.</w:t>
      </w:r>
    </w:p>
    <w:p>
      <w:pPr>
        <w:pStyle w:val="Heading3"/>
      </w:pPr>
      <w:bookmarkStart w:id="439" w:name="b438"/>
      <w:r>
        <w:t>Art 247 § 13a Besondere Regelungen für Darlehensvermittler bei Allgemein-Verbraucherdarlehensverträgen</w:t>
      </w:r>
      <w:r>
        <w:t xml:space="preserve"> </w:t>
      </w:r>
      <w:r>
        <w:rPr>
          <w:rStyle w:val="Suchmarke"/>
        </w:rPr>
        <w:t>#247-13a.#</w:t>
      </w:r>
      <w:bookmarkEnd w:id="439"/>
    </w:p>
    <w:p>
      <w:r>
        <w:t>Ist bei der Anbahnung oder beim Abschluss eines Allgemein-Verbraucherdarlehensvertrags oder eines Vertrags über eine entsprechende entgeltliche Finanzierungshilfe ein Darlehensvermittler beteiligt, so sind die vorvertraglichen Informationen nach § 3 Absatz 1 Nummer 1 um den Namen und die Anschrift des beteiligten Darlehensvermittlers zu ergänzen.</w:t>
      </w:r>
    </w:p>
    <w:p>
      <w:pPr>
        <w:pStyle w:val="Heading3"/>
      </w:pPr>
      <w:bookmarkStart w:id="440" w:name="b439"/>
      <w:r>
        <w:t>Art 247 § 13b Besondere Regelungen für Darlehensvermittler bei Immobiliar-Verbraucherdarlehensverträgen</w:t>
      </w:r>
      <w:r>
        <w:t xml:space="preserve"> </w:t>
      </w:r>
      <w:r>
        <w:rPr>
          <w:rStyle w:val="Suchmarke"/>
        </w:rPr>
        <w:t>#247-13b.#</w:t>
      </w:r>
      <w:bookmarkEnd w:id="440"/>
    </w:p>
    <w:p>
      <w:r>
        <w:t xml:space="preserve">(1) </w:t>
      </w:r>
      <w:r>
        <w:rPr>
          <w:rStyle w:val="Satznummer"/>
        </w:rPr>
        <w:t>1</w:t>
      </w:r>
      <w:r>
        <w:t>Bei der Vermittlung von Immobiliar-Verbraucherdarlehensverträgen muss der Darlehensvermittler mit der Unterrichtung nach § 13 Absatz 2 Folgendes zusätzlich mitteilen:</w:t>
      </w:r>
    </w:p>
    <w:p>
      <w:pPr>
        <w:tabs>
          <w:tab w:pos="567" w:val="left"/>
        </w:tabs>
        <w:ind w:left="567" w:hanging="567"/>
      </w:pPr>
      <w:r>
        <w:t>1.</w:t>
      </w:r>
      <w:r>
        <w:tab/>
      </w:r>
      <w:r>
        <w:t>seine Identität und Anschrift,</w:t>
      </w:r>
    </w:p>
    <w:p>
      <w:pPr>
        <w:tabs>
          <w:tab w:pos="567" w:val="left"/>
        </w:tabs>
        <w:ind w:left="567" w:hanging="567"/>
      </w:pPr>
      <w:r>
        <w:t>2.</w:t>
      </w:r>
      <w:r>
        <w:tab/>
      </w:r>
      <w:r>
        <w:t>in welches Register er eingetragen wurde, gegebenenfalls die Registrierungsnummer, und auf welche Weise der Registereintrag eingesehen werden kann,</w:t>
      </w:r>
    </w:p>
    <w:p>
      <w:pPr>
        <w:tabs>
          <w:tab w:pos="567" w:val="left"/>
        </w:tabs>
        <w:ind w:left="567" w:hanging="567"/>
      </w:pPr>
      <w:r>
        <w:t>3.</w:t>
      </w:r>
      <w:r>
        <w:tab/>
      </w:r>
      <w:r>
        <w:t>ob er an einen oder mehrere Darlehensgeber gemäß § 655a Absatz 3 Satz 3 des Bürgerlichen Gesetzbuchs gebunden oder ausschließlich für einen oder mehrere Darlehensgeber tätig ist, und wenn ja, die Namen der Darlehensgeber,</w:t>
      </w:r>
    </w:p>
    <w:p>
      <w:pPr>
        <w:tabs>
          <w:tab w:pos="567" w:val="left"/>
        </w:tabs>
        <w:ind w:left="567" w:hanging="567"/>
      </w:pPr>
      <w:r>
        <w:t>4.</w:t>
      </w:r>
      <w:r>
        <w:tab/>
      </w:r>
      <w:r>
        <w:t>ob er Beratungsleistungen anbietet,</w:t>
      </w:r>
    </w:p>
    <w:p>
      <w:pPr>
        <w:tabs>
          <w:tab w:pos="567" w:val="left"/>
        </w:tabs>
        <w:ind w:left="567" w:hanging="567"/>
      </w:pPr>
      <w:r>
        <w:t>5.</w:t>
      </w:r>
      <w:r>
        <w:tab/>
      </w:r>
      <w:r>
        <w:t>die Methode, nach der seine Vergütung berechnet wird, falls die Höhe noch nicht genau benannt werden kann,</w:t>
      </w:r>
    </w:p>
    <w:p>
      <w:pPr>
        <w:tabs>
          <w:tab w:pos="567" w:val="left"/>
        </w:tabs>
        <w:ind w:left="567" w:hanging="567"/>
      </w:pPr>
      <w:r>
        <w:t>6.</w:t>
      </w:r>
      <w:r>
        <w:tab/>
      </w:r>
      <w:r>
        <w:t>welche interne Verfahren für Beschwerden von Verbrauchern oder anderen interessierten Parteien über Darlehensvermittler zur Verfügung stehen sowie einen möglichen Zugang des Verbrauchers zu einem außergerichtlichen Beschwerde- und Rechtsbehelfsverfahren,</w:t>
      </w:r>
    </w:p>
    <w:p>
      <w:pPr>
        <w:tabs>
          <w:tab w:pos="567" w:val="left"/>
        </w:tabs>
        <w:ind w:left="567" w:hanging="567"/>
      </w:pPr>
      <w:r>
        <w:t>7.</w:t>
      </w:r>
      <w:r>
        <w:tab/>
      </w:r>
      <w:r>
        <w:t>ob ihm für seine im Zusammenhang mit dem Darlehensvertrag stehende Dienstleistung Provisionen oder sonstige Anreize von einem Dritten gewährt werden, und wenn ja, in welcher Höhe; ist die Höhe noch nicht bekannt, so ist mitzuteilen, dass der tatsächliche Betrag zu einem späteren Zeitpunkt im ESIS-Merkblatt angegeben wird.</w:t>
      </w:r>
    </w:p>
    <w:p>
      <w:r>
        <w:rPr>
          <w:rStyle w:val="Satznummer"/>
        </w:rPr>
        <w:t>2</w:t>
      </w:r>
      <w:r>
        <w:t>Beginnt der Darlehensvermittler seine Vermittlungstätigkeit vor Abschluss des Vermittlungsvertrags, so sind die Informationspflichten gemäß Satz 1 rechtzeitig vor Ausübung der Vermittlungstätigkeit zu erteilen.</w:t>
      </w:r>
    </w:p>
    <w:p>
      <w:r>
        <w:t>(2) Bei Immobiliar-Verbraucherdarlehensverträgen hat der Darlehensvermittler dem Darlehensgeber die Informationen gemäß § 1 Absatz 1, die er von dem Darlehensnehmer erhalten hat, zum Zweck der Kreditwürdigkeitsprüfung richtig und vollständig zu übermitteln.</w:t>
      </w:r>
    </w:p>
    <w:p>
      <w:r>
        <w:t>(3) Bietet der Darlehensvermittler im Zusammenhang mit der Vermittlung eines Immobiliar-Verbraucherdarlehensvertrags Beratungsleistungen an, gilt § 18 entsprechend.</w:t>
      </w:r>
    </w:p>
    <w:p>
      <w:pPr>
        <w:pStyle w:val="Heading3"/>
      </w:pPr>
      <w:bookmarkStart w:id="441" w:name="b440"/>
      <w:r>
        <w:t>Art 247 § 14 Tilgungsplan</w:t>
      </w:r>
      <w:r>
        <w:t xml:space="preserve"> </w:t>
      </w:r>
      <w:r>
        <w:rPr>
          <w:rStyle w:val="Suchmarke"/>
        </w:rPr>
        <w:t>#247-14.#</w:t>
      </w:r>
      <w:bookmarkEnd w:id="441"/>
    </w:p>
    <w:p>
      <w:r>
        <w:t xml:space="preserve">(1) </w:t>
      </w:r>
      <w:r>
        <w:rPr>
          <w:rStyle w:val="Satznummer"/>
        </w:rPr>
        <w:t>1</w:t>
      </w:r>
      <w:r>
        <w:t xml:space="preserve">Verlangt der Darlehensnehmer nach § 492 Abs. 3 Satz 2 des Bürgerlichen Gesetzbuchs einen Tilgungsplan, muss aus diesem hervorgehen, welche Zahlungen in welchen Zeitabständen zu leisten sind und welche Bedingungen für diese Zahlungen gelten. </w:t>
      </w:r>
      <w:r>
        <w:rPr>
          <w:rStyle w:val="Satznummer"/>
        </w:rPr>
        <w:t>2</w:t>
      </w:r>
      <w:r>
        <w:t>Dabei ist aufzuschlüsseln, in welcher Höhe die Teilzahlungen auf das Darlehen, die nach dem Sollzinssatz berechneten Zinsen und die sonstigen Kosten angerechnet werden.</w:t>
      </w:r>
    </w:p>
    <w:p>
      <w:r>
        <w:t>(2) Ist der Sollzinssatz nicht gebunden oder können die sonstigen Kosten angepasst werden, ist in dem Tilgungsplan in klarer und verständlicher Form anzugeben, dass die Daten des Tilgungsplans nur bis zur nächsten Anpassung des Sollzinssatzes oder der sonstigen Kosten gelten.</w:t>
      </w:r>
    </w:p>
    <w:p>
      <w:r>
        <w:t xml:space="preserve">(3) </w:t>
      </w:r>
      <w:r>
        <w:rPr>
          <w:rStyle w:val="Satznummer"/>
        </w:rPr>
        <w:t>1</w:t>
      </w:r>
      <w:r>
        <w:t xml:space="preserve">Der Tilgungsplan ist dem Darlehensnehmer auf einem dauerhaften Datenträger zur Verfügung zu stellen. </w:t>
      </w:r>
      <w:r>
        <w:rPr>
          <w:rStyle w:val="Satznummer"/>
        </w:rPr>
        <w:t>2</w:t>
      </w:r>
      <w:r>
        <w:t>Der Anspruch erlischt nicht, solange das Vertragsverhältnis besteht.</w:t>
      </w:r>
    </w:p>
    <w:p>
      <w:pPr>
        <w:pStyle w:val="Heading3"/>
      </w:pPr>
      <w:bookmarkStart w:id="442" w:name="b441"/>
      <w:r>
        <w:t>Art 247 § 15 Unterrichtungen bei Zinsanpassungen</w:t>
      </w:r>
      <w:r>
        <w:t xml:space="preserve"> </w:t>
      </w:r>
      <w:r>
        <w:rPr>
          <w:rStyle w:val="Suchmarke"/>
        </w:rPr>
        <w:t>#247-15.#</w:t>
      </w:r>
      <w:bookmarkEnd w:id="442"/>
    </w:p>
    <w:p>
      <w:r>
        <w:t>(1) Eine Zinsanpassung in einem Verbraucherdarlehensvertrag oder einem Vertrag über eine entgeltliche Finanzierungshilfe wird erst wirksam, nachdem der Darlehensgeber den Darlehensnehmer über</w:t>
      </w:r>
    </w:p>
    <w:p>
      <w:pPr>
        <w:tabs>
          <w:tab w:pos="567" w:val="left"/>
        </w:tabs>
        <w:ind w:left="567" w:hanging="567"/>
      </w:pPr>
      <w:r>
        <w:t>1.</w:t>
      </w:r>
      <w:r>
        <w:tab/>
      </w:r>
      <w:r>
        <w:t>den angepassten Sollzinssatz,</w:t>
      </w:r>
    </w:p>
    <w:p>
      <w:pPr>
        <w:tabs>
          <w:tab w:pos="567" w:val="left"/>
        </w:tabs>
        <w:ind w:left="567" w:hanging="567"/>
      </w:pPr>
      <w:r>
        <w:t>2.</w:t>
      </w:r>
      <w:r>
        <w:tab/>
      </w:r>
      <w:r>
        <w:t>die angepasste Höhe der Teilzahlungen und</w:t>
      </w:r>
    </w:p>
    <w:p>
      <w:pPr>
        <w:tabs>
          <w:tab w:pos="567" w:val="left"/>
        </w:tabs>
        <w:ind w:left="567" w:hanging="567"/>
      </w:pPr>
      <w:r>
        <w:t>3.</w:t>
      </w:r>
      <w:r>
        <w:tab/>
      </w:r>
      <w:r>
        <w:t>die Zahl und die Fälligkeit der Teilzahlungen, sofern sich diese ändern,</w:t>
      </w:r>
    </w:p>
    <w:p>
      <w:r>
        <w:t>unterrichtet hat.</w:t>
      </w:r>
    </w:p>
    <w:p>
      <w:r>
        <w:t xml:space="preserve">(2) </w:t>
      </w:r>
      <w:r>
        <w:rPr>
          <w:rStyle w:val="Satznummer"/>
        </w:rPr>
        <w:t>1</w:t>
      </w:r>
      <w:r>
        <w:t xml:space="preserve">Geht die Anpassung des Sollzinssatzes auf die Änderung eines Referenzzinssatzes zurück, können die Vertragsparteien einen von Absatz 1 abweichenden Zeitpunkt für die Wirksamkeit der Zinsanpassung vereinbaren. </w:t>
      </w:r>
      <w:r>
        <w:rPr>
          <w:rStyle w:val="Satznummer"/>
        </w:rPr>
        <w:t>2</w:t>
      </w:r>
      <w:r>
        <w:t xml:space="preserve">In diesen Fällen muss der Vertrag eine Pflicht des Darlehensgebers vorsehen, den Darlehensnehmer nach Absatz 1 in regelmäßigen Zeitabständen zu unterrichten. </w:t>
      </w:r>
      <w:r>
        <w:rPr>
          <w:rStyle w:val="Satznummer"/>
        </w:rPr>
        <w:t>3</w:t>
      </w:r>
      <w:r>
        <w:t xml:space="preserve">Bei einem Immobiliar-Verbraucherdarlehensvertrag muss der Vertrag ferner die Pflicht vorsehen, auch über den neuen Referenzzinssatz zu unterrichten. </w:t>
      </w:r>
      <w:r>
        <w:rPr>
          <w:rStyle w:val="Satznummer"/>
        </w:rPr>
        <w:t>4</w:t>
      </w:r>
      <w:r>
        <w:t>Außerdem muss der Darlehensnehmer die Höhe des Referenzzinssatzes in den Geschäftsräumen des Darlehensgebers einsehen können.</w:t>
      </w:r>
    </w:p>
    <w:p>
      <w:r>
        <w:t>(3) Werden bei einem Immobiliar-Verbraucherdarlehensvertrag Änderungen des Sollzinssatzes im Wege der Versteigerung auf den Kapitalmärkten festgelegt und kann der Darlehensgeber den Darlehensnehmer daher nicht vor dem Wirksamwerden der Änderung über diese in Kenntnis setzen, so hat der Darlehensgeber den Darlehensnehmer abweichend von Absatz 1 rechtzeitig vor der Versteigerung über das bevorstehende Verfahren zu unterrichten und darauf hinzuweisen, wie sich die Versteigerung auf den Sollzinssatz auswirken könnte.</w:t>
      </w:r>
    </w:p>
    <w:p>
      <w:pPr>
        <w:pStyle w:val="Heading3"/>
      </w:pPr>
      <w:bookmarkStart w:id="443" w:name="b442"/>
      <w:r>
        <w:t>Art 247 § 16 Unterrichtung bei Überziehungsmöglichkeiten</w:t>
      </w:r>
      <w:r>
        <w:t xml:space="preserve"> </w:t>
      </w:r>
      <w:r>
        <w:rPr>
          <w:rStyle w:val="Suchmarke"/>
        </w:rPr>
        <w:t>#247-16.#</w:t>
      </w:r>
      <w:bookmarkEnd w:id="443"/>
    </w:p>
    <w:p>
      <w:r>
        <w:t>Die Unterrichtung nach § 504 Abs. 1 Satz 1 des Bürgerlichen Gesetzbuchs muss folgende Angaben enthalten:</w:t>
      </w:r>
    </w:p>
    <w:p>
      <w:pPr>
        <w:tabs>
          <w:tab w:pos="567" w:val="left"/>
        </w:tabs>
        <w:ind w:left="567" w:hanging="567"/>
      </w:pPr>
      <w:r>
        <w:t>1.</w:t>
      </w:r>
      <w:r>
        <w:tab/>
      </w:r>
      <w:r>
        <w:t>den genauen Zeitraum, auf den sie sich bezieht,</w:t>
      </w:r>
    </w:p>
    <w:p>
      <w:pPr>
        <w:tabs>
          <w:tab w:pos="567" w:val="left"/>
        </w:tabs>
        <w:ind w:left="567" w:hanging="567"/>
      </w:pPr>
      <w:r>
        <w:t>2.</w:t>
      </w:r>
      <w:r>
        <w:tab/>
      </w:r>
      <w:r>
        <w:t>Datum und Höhe der an den Darlehensnehmer ausbezahlten Beträge,</w:t>
      </w:r>
    </w:p>
    <w:p>
      <w:pPr>
        <w:tabs>
          <w:tab w:pos="567" w:val="left"/>
        </w:tabs>
        <w:ind w:left="567" w:hanging="567"/>
      </w:pPr>
      <w:r>
        <w:t>3.</w:t>
      </w:r>
      <w:r>
        <w:tab/>
      </w:r>
      <w:r>
        <w:t>Saldo und Datum der vorangegangenen Unterrichtung,</w:t>
      </w:r>
    </w:p>
    <w:p>
      <w:pPr>
        <w:tabs>
          <w:tab w:pos="567" w:val="left"/>
        </w:tabs>
        <w:ind w:left="567" w:hanging="567"/>
      </w:pPr>
      <w:r>
        <w:t>4.</w:t>
      </w:r>
      <w:r>
        <w:tab/>
      </w:r>
      <w:r>
        <w:t>den neuen Saldo,</w:t>
      </w:r>
    </w:p>
    <w:p>
      <w:pPr>
        <w:tabs>
          <w:tab w:pos="567" w:val="left"/>
        </w:tabs>
        <w:ind w:left="567" w:hanging="567"/>
      </w:pPr>
      <w:r>
        <w:t>5.</w:t>
      </w:r>
      <w:r>
        <w:tab/>
      </w:r>
      <w:r>
        <w:t>Datum und Höhe der Rückzahlungen des Darlehensnehmers,</w:t>
      </w:r>
    </w:p>
    <w:p>
      <w:pPr>
        <w:tabs>
          <w:tab w:pos="567" w:val="left"/>
        </w:tabs>
        <w:ind w:left="567" w:hanging="567"/>
      </w:pPr>
      <w:r>
        <w:t>6.</w:t>
      </w:r>
      <w:r>
        <w:tab/>
      </w:r>
      <w:r>
        <w:t>den angewendeten Sollzinssatz,</w:t>
      </w:r>
    </w:p>
    <w:p>
      <w:pPr>
        <w:tabs>
          <w:tab w:pos="567" w:val="left"/>
        </w:tabs>
        <w:ind w:left="567" w:hanging="567"/>
      </w:pPr>
      <w:r>
        <w:t>7.</w:t>
      </w:r>
      <w:r>
        <w:tab/>
      </w:r>
      <w:r>
        <w:t>die erhobenen Kosten und</w:t>
      </w:r>
    </w:p>
    <w:p>
      <w:pPr>
        <w:tabs>
          <w:tab w:pos="567" w:val="left"/>
        </w:tabs>
        <w:ind w:left="567" w:hanging="567"/>
      </w:pPr>
      <w:r>
        <w:t>8.</w:t>
      </w:r>
      <w:r>
        <w:tab/>
      </w:r>
      <w:r>
        <w:t>den gegebenenfalls zurückzuzahlenden Mindestbetrag.</w:t>
      </w:r>
    </w:p>
    <w:p>
      <w:pPr>
        <w:pStyle w:val="Heading3"/>
      </w:pPr>
      <w:bookmarkStart w:id="444" w:name="b443"/>
      <w:r>
        <w:t>Art 247 § 17 Angaben bei geduldeten Überziehungen</w:t>
      </w:r>
      <w:r>
        <w:t xml:space="preserve"> </w:t>
      </w:r>
      <w:r>
        <w:rPr>
          <w:rStyle w:val="Suchmarke"/>
        </w:rPr>
        <w:t>#247-17.#</w:t>
      </w:r>
      <w:bookmarkEnd w:id="444"/>
    </w:p>
    <w:p>
      <w:r>
        <w:t>(1) Die Unterrichtung nach § 505 Abs. 1 des Bürgerlichen Gesetzbuchs muss folgende Angaben enthalten:</w:t>
      </w:r>
    </w:p>
    <w:p>
      <w:pPr>
        <w:tabs>
          <w:tab w:pos="567" w:val="left"/>
        </w:tabs>
        <w:ind w:left="567" w:hanging="567"/>
      </w:pPr>
      <w:r>
        <w:t>1.</w:t>
      </w:r>
      <w:r>
        <w:tab/>
      </w:r>
      <w:r>
        <w:t>den Sollzinssatz, die Bedingungen für seine Anwendung und, soweit vorhanden, Indizes oder Referenzzinssätze, auf die sich der Sollzinssatz bezieht,</w:t>
      </w:r>
    </w:p>
    <w:p>
      <w:pPr>
        <w:tabs>
          <w:tab w:pos="567" w:val="left"/>
        </w:tabs>
        <w:ind w:left="567" w:hanging="567"/>
      </w:pPr>
      <w:r>
        <w:t>2.</w:t>
      </w:r>
      <w:r>
        <w:tab/>
      </w:r>
      <w:r>
        <w:t>sämtliche Kosten, die ab dem Zeitpunkt der Überziehung anfallen, sowie die Bedingungen, unter denen die Kosten angepasst werden können.</w:t>
      </w:r>
    </w:p>
    <w:p>
      <w:r>
        <w:t>(2) Die Unterrichtung nach § 505 Abs. 2 des Bürgerlichen Gesetzbuchs muss folgende Angaben enthalten:</w:t>
      </w:r>
    </w:p>
    <w:p>
      <w:pPr>
        <w:tabs>
          <w:tab w:pos="567" w:val="left"/>
        </w:tabs>
        <w:ind w:left="567" w:hanging="567"/>
      </w:pPr>
      <w:r>
        <w:t>1.</w:t>
      </w:r>
      <w:r>
        <w:tab/>
      </w:r>
      <w:r>
        <w:t>das Vorliegen einer Überziehung,</w:t>
      </w:r>
    </w:p>
    <w:p>
      <w:pPr>
        <w:tabs>
          <w:tab w:pos="567" w:val="left"/>
        </w:tabs>
        <w:ind w:left="567" w:hanging="567"/>
      </w:pPr>
      <w:r>
        <w:t>2.</w:t>
      </w:r>
      <w:r>
        <w:tab/>
      </w:r>
      <w:r>
        <w:t>den Betrag der Überziehung,</w:t>
      </w:r>
    </w:p>
    <w:p>
      <w:pPr>
        <w:tabs>
          <w:tab w:pos="567" w:val="left"/>
        </w:tabs>
        <w:ind w:left="567" w:hanging="567"/>
      </w:pPr>
      <w:r>
        <w:t>3.</w:t>
      </w:r>
      <w:r>
        <w:tab/>
      </w:r>
      <w:r>
        <w:t>den Sollzinssatz und</w:t>
      </w:r>
    </w:p>
    <w:p>
      <w:pPr>
        <w:tabs>
          <w:tab w:pos="567" w:val="left"/>
        </w:tabs>
        <w:ind w:left="567" w:hanging="567"/>
      </w:pPr>
      <w:r>
        <w:t>4.</w:t>
      </w:r>
      <w:r>
        <w:tab/>
      </w:r>
      <w:r>
        <w:t>etwaige Vertragsstrafen, Kosten und Verzugszinsen.</w:t>
      </w:r>
    </w:p>
    <w:p>
      <w:pPr>
        <w:pStyle w:val="Heading3"/>
      </w:pPr>
      <w:bookmarkStart w:id="445" w:name="b444"/>
      <w:r>
        <w:t>Art 247 § 18 Vorvertragliche Informationen bei Beratungsleistungen für Immobiliar-Verbraucherdarlehensverträge</w:t>
      </w:r>
      <w:r>
        <w:t xml:space="preserve"> </w:t>
      </w:r>
      <w:r>
        <w:rPr>
          <w:rStyle w:val="Suchmarke"/>
        </w:rPr>
        <w:t>#247-18.#</w:t>
      </w:r>
      <w:bookmarkEnd w:id="445"/>
    </w:p>
    <w:p>
      <w:r>
        <w:t xml:space="preserve">(1) </w:t>
      </w:r>
      <w:r>
        <w:rPr>
          <w:rStyle w:val="Satznummer"/>
        </w:rPr>
        <w:t>1</w:t>
      </w:r>
      <w:r>
        <w:t>Bevor der Darlehensgeber Beratungsleistungen für einen Immobiliar-Verbraucherdarlehensvertrag erbringt oder einen entsprechenden Beratungsvertrag schließt, hat er den Darlehensnehmer darüber zu informieren,</w:t>
      </w:r>
    </w:p>
    <w:p>
      <w:pPr>
        <w:tabs>
          <w:tab w:pos="567" w:val="left"/>
        </w:tabs>
        <w:ind w:left="567" w:hanging="567"/>
      </w:pPr>
      <w:r>
        <w:t>1.</w:t>
      </w:r>
      <w:r>
        <w:tab/>
      </w:r>
      <w:r>
        <w:t>wie hoch das Entgelt ist, sofern ein solches für die Beratungsleistungen verlangt wird,</w:t>
      </w:r>
    </w:p>
    <w:p>
      <w:pPr>
        <w:tabs>
          <w:tab w:pos="567" w:val="left"/>
        </w:tabs>
        <w:ind w:left="567" w:hanging="567"/>
      </w:pPr>
      <w:r>
        <w:t>2.</w:t>
      </w:r>
      <w:r>
        <w:tab/>
      </w:r>
      <w:r>
        <w:t>ob der Darlehensgeber seiner Empfehlung</w:t>
      </w:r>
    </w:p>
    <w:p>
      <w:pPr>
        <w:tabs>
          <w:tab w:pos="1134" w:val="left"/>
        </w:tabs>
        <w:ind w:left="1134" w:hanging="567"/>
      </w:pPr>
      <w:r>
        <w:t>a)</w:t>
      </w:r>
      <w:r>
        <w:tab/>
      </w:r>
      <w:r>
        <w:t>nur oder im Wesentlichen eigene Produkte zugrunde legt oder</w:t>
      </w:r>
    </w:p>
    <w:p>
      <w:pPr>
        <w:tabs>
          <w:tab w:pos="1134" w:val="left"/>
        </w:tabs>
        <w:ind w:left="1134" w:hanging="567"/>
      </w:pPr>
      <w:r>
        <w:t>b)</w:t>
      </w:r>
      <w:r>
        <w:tab/>
      </w:r>
      <w:r>
        <w:t>neben eigenen Produkten auch eine größere Anzahl von Produkten anderer Anbieter zugrunde legt.</w:t>
      </w:r>
    </w:p>
    <w:p>
      <w:r>
        <w:rPr>
          <w:rStyle w:val="Satznummer"/>
        </w:rPr>
        <w:t>2</w:t>
      </w:r>
      <w:r>
        <w:t>Lässt sich die Höhe des Entgelts nach Satz 1 Nummer 1 noch nicht bestimmen, ist über die Methode zu informieren, die für die Berechnung verwendet wird.</w:t>
      </w:r>
    </w:p>
    <w:p>
      <w:r>
        <w:t>(2) Die Informationen sind auf einem dauerhaften Datenträger zu übermitteln; sie können in der gleichen Art und Weise wie weitere vorvertragliche Informationen gemäß § 1 Absatz 3 Satz 1 erteilt werden.</w:t>
      </w:r>
    </w:p>
    <w:p>
      <w:pPr>
        <w:pStyle w:val="Heading2"/>
      </w:pPr>
      <w:bookmarkStart w:id="446" w:name="b445"/>
      <w:r>
        <w:t>Art 247a Allgemeine Informationspflichten bei Verbraucherdarlehensverträgen, Verträgen über entgeltliche Finanzierungshilfen und deren Vermittlung</w:t>
      </w:r>
      <w:bookmarkEnd w:id="446"/>
    </w:p>
    <w:p>
      <w:pPr>
        <w:pStyle w:val="Heading3"/>
      </w:pPr>
      <w:bookmarkStart w:id="447" w:name="b446"/>
      <w:r>
        <w:t>Art 247a § 1 Allgemeine Informationspflichten bei Immobiliar-Verbraucherdarlehensverträgen und entsprechenden Finanzierungshilfen</w:t>
      </w:r>
      <w:r>
        <w:t xml:space="preserve"> </w:t>
      </w:r>
      <w:r>
        <w:rPr>
          <w:rStyle w:val="Suchmarke"/>
        </w:rPr>
        <w:t>#247a-1.#</w:t>
      </w:r>
      <w:bookmarkEnd w:id="447"/>
    </w:p>
    <w:p>
      <w:r>
        <w:t>(1) Unternehmer, die den Abschluss von Immobiliar-Verbraucherdarlehensverträgen oder deren Vermittlung durch gebundene Darlehensvermittler gemäß § 655a Absatz 3 Satz 3 des Bürgerlichen Gesetzbuchs anbieten, stellen für Standardgeschäfte nach § 675a des Bürgerlichen Gesetzbuchs in Textform unentgeltlich Informationen über Entgelte und Auslagen der Geschäftsbesorgung zur Verfügung, soweit nicht eine Preisfestsetzung nach § 315 des Bürgerlichen Gesetzbuchs erfolgt oder die Entgelte und Auslagen gesetzlich verbindlich geregelt sind.</w:t>
      </w:r>
    </w:p>
    <w:p>
      <w:r>
        <w:t xml:space="preserve">(2) </w:t>
      </w:r>
      <w:r>
        <w:rPr>
          <w:rStyle w:val="Satznummer"/>
        </w:rPr>
        <w:t>1</w:t>
      </w:r>
      <w:r>
        <w:t>Die Informationen nach Absatz 1 müssen zumindest folgende Angaben enthalten:</w:t>
      </w:r>
    </w:p>
    <w:p>
      <w:pPr>
        <w:tabs>
          <w:tab w:pos="567" w:val="left"/>
        </w:tabs>
        <w:ind w:left="567" w:hanging="567"/>
      </w:pPr>
      <w:r>
        <w:t>1.</w:t>
      </w:r>
      <w:r>
        <w:tab/>
      </w:r>
      <w:r>
        <w:t>die Identität und Anschrift des Darlehensgebers oder Darlehensvermittlers,</w:t>
      </w:r>
    </w:p>
    <w:p>
      <w:pPr>
        <w:tabs>
          <w:tab w:pos="567" w:val="left"/>
        </w:tabs>
        <w:ind w:left="567" w:hanging="567"/>
      </w:pPr>
      <w:r>
        <w:t>2.</w:t>
      </w:r>
      <w:r>
        <w:tab/>
      </w:r>
      <w:r>
        <w:t>die Zwecke, für die das Darlehen verwendet werden kann,</w:t>
      </w:r>
    </w:p>
    <w:p>
      <w:pPr>
        <w:tabs>
          <w:tab w:pos="567" w:val="left"/>
        </w:tabs>
        <w:ind w:left="567" w:hanging="567"/>
      </w:pPr>
      <w:r>
        <w:t>3.</w:t>
      </w:r>
      <w:r>
        <w:tab/>
      </w:r>
      <w:r>
        <w:t>die möglichen Formen von Sicherheiten, gegebenenfalls einschließlich eines Hinweises darauf, dass die Grundstücke oder grundstücksgleichen Rechte, an denen die Sicherheiten bestellt werden, in einem anderen Mitgliedstaat der Europäischen Union belegen sein dürfen,</w:t>
      </w:r>
    </w:p>
    <w:p>
      <w:pPr>
        <w:tabs>
          <w:tab w:pos="567" w:val="left"/>
        </w:tabs>
        <w:ind w:left="567" w:hanging="567"/>
      </w:pPr>
      <w:r>
        <w:t>4.</w:t>
      </w:r>
      <w:r>
        <w:tab/>
      </w:r>
      <w:r>
        <w:t>die möglichen Laufzeiten der Darlehensverträge,</w:t>
      </w:r>
    </w:p>
    <w:p>
      <w:pPr>
        <w:tabs>
          <w:tab w:pos="567" w:val="left"/>
        </w:tabs>
        <w:ind w:left="567" w:hanging="567"/>
      </w:pPr>
      <w:r>
        <w:t>5.</w:t>
      </w:r>
      <w:r>
        <w:tab/>
      </w:r>
      <w:r>
        <w:t>die angebotenen Arten von Sollzinssätzen, jeweils mit dem Hinweis, ob diese als feste oder veränderliche Zinssätze oder in beiden Varianten angeboten werden; die Merkmale eines festen und eines veränderlichen Zinssatzes, einschließlich der sich hieraus ergebenden Konsequenzen für den Darlehensnehmer, sind kurz darzustellen,</w:t>
      </w:r>
    </w:p>
    <w:p>
      <w:pPr>
        <w:tabs>
          <w:tab w:pos="567" w:val="left"/>
        </w:tabs>
        <w:ind w:left="567" w:hanging="567"/>
      </w:pPr>
      <w:r>
        <w:t>6.</w:t>
      </w:r>
      <w:r>
        <w:tab/>
      </w:r>
      <w:r>
        <w:t>ein repräsentatives Beispiel des Nettodarlehensbetrags, der Gesamtkosten, des Gesamtbetrags und des effektiven Jahreszinses,</w:t>
      </w:r>
    </w:p>
    <w:p>
      <w:pPr>
        <w:tabs>
          <w:tab w:pos="567" w:val="left"/>
        </w:tabs>
        <w:ind w:left="567" w:hanging="567"/>
      </w:pPr>
      <w:r>
        <w:t>7.</w:t>
      </w:r>
      <w:r>
        <w:tab/>
      </w:r>
      <w:r>
        <w:t>einen Hinweis auf mögliche weitere, im Zusammenhang mit einem Darlehensvertrag anfallende Kosten, die nicht in den Gesamtkosten des Darlehens enthalten sind,</w:t>
      </w:r>
    </w:p>
    <w:p>
      <w:pPr>
        <w:tabs>
          <w:tab w:pos="567" w:val="left"/>
        </w:tabs>
        <w:ind w:left="567" w:hanging="567"/>
      </w:pPr>
      <w:r>
        <w:t>8.</w:t>
      </w:r>
      <w:r>
        <w:tab/>
      </w:r>
      <w:r>
        <w:t>die verschiedenen möglichen Optionen zur Rückzahlung des Darlehens einschließlich der Anzahl, Häufigkeit und Höhe der regelmäßigen Rückzahlungsraten,</w:t>
      </w:r>
    </w:p>
    <w:p>
      <w:pPr>
        <w:tabs>
          <w:tab w:pos="567" w:val="left"/>
        </w:tabs>
        <w:ind w:left="567" w:hanging="567"/>
      </w:pPr>
      <w:r>
        <w:t>9.</w:t>
      </w:r>
      <w:r>
        <w:tab/>
      </w:r>
      <w:r>
        <w:t>gegebenenfalls einen klaren und prägnanten Hinweis darauf, dass die Einhaltung der Bedingungen des Darlehensvertrags nicht in jedem Fall gewährleistet, dass damit der in Anspruch genommene Darlehensbetrag vollständig zurückgezahlt werden wird,</w:t>
      </w:r>
    </w:p>
    <w:p>
      <w:pPr>
        <w:tabs>
          <w:tab w:pos="567" w:val="left"/>
        </w:tabs>
        <w:ind w:left="567" w:hanging="567"/>
      </w:pPr>
      <w:r>
        <w:t>10.</w:t>
      </w:r>
      <w:r>
        <w:tab/>
      </w:r>
      <w:r>
        <w:t>die Bedingungen, die für eine vorzeitige Rückzahlung gelten,</w:t>
      </w:r>
    </w:p>
    <w:p>
      <w:pPr>
        <w:tabs>
          <w:tab w:pos="567" w:val="left"/>
        </w:tabs>
        <w:ind w:left="567" w:hanging="567"/>
      </w:pPr>
      <w:r>
        <w:t>11.</w:t>
      </w:r>
      <w:r>
        <w:tab/>
      </w:r>
      <w:r>
        <w:t>Auskunft darüber, ob für den Vertragsschluss eine Bewertung des Werts des belasteten Grundstücks oder des Werts des zu erwerbenden oder zu erhaltenden Grundstücks, Gebäudes oder grundstücksgleichen Rechts erforderlich ist und, falls ja, wer dafür verantwortlich ist, dass die Bewertung durchgeführt wird, sowie Informationen darüber, ob dem Darlehensnehmer hierdurch Kosten entstehen,</w:t>
      </w:r>
    </w:p>
    <w:p>
      <w:pPr>
        <w:tabs>
          <w:tab w:pos="567" w:val="left"/>
        </w:tabs>
        <w:ind w:left="567" w:hanging="567"/>
      </w:pPr>
      <w:r>
        <w:t>12.</w:t>
      </w:r>
      <w:r>
        <w:tab/>
      </w:r>
      <w:r>
        <w:t>Auskunft über die Nebenleistungen, die der Darlehensnehmer erwerben muss, damit ihm das Darlehen überhaupt oder nach den vorgesehenen Vertragsbedingungen gewährt wird, und gegebenenfalls einen Hinweis darauf, dass die Nebenleistungen von einem anderen Anbieter als dem Darlehensgeber erworben werden können,</w:t>
      </w:r>
    </w:p>
    <w:p>
      <w:pPr>
        <w:tabs>
          <w:tab w:pos="567" w:val="left"/>
        </w:tabs>
        <w:ind w:left="567" w:hanging="567"/>
      </w:pPr>
      <w:r>
        <w:t>13.</w:t>
      </w:r>
      <w:r>
        <w:tab/>
      </w:r>
      <w:r>
        <w:t>eine allgemeine Warnung vor möglichen Konsequenzen für den Fall, dass der Darlehensnehmer die mit dem Darlehensvertrag eingegangenen Verpflichtungen nicht einhält, und</w:t>
      </w:r>
    </w:p>
    <w:p>
      <w:pPr>
        <w:tabs>
          <w:tab w:pos="567" w:val="left"/>
        </w:tabs>
        <w:ind w:left="567" w:hanging="567"/>
      </w:pPr>
      <w:r>
        <w:t>14.</w:t>
      </w:r>
      <w:r>
        <w:tab/>
      </w:r>
      <w:r>
        <w:t>falls Verträge angeboten werden, in denen auf einen Referenzwert im Sinne des Artikels 3 Absatz 1 Nummer 3 der Verordnung (EU) 2016/1011 Bezug genommen wird, die Bezeichnungen der Referenzwerte und die Namen der Administratoren sowie die möglichen Auswirkungen auf den Darlehensnehmer.</w:t>
      </w:r>
    </w:p>
    <w:p>
      <w:r>
        <w:rPr>
          <w:rStyle w:val="Satznummer"/>
        </w:rPr>
        <w:t>2</w:t>
      </w:r>
      <w:r>
        <w:t>Werden Verträge in einer anderen Währung als der Landeswährung des Darlehensnehmers nach § 503 Absatz 1 Satz 1 des Bürgerlichen Gesetzbuchs angeboten, so sind die in Betracht kommenden ausländischen Währungen anzugeben sowie die möglichen Konsequenzen eines Darlehens in Fremdwährung für den Darlehensnehmer zu erläutern.</w:t>
      </w:r>
    </w:p>
    <w:p>
      <w:r>
        <w:t>(3) Die Absätze 1 und 2 gelten entsprechend, wenn der Abschluss von Verträgen über entgeltliche Finanzierungshilfen gemäß § 506 Absatz 1 Satz 2 und 3 des Bürgerlichen Gesetzbuchs oder deren Vermittlung durch gebundene Darlehensvermittler gemäß § 655a Absatz 3 Satz 3 des Bürgerlichen Gesetzbuchs angeboten wird.</w:t>
      </w:r>
    </w:p>
    <w:p>
      <w:pPr>
        <w:pStyle w:val="Heading3"/>
      </w:pPr>
      <w:bookmarkStart w:id="448" w:name="b447"/>
      <w:r>
        <w:t>Art 247a § 2 Allgemeine Informationspflichten bei Überziehungsmöglichkeiten und Entgeltvereinbarungen für die Duldung einer Überziehung</w:t>
      </w:r>
      <w:r>
        <w:t xml:space="preserve"> </w:t>
      </w:r>
      <w:r>
        <w:rPr>
          <w:rStyle w:val="Suchmarke"/>
        </w:rPr>
        <w:t>#247a-2.#</w:t>
      </w:r>
      <w:bookmarkEnd w:id="448"/>
    </w:p>
    <w:p>
      <w:r>
        <w:t>(1) Unternehmer, die den Abschluss von Verträgen über die Einräumung von Überziehungsmöglichkeiten gemäß § 504 des Bürgerlichen Gesetzbuchs oder deren Vermittlung durch gebundene Darlehensvermittler gemäß § 655a Absatz 3 Satz 3 des Bürgerlichen Gesetzbuchs anbieten, stellen für Standardgeschäfte nach § 675a des Bürgerlichen Gesetzbuchs in Textform unentgeltlich Informationen über Entgelte und Auslagen der Geschäftsbesorgung zur Verfügung, soweit nicht eine Preisfestsetzung nach § 315 des Bürgerlichen Gesetzbuchs erfolgt oder die Entgelte und Auslagen gesetzlich verbindlich geregelt sind.</w:t>
      </w:r>
    </w:p>
    <w:p>
      <w:r>
        <w:t xml:space="preserve">(2) </w:t>
      </w:r>
      <w:r>
        <w:rPr>
          <w:rStyle w:val="Satznummer"/>
        </w:rPr>
        <w:t>1</w:t>
      </w:r>
      <w:r>
        <w:t xml:space="preserve">Der Sollzinssatz, der für die Überziehungsmöglichkeit berechnet wird, ist in den nach Absatz 1 zur Verfügung zu stellenden Informationen klar, eindeutig und in auffallender Weise anzugeben. </w:t>
      </w:r>
      <w:r>
        <w:rPr>
          <w:rStyle w:val="Satznummer"/>
        </w:rPr>
        <w:t>2</w:t>
      </w:r>
      <w:r>
        <w:t>Verfügt derjenige, der gemäß Absatz 1 Informationen bereitzustellen hat, über einen Internetauftritt, so ist der Sollzinssatz in entsprechender Weise auch dort anzugeben.</w:t>
      </w:r>
    </w:p>
    <w:p>
      <w:r>
        <w:t>(3) Die Absätze 1 und 2 gelten entsprechend für Unternehmer, die den Abschluss von Entgeltvereinbarungen für die Duldung von Überziehungen gemäß § 505 des Bürgerlichen Gesetzbuchs anbieten.</w:t>
      </w:r>
    </w:p>
    <w:p>
      <w:pPr>
        <w:pStyle w:val="Heading2"/>
      </w:pPr>
      <w:bookmarkStart w:id="449" w:name="b448"/>
      <w:r>
        <w:t>Art 248 Informationspflichten bei der Erbringung von Zahlungsdienstleistungen</w:t>
      </w:r>
      <w:bookmarkEnd w:id="449"/>
    </w:p>
    <w:p>
      <w:pPr>
        <w:pStyle w:val="Heading3"/>
      </w:pPr>
      <w:bookmarkStart w:id="450" w:name="b449"/>
      <w:r>
        <w:t>Abschnitt 1 Allgemeine Vorschriften</w:t>
      </w:r>
      <w:bookmarkEnd w:id="450"/>
    </w:p>
    <w:p>
      <w:pPr>
        <w:pStyle w:val="Heading4"/>
      </w:pPr>
      <w:bookmarkStart w:id="451" w:name="b450"/>
      <w:r>
        <w:t>Art 248 § 1 Konkurrierende Informationspflichten</w:t>
      </w:r>
      <w:r>
        <w:t xml:space="preserve"> </w:t>
      </w:r>
      <w:r>
        <w:rPr>
          <w:rStyle w:val="Suchmarke"/>
        </w:rPr>
        <w:t>#248-1.#</w:t>
      </w:r>
      <w:bookmarkEnd w:id="451"/>
    </w:p>
    <w:p>
      <w:r>
        <w:rPr>
          <w:rStyle w:val="Satznummer"/>
        </w:rPr>
        <w:t>1</w:t>
      </w:r>
      <w:r>
        <w:t xml:space="preserve">Ist der Zahlungsdienstevertrag zugleich ein Fernabsatzvertrag oder ein außerhalb von Geschäftsräumen geschlossener Vertrag, so werden die Informationspflichten nach </w:t>
      </w:r>
      <w:hyperlink w:anchor="b413" w:history="1">
        <w:r>
          <w:rPr>
            <w:color w:val="0A3A8C"/>
            <w:u w:val="single"/>
          </w:rPr>
          <w:t xml:space="preserve">Artikel 246b § 1</w:t>
        </w:r>
      </w:hyperlink>
      <w:r>
        <w:t xml:space="preserve"> Absatz 1 durch die Informationspflichten nach den §§ 2 bis 13 und 14 bis 16 ersetzt. </w:t>
      </w:r>
      <w:r>
        <w:rPr>
          <w:rStyle w:val="Satznummer"/>
        </w:rPr>
        <w:t>2</w:t>
      </w:r>
      <w:r>
        <w:t xml:space="preserve">Dies gilt bei Fernabsatzverträgen nicht für die in </w:t>
      </w:r>
      <w:hyperlink w:anchor="b413" w:history="1">
        <w:r>
          <w:rPr>
            <w:color w:val="0A3A8C"/>
            <w:u w:val="single"/>
          </w:rPr>
          <w:t xml:space="preserve">Artikel 246b § 1</w:t>
        </w:r>
      </w:hyperlink>
      <w:r>
        <w:t xml:space="preserve"> Absatz 1 Nummer 10 bis 14, 16 und 23 und bei außerhalb von Geschäftsräumen geschlossenen Verträgen nicht für die in </w:t>
      </w:r>
      <w:hyperlink w:anchor="b413" w:history="1">
        <w:r>
          <w:rPr>
            <w:color w:val="0A3A8C"/>
            <w:u w:val="single"/>
          </w:rPr>
          <w:t xml:space="preserve">Artikel 246b § 1</w:t>
        </w:r>
      </w:hyperlink>
      <w:r>
        <w:t xml:space="preserve"> Absatz 1 Nummer 16 genannten Informationspflichten.</w:t>
      </w:r>
    </w:p>
    <w:p>
      <w:pPr>
        <w:pStyle w:val="Heading4"/>
      </w:pPr>
      <w:bookmarkStart w:id="452" w:name="b451"/>
      <w:r>
        <w:t>Art 248 § 2 Allgemeine Form</w:t>
      </w:r>
      <w:r>
        <w:t xml:space="preserve"> </w:t>
      </w:r>
      <w:r>
        <w:rPr>
          <w:rStyle w:val="Suchmarke"/>
        </w:rPr>
        <w:t>#248-2.#</w:t>
      </w:r>
      <w:bookmarkEnd w:id="452"/>
    </w:p>
    <w:p>
      <w:r>
        <w:t>Die Informationen und Vertragsbedingungen sind in einer Amtssprache des Mitgliedstaats der Europäischen Union oder des Vertragsstaats des Abkommens über den Europäischen Wirtschaftsraum, in dem der Zahlungsdienst angeboten wird, oder in einer anderen zwischen den Parteien vereinbarten Sprache in leicht verständlichen Worten und in klarer und verständlicher Form abzufassen.</w:t>
      </w:r>
    </w:p>
    <w:p>
      <w:pPr>
        <w:pStyle w:val="Heading3"/>
      </w:pPr>
      <w:bookmarkStart w:id="453" w:name="b452"/>
      <w:r>
        <w:t>Abschnitt 2 Zahlungsdiensterahmenverträge</w:t>
      </w:r>
      <w:bookmarkEnd w:id="453"/>
    </w:p>
    <w:p>
      <w:pPr>
        <w:pStyle w:val="Heading4"/>
      </w:pPr>
      <w:bookmarkStart w:id="454" w:name="b453"/>
      <w:r>
        <w:t>Art 248 § 3 Besondere Form</w:t>
      </w:r>
      <w:r>
        <w:t xml:space="preserve"> </w:t>
      </w:r>
      <w:r>
        <w:rPr>
          <w:rStyle w:val="Suchmarke"/>
        </w:rPr>
        <w:t>#248-3.#</w:t>
      </w:r>
      <w:bookmarkEnd w:id="454"/>
    </w:p>
    <w:p>
      <w:r>
        <w:t>Bei Zahlungsdiensterahmenverträgen (§ 675f Abs. 2 des Bürgerlichen Gesetzbuchs) hat der Zahlungsdienstleister dem Zahlungsdienstnutzer die in den §§ 4 bis 9 genannten Informationen und Vertragsbedingungen auf einem dauerhaften Datenträger mitzuteilen.</w:t>
      </w:r>
    </w:p>
    <w:p>
      <w:pPr>
        <w:pStyle w:val="Heading4"/>
      </w:pPr>
      <w:bookmarkStart w:id="455" w:name="b454"/>
      <w:r>
        <w:t>Art 248 § 4 Vorvertragliche Informationen</w:t>
      </w:r>
      <w:r>
        <w:t xml:space="preserve"> </w:t>
      </w:r>
      <w:r>
        <w:rPr>
          <w:rStyle w:val="Suchmarke"/>
        </w:rPr>
        <w:t>#248-4.#</w:t>
      </w:r>
      <w:bookmarkEnd w:id="455"/>
    </w:p>
    <w:p>
      <w:r>
        <w:t>(1) Die folgenden vorvertraglichen Informationen und Vertragsbedingungen müssen rechtzeitig vor Abgabe der Vertragserklärung des Zahlungsdienstnutzers mitgeteilt werden:</w:t>
      </w:r>
    </w:p>
    <w:p>
      <w:pPr>
        <w:tabs>
          <w:tab w:pos="567" w:val="left"/>
        </w:tabs>
        <w:ind w:left="567" w:hanging="567"/>
      </w:pPr>
      <w:r>
        <w:t>1.</w:t>
      </w:r>
      <w:r>
        <w:tab/>
      </w:r>
      <w:r>
        <w:t>zum Zahlungsdienstleister</w:t>
      </w:r>
    </w:p>
    <w:p>
      <w:pPr>
        <w:tabs>
          <w:tab w:pos="1134" w:val="left"/>
        </w:tabs>
        <w:ind w:left="1134" w:hanging="567"/>
      </w:pPr>
      <w:r>
        <w:t>a)</w:t>
      </w:r>
      <w:r>
        <w:tab/>
      </w:r>
      <w:r>
        <w:t>den Namen, die ladungsfähige Anschrift seiner Hauptverwaltung und gegebenenfalls seines Agenten oder seiner Zweigniederlassung in dem Mitgliedstaat, in dem der Zahlungsdienst angeboten wird, sowie alle anderen Anschriften einschließlich E-Mail-Adresse, die für die Kommunikation mit dem Zahlungsdienstleister von Belang sind, und</w:t>
      </w:r>
    </w:p>
    <w:p>
      <w:pPr>
        <w:tabs>
          <w:tab w:pos="1134" w:val="left"/>
        </w:tabs>
        <w:ind w:left="1134" w:hanging="567"/>
      </w:pPr>
      <w:r>
        <w:t>b)</w:t>
      </w:r>
      <w:r>
        <w:tab/>
      </w:r>
      <w:r>
        <w:t>die für den Zahlungsdienstleister zuständigen Aufsichtsbehörden und das bei der Bundesanstalt für Finanzdienstleistungsaufsicht geführte Register oder jedes andere relevante öffentliche Register, in das der Zahlungsdienstleister als zugelassen eingetragen ist, sowie seine Registernummer oder eine gleichwertige in diesem Register verwendete Kennung,</w:t>
      </w:r>
    </w:p>
    <w:p>
      <w:pPr>
        <w:tabs>
          <w:tab w:pos="567" w:val="left"/>
        </w:tabs>
        <w:ind w:left="567" w:hanging="567"/>
      </w:pPr>
      <w:r>
        <w:t>2.</w:t>
      </w:r>
      <w:r>
        <w:tab/>
      </w:r>
      <w:r>
        <w:t>zur Nutzung des Zahlungsdienstes</w:t>
      </w:r>
    </w:p>
    <w:p>
      <w:pPr>
        <w:tabs>
          <w:tab w:pos="1134" w:val="left"/>
        </w:tabs>
        <w:ind w:left="1134" w:hanging="567"/>
      </w:pPr>
      <w:r>
        <w:t>a)</w:t>
      </w:r>
      <w:r>
        <w:tab/>
      </w:r>
      <w:r>
        <w:t>eine Beschreibung der wesentlichen Merkmale des zu erbringenden Zahlungsdienstes,</w:t>
      </w:r>
    </w:p>
    <w:p>
      <w:pPr>
        <w:tabs>
          <w:tab w:pos="1134" w:val="left"/>
        </w:tabs>
        <w:ind w:left="1134" w:hanging="567"/>
      </w:pPr>
      <w:r>
        <w:t>b)</w:t>
      </w:r>
      <w:r>
        <w:tab/>
      </w:r>
      <w:r>
        <w:t>Informationen oder Kundenkennungen, die für die ordnungsgemäße Auslösung oder Ausführung eines Zahlungsauftrags erforderlich sind,</w:t>
      </w:r>
    </w:p>
    <w:p>
      <w:pPr>
        <w:tabs>
          <w:tab w:pos="1134" w:val="left"/>
        </w:tabs>
        <w:ind w:left="1134" w:hanging="567"/>
      </w:pPr>
      <w:r>
        <w:t>c)</w:t>
      </w:r>
      <w:r>
        <w:tab/>
      </w:r>
      <w:r>
        <w:t>die Art und Weise der Zustimmung zur Auslösung eines Zahlungsauftrags oder zur Ausführung eines Zahlungsvorgangs und des Widerrufs eines Zahlungsauftrags gemäß den §§ 675j und 675p des Bürgerlichen Gesetzbuchs,</w:t>
      </w:r>
    </w:p>
    <w:p>
      <w:pPr>
        <w:tabs>
          <w:tab w:pos="1134" w:val="left"/>
        </w:tabs>
        <w:ind w:left="1134" w:hanging="567"/>
      </w:pPr>
      <w:r>
        <w:t>d)</w:t>
      </w:r>
      <w:r>
        <w:tab/>
      </w:r>
      <w:r>
        <w:t>den Zeitpunkt, ab dem ein Zahlungsauftrag gemäß § 675n Abs. 1 des Bürgerlichen Gesetzbuchs als zugegangen gilt, und gegebenenfalls den vom Zahlungsdienstleister gemäß § 675n Abs. 1 Satz 3 festgelegten Zeitpunkt,</w:t>
      </w:r>
    </w:p>
    <w:p>
      <w:pPr>
        <w:tabs>
          <w:tab w:pos="1134" w:val="left"/>
        </w:tabs>
        <w:ind w:left="1134" w:hanging="567"/>
      </w:pPr>
      <w:r>
        <w:t>e)</w:t>
      </w:r>
      <w:r>
        <w:tab/>
      </w:r>
      <w:r>
        <w:t>die maximale Ausführungsfrist für die zu erbringenden Zahlungsdienste,</w:t>
      </w:r>
    </w:p>
    <w:p>
      <w:pPr>
        <w:tabs>
          <w:tab w:pos="1134" w:val="left"/>
        </w:tabs>
        <w:ind w:left="1134" w:hanging="567"/>
      </w:pPr>
      <w:r>
        <w:t>f)</w:t>
      </w:r>
      <w:r>
        <w:tab/>
      </w:r>
      <w:r>
        <w:t>die Angabe, ob die Möglichkeit besteht, Betragsobergrenzen für die Nutzung eines Zahlungsinstruments gemäß § 675k Abs. 1 des Bürgerlichen Gesetzbuchs zu vereinbaren, und</w:t>
      </w:r>
    </w:p>
    <w:p>
      <w:pPr>
        <w:tabs>
          <w:tab w:pos="1134" w:val="left"/>
        </w:tabs>
        <w:ind w:left="1134" w:hanging="567"/>
      </w:pPr>
      <w:r>
        <w:t>g)</w:t>
      </w:r>
      <w:r>
        <w:tab/>
      </w:r>
      <w:r>
        <w:t>im Falle von kartengebundenen Zahlungsinstrumenten, die mehrere Zahlungsmarken tragen, die Rechte des Zahlungsdienstnutzers gemäß Artikel 8 der Verordnung (EU) 2015/751 des Europäischen Parlaments und des Rates vom 29. April 2015 über Interbankenentgelte für kartengebundene Zahlungsvorgänge (ABl. L 123 vom 19.5.2015, S. 1),</w:t>
      </w:r>
    </w:p>
    <w:p>
      <w:pPr>
        <w:tabs>
          <w:tab w:pos="567" w:val="left"/>
        </w:tabs>
        <w:ind w:left="567" w:hanging="567"/>
      </w:pPr>
      <w:r>
        <w:t>3.</w:t>
      </w:r>
      <w:r>
        <w:tab/>
      </w:r>
      <w:r>
        <w:t>zu Entgelten, Zinsen und Wechselkursen</w:t>
      </w:r>
    </w:p>
    <w:p>
      <w:pPr>
        <w:tabs>
          <w:tab w:pos="1134" w:val="left"/>
        </w:tabs>
        <w:ind w:left="1134" w:hanging="567"/>
      </w:pPr>
      <w:r>
        <w:t>a)</w:t>
      </w:r>
      <w:r>
        <w:tab/>
      </w:r>
      <w:r>
        <w:t>alle Entgelte, die der Zahlungsdienstnutzer an den Zahlungsdienstleister zu entrichten hat, einschließlich derjenigen, die sich danach richten, wie und wie oft über die geforderten Informationen zu unterrichten ist, sowie gegebenenfalls eine Aufschlüsselung dieser Entgelte,</w:t>
      </w:r>
    </w:p>
    <w:p>
      <w:pPr>
        <w:tabs>
          <w:tab w:pos="1134" w:val="left"/>
        </w:tabs>
        <w:ind w:left="1134" w:hanging="567"/>
      </w:pPr>
      <w:r>
        <w:t>b)</w:t>
      </w:r>
      <w:r>
        <w:tab/>
      </w:r>
      <w:r>
        <w:t>gegebenenfalls die zugrunde gelegten Zinssätze und Wechselkurse oder, bei Anwendung von Referenzzinssätzen und -wechselkursen, die Methode für die Berechnung der tatsächlichen Zinsen sowie der maßgebliche Stichtag und der Index oder die Grundlage für die Bestimmung des Referenzzinssatzes oder -wechselkurses, und</w:t>
      </w:r>
    </w:p>
    <w:p>
      <w:pPr>
        <w:tabs>
          <w:tab w:pos="1134" w:val="left"/>
        </w:tabs>
        <w:ind w:left="1134" w:hanging="567"/>
      </w:pPr>
      <w:r>
        <w:t>c)</w:t>
      </w:r>
      <w:r>
        <w:tab/>
      </w:r>
      <w:r>
        <w:t>soweit vereinbart, das unmittelbare Wirksamwerden von Änderungen des Referenzzinssatzes oder -wechselkurses gemäß § 675g Absatz 3 des Bürgerlichen Gesetzbuchs,</w:t>
      </w:r>
    </w:p>
    <w:p>
      <w:pPr>
        <w:tabs>
          <w:tab w:pos="567" w:val="left"/>
        </w:tabs>
        <w:ind w:left="567" w:hanging="567"/>
      </w:pPr>
      <w:r>
        <w:t>4.</w:t>
      </w:r>
      <w:r>
        <w:tab/>
      </w:r>
      <w:r>
        <w:t>zur Kommunikation</w:t>
      </w:r>
    </w:p>
    <w:p>
      <w:pPr>
        <w:tabs>
          <w:tab w:pos="1134" w:val="left"/>
        </w:tabs>
        <w:ind w:left="1134" w:hanging="567"/>
      </w:pPr>
      <w:r>
        <w:t>a)</w:t>
      </w:r>
      <w:r>
        <w:tab/>
      </w:r>
      <w:r>
        <w:t>die Kommunikationsmittel, deren Nutzung zwischen den Parteien für die Informationsübermittlung und Anzeigepflichten vereinbart wird, einschließlich der technischen Anforderungen an die Ausstattung und die Software des Zahlungsdienstnutzers,</w:t>
      </w:r>
    </w:p>
    <w:p>
      <w:pPr>
        <w:tabs>
          <w:tab w:pos="1134" w:val="left"/>
        </w:tabs>
        <w:ind w:left="1134" w:hanging="567"/>
      </w:pPr>
      <w:r>
        <w:t>b)</w:t>
      </w:r>
      <w:r>
        <w:tab/>
      </w:r>
      <w:r>
        <w:t>Angaben dazu, wie und wie oft die nach diesem Artikel geforderten Informationen mitzuteilen oder zugänglich zu machen sind,</w:t>
      </w:r>
    </w:p>
    <w:p>
      <w:pPr>
        <w:tabs>
          <w:tab w:pos="1134" w:val="left"/>
        </w:tabs>
        <w:ind w:left="1134" w:hanging="567"/>
      </w:pPr>
      <w:r>
        <w:t>c)</w:t>
      </w:r>
      <w:r>
        <w:tab/>
      </w:r>
      <w:r>
        <w:t>die Sprache oder Sprachen, in der oder in denen der Vertrag zu schließen ist und in der oder in denen die Kommunikation für die Dauer des Vertragsverhältnisses erfolgen soll, und</w:t>
      </w:r>
    </w:p>
    <w:p>
      <w:pPr>
        <w:tabs>
          <w:tab w:pos="1134" w:val="left"/>
        </w:tabs>
        <w:ind w:left="1134" w:hanging="567"/>
      </w:pPr>
      <w:r>
        <w:t>d)</w:t>
      </w:r>
      <w:r>
        <w:tab/>
      </w:r>
      <w:r>
        <w:t>einen Hinweis auf das Recht des Zahlungsdienstnutzers gemäß § 5, Informationen und Vertragsbedingungen in einer Urkunde zu erhalten,</w:t>
      </w:r>
    </w:p>
    <w:p>
      <w:pPr>
        <w:tabs>
          <w:tab w:pos="567" w:val="left"/>
        </w:tabs>
        <w:ind w:left="567" w:hanging="567"/>
      </w:pPr>
      <w:r>
        <w:t>5.</w:t>
      </w:r>
      <w:r>
        <w:tab/>
      </w:r>
      <w:r>
        <w:t>zu den Schutz- und Abhilfemaßnahmen</w:t>
      </w:r>
    </w:p>
    <w:p>
      <w:pPr>
        <w:tabs>
          <w:tab w:pos="1134" w:val="left"/>
        </w:tabs>
        <w:ind w:left="1134" w:hanging="567"/>
      </w:pPr>
      <w:r>
        <w:t>a)</w:t>
      </w:r>
      <w:r>
        <w:tab/>
      </w:r>
      <w:r>
        <w:t>gegebenenfalls eine Beschreibung, wie der Zahlungsdienstnutzer ein Zahlungsinstrument sicher aufbewahrt und wie er seine Anzeigepflicht gegenüber dem Zahlungsdienstleister gemäß § 675l Absatz 1 Satz 2 des Bürgerlichen Gesetzbuchs erfüllt,</w:t>
      </w:r>
    </w:p>
    <w:p>
      <w:pPr>
        <w:tabs>
          <w:tab w:pos="1134" w:val="left"/>
        </w:tabs>
        <w:ind w:left="1134" w:hanging="567"/>
      </w:pPr>
      <w:r>
        <w:t>b)</w:t>
      </w:r>
      <w:r>
        <w:tab/>
      </w:r>
      <w:r>
        <w:t>eine Beschreibung des sicheren Verfahrens zur Unterrichtung des Zahlungsdienstnutzers durch den Zahlungsdienstleister im Falle vermuteten oder tatsächlichen Betrugs oder bei Sicherheitsrisiken,</w:t>
      </w:r>
    </w:p>
    <w:p>
      <w:pPr>
        <w:tabs>
          <w:tab w:pos="1134" w:val="left"/>
        </w:tabs>
        <w:ind w:left="1134" w:hanging="567"/>
      </w:pPr>
      <w:r>
        <w:t>c)</w:t>
      </w:r>
      <w:r>
        <w:tab/>
      </w:r>
      <w:r>
        <w:t>soweit vereinbart, die Bedingungen, unter denen sich der Zahlungsdienstleister das Recht vorbehält, ein Zahlungsinstrument gemäß § 675k Abs. 2 des Bürgerlichen Gesetzbuchs zu sperren,</w:t>
      </w:r>
    </w:p>
    <w:p>
      <w:pPr>
        <w:tabs>
          <w:tab w:pos="1134" w:val="left"/>
        </w:tabs>
        <w:ind w:left="1134" w:hanging="567"/>
      </w:pPr>
      <w:r>
        <w:t>d)</w:t>
      </w:r>
      <w:r>
        <w:tab/>
      </w:r>
      <w:r>
        <w:t>Informationen zur Haftung des Zahlers gemäß § 675v des Bürgerlichen Gesetzbuchs einschließlich Angaben zum Höchstbetrag,</w:t>
      </w:r>
    </w:p>
    <w:p>
      <w:pPr>
        <w:tabs>
          <w:tab w:pos="1134" w:val="left"/>
        </w:tabs>
        <w:ind w:left="1134" w:hanging="567"/>
      </w:pPr>
      <w:r>
        <w:t>e)</w:t>
      </w:r>
      <w:r>
        <w:tab/>
      </w:r>
      <w:r>
        <w:t>Angaben dazu, wie und innerhalb welcher Frist der Zahlungsdienstnutzer dem Zahlungsdienstleister nicht autorisierte oder fehlerhaft ausgelöste oder ausgeführte Zahlungsvorgänge gemäß § 676b des Bürgerlichen Gesetzbuchs anzeigen muss, sowie Informationen über die Haftung des Zahlungsdienstleisters bei nicht autorisierten Zahlungsvorgängen gemäß § 675u des Bürgerlichen Gesetzbuchs,</w:t>
      </w:r>
    </w:p>
    <w:p>
      <w:pPr>
        <w:tabs>
          <w:tab w:pos="1134" w:val="left"/>
        </w:tabs>
        <w:ind w:left="1134" w:hanging="567"/>
      </w:pPr>
      <w:r>
        <w:t>f)</w:t>
      </w:r>
      <w:r>
        <w:tab/>
      </w:r>
      <w:r>
        <w:t>Informationen über die Haftung des Zahlungsdienstleisters bei der Auslösung oder Ausführung von Zahlungsvorgängen gemäß § 675y des Bürgerlichen Gesetzbuchs und</w:t>
      </w:r>
    </w:p>
    <w:p>
      <w:pPr>
        <w:tabs>
          <w:tab w:pos="1134" w:val="left"/>
        </w:tabs>
        <w:ind w:left="1134" w:hanging="567"/>
      </w:pPr>
      <w:r>
        <w:t>g)</w:t>
      </w:r>
      <w:r>
        <w:tab/>
      </w:r>
      <w:r>
        <w:t>die Bedingungen für Erstattungen gemäß § 675x des Bürgerlichen Gesetzbuchs,</w:t>
      </w:r>
    </w:p>
    <w:p>
      <w:pPr>
        <w:tabs>
          <w:tab w:pos="567" w:val="left"/>
        </w:tabs>
        <w:ind w:left="567" w:hanging="567"/>
      </w:pPr>
      <w:r>
        <w:t>6.</w:t>
      </w:r>
      <w:r>
        <w:tab/>
      </w:r>
      <w:r>
        <w:t>zu Änderungen der Bedingungen und Kündigung des Zahlungsdiensterahmenvertrags</w:t>
      </w:r>
    </w:p>
    <w:p>
      <w:pPr>
        <w:tabs>
          <w:tab w:pos="1134" w:val="left"/>
        </w:tabs>
        <w:ind w:left="1134" w:hanging="567"/>
      </w:pPr>
      <w:r>
        <w:t>a)</w:t>
      </w:r>
      <w:r>
        <w:tab/>
      </w:r>
      <w:r>
        <w:t>soweit vereinbart, die Angabe, dass die Zustimmung des Zahlungsdienstnutzers zu einer Änderung der Vertragsbedingungen gemäß § 675g des Bürgerlichen Gesetzbuchs als erteilt gilt, wenn er dem Zahlungsdienstleister seine Ablehnung nicht vor dem Zeitpunkt angezeigt hat, zu dem die geänderten Vertragsbedingungen in Kraft treten sollen,</w:t>
      </w:r>
    </w:p>
    <w:p>
      <w:pPr>
        <w:tabs>
          <w:tab w:pos="1134" w:val="left"/>
        </w:tabs>
        <w:ind w:left="1134" w:hanging="567"/>
      </w:pPr>
      <w:r>
        <w:t>b)</w:t>
      </w:r>
      <w:r>
        <w:tab/>
      </w:r>
      <w:r>
        <w:t>die Laufzeit des Zahlungsdiensterahmenvertrags und</w:t>
      </w:r>
    </w:p>
    <w:p>
      <w:pPr>
        <w:tabs>
          <w:tab w:pos="1134" w:val="left"/>
        </w:tabs>
        <w:ind w:left="1134" w:hanging="567"/>
      </w:pPr>
      <w:r>
        <w:t>c)</w:t>
      </w:r>
      <w:r>
        <w:tab/>
      </w:r>
      <w:r>
        <w:t>einen Hinweis auf das Recht des Zahlungsdienstnutzers, den Vertrag zu kündigen, sowie auf sonstige kündigungsrelevante Vereinbarungen gemäß § 675g Abs. 2 und § 675h des Bürgerlichen Gesetzbuchs,</w:t>
      </w:r>
    </w:p>
    <w:p>
      <w:pPr>
        <w:tabs>
          <w:tab w:pos="567" w:val="left"/>
        </w:tabs>
        <w:ind w:left="567" w:hanging="567"/>
      </w:pPr>
      <w:r>
        <w:t>7.</w:t>
      </w:r>
      <w:r>
        <w:tab/>
      </w:r>
      <w:r>
        <w:t>die Vertragsklauseln über das auf den Zahlungsdiensterahmenvertrag anwendbare Recht oder über das zuständige Gericht und</w:t>
      </w:r>
    </w:p>
    <w:p>
      <w:pPr>
        <w:tabs>
          <w:tab w:pos="567" w:val="left"/>
        </w:tabs>
        <w:ind w:left="567" w:hanging="567"/>
      </w:pPr>
      <w:r>
        <w:t>8.</w:t>
      </w:r>
      <w:r>
        <w:tab/>
      </w:r>
      <w:r>
        <w:t>einen Hinweis auf die Beschwerdeverfahren gemäß den §§ 60 bis 62 des Zahlungsdiensteaufsichtsgesetzes sowie auf das außergerichtliche Rechtsbehelfsverfahren gemäß § 14 des Unterlassungsklagengesetzes.</w:t>
      </w:r>
    </w:p>
    <w:p>
      <w:r>
        <w:t>(2) Wenn auf Verlangen des Zahlungsdienstnutzers der Zahlungsdiensterahmenvertrag unter Verwendung eines Fernkommunikationsmittels geschlossen wird, das dem Zahlungsdienstleister die Mitteilung der in Absatz 1 bestimmten Informationen und Vertragsbedingungen auf einem dauerhaften Datenträger nicht gestattet, hat der Zahlungsdienstleister dem Zahlungsdienstnutzer diese unverzüglich nach Abschluss des Vertrags in der in den §§ 2 und 3 vorgesehenen Form mitzuteilen.</w:t>
      </w:r>
    </w:p>
    <w:p>
      <w:r>
        <w:t>(3) Die Pflichten gemäß Absatz 1 können auch erfüllt werden, indem eine Abschrift des Vertragsentwurfs übermittelt wird, die die nach Absatz 1 erforderlichen Informationen und Vertragsbedingungen enthält.</w:t>
      </w:r>
    </w:p>
    <w:p>
      <w:pPr>
        <w:pStyle w:val="Heading4"/>
      </w:pPr>
      <w:bookmarkStart w:id="456" w:name="b455"/>
      <w:r>
        <w:t>Art 248 § 5 Zugang zu Vertragsbedingungen und vorvertraglichen Informationen während der Vertragslaufzeit</w:t>
      </w:r>
      <w:r>
        <w:t xml:space="preserve"> </w:t>
      </w:r>
      <w:r>
        <w:rPr>
          <w:rStyle w:val="Suchmarke"/>
        </w:rPr>
        <w:t>#248-5.#</w:t>
      </w:r>
      <w:bookmarkEnd w:id="456"/>
    </w:p>
    <w:p>
      <w:r>
        <w:t>Während der Vertragslaufzeit kann der Zahlungsdienstnutzer jederzeit die Übermittlung der Vertragsbedingungen sowie der in § 4 genannten Informationen in Papierform oder auf einem anderen dauerhaften Datenträger verlangen.</w:t>
      </w:r>
    </w:p>
    <w:p>
      <w:pPr>
        <w:pStyle w:val="Heading4"/>
      </w:pPr>
      <w:bookmarkStart w:id="457" w:name="b456"/>
      <w:r>
        <w:t>Art 248 § 6 Informationen vor Ausführung einzelner Zahlungsvorgänge</w:t>
      </w:r>
      <w:r>
        <w:t xml:space="preserve"> </w:t>
      </w:r>
      <w:r>
        <w:rPr>
          <w:rStyle w:val="Suchmarke"/>
        </w:rPr>
        <w:t>#248-6.#</w:t>
      </w:r>
      <w:bookmarkEnd w:id="457"/>
    </w:p>
    <w:p>
      <w:r>
        <w:t>Vor Ausführung eines einzelnen vom Zahler ausgelösten Zahlungsvorgangs teilt der Zahlungsdienstleister auf Verlangen des Zahlers Folgendes mit:</w:t>
      </w:r>
    </w:p>
    <w:p>
      <w:pPr>
        <w:tabs>
          <w:tab w:pos="567" w:val="left"/>
        </w:tabs>
        <w:ind w:left="567" w:hanging="567"/>
      </w:pPr>
      <w:r>
        <w:t>1.</w:t>
      </w:r>
      <w:r>
        <w:tab/>
      </w:r>
      <w:r>
        <w:t>die maximale Ausführungsfrist,</w:t>
      </w:r>
    </w:p>
    <w:p>
      <w:pPr>
        <w:tabs>
          <w:tab w:pos="567" w:val="left"/>
        </w:tabs>
        <w:ind w:left="567" w:hanging="567"/>
      </w:pPr>
      <w:r>
        <w:t>2.</w:t>
      </w:r>
      <w:r>
        <w:tab/>
      </w:r>
      <w:r>
        <w:t>die dem Zahler in Rechnung zu stellenden Entgelte und</w:t>
      </w:r>
    </w:p>
    <w:p>
      <w:pPr>
        <w:tabs>
          <w:tab w:pos="567" w:val="left"/>
        </w:tabs>
        <w:ind w:left="567" w:hanging="567"/>
      </w:pPr>
      <w:r>
        <w:t>3.</w:t>
      </w:r>
      <w:r>
        <w:tab/>
      </w:r>
      <w:r>
        <w:t>gegebenenfalls die Aufschlüsselung der Entgelte nach Nummer 2.</w:t>
      </w:r>
    </w:p>
    <w:p>
      <w:pPr>
        <w:pStyle w:val="Heading4"/>
      </w:pPr>
      <w:bookmarkStart w:id="458" w:name="b457"/>
      <w:r>
        <w:t>Art 248 § 7 Informationen an den Zahler bei einzelnen Zahlungsvorgängen</w:t>
      </w:r>
      <w:r>
        <w:t xml:space="preserve"> </w:t>
      </w:r>
      <w:r>
        <w:rPr>
          <w:rStyle w:val="Suchmarke"/>
        </w:rPr>
        <w:t>#248-7.#</w:t>
      </w:r>
      <w:bookmarkEnd w:id="458"/>
    </w:p>
    <w:p>
      <w:r>
        <w:t>Nach Belastung des Kontos des Zahlers mit dem Zahlungsbetrag eines einzelnen Zahlungsvorgangs oder, falls der Zahler kein Zahlungskonto verwendet, nach Zugang des Zahlungsauftrags teilt der Zahlungsdienstleister des Zahlers diesem unverzüglich die folgenden Informationen mit:</w:t>
      </w:r>
    </w:p>
    <w:p>
      <w:pPr>
        <w:tabs>
          <w:tab w:pos="567" w:val="left"/>
        </w:tabs>
        <w:ind w:left="567" w:hanging="567"/>
      </w:pPr>
      <w:r>
        <w:t>1.</w:t>
      </w:r>
      <w:r>
        <w:tab/>
      </w:r>
      <w:r>
        <w:t>eine dem Zahlungsvorgang zugeordnete Kennung, die dem Zahler die Identifizierung des betreffenden Zahlungsvorgangs ermöglicht, sowie gegebenenfalls Angaben zum Zahlungsempfänger,</w:t>
      </w:r>
    </w:p>
    <w:p>
      <w:pPr>
        <w:tabs>
          <w:tab w:pos="567" w:val="left"/>
        </w:tabs>
        <w:ind w:left="567" w:hanging="567"/>
      </w:pPr>
      <w:r>
        <w:t>2.</w:t>
      </w:r>
      <w:r>
        <w:tab/>
      </w:r>
      <w:r>
        <w:t>den Zahlungsbetrag in der Währung, in der das Zahlungskonto des Zahlers belastet wird, oder in der Währung, die im Zahlungsauftrag verwendet wird,</w:t>
      </w:r>
    </w:p>
    <w:p>
      <w:pPr>
        <w:tabs>
          <w:tab w:pos="567" w:val="left"/>
        </w:tabs>
        <w:ind w:left="567" w:hanging="567"/>
      </w:pPr>
      <w:r>
        <w:t>3.</w:t>
      </w:r>
      <w:r>
        <w:tab/>
      </w:r>
      <w:r>
        <w:t>die für den Zahlungsvorgang zu entrichtenden Entgelte und gegebenenfalls eine Aufschlüsselung der Beträge dieser Entgelte oder die vom Zahler zu entrichtenden Zinsen,</w:t>
      </w:r>
    </w:p>
    <w:p>
      <w:pPr>
        <w:tabs>
          <w:tab w:pos="567" w:val="left"/>
        </w:tabs>
        <w:ind w:left="567" w:hanging="567"/>
      </w:pPr>
      <w:r>
        <w:t>4.</w:t>
      </w:r>
      <w:r>
        <w:tab/>
      </w:r>
      <w:r>
        <w:t>gegebenenfalls den Wechselkurs, den der Zahlungsdienstleister des Zahlers dem Zahlungsvorgang zugrunde gelegt hat, und den Betrag, der nach dieser Währungsumrechnung Gegenstand des Zahlungsvorgangs ist, und</w:t>
      </w:r>
    </w:p>
    <w:p>
      <w:pPr>
        <w:tabs>
          <w:tab w:pos="567" w:val="left"/>
        </w:tabs>
        <w:ind w:left="567" w:hanging="567"/>
      </w:pPr>
      <w:r>
        <w:t>5.</w:t>
      </w:r>
      <w:r>
        <w:tab/>
      </w:r>
      <w:r>
        <w:t>das Wertstellungsdatum der Belastung oder das Datum des Zugangs des Zahlungsauftrags.</w:t>
      </w:r>
    </w:p>
    <w:p>
      <w:pPr>
        <w:pStyle w:val="Heading4"/>
      </w:pPr>
      <w:bookmarkStart w:id="459" w:name="b458"/>
      <w:r>
        <w:t>Art 248 § 8 Informationen an den Zahlungsempfänger bei einzelnen Zahlungsvorgängen</w:t>
      </w:r>
      <w:r>
        <w:t xml:space="preserve"> </w:t>
      </w:r>
      <w:r>
        <w:rPr>
          <w:rStyle w:val="Suchmarke"/>
        </w:rPr>
        <w:t>#248-8.#</w:t>
      </w:r>
      <w:bookmarkEnd w:id="459"/>
    </w:p>
    <w:p>
      <w:r>
        <w:t>Nach Ausführung eines einzelnen Zahlungsvorgangs teilt der Zahlungsdienstleister des Zahlungsempfängers diesem unverzüglich die folgenden Informationen mit:</w:t>
      </w:r>
    </w:p>
    <w:p>
      <w:pPr>
        <w:tabs>
          <w:tab w:pos="567" w:val="left"/>
        </w:tabs>
        <w:ind w:left="567" w:hanging="567"/>
      </w:pPr>
      <w:r>
        <w:t>1.</w:t>
      </w:r>
      <w:r>
        <w:tab/>
      </w:r>
      <w:r>
        <w:t>eine dem Zahlungsvorgang zugeordnete Kennung, die dem Zahlungsempfänger die Identifizierung des Zahlungsvorgangs und des Zahlers ermöglicht, sowie alle weiteren mit dem Zahlungsvorgang übermittelten Angaben,</w:t>
      </w:r>
    </w:p>
    <w:p>
      <w:pPr>
        <w:tabs>
          <w:tab w:pos="567" w:val="left"/>
        </w:tabs>
        <w:ind w:left="567" w:hanging="567"/>
      </w:pPr>
      <w:r>
        <w:t>2.</w:t>
      </w:r>
      <w:r>
        <w:tab/>
      </w:r>
      <w:r>
        <w:t>den Zahlungsbetrag in der Währung, in der dieser Betrag auf dem Zahlungskonto des Zahlungsempfängers gutgeschrieben wird,</w:t>
      </w:r>
    </w:p>
    <w:p>
      <w:pPr>
        <w:tabs>
          <w:tab w:pos="567" w:val="left"/>
        </w:tabs>
        <w:ind w:left="567" w:hanging="567"/>
      </w:pPr>
      <w:r>
        <w:t>3.</w:t>
      </w:r>
      <w:r>
        <w:tab/>
      </w:r>
      <w:r>
        <w:t>den Betrag der für den Zahlungsvorgang zu entrichtenden Entgelte und gegebenenfalls deren Aufschlüsselung oder der vom Zahlungsempfänger zu entrichtenden Zinsen,</w:t>
      </w:r>
    </w:p>
    <w:p>
      <w:pPr>
        <w:tabs>
          <w:tab w:pos="567" w:val="left"/>
        </w:tabs>
        <w:ind w:left="567" w:hanging="567"/>
      </w:pPr>
      <w:r>
        <w:t>4.</w:t>
      </w:r>
      <w:r>
        <w:tab/>
      </w:r>
      <w:r>
        <w:t>gegebenenfalls den Wechselkurs, den der Zahlungsdienstleister des Zahlungsempfängers dem Zahlungsvorgang zugrunde gelegt hat, und den Betrag, der vor dieser Währungsumrechnung Gegenstand des Zahlungsvorgangs war, und</w:t>
      </w:r>
    </w:p>
    <w:p>
      <w:pPr>
        <w:tabs>
          <w:tab w:pos="567" w:val="left"/>
        </w:tabs>
        <w:ind w:left="567" w:hanging="567"/>
      </w:pPr>
      <w:r>
        <w:t>5.</w:t>
      </w:r>
      <w:r>
        <w:tab/>
      </w:r>
      <w:r>
        <w:t>das Wertstellungsdatum der Gutschrift.</w:t>
      </w:r>
    </w:p>
    <w:p>
      <w:pPr>
        <w:pStyle w:val="Heading4"/>
      </w:pPr>
      <w:bookmarkStart w:id="460" w:name="b459"/>
      <w:r>
        <w:t>Art 248 § 9 Sonstige Informationen während des Vertragsverhältnisses</w:t>
      </w:r>
      <w:r>
        <w:t xml:space="preserve"> </w:t>
      </w:r>
      <w:r>
        <w:rPr>
          <w:rStyle w:val="Suchmarke"/>
        </w:rPr>
        <w:t>#248-9.#</w:t>
      </w:r>
      <w:bookmarkEnd w:id="460"/>
    </w:p>
    <w:p>
      <w:r>
        <w:t>Während des Vertragsverhältnisses ist der Zahlungsdienstleister verpflichtet, den Zahlungsdienstnutzer unverzüglich zu unterrichten, wenn</w:t>
      </w:r>
    </w:p>
    <w:p>
      <w:pPr>
        <w:tabs>
          <w:tab w:pos="567" w:val="left"/>
        </w:tabs>
        <w:ind w:left="567" w:hanging="567"/>
      </w:pPr>
      <w:r>
        <w:t>1.</w:t>
      </w:r>
      <w:r>
        <w:tab/>
      </w:r>
      <w:r>
        <w:t>sich Umstände, über die gemäß § 4 Abs. 1 Nr. 1 unterrichtet wurde, ändern oder</w:t>
      </w:r>
    </w:p>
    <w:p>
      <w:pPr>
        <w:tabs>
          <w:tab w:pos="567" w:val="left"/>
        </w:tabs>
        <w:ind w:left="567" w:hanging="567"/>
      </w:pPr>
      <w:r>
        <w:t>2.</w:t>
      </w:r>
      <w:r>
        <w:tab/>
      </w:r>
      <w:r>
        <w:t>zum Nachteil des Zahlungsdienstnutzers Änderungen von Zinssätzen wirksam geworden sind.</w:t>
      </w:r>
    </w:p>
    <w:p>
      <w:pPr>
        <w:pStyle w:val="Heading4"/>
      </w:pPr>
      <w:bookmarkStart w:id="461" w:name="b460"/>
      <w:r>
        <w:t>Art 248 § 10 Abweichende Vereinbarungen</w:t>
      </w:r>
      <w:r>
        <w:t xml:space="preserve"> </w:t>
      </w:r>
      <w:r>
        <w:rPr>
          <w:rStyle w:val="Suchmarke"/>
        </w:rPr>
        <w:t>#248-10.#</w:t>
      </w:r>
      <w:bookmarkEnd w:id="461"/>
    </w:p>
    <w:p>
      <w:r>
        <w:rPr>
          <w:rStyle w:val="Satznummer"/>
        </w:rPr>
        <w:t>1</w:t>
      </w:r>
      <w:r>
        <w:t xml:space="preserve">Für die in den §§ 7, 8 und 9 Nr. 2 genannten Informationen können Zahlungsdienstleister und Zahlungsdienstnutzer eine andere Häufigkeit und eine von § 3 abweichende Form oder ein abweichendes Verfahren vereinbaren. </w:t>
      </w:r>
      <w:r>
        <w:rPr>
          <w:rStyle w:val="Satznummer"/>
        </w:rPr>
        <w:t>2</w:t>
      </w:r>
      <w:r>
        <w:t>Über die in den §§ 7 und 8 genannten Informationen hat der Zahlungsdienstleister jedoch mindestens einmal monatlich so zu unterrichten, dass der Zahlungsdienstnutzer die Informationen unverändert aufbewahren und wiedergeben kann.</w:t>
      </w:r>
    </w:p>
    <w:p>
      <w:pPr>
        <w:pStyle w:val="Heading4"/>
      </w:pPr>
      <w:bookmarkStart w:id="462" w:name="b461"/>
      <w:r>
        <w:t>Art 248 § 11 Ausnahmen für Kleinbetragsinstrumente und E-Geld</w:t>
      </w:r>
      <w:r>
        <w:t xml:space="preserve"> </w:t>
      </w:r>
      <w:r>
        <w:rPr>
          <w:rStyle w:val="Suchmarke"/>
        </w:rPr>
        <w:t>#248-11.#</w:t>
      </w:r>
      <w:bookmarkEnd w:id="462"/>
    </w:p>
    <w:p>
      <w:r>
        <w:t xml:space="preserve">(1) </w:t>
      </w:r>
      <w:r>
        <w:rPr>
          <w:rStyle w:val="Satznummer"/>
        </w:rPr>
        <w:t>1</w:t>
      </w:r>
      <w:r>
        <w:t>Bei Zahlungsdiensteverträgen über die Überlassung eines Kleinbetragsinstruments (§ 675i Abs. 1 des Bürgerlichen Gesetzbuchs) teilt der Zahlungsdienstleister dem Zahlungsdienstnutzer abweichend von den §§ 4 und 6 nur Folgendes mit:</w:t>
      </w:r>
    </w:p>
    <w:p>
      <w:pPr>
        <w:tabs>
          <w:tab w:pos="567" w:val="left"/>
        </w:tabs>
        <w:ind w:left="567" w:hanging="567"/>
      </w:pPr>
      <w:r>
        <w:t>1.</w:t>
      </w:r>
      <w:r>
        <w:tab/>
      </w:r>
      <w:r>
        <w:t>die wesentlichen Merkmale des Zahlungsdienstes, einschließlich der Nutzungsmöglichkeiten des Kleinbetragsinstruments,</w:t>
      </w:r>
    </w:p>
    <w:p>
      <w:pPr>
        <w:tabs>
          <w:tab w:pos="567" w:val="left"/>
        </w:tabs>
        <w:ind w:left="567" w:hanging="567"/>
      </w:pPr>
      <w:r>
        <w:t>2.</w:t>
      </w:r>
      <w:r>
        <w:tab/>
      </w:r>
      <w:r>
        <w:t>Haftungshinweise,</w:t>
      </w:r>
    </w:p>
    <w:p>
      <w:pPr>
        <w:tabs>
          <w:tab w:pos="567" w:val="left"/>
        </w:tabs>
        <w:ind w:left="567" w:hanging="567"/>
      </w:pPr>
      <w:r>
        <w:t>3.</w:t>
      </w:r>
      <w:r>
        <w:tab/>
      </w:r>
      <w:r>
        <w:t>die anfallenden Entgelte und</w:t>
      </w:r>
    </w:p>
    <w:p>
      <w:pPr>
        <w:tabs>
          <w:tab w:pos="567" w:val="left"/>
        </w:tabs>
        <w:ind w:left="567" w:hanging="567"/>
      </w:pPr>
      <w:r>
        <w:t>4.</w:t>
      </w:r>
      <w:r>
        <w:tab/>
      </w:r>
      <w:r>
        <w:t>die anderen für den Zahlungsdienstnutzer wesentlichen Vertragsinformationen.</w:t>
      </w:r>
    </w:p>
    <w:p>
      <w:r>
        <w:rPr>
          <w:rStyle w:val="Satznummer"/>
        </w:rPr>
        <w:t>2</w:t>
      </w:r>
      <w:r>
        <w:t>Ferner gibt der Zahlungsdienstleister an, wo die weiteren gemäß § 4 vorgeschriebenen Informationen und Vertragsbedingungen in leicht zugänglicher Form zur Verfügung gestellt sind.</w:t>
      </w:r>
    </w:p>
    <w:p>
      <w:r>
        <w:t>(2) Bei Verträgen nach Absatz 1 können die Vertragsparteien abweichend von den §§ 7 und 8 vereinbaren, dass der Zahlungsdienstleister dem Zahlungsdienstnutzer nach Ausführung eines Zahlungsvorgangs</w:t>
      </w:r>
    </w:p>
    <w:p>
      <w:pPr>
        <w:tabs>
          <w:tab w:pos="567" w:val="left"/>
        </w:tabs>
        <w:ind w:left="567" w:hanging="567"/>
      </w:pPr>
      <w:r>
        <w:t>1.</w:t>
      </w:r>
      <w:r>
        <w:tab/>
      </w:r>
      <w:r>
        <w:t>nur eine dem Zahlungsvorgang zugeordnete Kennung mitteilen oder zur Verfügung stellen muss, die es ermöglicht, den betreffenden Zahlungsvorgang, seinen Betrag sowie die erhobenen Entgelte zu identifizieren, und im Fall mehrerer gleichartiger Zahlungsvorgänge an den selben Zahlungsempfänger eine Information, die den Gesamtbetrag und die erhobenen Entgelte für diese Zahlungsvorgänge enthält,</w:t>
      </w:r>
    </w:p>
    <w:p>
      <w:pPr>
        <w:tabs>
          <w:tab w:pos="567" w:val="left"/>
        </w:tabs>
        <w:ind w:left="567" w:hanging="567"/>
      </w:pPr>
      <w:r>
        <w:t>2.</w:t>
      </w:r>
      <w:r>
        <w:tab/>
      </w:r>
      <w:r>
        <w:t>die unter Nummer 1 genannten Informationen nicht mitteilen oder zur Verfügung stellen muss, wenn die Nutzung des Kleinbetragsinstruments keinem Zahlungsdienstnutzer zugeordnet werden kann oder wenn der Zahlungsdienstleister auf andere Weise technisch nicht in der Lage ist, diese Informationen mitzuteilen; in diesem Fall hat der Zahlungsdienstleister dem Zahlungsdienstnutzer eine Möglichkeit anzubieten, die gespeicherten Beträge zu überprüfen.</w:t>
      </w:r>
    </w:p>
    <w:p>
      <w:pPr>
        <w:pStyle w:val="Heading3"/>
      </w:pPr>
      <w:bookmarkStart w:id="463" w:name="b462"/>
      <w:r>
        <w:t>Abschnitt 3 Einzelzahlungsverträge</w:t>
      </w:r>
      <w:bookmarkEnd w:id="463"/>
    </w:p>
    <w:p>
      <w:pPr>
        <w:pStyle w:val="Heading4"/>
      </w:pPr>
      <w:bookmarkStart w:id="464" w:name="b463"/>
      <w:r>
        <w:t>Art 248 § 12 Besondere Form</w:t>
      </w:r>
      <w:r>
        <w:t xml:space="preserve"> </w:t>
      </w:r>
      <w:r>
        <w:rPr>
          <w:rStyle w:val="Suchmarke"/>
        </w:rPr>
        <w:t>#248-12.#</w:t>
      </w:r>
      <w:bookmarkEnd w:id="464"/>
    </w:p>
    <w:p>
      <w:r>
        <w:rPr>
          <w:rStyle w:val="Satznummer"/>
        </w:rPr>
        <w:t>1</w:t>
      </w:r>
      <w:r>
        <w:t xml:space="preserve">Bei einem Einzelzahlungsvertrag, der nicht Gegenstand eines Zahlungsdiensterahmenvertrags ist, hat der Zahlungsdienstleister dem Zahlungsdienstnutzer die in § 13 genannten Informationen und Vertragsbedingungen hinsichtlich der von ihm zu erbringenden Zahlungsdienste in leicht zugänglicher Form zur Verfügung zu stellen. </w:t>
      </w:r>
      <w:r>
        <w:rPr>
          <w:rStyle w:val="Satznummer"/>
        </w:rPr>
        <w:t>2</w:t>
      </w:r>
      <w:r>
        <w:t>Auf Verlangen des Zahlungsdienstnutzers stellt ihm der Zahlungsdienstleister die Informationen und Vertragsbedingungen in Papierform oder auf einem anderen dauerhaften Datenträger zur Verfügung.</w:t>
      </w:r>
    </w:p>
    <w:p>
      <w:pPr>
        <w:pStyle w:val="Heading4"/>
      </w:pPr>
      <w:bookmarkStart w:id="465" w:name="b464"/>
      <w:r>
        <w:t>Art 248 § 13 Vorvertragliche Informationen</w:t>
      </w:r>
      <w:r>
        <w:t xml:space="preserve"> </w:t>
      </w:r>
      <w:r>
        <w:rPr>
          <w:rStyle w:val="Suchmarke"/>
        </w:rPr>
        <w:t>#248-13.#</w:t>
      </w:r>
      <w:bookmarkEnd w:id="465"/>
    </w:p>
    <w:p>
      <w:r>
        <w:t>(1) Die folgenden vorvertraglichen Informationen und Vertragsbedingungen sind rechtzeitig vor Abgabe der Vertragserklärung des Zahlungsdienstnutzers zur Verfügung zu stellen:</w:t>
      </w:r>
    </w:p>
    <w:p>
      <w:pPr>
        <w:tabs>
          <w:tab w:pos="567" w:val="left"/>
        </w:tabs>
        <w:ind w:left="567" w:hanging="567"/>
      </w:pPr>
      <w:r>
        <w:t>1.</w:t>
      </w:r>
      <w:r>
        <w:tab/>
      </w:r>
      <w:r>
        <w:t>die vom Zahlungsdienstnutzer mitzuteilenden Informationen oder Kundenkennungen, die für die ordnungsgemäße Auslösung oder Ausführung eines Zahlungsauftrags erforderlich sind,</w:t>
      </w:r>
    </w:p>
    <w:p>
      <w:pPr>
        <w:tabs>
          <w:tab w:pos="567" w:val="left"/>
        </w:tabs>
        <w:ind w:left="567" w:hanging="567"/>
      </w:pPr>
      <w:r>
        <w:t>2.</w:t>
      </w:r>
      <w:r>
        <w:tab/>
      </w:r>
      <w:r>
        <w:t>die maximale Ausführungsfrist für den zu erbringenden Zahlungsdienst,</w:t>
      </w:r>
    </w:p>
    <w:p>
      <w:pPr>
        <w:tabs>
          <w:tab w:pos="567" w:val="left"/>
        </w:tabs>
        <w:ind w:left="567" w:hanging="567"/>
      </w:pPr>
      <w:r>
        <w:t>3.</w:t>
      </w:r>
      <w:r>
        <w:tab/>
      </w:r>
      <w:r>
        <w:t>alle Entgelte, die der Zahlungsdienstnutzer an den Zahlungsdienstleister zu entrichten hat, und gegebenenfalls ihre Aufschlüsselung,</w:t>
      </w:r>
    </w:p>
    <w:p>
      <w:pPr>
        <w:tabs>
          <w:tab w:pos="567" w:val="left"/>
        </w:tabs>
        <w:ind w:left="567" w:hanging="567"/>
      </w:pPr>
      <w:r>
        <w:t>4.</w:t>
      </w:r>
      <w:r>
        <w:tab/>
      </w:r>
      <w:r>
        <w:t>gegebenenfalls der dem Zahlungsvorgang zugrunde zu legende tatsächliche Wechselkurs oder Referenzwechselkurs.</w:t>
      </w:r>
    </w:p>
    <w:p>
      <w:r>
        <w:t>(2) Ein Zahlungsauslösedienstleister hat dem Zahler rechtzeitig vor der Auslösung des Zahlungsvorgangs auch die folgenden Informationen zur Verfügung zu stellen:</w:t>
      </w:r>
    </w:p>
    <w:p>
      <w:pPr>
        <w:tabs>
          <w:tab w:pos="567" w:val="left"/>
        </w:tabs>
        <w:ind w:left="567" w:hanging="567"/>
      </w:pPr>
      <w:r>
        <w:t>1.</w:t>
      </w:r>
      <w:r>
        <w:tab/>
      </w:r>
      <w:r>
        <w:t>den Namen des Zahlungsauslösedienstleisters, die Anschrift seiner Hauptverwaltung und gegebenenfalls die Anschrift seines Agenten oder seiner Zweigniederlassung in dem Mitgliedstaat, in dem der Zahlungsauslösedienst angeboten wird, sowie alle anderen Kontaktdaten einschließlich der E-Mail-Adresse, die für die Kommunikation mit dem Zahlungsauslösedienstleister von Belang sind, und</w:t>
      </w:r>
    </w:p>
    <w:p>
      <w:pPr>
        <w:tabs>
          <w:tab w:pos="567" w:val="left"/>
        </w:tabs>
        <w:ind w:left="567" w:hanging="567"/>
      </w:pPr>
      <w:r>
        <w:t>2.</w:t>
      </w:r>
      <w:r>
        <w:tab/>
      </w:r>
      <w:r>
        <w:t>die Kontaktdaten der zuständigen Behörde.</w:t>
      </w:r>
    </w:p>
    <w:p>
      <w:r>
        <w:t>(3) Die anderen in § 4 Absatz 1 genannten Informationen sind, soweit sie für den Einzelzahlungsvertrag erheblich sind, dem Zahlungsdienstnutzer ebenfalls zur Verfügung zu stellen.</w:t>
      </w:r>
    </w:p>
    <w:p>
      <w:r>
        <w:t>(4) Wenn auf Verlangen des Zahlungsdienstnutzers der Einzelzahlungsvertrag unter Verwendung eines Fernkommunikationsmittels geschlossen wird, das dem Zahlungsdienstleister die Informationsunterrichtung nach Absatz 1 nicht gestattet, hat der Zahlungsdienstleister den Zahlungsdienstnutzer unverzüglich nach Ausführung des Zahlungsvorgangs in der Form zu unterrichten, die in den §§ 2 und 12 vorgesehen ist.</w:t>
      </w:r>
    </w:p>
    <w:p>
      <w:r>
        <w:t>(5) Die Pflichten gemäß Absatz 1 können auch erfüllt werden, indem eine Abschrift des Vertragsentwurfs übermittelt wird, die die nach Absatz 1 erforderlichen Informationen und Vertragsbedingungen enthält.</w:t>
      </w:r>
    </w:p>
    <w:p>
      <w:pPr>
        <w:pStyle w:val="Heading4"/>
      </w:pPr>
      <w:bookmarkStart w:id="466" w:name="b465"/>
      <w:r>
        <w:t>Art 248 § 13a Informationen an den Zahler und den Zahlungsempfänger nach Auslösung des Zahlungsauftrags über einen Zahlungsauslösedienstleister</w:t>
      </w:r>
      <w:r>
        <w:t xml:space="preserve"> </w:t>
      </w:r>
      <w:r>
        <w:rPr>
          <w:rStyle w:val="Suchmarke"/>
        </w:rPr>
        <w:t>#248-13a.#</w:t>
      </w:r>
      <w:bookmarkEnd w:id="466"/>
    </w:p>
    <w:p>
      <w:r>
        <w:t>Ein Zahlungsauslösedienstleister unterrichtet den Zahler und gegebenenfalls den Zahlungsempfänger unmittelbar nach der Auslösung des Zahlungsauftrags über</w:t>
      </w:r>
    </w:p>
    <w:p>
      <w:pPr>
        <w:tabs>
          <w:tab w:pos="567" w:val="left"/>
        </w:tabs>
        <w:ind w:left="567" w:hanging="567"/>
      </w:pPr>
      <w:r>
        <w:t>1.</w:t>
      </w:r>
      <w:r>
        <w:tab/>
      </w:r>
      <w:r>
        <w:t>die erfolgreiche Auslösung des Zahlungsauftrags beim kontoführenden Zahlungsdienstleister des Zahlers,</w:t>
      </w:r>
    </w:p>
    <w:p>
      <w:pPr>
        <w:tabs>
          <w:tab w:pos="567" w:val="left"/>
        </w:tabs>
        <w:ind w:left="567" w:hanging="567"/>
      </w:pPr>
      <w:r>
        <w:t>2.</w:t>
      </w:r>
      <w:r>
        <w:tab/>
      </w:r>
      <w:r>
        <w:t>die dem Zahlungsvorgang zugeordnete Kennung, die dem Zahler und dem Zahlungsempfänger die Identifizierung des Zahlungsvorgangs und dem Zahlungsempfänger gegebenenfalls die Identifizierung des Zahlers ermöglicht, sowie jede weitere mit dem Zahlungsvorgang übermittelte Angabe,</w:t>
      </w:r>
    </w:p>
    <w:p>
      <w:pPr>
        <w:tabs>
          <w:tab w:pos="567" w:val="left"/>
        </w:tabs>
        <w:ind w:left="567" w:hanging="567"/>
      </w:pPr>
      <w:r>
        <w:t>3.</w:t>
      </w:r>
      <w:r>
        <w:tab/>
      </w:r>
      <w:r>
        <w:t>den Zahlungsbetrag,</w:t>
      </w:r>
    </w:p>
    <w:p>
      <w:pPr>
        <w:tabs>
          <w:tab w:pos="567" w:val="left"/>
        </w:tabs>
        <w:ind w:left="567" w:hanging="567"/>
      </w:pPr>
      <w:r>
        <w:t>4.</w:t>
      </w:r>
      <w:r>
        <w:tab/>
      </w:r>
      <w:r>
        <w:t>gegebenenfalls die Höhe aller an den Zahlungsauslösedienstleister für den Zahlungsvorgang zu entrichtenden Entgelte sowie gegebenenfalls deren Aufschlüsselung.</w:t>
      </w:r>
    </w:p>
    <w:p>
      <w:pPr>
        <w:pStyle w:val="Heading4"/>
      </w:pPr>
      <w:bookmarkStart w:id="467" w:name="b466"/>
      <w:r>
        <w:t>Art 248 § 14 Informationen an den Zahler nach Zugang des Zahlungsauftrags</w:t>
      </w:r>
      <w:r>
        <w:t xml:space="preserve"> </w:t>
      </w:r>
      <w:r>
        <w:rPr>
          <w:rStyle w:val="Suchmarke"/>
        </w:rPr>
        <w:t>#248-14.#</w:t>
      </w:r>
      <w:bookmarkEnd w:id="467"/>
    </w:p>
    <w:p>
      <w:r>
        <w:t>Nach Zugang des Zahlungsauftrags unterrichtet der Zahlungsdienstleister des Zahlers diesen hinsichtlich der von ihm zu erbringenden Zahlungsdienste unverzüglich über</w:t>
      </w:r>
    </w:p>
    <w:p>
      <w:pPr>
        <w:tabs>
          <w:tab w:pos="567" w:val="left"/>
        </w:tabs>
        <w:ind w:left="567" w:hanging="567"/>
      </w:pPr>
      <w:r>
        <w:t>1.</w:t>
      </w:r>
      <w:r>
        <w:tab/>
      </w:r>
      <w:r>
        <w:t>die dem Zahlungsvorgang zugeordnete Kennung, die dem Zahler die Identifizierung des betreffenden Zahlungsvorgangs ermöglicht, sowie gegebenenfalls Angaben zum Zahlungsempfänger,</w:t>
      </w:r>
    </w:p>
    <w:p>
      <w:pPr>
        <w:tabs>
          <w:tab w:pos="567" w:val="left"/>
        </w:tabs>
        <w:ind w:left="567" w:hanging="567"/>
      </w:pPr>
      <w:r>
        <w:t>2.</w:t>
      </w:r>
      <w:r>
        <w:tab/>
      </w:r>
      <w:r>
        <w:t>den Zahlungsbetrag in der im Zahlungsauftrag verwendeten Währung,</w:t>
      </w:r>
    </w:p>
    <w:p>
      <w:pPr>
        <w:tabs>
          <w:tab w:pos="567" w:val="left"/>
        </w:tabs>
        <w:ind w:left="567" w:hanging="567"/>
      </w:pPr>
      <w:r>
        <w:t>3.</w:t>
      </w:r>
      <w:r>
        <w:tab/>
      </w:r>
      <w:r>
        <w:t>die Höhe der vom Zahler für den Zahlungsvorgang zu entrichtenden Entgelte und gegebenenfalls deren Aufschlüsselung,</w:t>
      </w:r>
    </w:p>
    <w:p>
      <w:pPr>
        <w:tabs>
          <w:tab w:pos="567" w:val="left"/>
        </w:tabs>
        <w:ind w:left="567" w:hanging="567"/>
      </w:pPr>
      <w:r>
        <w:t>4.</w:t>
      </w:r>
      <w:r>
        <w:tab/>
      </w:r>
      <w:r>
        <w:t>gegebenenfalls den Wechselkurs, den der Zahlungsdienstleister des Zahlers dem Zahlungsvorgang zugrunde gelegt hat, oder einen Verweis darauf, sofern dieser Kurs von dem in § 13 Abs. 1 Nr. 4 genannten Kurs abweicht, und den Betrag, der nach dieser Währungsumrechnung Gegenstand des Zahlungsvorgangs ist, und</w:t>
      </w:r>
    </w:p>
    <w:p>
      <w:pPr>
        <w:tabs>
          <w:tab w:pos="567" w:val="left"/>
        </w:tabs>
        <w:ind w:left="567" w:hanging="567"/>
      </w:pPr>
      <w:r>
        <w:t>5.</w:t>
      </w:r>
      <w:r>
        <w:tab/>
      </w:r>
      <w:r>
        <w:t>das Datum des Zugangs des Zahlungsauftrags.</w:t>
      </w:r>
    </w:p>
    <w:p>
      <w:pPr>
        <w:pStyle w:val="Heading4"/>
      </w:pPr>
      <w:bookmarkStart w:id="468" w:name="b467"/>
      <w:r>
        <w:t>Art 248 § 15 Informationen an den Zahlungsempfänger nach Ausführung des Zahlungsvorgangs</w:t>
      </w:r>
      <w:r>
        <w:t xml:space="preserve"> </w:t>
      </w:r>
      <w:r>
        <w:rPr>
          <w:rStyle w:val="Suchmarke"/>
        </w:rPr>
        <w:t>#248-15.#</w:t>
      </w:r>
      <w:bookmarkEnd w:id="468"/>
    </w:p>
    <w:p>
      <w:r>
        <w:t>Nach Ausführung des Zahlungsvorgangs unterrichtet der Zahlungsdienstleister des Zahlungsempfängers diesen hinsichtlich der von ihm erbrachten Zahlungsdienste unverzüglich über</w:t>
      </w:r>
    </w:p>
    <w:p>
      <w:pPr>
        <w:tabs>
          <w:tab w:pos="567" w:val="left"/>
        </w:tabs>
        <w:ind w:left="567" w:hanging="567"/>
      </w:pPr>
      <w:r>
        <w:t>1.</w:t>
      </w:r>
      <w:r>
        <w:tab/>
      </w:r>
      <w:r>
        <w:t>die dem Zahlungsvorgang zugeordnete Kennung, die dem Zahlungsempfänger die Identifizierung des betreffenden Zahlungsvorgangs und gegebenenfalls des Zahlers ermöglicht, sowie jede weitere mit dem Zahlungsvorgang übermittelte Angabe,</w:t>
      </w:r>
    </w:p>
    <w:p>
      <w:pPr>
        <w:tabs>
          <w:tab w:pos="567" w:val="left"/>
        </w:tabs>
        <w:ind w:left="567" w:hanging="567"/>
      </w:pPr>
      <w:r>
        <w:t>2.</w:t>
      </w:r>
      <w:r>
        <w:tab/>
      </w:r>
      <w:r>
        <w:t>den Zahlungsbetrag in der Währung, in der er dem Zahlungsempfänger zur Verfügung steht,</w:t>
      </w:r>
    </w:p>
    <w:p>
      <w:pPr>
        <w:tabs>
          <w:tab w:pos="567" w:val="left"/>
        </w:tabs>
        <w:ind w:left="567" w:hanging="567"/>
      </w:pPr>
      <w:r>
        <w:t>3.</w:t>
      </w:r>
      <w:r>
        <w:tab/>
      </w:r>
      <w:r>
        <w:t>die Höhe aller vom Zahlungsempfänger für den Zahlungsvorgang zu entrichtenden Entgelte und gegebenenfalls deren Aufschlüsselung,</w:t>
      </w:r>
    </w:p>
    <w:p>
      <w:pPr>
        <w:tabs>
          <w:tab w:pos="567" w:val="left"/>
        </w:tabs>
        <w:ind w:left="567" w:hanging="567"/>
      </w:pPr>
      <w:r>
        <w:t>4.</w:t>
      </w:r>
      <w:r>
        <w:tab/>
      </w:r>
      <w:r>
        <w:t>gegebenenfalls den Wechselkurs, den der Zahlungsdienstleister des Zahlungsempfängers dem Zahlungsvorgang zugrunde gelegt hat, und den Betrag, der vor dieser Währungsumrechnung Gegenstand des Zahlungsvorgangs war, und</w:t>
      </w:r>
    </w:p>
    <w:p>
      <w:pPr>
        <w:tabs>
          <w:tab w:pos="567" w:val="left"/>
        </w:tabs>
        <w:ind w:left="567" w:hanging="567"/>
      </w:pPr>
      <w:r>
        <w:t>5.</w:t>
      </w:r>
      <w:r>
        <w:tab/>
      </w:r>
      <w:r>
        <w:t>das Wertstellungsdatum der Gutschrift.</w:t>
      </w:r>
    </w:p>
    <w:p>
      <w:pPr>
        <w:pStyle w:val="Heading4"/>
      </w:pPr>
      <w:bookmarkStart w:id="469" w:name="b468"/>
      <w:r>
        <w:t>Art 248 § 16 Informationen bei Einzelzahlung mittels rahmenvertraglich geregelten Zahlungsinstruments</w:t>
      </w:r>
      <w:r>
        <w:t xml:space="preserve"> </w:t>
      </w:r>
      <w:r>
        <w:rPr>
          <w:rStyle w:val="Suchmarke"/>
        </w:rPr>
        <w:t>#248-16.#</w:t>
      </w:r>
      <w:bookmarkEnd w:id="469"/>
    </w:p>
    <w:p>
      <w:r>
        <w:t>Wird ein Zahlungsauftrag für eine Einzelzahlung über ein rahmenvertraglich geregeltes Zahlungsinstrument übermittelt, so ist nur der Zahlungsdienstleister, der Partei des Zahlungsdiensterahmenvertrags ist, verpflichtet, den Zahlungsdienstnutzer nach Maßgabe des Abschnitts 2 zu unterrichten.</w:t>
      </w:r>
    </w:p>
    <w:p>
      <w:pPr>
        <w:pStyle w:val="Heading3"/>
      </w:pPr>
      <w:bookmarkStart w:id="470" w:name="b469"/>
      <w:r>
        <w:t>Abschnitt 4 Informationspflichten von Zahlungsempfängern, Bargeldabhebungsdienstleistern und Dritten</w:t>
      </w:r>
      <w:bookmarkEnd w:id="470"/>
    </w:p>
    <w:p>
      <w:pPr>
        <w:pStyle w:val="Heading4"/>
      </w:pPr>
      <w:bookmarkStart w:id="471" w:name="b470"/>
      <w:r>
        <w:t>Art 248 § 17 Informationspflichten des Zahlungsempfängers</w:t>
      </w:r>
      <w:r>
        <w:t xml:space="preserve"> </w:t>
      </w:r>
      <w:r>
        <w:rPr>
          <w:rStyle w:val="Suchmarke"/>
        </w:rPr>
        <w:t>#248-17.#</w:t>
      </w:r>
      <w:bookmarkEnd w:id="471"/>
    </w:p>
    <w:p>
      <w:r>
        <w:t>(1) Sollen Zahlungen mittels eines Zahlungsinstruments in einer anderen Währung als Euro erfolgen und wird vor der Auslösung des Zahlungsvorgangs vom Zahlungsempfänger eine Währungsumrechnung angeboten, muss der Zahlungsempfänger dem Zahler alle damit verbundenen Entgelte sowie den der Währungsumrechnung zugrunde gelegten Wechselkurs offenlegen.</w:t>
      </w:r>
    </w:p>
    <w:p>
      <w:r>
        <w:t>(2) Verlangt der Zahlungsempfänger für die Nutzung eines bestimmten Zahlungsinstruments ein Entgelt oder bietet er eine Ermäßigung an, so teilt er dies dem Zahler vor Auslösung des Zahlungsvorgangs mit.</w:t>
      </w:r>
    </w:p>
    <w:p>
      <w:pPr>
        <w:pStyle w:val="Heading4"/>
      </w:pPr>
      <w:bookmarkStart w:id="472" w:name="b471"/>
      <w:r>
        <w:t>Art 248 § 17a Informationspflichten des Bargeldabhebungsdienstleisters</w:t>
      </w:r>
      <w:r>
        <w:t xml:space="preserve"> </w:t>
      </w:r>
      <w:r>
        <w:rPr>
          <w:rStyle w:val="Suchmarke"/>
        </w:rPr>
        <w:t>#248-17a.#</w:t>
      </w:r>
      <w:bookmarkEnd w:id="472"/>
    </w:p>
    <w:p>
      <w:r>
        <w:t>Ein Dienstleister, der Bargeldabhebungsdienste erbringt, ist verpflichtet, den Kunden über alle Entgelte für eine Geldabhebung entsprechend § 13 Absatz 1 und 3, den §§ 14, 15 sowie 17 Absatz 1 sowohl vor der Abhebung als auch auf der Quittung nach dem Erhalt des Bargeldes zu unterrichten.</w:t>
      </w:r>
    </w:p>
    <w:p>
      <w:pPr>
        <w:pStyle w:val="Heading4"/>
      </w:pPr>
      <w:bookmarkStart w:id="473" w:name="b472"/>
      <w:r>
        <w:t>Art 248 § 18 Informationspflichten Dritter</w:t>
      </w:r>
      <w:r>
        <w:t xml:space="preserve"> </w:t>
      </w:r>
      <w:r>
        <w:rPr>
          <w:rStyle w:val="Suchmarke"/>
        </w:rPr>
        <w:t>#248-18.#</w:t>
      </w:r>
      <w:bookmarkEnd w:id="473"/>
    </w:p>
    <w:p>
      <w:r>
        <w:t>Verlangt ein Dritter, über welchen ein Zahlungsdienstnutzer einen Zahlungsvorgang auslösen kann, von diesem für die Nutzung eines bestimmten Zahlungsinstruments ein Entgelt, so teilt er dies dem Zahlungsdienstnutzer vor der Auslösung des Zahlungsvorgangs mit.</w:t>
      </w:r>
    </w:p>
    <w:p>
      <w:pPr>
        <w:pStyle w:val="Heading4"/>
      </w:pPr>
      <w:bookmarkStart w:id="474" w:name="b473"/>
      <w:r>
        <w:t>Art 248 § 19 Abweichende Vereinbarungen</w:t>
      </w:r>
      <w:r>
        <w:t xml:space="preserve"> </w:t>
      </w:r>
      <w:r>
        <w:rPr>
          <w:rStyle w:val="Suchmarke"/>
        </w:rPr>
        <w:t>#248-19.#</w:t>
      </w:r>
      <w:bookmarkEnd w:id="474"/>
    </w:p>
    <w:p>
      <w:r>
        <w:t>Handelt es sich bei dem Zahlungsdienstnutzer nicht um einen Verbraucher, so können die Parteien vereinbaren, dass die §§ 17 und 18 ganz oder teilweise nicht anzuwenden sind.</w:t>
      </w:r>
    </w:p>
    <w:p>
      <w:pPr>
        <w:pStyle w:val="Heading2"/>
      </w:pPr>
      <w:bookmarkStart w:id="475" w:name="b474"/>
      <w:r>
        <w:t>Art 249 Informationspflichten bei Verbraucherbauverträgen</w:t>
      </w:r>
      <w:bookmarkEnd w:id="475"/>
    </w:p>
    <w:p>
      <w:pPr>
        <w:pStyle w:val="Heading3"/>
      </w:pPr>
      <w:bookmarkStart w:id="476" w:name="b475"/>
      <w:r>
        <w:t>Art 249 § 1 Informationspflichten bei Verbraucherbauverträgen</w:t>
      </w:r>
      <w:r>
        <w:t xml:space="preserve"> </w:t>
      </w:r>
      <w:r>
        <w:rPr>
          <w:rStyle w:val="Suchmarke"/>
        </w:rPr>
        <w:t>#249-1.#</w:t>
      </w:r>
      <w:bookmarkEnd w:id="476"/>
    </w:p>
    <w:p>
      <w:r>
        <w:t>Der Unternehmer ist nach § 650j des Bürgerlichen Gesetzbuchs verpflichtet, dem Verbraucher rechtzeitig vor Abgabe von dessen Vertragserklärung eine Baubeschreibung in Textform zur Verfügung zu stellen.</w:t>
      </w:r>
    </w:p>
    <w:p>
      <w:pPr>
        <w:pStyle w:val="Heading3"/>
      </w:pPr>
      <w:bookmarkStart w:id="477" w:name="b476"/>
      <w:r>
        <w:t>Art 249 § 2 Inhalt der Baubeschreibung</w:t>
      </w:r>
      <w:r>
        <w:t xml:space="preserve"> </w:t>
      </w:r>
      <w:r>
        <w:rPr>
          <w:rStyle w:val="Suchmarke"/>
        </w:rPr>
        <w:t>#249-2.#</w:t>
      </w:r>
      <w:bookmarkEnd w:id="477"/>
    </w:p>
    <w:p>
      <w:r>
        <w:t xml:space="preserve">(1) </w:t>
      </w:r>
      <w:r>
        <w:rPr>
          <w:rStyle w:val="Satznummer"/>
        </w:rPr>
        <w:t>1</w:t>
      </w:r>
      <w:r>
        <w:t xml:space="preserve">In der Baubeschreibung sind die wesentlichen Eigenschaften des angebotenen Werks in klarer Weise darzustellen. </w:t>
      </w:r>
      <w:r>
        <w:rPr>
          <w:rStyle w:val="Satznummer"/>
        </w:rPr>
        <w:t>2</w:t>
      </w:r>
      <w:r>
        <w:t>Sie muss mindestens folgende Informationen enthalten:</w:t>
      </w:r>
    </w:p>
    <w:p>
      <w:pPr>
        <w:tabs>
          <w:tab w:pos="567" w:val="left"/>
        </w:tabs>
        <w:ind w:left="567" w:hanging="567"/>
      </w:pPr>
      <w:r>
        <w:t>1.</w:t>
      </w:r>
      <w:r>
        <w:tab/>
      </w:r>
      <w:r>
        <w:t>allgemeine Beschreibung des herzustellenden Gebäudes oder der vorzunehmenden Umbauten, gegebenenfalls Haustyp und Bauweise,</w:t>
      </w:r>
    </w:p>
    <w:p>
      <w:pPr>
        <w:tabs>
          <w:tab w:pos="567" w:val="left"/>
        </w:tabs>
        <w:ind w:left="567" w:hanging="567"/>
      </w:pPr>
      <w:r>
        <w:t>2.</w:t>
      </w:r>
      <w:r>
        <w:tab/>
      </w:r>
      <w:r>
        <w:t>Art und Umfang der angebotenen Leistungen, gegebenenfalls der Planung und der Bauleitung, der Arbeiten am Grundstück und der Baustelleneinrichtung sowie der Ausbaustufe,</w:t>
      </w:r>
    </w:p>
    <w:p>
      <w:pPr>
        <w:tabs>
          <w:tab w:pos="567" w:val="left"/>
        </w:tabs>
        <w:ind w:left="567" w:hanging="567"/>
      </w:pPr>
      <w:r>
        <w:t>3.</w:t>
      </w:r>
      <w:r>
        <w:tab/>
      </w:r>
      <w:r>
        <w:t>Gebäudedaten, Pläne mit Raum- und Flächenangaben sowie Ansichten, Grundrisse und Schnitte,</w:t>
      </w:r>
    </w:p>
    <w:p>
      <w:pPr>
        <w:tabs>
          <w:tab w:pos="567" w:val="left"/>
        </w:tabs>
        <w:ind w:left="567" w:hanging="567"/>
      </w:pPr>
      <w:r>
        <w:t>4.</w:t>
      </w:r>
      <w:r>
        <w:tab/>
      </w:r>
      <w:r>
        <w:t>gegebenenfalls Angaben zum Energie-, zum Brandschutz- und zum Schallschutzstandard sowie zur Bauphysik,</w:t>
      </w:r>
    </w:p>
    <w:p>
      <w:pPr>
        <w:tabs>
          <w:tab w:pos="567" w:val="left"/>
        </w:tabs>
        <w:ind w:left="567" w:hanging="567"/>
      </w:pPr>
      <w:r>
        <w:t>5.</w:t>
      </w:r>
      <w:r>
        <w:tab/>
      </w:r>
      <w:r>
        <w:t>Angaben zur Beschreibung der Baukonstruktionen aller wesentlichen Gewerke,</w:t>
      </w:r>
    </w:p>
    <w:p>
      <w:pPr>
        <w:tabs>
          <w:tab w:pos="567" w:val="left"/>
        </w:tabs>
        <w:ind w:left="567" w:hanging="567"/>
      </w:pPr>
      <w:r>
        <w:t>6.</w:t>
      </w:r>
      <w:r>
        <w:tab/>
      </w:r>
      <w:r>
        <w:t>gegebenenfalls Beschreibung des Innenausbaus,</w:t>
      </w:r>
    </w:p>
    <w:p>
      <w:pPr>
        <w:tabs>
          <w:tab w:pos="567" w:val="left"/>
        </w:tabs>
        <w:ind w:left="567" w:hanging="567"/>
      </w:pPr>
      <w:r>
        <w:t>7.</w:t>
      </w:r>
      <w:r>
        <w:tab/>
      </w:r>
      <w:r>
        <w:t>gegebenenfalls Beschreibung der gebäudetechnischen Anlagen,</w:t>
      </w:r>
    </w:p>
    <w:p>
      <w:pPr>
        <w:tabs>
          <w:tab w:pos="567" w:val="left"/>
        </w:tabs>
        <w:ind w:left="567" w:hanging="567"/>
      </w:pPr>
      <w:r>
        <w:t>8.</w:t>
      </w:r>
      <w:r>
        <w:tab/>
      </w:r>
      <w:r>
        <w:t>Angaben zu Qualitätsmerkmalen, denen das Gebäude oder der Umbau genügen muss,</w:t>
      </w:r>
    </w:p>
    <w:p>
      <w:pPr>
        <w:tabs>
          <w:tab w:pos="567" w:val="left"/>
        </w:tabs>
        <w:ind w:left="567" w:hanging="567"/>
      </w:pPr>
      <w:r>
        <w:t>9.</w:t>
      </w:r>
      <w:r>
        <w:tab/>
      </w:r>
      <w:r>
        <w:t>gegebenenfalls Beschreibung der Sanitärobjekte, der Armaturen, der Elektroanlage, der Installationen, der Informationstechnologie und der Außenanlagen.</w:t>
      </w:r>
    </w:p>
    <w:p>
      <w:r>
        <w:t xml:space="preserve">(2) </w:t>
      </w:r>
      <w:r>
        <w:rPr>
          <w:rStyle w:val="Satznummer"/>
        </w:rPr>
        <w:t>1</w:t>
      </w:r>
      <w:r>
        <w:t xml:space="preserve">Die Baubeschreibung hat verbindliche Angaben zum Zeitpunkt der Fertigstellung des Werks zu enthalten. </w:t>
      </w:r>
      <w:r>
        <w:rPr>
          <w:rStyle w:val="Satznummer"/>
        </w:rPr>
        <w:t>2</w:t>
      </w:r>
      <w:r>
        <w:t>Steht der Beginn der Baumaßnahme noch nicht fest, ist ihre Dauer anzugeben.</w:t>
      </w:r>
    </w:p>
    <w:p>
      <w:pPr>
        <w:pStyle w:val="Heading3"/>
      </w:pPr>
      <w:bookmarkStart w:id="478" w:name="b477"/>
      <w:r>
        <w:t>Art 249 § 3 Widerrufsbelehrung</w:t>
      </w:r>
      <w:r>
        <w:t xml:space="preserve"> </w:t>
      </w:r>
      <w:r>
        <w:rPr>
          <w:rStyle w:val="Suchmarke"/>
        </w:rPr>
        <w:t>#249-3.#</w:t>
      </w:r>
      <w:bookmarkEnd w:id="478"/>
    </w:p>
    <w:p>
      <w:r>
        <w:t xml:space="preserve">(1) </w:t>
      </w:r>
      <w:r>
        <w:rPr>
          <w:rStyle w:val="Satznummer"/>
        </w:rPr>
        <w:t>1</w:t>
      </w:r>
      <w:r>
        <w:t xml:space="preserve">Steht dem Verbraucher ein Widerrufsrecht nach § 650l Satz 1 des Bürgerlichen Gesetzbuchs zu, ist der Unternehmer verpflichtet, den Verbraucher vor Abgabe von dessen Vertragserklärung in Textform über sein Widerrufsrecht zu belehren. </w:t>
      </w:r>
      <w:r>
        <w:rPr>
          <w:rStyle w:val="Satznummer"/>
        </w:rPr>
        <w:t>2</w:t>
      </w:r>
      <w:r>
        <w:t xml:space="preserve">Die Widerrufsbelehrung muss deutlich gestaltet sein und dem Verbraucher seine wesentlichen Rechte in einer an das benutzte Kommunikationsmittel angepassten Weise deutlich machen. </w:t>
      </w:r>
      <w:r>
        <w:rPr>
          <w:rStyle w:val="Satznummer"/>
        </w:rPr>
        <w:t>3</w:t>
      </w:r>
      <w:r>
        <w:t>Sie muss Folgendes enthalten:</w:t>
      </w:r>
    </w:p>
    <w:p>
      <w:pPr>
        <w:tabs>
          <w:tab w:pos="567" w:val="left"/>
        </w:tabs>
        <w:ind w:left="567" w:hanging="567"/>
      </w:pPr>
      <w:r>
        <w:t>1.</w:t>
      </w:r>
      <w:r>
        <w:tab/>
      </w:r>
      <w:r>
        <w:t>einen Hinweis auf das Recht zum Widerruf,</w:t>
      </w:r>
    </w:p>
    <w:p>
      <w:pPr>
        <w:tabs>
          <w:tab w:pos="567" w:val="left"/>
        </w:tabs>
        <w:ind w:left="567" w:hanging="567"/>
      </w:pPr>
      <w:r>
        <w:t>2.</w:t>
      </w:r>
      <w:r>
        <w:tab/>
      </w:r>
      <w:r>
        <w:t>einen Hinweis darauf, dass der Widerruf durch Erklärung gegenüber dem Unternehmer erfolgt und keiner Begründung bedarf,</w:t>
      </w:r>
    </w:p>
    <w:p>
      <w:pPr>
        <w:tabs>
          <w:tab w:pos="567" w:val="left"/>
        </w:tabs>
        <w:ind w:left="567" w:hanging="567"/>
      </w:pPr>
      <w:r>
        <w:t>3.</w:t>
      </w:r>
      <w:r>
        <w:tab/>
      </w:r>
      <w:r>
        <w:t>den Namen, die ladungsfähige Anschrift und die Telefonnummer desjenigen, gegenüber dem der Widerruf zu erklären ist, gegebenenfalls seine Telefaxnummer und E-Mail-Adresse,</w:t>
      </w:r>
    </w:p>
    <w:p>
      <w:pPr>
        <w:tabs>
          <w:tab w:pos="567" w:val="left"/>
        </w:tabs>
        <w:ind w:left="567" w:hanging="567"/>
      </w:pPr>
      <w:r>
        <w:t>4.</w:t>
      </w:r>
      <w:r>
        <w:tab/>
      </w:r>
      <w:r>
        <w:t>einen Hinweis auf die Dauer und den Beginn der Widerrufsfrist sowie darauf, dass zur Fristwahrung die rechtzeitige Absendung der Widerrufserklärung genügt, und</w:t>
      </w:r>
    </w:p>
    <w:p>
      <w:pPr>
        <w:tabs>
          <w:tab w:pos="567" w:val="left"/>
        </w:tabs>
        <w:ind w:left="567" w:hanging="567"/>
      </w:pPr>
      <w:r>
        <w:t>5.</w:t>
      </w:r>
      <w:r>
        <w:tab/>
      </w:r>
      <w:r>
        <w:t>einen Hinweis darauf, dass der Verbraucher dem Unternehmer Wertersatz nach § 357e des Bürgerlichen Gesetzbuchs schuldet, wenn die Rückgewähr der bis zum Widerruf erbrachten Leistung ihrer Natur nach ausgeschlossen ist.</w:t>
      </w:r>
    </w:p>
    <w:p>
      <w:r>
        <w:t>(2) Der Unternehmer kann seine Belehrungspflicht dadurch erfüllen, dass er dem Verbraucher das in Anlage 10 vorgesehene Muster für die Widerrufsbelehrung zutreffend ausgefüllt in Textform übermittelt.</w:t>
      </w:r>
    </w:p>
    <w:p>
      <w:pPr>
        <w:pStyle w:val="Heading2"/>
      </w:pPr>
      <w:bookmarkStart w:id="479" w:name="b478"/>
      <w:r>
        <w:t>Art 250 Informationspflichten bei Pauschalreiseverträgen</w:t>
      </w:r>
      <w:bookmarkEnd w:id="479"/>
    </w:p>
    <w:p>
      <w:pPr>
        <w:pStyle w:val="Heading3"/>
      </w:pPr>
      <w:bookmarkStart w:id="480" w:name="b479"/>
      <w:r>
        <w:t>Art 250 § 1 Form und Zeitpunkt der vorvertraglichen Unterrichtung</w:t>
      </w:r>
      <w:r>
        <w:t xml:space="preserve"> </w:t>
      </w:r>
      <w:r>
        <w:rPr>
          <w:rStyle w:val="Suchmarke"/>
        </w:rPr>
        <w:t>#250-1.#</w:t>
      </w:r>
      <w:bookmarkEnd w:id="480"/>
    </w:p>
    <w:p>
      <w:r>
        <w:t xml:space="preserve">(1) </w:t>
      </w:r>
      <w:r>
        <w:rPr>
          <w:rStyle w:val="Satznummer"/>
        </w:rPr>
        <w:t>1</w:t>
      </w:r>
      <w:r>
        <w:t xml:space="preserve">Die Unterrichtung des Reisenden nach § 651d Absatz 1 und 5 sowie § 651v Absatz 1 des Bürgerlichen Gesetzbuchs muss erfolgen, bevor dieser seine Vertragserklärung abgibt. </w:t>
      </w:r>
      <w:r>
        <w:rPr>
          <w:rStyle w:val="Satznummer"/>
        </w:rPr>
        <w:t>2</w:t>
      </w:r>
      <w:r>
        <w:t>Die Informationen sind klar, verständlich und in hervorgehobener Weise mitzuteilen; werden sie schriftlich erteilt, müssen sie leserlich sein.</w:t>
      </w:r>
    </w:p>
    <w:p>
      <w:r>
        <w:t>(2) Änderungen der vorvertraglichen Informationen sind dem Reisenden vor Vertragsschluss klar, verständlich und in hervorgehobener Weise mitzuteilen.</w:t>
      </w:r>
    </w:p>
    <w:p>
      <w:pPr>
        <w:pStyle w:val="Heading3"/>
      </w:pPr>
      <w:bookmarkStart w:id="481" w:name="b480"/>
      <w:r>
        <w:t>Art 250 § 2 Formblatt für die vorvertragliche Unterrichtung</w:t>
      </w:r>
      <w:r>
        <w:t xml:space="preserve"> </w:t>
      </w:r>
      <w:r>
        <w:rPr>
          <w:rStyle w:val="Suchmarke"/>
        </w:rPr>
        <w:t>#250-2.#</w:t>
      </w:r>
      <w:bookmarkEnd w:id="481"/>
    </w:p>
    <w:p>
      <w:r>
        <w:t>(1) Dem Reisenden ist gemäß dem in Anlage 11 enthaltenen Muster ein zutreffend ausgefülltes Formblatt zur Verfügung zu stellen.</w:t>
      </w:r>
    </w:p>
    <w:p>
      <w:r>
        <w:t>(2) Bei Verträgen nach § 651u des Bürgerlichen Gesetzbuchs ist anstelle des Formblatts gemäß dem in Anlage 11 enthaltenen Muster das zutreffend ausgefüllte Formblatt gemäß dem in Anlage 12 enthaltenen Muster zu verwenden.</w:t>
      </w:r>
    </w:p>
    <w:p>
      <w:r>
        <w:t>(3) Soll ein Pauschalreisevertrag telefonisch geschlossen werden, können die Informationen aus dem jeweiligen Formblatt abweichend von den Absätzen 1 und 2 auch telefonisch zur Verfügung gestellt werden.</w:t>
      </w:r>
    </w:p>
    <w:p>
      <w:pPr>
        <w:pStyle w:val="Heading3"/>
      </w:pPr>
      <w:bookmarkStart w:id="482" w:name="b481"/>
      <w:r>
        <w:t>Art 250 § 3 Weitere Angaben bei der vorvertraglichen Unterrichtung</w:t>
      </w:r>
      <w:r>
        <w:t xml:space="preserve"> </w:t>
      </w:r>
      <w:r>
        <w:rPr>
          <w:rStyle w:val="Suchmarke"/>
        </w:rPr>
        <w:t>#250-3.#</w:t>
      </w:r>
      <w:bookmarkEnd w:id="482"/>
    </w:p>
    <w:p>
      <w:r>
        <w:t>Die Unterrichtung muss folgende Informationen enthalten, soweit sie für die in Betracht kommende Pauschalreise erheblich sind:</w:t>
      </w:r>
    </w:p>
    <w:p>
      <w:pPr>
        <w:tabs>
          <w:tab w:pos="567" w:val="left"/>
        </w:tabs>
        <w:ind w:left="567" w:hanging="567"/>
      </w:pPr>
      <w:r>
        <w:t>1.</w:t>
      </w:r>
      <w:r>
        <w:tab/>
      </w:r>
      <w:r>
        <w:t>die wesentlichen Eigenschaften der Reiseleistungen, und zwar</w:t>
      </w:r>
    </w:p>
    <w:p>
      <w:pPr>
        <w:tabs>
          <w:tab w:pos="1134" w:val="left"/>
        </w:tabs>
        <w:ind w:left="1134" w:hanging="567"/>
      </w:pPr>
      <w:r>
        <w:t>a)</w:t>
      </w:r>
      <w:r>
        <w:tab/>
      </w:r>
      <w:r>
        <w:t>Bestimmungsort oder, wenn die Pauschalreise mehrere Aufenthalte umfasst, die einzelnen Bestimmungsorte sowie die einzelnen Zeiträume (Datumsangaben und Anzahl der Übernachtungen),</w:t>
      </w:r>
    </w:p>
    <w:p>
      <w:pPr>
        <w:tabs>
          <w:tab w:pos="1134" w:val="left"/>
        </w:tabs>
        <w:ind w:left="1134" w:hanging="567"/>
      </w:pPr>
      <w:r>
        <w:t>b)</w:t>
      </w:r>
      <w:r>
        <w:tab/>
      </w:r>
      <w:r>
        <w:t>Reiseroute,</w:t>
      </w:r>
    </w:p>
    <w:p>
      <w:pPr>
        <w:tabs>
          <w:tab w:pos="1134" w:val="left"/>
        </w:tabs>
        <w:ind w:left="1134" w:hanging="567"/>
      </w:pPr>
      <w:r>
        <w:t>c)</w:t>
      </w:r>
      <w:r>
        <w:tab/>
      </w:r>
      <w:r>
        <w:t>Transportmittel (Merkmale und Klasse),</w:t>
      </w:r>
    </w:p>
    <w:p>
      <w:pPr>
        <w:tabs>
          <w:tab w:pos="1134" w:val="left"/>
        </w:tabs>
        <w:ind w:left="1134" w:hanging="567"/>
      </w:pPr>
      <w:r>
        <w:t>d)</w:t>
      </w:r>
      <w:r>
        <w:tab/>
      </w:r>
      <w:r>
        <w:t>Ort, Tag und Zeit der Abreise und der Rückreise oder, sofern eine genaue Zeitangabe noch nicht möglich ist, ungefähre Zeit der Abreise und Rückreise, ferner Orte und Dauer von Zwischenstationen sowie die dort zu erreichenden Anschlussverbindungen,</w:t>
      </w:r>
    </w:p>
    <w:p>
      <w:pPr>
        <w:tabs>
          <w:tab w:pos="1134" w:val="left"/>
        </w:tabs>
        <w:ind w:left="1134" w:hanging="567"/>
      </w:pPr>
      <w:r>
        <w:t>e)</w:t>
      </w:r>
      <w:r>
        <w:tab/>
      </w:r>
      <w:r>
        <w:t>Unterkunft (Lage, Hauptmerkmale und gegebenenfalls touristische Einstufung der Unterkunft nach den Regeln des jeweiligen Bestimmungslandes),</w:t>
      </w:r>
    </w:p>
    <w:p>
      <w:pPr>
        <w:tabs>
          <w:tab w:pos="1134" w:val="left"/>
        </w:tabs>
        <w:ind w:left="1134" w:hanging="567"/>
      </w:pPr>
      <w:r>
        <w:t>f)</w:t>
      </w:r>
      <w:r>
        <w:tab/>
      </w:r>
      <w:r>
        <w:t>Mahlzeiten,</w:t>
      </w:r>
    </w:p>
    <w:p>
      <w:pPr>
        <w:tabs>
          <w:tab w:pos="1134" w:val="left"/>
        </w:tabs>
        <w:ind w:left="1134" w:hanging="567"/>
      </w:pPr>
      <w:r>
        <w:t>g)</w:t>
      </w:r>
      <w:r>
        <w:tab/>
      </w:r>
      <w:r>
        <w:t>Besichtigungen, Ausflüge oder sonstige im Reisepreis inbegriffene Leistungen,</w:t>
      </w:r>
    </w:p>
    <w:p>
      <w:pPr>
        <w:tabs>
          <w:tab w:pos="1134" w:val="left"/>
        </w:tabs>
        <w:ind w:left="1134" w:hanging="567"/>
      </w:pPr>
      <w:r>
        <w:t>h)</w:t>
      </w:r>
      <w:r>
        <w:tab/>
      </w:r>
      <w:r>
        <w:t>sofern dies nicht aus dem Zusammenhang hervorgeht, die Angabe, ob eine der Reiseleistungen für den Reisenden als Teil einer Gruppe erbracht wird, und wenn dies der Fall ist, sofern möglich, die Angabe der ungefähren Gruppengröße,</w:t>
      </w:r>
    </w:p>
    <w:p>
      <w:pPr>
        <w:tabs>
          <w:tab w:pos="1134" w:val="left"/>
        </w:tabs>
        <w:ind w:left="1134" w:hanging="567"/>
      </w:pPr>
      <w:r>
        <w:t>i)</w:t>
      </w:r>
      <w:r>
        <w:tab/>
      </w:r>
      <w:r>
        <w:t>sofern die Nutzung touristischer Leistungen im Sinne des § 651a Absatz 3 Satz 1 Nummer 4 des Bürgerlichen Gesetzbuchs durch den Reisenden von einer wirksamen mündlichen Kommunikation abhängt, die Sprache, in der diese Leistungen erbracht werden, und</w:t>
      </w:r>
    </w:p>
    <w:p>
      <w:pPr>
        <w:tabs>
          <w:tab w:pos="1134" w:val="left"/>
        </w:tabs>
        <w:ind w:left="1134" w:hanging="567"/>
      </w:pPr>
      <w:r>
        <w:t>j)</w:t>
      </w:r>
      <w:r>
        <w:tab/>
      </w:r>
      <w:r>
        <w:t>die Angabe, ob die Pauschalreise im Allgemeinen für Personen mit eingeschränkter Mobilität geeignet ist, sowie auf Verlangen des Reisenden genaue Informationen über eine solche Eignung unter Berücksichtigung der Bedürfnisse des Reisenden,</w:t>
      </w:r>
    </w:p>
    <w:p>
      <w:pPr>
        <w:tabs>
          <w:tab w:pos="567" w:val="left"/>
        </w:tabs>
        <w:ind w:left="567" w:hanging="567"/>
      </w:pPr>
      <w:r>
        <w:t>2.</w:t>
      </w:r>
      <w:r>
        <w:tab/>
      </w:r>
      <w:r>
        <w:t>die Firma oder den Namen des Reiseveranstalters, die Anschrift des Ortes, an dem er niedergelassen ist, die Telefonnummer und gegebenenfalls die E-Mail-Adresse; diese Angaben sind gegebenenfalls auch bezüglich des Reisevermittlers zu erteilen,</w:t>
      </w:r>
    </w:p>
    <w:p>
      <w:pPr>
        <w:tabs>
          <w:tab w:pos="567" w:val="left"/>
        </w:tabs>
        <w:ind w:left="567" w:hanging="567"/>
      </w:pPr>
      <w:r>
        <w:t>3.</w:t>
      </w:r>
      <w:r>
        <w:tab/>
      </w:r>
      <w:r>
        <w:t>den Reisepreis einschließlich Steuern und gegebenenfalls aller zusätzlichen Gebühren, Entgelte und sonstigen Kosten, oder, wenn sich diese Kosten vor Vertragsschluss nicht bestimmen lassen, die Angabe der Art von Mehrkosten, für die der Reisende gegebenenfalls noch aufkommen muss,</w:t>
      </w:r>
    </w:p>
    <w:p>
      <w:pPr>
        <w:tabs>
          <w:tab w:pos="567" w:val="left"/>
        </w:tabs>
        <w:ind w:left="567" w:hanging="567"/>
      </w:pPr>
      <w:r>
        <w:t>4.</w:t>
      </w:r>
      <w:r>
        <w:tab/>
      </w:r>
      <w:r>
        <w:t>die Zahlungsmodalitäten einschließlich des Betrags oder des Prozentsatzes des Reisepreises, der als Anzahlung zu leisten ist, sowie des Zeitplans für die Zahlung des Restbetrags oder für die Stellung finanzieller Sicherheiten durch den Reisenden,</w:t>
      </w:r>
    </w:p>
    <w:p>
      <w:pPr>
        <w:tabs>
          <w:tab w:pos="567" w:val="left"/>
        </w:tabs>
        <w:ind w:left="567" w:hanging="567"/>
      </w:pPr>
      <w:r>
        <w:t>5.</w:t>
      </w:r>
      <w:r>
        <w:tab/>
      </w:r>
      <w:r>
        <w:t>die für die Durchführung der Pauschalreise erforderliche Mindestteilnehmerzahl sowie die Angabe, bis zu welchem Zeitpunkt vor dem vertraglich vereinbarten Reisebeginn dem Reisenden die Rücktrittserklärung des Reiseveranstalters gemäß § 651h Absatz 4 Satz 1 Nummer 1 des Bürgerlichen Gesetzbuchs zugegangen sein muss,</w:t>
      </w:r>
    </w:p>
    <w:p>
      <w:pPr>
        <w:tabs>
          <w:tab w:pos="567" w:val="left"/>
        </w:tabs>
        <w:ind w:left="567" w:hanging="567"/>
      </w:pPr>
      <w:r>
        <w:t>6.</w:t>
      </w:r>
      <w:r>
        <w:tab/>
      </w:r>
      <w:r>
        <w:t>allgemeine Pass- und Visumerfordernisse des Bestimmungslands, einschließlich der ungefähren Fristen für die Erlangung von Visa, sowie gesundheitspolizeiliche Formalitäten,</w:t>
      </w:r>
    </w:p>
    <w:p>
      <w:pPr>
        <w:tabs>
          <w:tab w:pos="567" w:val="left"/>
        </w:tabs>
        <w:ind w:left="567" w:hanging="567"/>
      </w:pPr>
      <w:r>
        <w:t>7.</w:t>
      </w:r>
      <w:r>
        <w:tab/>
      </w:r>
      <w:r>
        <w:t>den Hinweis, dass der Reisende vor Reisebeginn gegen Zahlung einer angemessenen Entschädigung oder gegebenenfalls einer vom Reiseveranstalter verlangten Entschädigungspauschale jederzeit vom Vertrag zurücktreten kann,</w:t>
      </w:r>
    </w:p>
    <w:p>
      <w:pPr>
        <w:tabs>
          <w:tab w:pos="567" w:val="left"/>
        </w:tabs>
        <w:ind w:left="567" w:hanging="567"/>
      </w:pPr>
      <w:r>
        <w:t>8.</w:t>
      </w:r>
      <w:r>
        <w:tab/>
      </w:r>
      <w:r>
        <w:t>den Hinweis auf den möglichen Abschluss einer Reiserücktrittskostenversicherung oder einer Versicherung zur Deckung der Kosten einer Unterstützung einschließlich einer Rückbeförderung bei Unfall, Krankheit oder Tod.</w:t>
      </w:r>
    </w:p>
    <w:p>
      <w:pPr>
        <w:pStyle w:val="Heading3"/>
      </w:pPr>
      <w:bookmarkStart w:id="483" w:name="b482"/>
      <w:r>
        <w:t>Art 250 § 4 Vorvertragliche Unterrichtung in den Fällen des § 651c des Bürgerlichen Gesetzbuchs</w:t>
      </w:r>
      <w:r>
        <w:t xml:space="preserve"> </w:t>
      </w:r>
      <w:r>
        <w:rPr>
          <w:rStyle w:val="Suchmarke"/>
        </w:rPr>
        <w:t>#250-4.#</w:t>
      </w:r>
      <w:bookmarkEnd w:id="483"/>
    </w:p>
    <w:p>
      <w:r>
        <w:rPr>
          <w:rStyle w:val="Satznummer"/>
        </w:rPr>
        <w:t>1</w:t>
      </w:r>
      <w:r>
        <w:t xml:space="preserve">Für Pauschalreiseverträge nach § 651c des Bürgerlichen Gesetzbuchs ist abweichend von § 2 Absatz 1 anstelle des Formblatts gemäß dem in Anlage 11 enthaltenen Muster das zutreffend ausgefüllte Formblatt gemäß dem in Anlage 13 enthaltenen Muster zu verwenden. </w:t>
      </w:r>
      <w:r>
        <w:rPr>
          <w:rStyle w:val="Satznummer"/>
        </w:rPr>
        <w:t>2</w:t>
      </w:r>
      <w:r>
        <w:t>Zur Unterrichtung nach § 3 sind verpflichtet</w:t>
      </w:r>
    </w:p>
    <w:p>
      <w:pPr>
        <w:tabs>
          <w:tab w:pos="567" w:val="left"/>
        </w:tabs>
        <w:ind w:left="567" w:hanging="567"/>
      </w:pPr>
      <w:r>
        <w:t>1.</w:t>
      </w:r>
      <w:r>
        <w:tab/>
      </w:r>
      <w:r>
        <w:t>der als Reiseveranstalter anzusehende Unternehmer nur in Bezug auf die Reiseleistung, die er zu erbringen hat,</w:t>
      </w:r>
    </w:p>
    <w:p>
      <w:pPr>
        <w:tabs>
          <w:tab w:pos="567" w:val="left"/>
        </w:tabs>
        <w:ind w:left="567" w:hanging="567"/>
      </w:pPr>
      <w:r>
        <w:t>2.</w:t>
      </w:r>
      <w:r>
        <w:tab/>
      </w:r>
      <w:r>
        <w:t>jeder andere Unternehmer, dem nach § 651c Absatz 1 Nummer 2 des Bürgerlichen Gesetzbuchs Daten übermittelt werden, in Bezug auf die von ihm zu erbringende Reiseleistung; er trägt gegenüber dem Reisenden die Beweislast für die Erfüllung seiner Informationspflichten.</w:t>
      </w:r>
    </w:p>
    <w:p>
      <w:pPr>
        <w:pStyle w:val="Heading3"/>
      </w:pPr>
      <w:bookmarkStart w:id="484" w:name="b483"/>
      <w:r>
        <w:t>Art 250 § 5 Gestaltung des Vertrags</w:t>
      </w:r>
      <w:r>
        <w:t xml:space="preserve"> </w:t>
      </w:r>
      <w:r>
        <w:rPr>
          <w:rStyle w:val="Suchmarke"/>
        </w:rPr>
        <w:t>#250-5.#</w:t>
      </w:r>
      <w:bookmarkEnd w:id="484"/>
    </w:p>
    <w:p>
      <w:r>
        <w:t>Der Pauschalreisevertrag muss in einfacher und verständlicher Sprache abgefasst und, sofern er schriftlich geschlossen wird, leserlich sein.</w:t>
      </w:r>
    </w:p>
    <w:p>
      <w:pPr>
        <w:pStyle w:val="Heading3"/>
      </w:pPr>
      <w:bookmarkStart w:id="485" w:name="b484"/>
      <w:r>
        <w:t>Art 250 § 6 Abschrift oder Bestätigung des Vertrags</w:t>
      </w:r>
      <w:r>
        <w:t xml:space="preserve"> </w:t>
      </w:r>
      <w:r>
        <w:rPr>
          <w:rStyle w:val="Suchmarke"/>
        </w:rPr>
        <w:t>#250-6.#</w:t>
      </w:r>
      <w:bookmarkEnd w:id="485"/>
    </w:p>
    <w:p>
      <w:r>
        <w:t xml:space="preserve">(1) </w:t>
      </w:r>
      <w:r>
        <w:rPr>
          <w:rStyle w:val="Satznummer"/>
        </w:rPr>
        <w:t>1</w:t>
      </w:r>
      <w:r>
        <w:t xml:space="preserve">Dem Reisenden ist bei oder unverzüglich nach Vertragsschluss auf einem dauerhaften Datenträger eine Abschrift oder Bestätigung des Vertrags zur Verfügung zu stellen. </w:t>
      </w:r>
      <w:r>
        <w:rPr>
          <w:rStyle w:val="Satznummer"/>
        </w:rPr>
        <w:t>2</w:t>
      </w:r>
      <w:r>
        <w:t>Der Reisende hat Anspruch auf eine Abschrift oder Bestätigung des Vertrags in Papierform, wenn der Vertragsschluss</w:t>
      </w:r>
    </w:p>
    <w:p>
      <w:pPr>
        <w:tabs>
          <w:tab w:pos="567" w:val="left"/>
        </w:tabs>
        <w:ind w:left="567" w:hanging="567"/>
      </w:pPr>
      <w:r>
        <w:t>1.</w:t>
      </w:r>
      <w:r>
        <w:tab/>
      </w:r>
      <w:r>
        <w:t>bei gleichzeitiger körperlicher Anwesenheit der Vertragsschließenden erfolgte oder</w:t>
      </w:r>
    </w:p>
    <w:p>
      <w:pPr>
        <w:tabs>
          <w:tab w:pos="567" w:val="left"/>
        </w:tabs>
        <w:ind w:left="567" w:hanging="567"/>
      </w:pPr>
      <w:r>
        <w:t>2.</w:t>
      </w:r>
      <w:r>
        <w:tab/>
      </w:r>
      <w:r>
        <w:t>außerhalb von Geschäftsräumen erfolgte (§ 312b des Bürgerlichen Gesetzbuchs); wenn der Reisende zustimmt, kann für die Abschrift oder die Bestätigung des Vertrags auch ein anderer dauerhafter Datenträger verwendet werden.</w:t>
      </w:r>
    </w:p>
    <w:p>
      <w:r>
        <w:t>(2) Die Abschrift oder Bestätigung des Vertrags muss klar, verständlich und in hervorgehobener Weise den vollständigen Vertragsinhalt wiedergeben und außer den in § 3 genannten Informationen die folgenden Angaben enthalten:</w:t>
      </w:r>
    </w:p>
    <w:p>
      <w:pPr>
        <w:tabs>
          <w:tab w:pos="567" w:val="left"/>
        </w:tabs>
        <w:ind w:left="567" w:hanging="567"/>
      </w:pPr>
      <w:r>
        <w:t>1.</w:t>
      </w:r>
      <w:r>
        <w:tab/>
      </w:r>
      <w:r>
        <w:t>besondere Vorgaben des Reisenden, denen der Reiseveranstalter zugestimmt hat,</w:t>
      </w:r>
    </w:p>
    <w:p>
      <w:pPr>
        <w:tabs>
          <w:tab w:pos="567" w:val="left"/>
        </w:tabs>
        <w:ind w:left="567" w:hanging="567"/>
      </w:pPr>
      <w:r>
        <w:t>2.</w:t>
      </w:r>
      <w:r>
        <w:tab/>
      </w:r>
      <w:r>
        <w:t>den Hinweis, dass der Reiseveranstalter</w:t>
      </w:r>
    </w:p>
    <w:p>
      <w:pPr>
        <w:tabs>
          <w:tab w:pos="1134" w:val="left"/>
        </w:tabs>
        <w:ind w:left="1134" w:hanging="567"/>
      </w:pPr>
      <w:r>
        <w:t>a)</w:t>
      </w:r>
      <w:r>
        <w:tab/>
      </w:r>
      <w:r>
        <w:t>gemäß § 651i des Bürgerlichen Gesetzbuchs für die ordnungsgemäße Erbringung aller von dem Vertrag umfassten Reiseleistungen verantwortlich ist und</w:t>
      </w:r>
    </w:p>
    <w:p>
      <w:pPr>
        <w:tabs>
          <w:tab w:pos="1134" w:val="left"/>
        </w:tabs>
        <w:ind w:left="1134" w:hanging="567"/>
      </w:pPr>
      <w:r>
        <w:t>b)</w:t>
      </w:r>
      <w:r>
        <w:tab/>
      </w:r>
      <w:r>
        <w:t>gemäß § 651q des Bürgerlichen Gesetzbuchs zum Beistand verpflichtet ist, wenn sich der Reisende in Schwierigkeiten befindet,</w:t>
      </w:r>
    </w:p>
    <w:p>
      <w:pPr>
        <w:tabs>
          <w:tab w:pos="567" w:val="left"/>
        </w:tabs>
        <w:ind w:left="567" w:hanging="567"/>
      </w:pPr>
      <w:r>
        <w:t>3.</w:t>
      </w:r>
      <w:r>
        <w:tab/>
      </w:r>
      <w:r>
        <w:t>den Namen des Absicherers sowie dessen Kontaktdaten einschließlich der Anschrift des Ortes, an dem er niedergelassen ist; im Fall des § 651s des Bürgerlichen Gesetzbuchs sind diese Angaben zu erteilen in Bezug auf die Einrichtung, die den Insolvenzschutz bietet, und gegebenenfalls in Bezug auf die zuständige Behörde,</w:t>
      </w:r>
    </w:p>
    <w:p>
      <w:pPr>
        <w:tabs>
          <w:tab w:pos="567" w:val="left"/>
        </w:tabs>
        <w:ind w:left="567" w:hanging="567"/>
      </w:pPr>
      <w:r>
        <w:t>4.</w:t>
      </w:r>
      <w:r>
        <w:tab/>
      </w:r>
      <w:r>
        <w:t>Namen, Anschrift, Telefonnummer, E-Mail-Adresse und gegebenenfalls Faxnummer des Vertreters des Reiseveranstalters vor Ort, einer Kontaktstelle oder eines anderen Dienstes, an den oder die sich der Reisende wenden kann, um schnell mit dem Reiseveranstalter Verbindung aufzunehmen, wenn der Reisende</w:t>
      </w:r>
    </w:p>
    <w:p>
      <w:pPr>
        <w:tabs>
          <w:tab w:pos="1134" w:val="left"/>
        </w:tabs>
        <w:ind w:left="1134" w:hanging="567"/>
      </w:pPr>
      <w:r>
        <w:t>a)</w:t>
      </w:r>
      <w:r>
        <w:tab/>
      </w:r>
      <w:r>
        <w:t>Beistand nach § 651q des Bürgerlichen Gesetzbuchs benötigt oder</w:t>
      </w:r>
    </w:p>
    <w:p>
      <w:pPr>
        <w:tabs>
          <w:tab w:pos="1134" w:val="left"/>
        </w:tabs>
        <w:ind w:left="1134" w:hanging="567"/>
      </w:pPr>
      <w:r>
        <w:t>b)</w:t>
      </w:r>
      <w:r>
        <w:tab/>
      </w:r>
      <w:r>
        <w:t>einen aufgetretenen Reisemangel anzeigen will,</w:t>
      </w:r>
    </w:p>
    <w:p>
      <w:pPr>
        <w:tabs>
          <w:tab w:pos="567" w:val="left"/>
        </w:tabs>
        <w:ind w:left="567" w:hanging="567"/>
      </w:pPr>
      <w:r>
        <w:t>5.</w:t>
      </w:r>
      <w:r>
        <w:tab/>
      </w:r>
      <w:r>
        <w:t>den Hinweis auf die Obliegenheit des Reisenden, dem Reiseveranstalter einen aufgetretenen Reisemangel unverzüglich anzuzeigen,</w:t>
      </w:r>
    </w:p>
    <w:p>
      <w:pPr>
        <w:tabs>
          <w:tab w:pos="567" w:val="left"/>
        </w:tabs>
        <w:ind w:left="567" w:hanging="567"/>
      </w:pPr>
      <w:r>
        <w:t>6.</w:t>
      </w:r>
      <w:r>
        <w:tab/>
      </w:r>
      <w:r>
        <w:t>bei Minderjährigen, die ohne Begleitung durch einen Elternteil oder eine andere berechtigte Person reisen, Angaben darüber, wie eine unmittelbare Verbindung zu dem Minderjährigen oder zu dem an dessen Aufenthaltsort für ihn Verantwortlichen hergestellt werden kann; dies gilt nicht, wenn der Vertrag keine Beherbergung des Minderjährigen umfasst,</w:t>
      </w:r>
    </w:p>
    <w:p>
      <w:pPr>
        <w:tabs>
          <w:tab w:pos="567" w:val="left"/>
        </w:tabs>
        <w:ind w:left="567" w:hanging="567"/>
      </w:pPr>
      <w:r>
        <w:t>7.</w:t>
      </w:r>
      <w:r>
        <w:tab/>
      </w:r>
      <w:r>
        <w:t>Informationen</w:t>
      </w:r>
    </w:p>
    <w:p>
      <w:pPr>
        <w:tabs>
          <w:tab w:pos="1134" w:val="left"/>
        </w:tabs>
        <w:ind w:left="1134" w:hanging="567"/>
      </w:pPr>
      <w:r>
        <w:t>a)</w:t>
      </w:r>
      <w:r>
        <w:tab/>
      </w:r>
      <w:r>
        <w:t>zu bestehenden internen Beschwerdeverfahren,</w:t>
      </w:r>
    </w:p>
    <w:p>
      <w:pPr>
        <w:tabs>
          <w:tab w:pos="1134" w:val="left"/>
        </w:tabs>
        <w:ind w:left="1134" w:hanging="567"/>
      </w:pPr>
      <w:r>
        <w:t>b)</w:t>
      </w:r>
      <w:r>
        <w:tab/>
      </w:r>
      <w:r>
        <w:t>gemäß § 36 des Verbraucherstreitbeilegungsgesetzes zur Teilnahme an alternativen Streitbeilegungsverfahren und</w:t>
      </w:r>
    </w:p>
    <w:p>
      <w:pPr>
        <w:tabs>
          <w:tab w:pos="1134" w:val="left"/>
        </w:tabs>
        <w:ind w:left="1134" w:hanging="567"/>
      </w:pPr>
      <w:r>
        <w:t>c)</w:t>
      </w:r>
      <w:r>
        <w:tab/>
      </w:r>
      <w:r>
        <w:t>zur Online-Streitbeilegungsplattform gemäß Artikel 14 der Verordnung (EU) Nr. 524/2013 des Europäischen Parlaments und des Rates vom 21. Mai 2013 über die Online-Beilegung verbraucherrechtlicher Streitigkeiten und zur Änderung der Verordnung (EG) Nr. 2006/2004 und der Richtlinie 2009/22/EG (ABl. L 165 vom 18.6.2013, S. 1),</w:t>
      </w:r>
    </w:p>
    <w:p>
      <w:pPr>
        <w:tabs>
          <w:tab w:pos="567" w:val="left"/>
        </w:tabs>
        <w:ind w:left="567" w:hanging="567"/>
      </w:pPr>
      <w:r>
        <w:t>8.</w:t>
      </w:r>
      <w:r>
        <w:tab/>
      </w:r>
      <w:r>
        <w:t>den Hinweis auf das Recht des Reisenden, den Vertrag gemäß § 651e des Bürgerlichen Gesetzbuchs auf einen anderen Reisenden zu übertragen.</w:t>
      </w:r>
    </w:p>
    <w:p>
      <w:pPr>
        <w:pStyle w:val="Heading3"/>
      </w:pPr>
      <w:bookmarkStart w:id="486" w:name="b485"/>
      <w:r>
        <w:t>Art 250 § 7 Reiseunterlagen, Unterrichtung vor Reisebeginn</w:t>
      </w:r>
      <w:r>
        <w:t xml:space="preserve"> </w:t>
      </w:r>
      <w:r>
        <w:rPr>
          <w:rStyle w:val="Suchmarke"/>
        </w:rPr>
        <w:t>#250-7.#</w:t>
      </w:r>
      <w:bookmarkEnd w:id="486"/>
    </w:p>
    <w:p>
      <w:r>
        <w:t>(1) Der Reiseveranstalter hat dem Reisenden rechtzeitig vor Reisebeginn die notwendigen Reiseunterlagen zu übermitteln, insbesondere notwendige Buchungsbelege, Gutscheine, Beförderungsausweise und Eintrittskarten.</w:t>
      </w:r>
    </w:p>
    <w:p>
      <w:r>
        <w:t xml:space="preserve">(2) </w:t>
      </w:r>
      <w:r>
        <w:rPr>
          <w:rStyle w:val="Satznummer"/>
        </w:rPr>
        <w:t>1</w:t>
      </w:r>
      <w:r>
        <w:t xml:space="preserve">Der Reiseveranstalter hat den Reisenden rechtzeitig vor Reisebeginn zu unterrichten über die Abreise- und Ankunftszeiten sowie gegebenenfalls die Zeiten für die Abfertigung vor der Beförderung, die Orte und Dauer von Zwischenstationen sowie die dort zu erreichenden Anschlussverbindungen. </w:t>
      </w:r>
      <w:r>
        <w:rPr>
          <w:rStyle w:val="Satznummer"/>
        </w:rPr>
        <w:t>2</w:t>
      </w:r>
      <w:r>
        <w:t>Eine besondere Mitteilung nach Satz 1 ist nicht erforderlich, soweit diese Informationen bereits in einer dem Reisenden zur Verfügung gestellten Abschrift oder Bestätigung des Vertrags gemäß § 6 oder in einer Information des Reisenden nach § 8 Absatz 2 enthalten sind und inzwischen keine Änderungen eingetreten sind.</w:t>
      </w:r>
    </w:p>
    <w:p>
      <w:pPr>
        <w:pStyle w:val="Heading3"/>
      </w:pPr>
      <w:bookmarkStart w:id="487" w:name="b486"/>
      <w:r>
        <w:t>Art 250 § 8 Mitteilungspflichten anderer Unternehmer und Information des Reisenden nach Vertragsschluss in den Fällen des § 651c des Bürgerlichen Gesetzbuchs</w:t>
      </w:r>
      <w:r>
        <w:t xml:space="preserve"> </w:t>
      </w:r>
      <w:r>
        <w:rPr>
          <w:rStyle w:val="Suchmarke"/>
        </w:rPr>
        <w:t>#250-8.#</w:t>
      </w:r>
      <w:bookmarkEnd w:id="487"/>
    </w:p>
    <w:p>
      <w:r>
        <w:t>(1) Schließt ein Unternehmer, dem nach § 651c Absatz 1 Nummer 2 des Bürgerlichen Gesetzbuchs Daten übermittelt werden, mit dem Reisenden einen Vertrag über eine Reiseleistung ab, hat er den als Reiseveranstalter anzusehenden Unternehmer über den Umstand des Vertragsschlusses zu unterrichten und diesem in Bezug auf die von ihm zu erbringende Reiseleistung die Informationen zur Verfügung zu stellen, die zur Erfüllung der Verpflichtungen als Reiseveranstalter erforderlich sind.</w:t>
      </w:r>
    </w:p>
    <w:p>
      <w:r>
        <w:t>(2) Der als Reiseveranstalter anzusehende Unternehmer hat dem Reisenden die in § 6 Absatz 2 Nummer 1 bis 8 genannten Angaben klar, verständlich und in hervorgehobener Weise auf einem dauerhaften Datenträger zur Verfügung zu stellen, sobald er von dem anderen Unternehmer gemäß Absatz 1 über den Umstand des Vertragsschlusses unterrichtet wurde.</w:t>
      </w:r>
    </w:p>
    <w:p>
      <w:pPr>
        <w:pStyle w:val="Heading3"/>
      </w:pPr>
      <w:bookmarkStart w:id="488" w:name="b487"/>
      <w:r>
        <w:t>Art 250 § 9 Weitere Informationspflichten bei Verträgen über Gastschulaufenthalte</w:t>
      </w:r>
      <w:r>
        <w:t xml:space="preserve"> </w:t>
      </w:r>
      <w:r>
        <w:rPr>
          <w:rStyle w:val="Suchmarke"/>
        </w:rPr>
        <w:t>#250-9.#</w:t>
      </w:r>
      <w:bookmarkEnd w:id="488"/>
    </w:p>
    <w:p>
      <w:r>
        <w:t>Über die in § 6 Absatz 2 bestimmten Angaben hinaus hat der Reiseveranstalter dem Reisenden folgende Informationen zu erteilen:</w:t>
      </w:r>
    </w:p>
    <w:p>
      <w:pPr>
        <w:tabs>
          <w:tab w:pos="567" w:val="left"/>
        </w:tabs>
        <w:ind w:left="567" w:hanging="567"/>
      </w:pPr>
      <w:r>
        <w:t>1.</w:t>
      </w:r>
      <w:r>
        <w:tab/>
      </w:r>
      <w:r>
        <w:t>Namen, Anschrift, Telefonnummer und gegebenenfalls E-Mail-Adresse der Gastfamilie, in welcher der Gastschüler untergebracht ist, einschließlich Veränderungen,</w:t>
      </w:r>
    </w:p>
    <w:p>
      <w:pPr>
        <w:tabs>
          <w:tab w:pos="567" w:val="left"/>
        </w:tabs>
        <w:ind w:left="567" w:hanging="567"/>
      </w:pPr>
      <w:r>
        <w:t>2.</w:t>
      </w:r>
      <w:r>
        <w:tab/>
      </w:r>
      <w:r>
        <w:t>Namen und Erreichbarkeit eines Ansprechpartners im Aufnahmeland, bei dem auch Abhilfe verlangt werden kann, einschließlich Veränderungen, und</w:t>
      </w:r>
    </w:p>
    <w:p>
      <w:pPr>
        <w:tabs>
          <w:tab w:pos="567" w:val="left"/>
        </w:tabs>
        <w:ind w:left="567" w:hanging="567"/>
      </w:pPr>
      <w:r>
        <w:t>3.</w:t>
      </w:r>
      <w:r>
        <w:tab/>
      </w:r>
      <w:r>
        <w:t>Abhilfeverlangen des Gastschülers und die vom Reiseveranstalter ergriffenen Maßnahmen.</w:t>
      </w:r>
    </w:p>
    <w:p>
      <w:pPr>
        <w:pStyle w:val="Heading3"/>
      </w:pPr>
      <w:bookmarkStart w:id="489" w:name="b488"/>
      <w:r>
        <w:t>Art 250 § 10 Unterrichtung bei erheblichen Vertragsänderungen</w:t>
      </w:r>
      <w:r>
        <w:t xml:space="preserve"> </w:t>
      </w:r>
      <w:r>
        <w:rPr>
          <w:rStyle w:val="Suchmarke"/>
        </w:rPr>
        <w:t>#250-10.#</w:t>
      </w:r>
      <w:bookmarkEnd w:id="489"/>
    </w:p>
    <w:p>
      <w:r>
        <w:t>Beabsichtigt der Reiseveranstalter eine Vertragsänderung nach § 651g Absatz 1 des Bürgerlichen Gesetzbuchs, hat er den Reisenden unverzüglich nach Kenntnis von dem Änderungsgrund auf einem dauerhaften Datenträger klar, verständlich und in hervorgehobener Weise zu informieren über</w:t>
      </w:r>
    </w:p>
    <w:p>
      <w:pPr>
        <w:tabs>
          <w:tab w:pos="567" w:val="left"/>
        </w:tabs>
        <w:ind w:left="567" w:hanging="567"/>
      </w:pPr>
      <w:r>
        <w:t>1.</w:t>
      </w:r>
      <w:r>
        <w:tab/>
      </w:r>
      <w:r>
        <w:t>die angebotene Vertragsänderung, die Gründe hierfür sowie</w:t>
      </w:r>
    </w:p>
    <w:p>
      <w:pPr>
        <w:tabs>
          <w:tab w:pos="1134" w:val="left"/>
        </w:tabs>
        <w:ind w:left="1134" w:hanging="567"/>
      </w:pPr>
      <w:r>
        <w:t>a)</w:t>
      </w:r>
      <w:r>
        <w:tab/>
      </w:r>
      <w:r>
        <w:t>im Fall einer Erhöhung des Reisepreises über deren Berechnung,</w:t>
      </w:r>
    </w:p>
    <w:p>
      <w:pPr>
        <w:tabs>
          <w:tab w:pos="1134" w:val="left"/>
        </w:tabs>
        <w:ind w:left="1134" w:hanging="567"/>
      </w:pPr>
      <w:r>
        <w:t>b)</w:t>
      </w:r>
      <w:r>
        <w:tab/>
      </w:r>
      <w:r>
        <w:t>im Fall einer sonstigen Vertragsänderung über die Auswirkungen dieser Änderung auf den Reisepreis gemäß § 651g Absatz 3 Satz 2 des Bürgerlichen Gesetzbuchs,</w:t>
      </w:r>
    </w:p>
    <w:p>
      <w:pPr>
        <w:tabs>
          <w:tab w:pos="567" w:val="left"/>
        </w:tabs>
        <w:ind w:left="567" w:hanging="567"/>
      </w:pPr>
      <w:r>
        <w:t>2.</w:t>
      </w:r>
      <w:r>
        <w:tab/>
      </w:r>
      <w:r>
        <w:t>die Frist, innerhalb derer der Reisende ohne Zahlung einer Entschädigung vom Vertrag zurücktreten oder das Angebot zur Vertragsänderung annehmen kann,</w:t>
      </w:r>
    </w:p>
    <w:p>
      <w:pPr>
        <w:tabs>
          <w:tab w:pos="567" w:val="left"/>
        </w:tabs>
        <w:ind w:left="567" w:hanging="567"/>
      </w:pPr>
      <w:r>
        <w:t>3.</w:t>
      </w:r>
      <w:r>
        <w:tab/>
      </w:r>
      <w:r>
        <w:t>den Umstand, dass das Angebot zur Vertragsänderung als angenommen gilt, wenn der Reisende sich nicht innerhalb der Frist erklärt, und</w:t>
      </w:r>
    </w:p>
    <w:p>
      <w:pPr>
        <w:tabs>
          <w:tab w:pos="567" w:val="left"/>
        </w:tabs>
        <w:ind w:left="567" w:hanging="567"/>
      </w:pPr>
      <w:r>
        <w:t>4.</w:t>
      </w:r>
      <w:r>
        <w:tab/>
      </w:r>
      <w:r>
        <w:t>die gegebenenfalls als Ersatz angebotene Pauschalreise und deren Reisepreis.</w:t>
      </w:r>
    </w:p>
    <w:p>
      <w:pPr>
        <w:pStyle w:val="Heading2"/>
      </w:pPr>
      <w:bookmarkStart w:id="490" w:name="b489"/>
      <w:r>
        <w:t>Art 251 Informationspflichten bei Vermittlung verbundener Reiseleistungen</w:t>
      </w:r>
      <w:bookmarkEnd w:id="490"/>
    </w:p>
    <w:p>
      <w:pPr>
        <w:pStyle w:val="Heading3"/>
      </w:pPr>
      <w:bookmarkStart w:id="491" w:name="b490"/>
      <w:r>
        <w:t>Art 251 § 1 Form und Zeitpunkt der Unterrichtung</w:t>
      </w:r>
      <w:r>
        <w:t xml:space="preserve"> </w:t>
      </w:r>
      <w:r>
        <w:rPr>
          <w:rStyle w:val="Suchmarke"/>
        </w:rPr>
        <w:t>#251-1.#</w:t>
      </w:r>
      <w:bookmarkEnd w:id="491"/>
    </w:p>
    <w:p>
      <w:r>
        <w:rPr>
          <w:rStyle w:val="Satznummer"/>
        </w:rPr>
        <w:t>1</w:t>
      </w:r>
      <w:r>
        <w:t xml:space="preserve">Die Unterrichtung des Reisenden nach § 651w Absatz 2 des Bürgerlichen Gesetzbuchs muss erfolgen, bevor dieser eine Vertragserklärung betreffend einen Vertrag über eine Reiseleistung abgibt, dessen Zustandekommen bewirkt, dass eine Vermittlung verbundener Reiseleistungen erfolgt ist. </w:t>
      </w:r>
      <w:r>
        <w:rPr>
          <w:rStyle w:val="Satznummer"/>
        </w:rPr>
        <w:t>2</w:t>
      </w:r>
      <w:r>
        <w:t>Die Informationen sind klar, verständlich und in hervorgehobener Weise mitzuteilen.</w:t>
      </w:r>
    </w:p>
    <w:p>
      <w:pPr>
        <w:pStyle w:val="Heading3"/>
      </w:pPr>
      <w:bookmarkStart w:id="492" w:name="b491"/>
      <w:r>
        <w:t>Art 251 § 2 Formblatt für die Unterrichtung des Reisenden</w:t>
      </w:r>
      <w:r>
        <w:t xml:space="preserve"> </w:t>
      </w:r>
      <w:r>
        <w:rPr>
          <w:rStyle w:val="Suchmarke"/>
        </w:rPr>
        <w:t>#251-2.#</w:t>
      </w:r>
      <w:bookmarkEnd w:id="492"/>
    </w:p>
    <w:p>
      <w:r>
        <w:rPr>
          <w:rStyle w:val="Satznummer"/>
        </w:rPr>
        <w:t>1</w:t>
      </w:r>
      <w:r>
        <w:t>Dem Reisenden ist gemäß den in den Anlagen 14 bis 17 enthaltenen Mustern ein zutreffend ausgefülltes Formblatt zur Verfügung zu stellen, und zwar</w:t>
      </w:r>
    </w:p>
    <w:p>
      <w:pPr>
        <w:tabs>
          <w:tab w:pos="567" w:val="left"/>
        </w:tabs>
        <w:ind w:left="567" w:hanging="567"/>
      </w:pPr>
      <w:r>
        <w:t>1.</w:t>
      </w:r>
      <w:r>
        <w:tab/>
      </w:r>
      <w:r>
        <w:t>sofern der Vermittler verbundener Reiseleistungen ein Beförderer ist, mit dem der Reisende einen die Rückbeförderung umfassenden Beförderungsvertrag geschlossen hat:</w:t>
      </w:r>
    </w:p>
    <w:p>
      <w:pPr>
        <w:tabs>
          <w:tab w:pos="1134" w:val="left"/>
        </w:tabs>
        <w:ind w:left="1134" w:hanging="567"/>
      </w:pPr>
      <w:r>
        <w:t>a)</w:t>
      </w:r>
      <w:r>
        <w:tab/>
      </w:r>
      <w:r>
        <w:t>ein Formblatt gemäß dem Muster in Anlage 14, wenn die Vermittlung nach § 651w Absatz 1 Satz 1 Nummer 1 des Bürgerlichen Gesetzbuchs erfolgt,</w:t>
      </w:r>
    </w:p>
    <w:p>
      <w:pPr>
        <w:tabs>
          <w:tab w:pos="1134" w:val="left"/>
        </w:tabs>
        <w:ind w:left="1134" w:hanging="567"/>
      </w:pPr>
      <w:r>
        <w:t>b)</w:t>
      </w:r>
      <w:r>
        <w:tab/>
      </w:r>
      <w:r>
        <w:t>ein Formblatt gemäß dem Muster in Anlage 15, wenn die Vermittlung nach § 651w Absatz 1 Satz 1 Nummer 2 des Bürgerlichen Gesetzbuchs erfolgt,</w:t>
      </w:r>
    </w:p>
    <w:p>
      <w:pPr>
        <w:tabs>
          <w:tab w:pos="567" w:val="left"/>
        </w:tabs>
        <w:ind w:left="567" w:hanging="567"/>
      </w:pPr>
      <w:r>
        <w:t>2.</w:t>
      </w:r>
      <w:r>
        <w:tab/>
      </w:r>
      <w:r>
        <w:t>sofern es sich bei dem Vermittler verbundener Reiseleistungen nicht um einen Beförderer handelt, mit dem der Reisende einen die Rückbeförderung umfassenden Beförderungsvertrag geschlossen hat:</w:t>
      </w:r>
    </w:p>
    <w:p>
      <w:pPr>
        <w:tabs>
          <w:tab w:pos="1134" w:val="left"/>
        </w:tabs>
        <w:ind w:left="1134" w:hanging="567"/>
      </w:pPr>
      <w:r>
        <w:t>a)</w:t>
      </w:r>
      <w:r>
        <w:tab/>
      </w:r>
      <w:r>
        <w:t>ein Formblatt gemäß dem Muster in Anlage 16, wenn die Vermittlung nach § 651w Absatz 1 Satz 1 Nummer 1 des Bürgerlichen Gesetzbuchs erfolgt,</w:t>
      </w:r>
    </w:p>
    <w:p>
      <w:pPr>
        <w:tabs>
          <w:tab w:pos="1134" w:val="left"/>
        </w:tabs>
        <w:ind w:left="1134" w:hanging="567"/>
      </w:pPr>
      <w:r>
        <w:t>b)</w:t>
      </w:r>
      <w:r>
        <w:tab/>
      </w:r>
      <w:r>
        <w:t>ein Formblatt gemäß dem Muster in Anlage 17, wenn die Vermittlung nach § 651w Absatz 1 Satz 1 Nummer 2 des Bürgerlichen Gesetzbuchs erfolgt.</w:t>
      </w:r>
    </w:p>
    <w:p>
      <w:r>
        <w:rPr>
          <w:rStyle w:val="Satznummer"/>
        </w:rPr>
        <w:t>2</w:t>
      </w:r>
      <w:r>
        <w:t xml:space="preserve">Erfolgt die Vermittlung verbundener Reiseleistungen in den Fällen von Satz 1 Nummer 1 und 2 Buchstabe b bei gleichzeitiger körperlicher Anwesenheit des Reisenden und des Vermittlers verbundener Reiseleistungen, hat der Vermittler verbundener Reiseleistungen abweichend von Satz 1 die in den betreffenden Formblättern enthaltenen Informationen in einer der Vermittlungssituation angepassten Weise zur Verfügung zu stellen. </w:t>
      </w:r>
      <w:r>
        <w:rPr>
          <w:rStyle w:val="Satznummer"/>
        </w:rPr>
        <w:t>3</w:t>
      </w:r>
      <w:r>
        <w:t>Entsprechendes gilt, wenn die Vermittlung verbundener Reiseleistungen weder bei gleichzeitiger körperlicher Anwesenheit des Reisenden und des Vermittlers verbundener Reiseleistungen noch online erfolgt.</w:t>
      </w:r>
    </w:p>
    <w:p>
      <w:pPr>
        <w:pStyle w:val="Heading3"/>
      </w:pPr>
      <w:bookmarkStart w:id="493" w:name="b492"/>
      <w:r>
        <w:t>Art 252 Sicherungsschein; Mitteilungspflicht des Absicherers</w:t>
      </w:r>
      <w:r>
        <w:t xml:space="preserve"> </w:t>
      </w:r>
      <w:r>
        <w:rPr>
          <w:rStyle w:val="Suchmarke"/>
        </w:rPr>
        <w:t>#252.#</w:t>
      </w:r>
      <w:bookmarkEnd w:id="493"/>
    </w:p>
    <w:p>
      <w:r>
        <w:t xml:space="preserve">(1) </w:t>
      </w:r>
      <w:r>
        <w:rPr>
          <w:rStyle w:val="Satznummer"/>
        </w:rPr>
        <w:t>1</w:t>
      </w:r>
      <w:r>
        <w:t xml:space="preserve">Der Sicherungsschein nach § 651r Absatz 4 Satz 1, auch in Verbindung mit § 651w Absatz 3 Satz 4, des Bürgerlichen Gesetzbuchs ist gemäß dem in Anlage 18 enthaltenen Muster zu erstellen und dem Reisenden zutreffend ausgefüllt in Textform zu übermitteln. </w:t>
      </w:r>
      <w:r>
        <w:rPr>
          <w:rStyle w:val="Satznummer"/>
        </w:rPr>
        <w:t>2</w:t>
      </w:r>
      <w:r>
        <w:t xml:space="preserve">Von dem Muster darf in Format und Schriftgröße abgewichen werden. </w:t>
      </w:r>
      <w:r>
        <w:rPr>
          <w:rStyle w:val="Satznummer"/>
        </w:rPr>
        <w:t>3</w:t>
      </w:r>
      <w:r>
        <w:t xml:space="preserve">Auf dem Sicherungsschein darf die Firma oder ein Kennzeichen des Absicherers oder seines Beauftragten abgedruckt werden. </w:t>
      </w:r>
      <w:r>
        <w:rPr>
          <w:rStyle w:val="Satznummer"/>
        </w:rPr>
        <w:t>4</w:t>
      </w:r>
      <w:r>
        <w:t>Enthält die Urkunde neben dem Sicherungsschein weitere Angaben oder Texte, muss sich der Sicherungsschein deutlich hiervon abheben.</w:t>
      </w:r>
    </w:p>
    <w:p>
      <w:r>
        <w:t xml:space="preserve">(2) </w:t>
      </w:r>
      <w:r>
        <w:rPr>
          <w:rStyle w:val="Satznummer"/>
        </w:rPr>
        <w:t>1</w:t>
      </w:r>
      <w:r>
        <w:t xml:space="preserve">Bei Pauschalreisen ist der Sicherungsschein der Bestätigung oder der Abschrift des Vertrags anzuheften oder auf ihrer Rückseite abzudrucken. </w:t>
      </w:r>
      <w:r>
        <w:rPr>
          <w:rStyle w:val="Satznummer"/>
        </w:rPr>
        <w:t>2</w:t>
      </w:r>
      <w:r>
        <w:t xml:space="preserve">Der Sicherungsschein kann auch elektronisch mit der Bestätigung oder Abschrift des Vertrags verbunden werden. </w:t>
      </w:r>
      <w:r>
        <w:rPr>
          <w:rStyle w:val="Satznummer"/>
        </w:rPr>
        <w:t>3</w:t>
      </w:r>
      <w:r>
        <w:t xml:space="preserve">Bei Pauschalreisen nach § 651c des Bürgerlichen Gesetzbuchs ist der Sicherungsschein zu übermitteln, sobald der als Reiseveranstalter anzusehende Unternehmer nach </w:t>
      </w:r>
      <w:hyperlink w:anchor="b486" w:history="1">
        <w:r>
          <w:rPr>
            <w:color w:val="0A3A8C"/>
            <w:u w:val="single"/>
          </w:rPr>
          <w:t xml:space="preserve">Artikel 250 § 8</w:t>
        </w:r>
      </w:hyperlink>
      <w:r>
        <w:t xml:space="preserve"> Absatz 1 über den Umstand eines weiteren Vertragsschlusses unterrichtet worden ist.</w:t>
      </w:r>
    </w:p>
    <w:p>
      <w:r>
        <w:t>(3) Bei Vermittlung verbundener Reiseleistungen ist der Sicherungsschein zu übermitteln, sobald der Vermittler verbundener Reiseleistungen nach § 651w Absatz 5 des Bürgerlichen Gesetzbuchs über den Umstand eines weiteren Vertragsschlusses unterrichtet worden ist.</w:t>
      </w:r>
    </w:p>
    <w:p>
      <w:r>
        <w:t>(4) Ein Reisevermittler ist dem Reisenden gegenüber verpflichtet, den Sicherungsschein auf seine Gültigkeit hin zu überprüfen, wenn er ihn dem Reisenden übermittelt.</w:t>
      </w:r>
    </w:p>
    <w:p>
      <w:r>
        <w:t>(5) Der Absicherer (§ 651r Absatz 3 des Bürgerlichen Gesetzbuchs) ist verpflichtet, die Beendigung des Absicherungsvertrags der zuständigen Behörde unverzüglich mitzuteilen.</w:t>
      </w:r>
    </w:p>
    <w:p>
      <w:pPr>
        <w:pStyle w:val="Heading2"/>
      </w:pPr>
      <w:bookmarkStart w:id="494" w:name="b493"/>
      <w:r>
        <w:t>Art 253 Zentrale Kontaktstelle</w:t>
      </w:r>
      <w:bookmarkEnd w:id="494"/>
    </w:p>
    <w:p>
      <w:pPr>
        <w:pStyle w:val="Heading3"/>
      </w:pPr>
      <w:bookmarkStart w:id="495" w:name="b494"/>
      <w:r>
        <w:t>Art 253 § 1 Zentrale Kontaktstelle; Informationen über die Insolvenzsicherung</w:t>
      </w:r>
      <w:r>
        <w:t xml:space="preserve"> </w:t>
      </w:r>
      <w:r>
        <w:rPr>
          <w:rStyle w:val="Suchmarke"/>
        </w:rPr>
        <w:t>#253-1.#</w:t>
      </w:r>
      <w:bookmarkEnd w:id="495"/>
    </w:p>
    <w:p>
      <w:r>
        <w:t>(1) Die Aufgaben der zentralen Kontaktstelle nach Artikel 18 Absatz 2 bis 4 der Richtlinie (EU) 2015/2302 nimmt das Bundesamt für Justiz wahr.</w:t>
      </w:r>
    </w:p>
    <w:p>
      <w:r>
        <w:t>(2) Das Bundesamt für Justiz stellt den zentralen Kontaktstellen anderer Mitgliedstaaten oder sonstiger Vertragsstaaten des Abkommens über den Europäischen Wirtschaftsraum alle notwendigen Informationen über die gesetzlichen Anforderungen an die Verpflichtung von Reiseveranstaltern und Vermittlern verbundener Reiseleistungen zur Insolvenzsicherung (§§ 651r bis 651t, 651w Absatz 3 des Bürgerlichen Gesetzbuchs) zur Verfügung.</w:t>
      </w:r>
    </w:p>
    <w:p>
      <w:pPr>
        <w:pStyle w:val="Heading3"/>
      </w:pPr>
      <w:bookmarkStart w:id="496" w:name="b495"/>
      <w:r>
        <w:t>Art 253 § 2 Ausgehende Ersuchen</w:t>
      </w:r>
      <w:r>
        <w:t xml:space="preserve"> </w:t>
      </w:r>
      <w:r>
        <w:rPr>
          <w:rStyle w:val="Suchmarke"/>
        </w:rPr>
        <w:t>#253-2.#</w:t>
      </w:r>
      <w:bookmarkEnd w:id="496"/>
    </w:p>
    <w:p>
      <w:r>
        <w:t>Das Bundesamt für Justiz leitet Auskunftsersuchen der zuständigen Behörden zur Klärung von Zweifeln, ob ein Reiseveranstalter oder ein Vermittler verbundener Reiseleistungen mit Sitz in einem anderen Mitgliedstaat oder in einem anderen Vertragsstaat des Abkommens über den Europäischen Wirtschaftsraum seiner Verpflichtung zur Insolvenzsicherung (§§ 651s, 651w Absatz 3 des Bürgerlichen Gesetzbuchs) nachgekommen ist, an die zentrale Kontaktstelle des Niederlassungsstaats weiter.</w:t>
      </w:r>
    </w:p>
    <w:p>
      <w:pPr>
        <w:pStyle w:val="Heading3"/>
      </w:pPr>
      <w:bookmarkStart w:id="497" w:name="b496"/>
      <w:r>
        <w:t>Art 253 § 3 Eingehende Ersuchen</w:t>
      </w:r>
      <w:r>
        <w:t xml:space="preserve"> </w:t>
      </w:r>
      <w:r>
        <w:rPr>
          <w:rStyle w:val="Suchmarke"/>
        </w:rPr>
        <w:t>#253-3.#</w:t>
      </w:r>
      <w:bookmarkEnd w:id="497"/>
    </w:p>
    <w:p>
      <w:r>
        <w:t>(1) Auskunftsersuchen zentraler Kontaktstellen anderer Mitgliedstaaten oder sonstiger Vertragsstaaten des Abkommens über den Europäischen Wirtschaftsraum zur Klärung von Zweifeln, ob ein Reiseveranstalter oder ein Vermittler verbundener Reiseleistungen mit Sitz im Inland seiner Verpflichtung zur Insolvenzsicherung (§§ 651r, 651w Absatz 3 des Bürgerlichen Gesetzbuchs) nachgekommen ist, leitet das Bundesamt für Justiz unverzüglich an die zuständige Behörde weiter.</w:t>
      </w:r>
    </w:p>
    <w:p>
      <w:r>
        <w:t xml:space="preserve">(2) </w:t>
      </w:r>
      <w:r>
        <w:rPr>
          <w:rStyle w:val="Satznummer"/>
        </w:rPr>
        <w:t>1</w:t>
      </w:r>
      <w:r>
        <w:t xml:space="preserve">Die zuständige Behörde ergreift unverzüglich die zur Klärung erforderlichen Maßnahmen und teilt dem Bundesamt für Justiz das Ergebnis mit. </w:t>
      </w:r>
      <w:r>
        <w:rPr>
          <w:rStyle w:val="Satznummer"/>
        </w:rPr>
        <w:t>2</w:t>
      </w:r>
      <w:r>
        <w:t>Das Bundesamt für Justiz leitet die Mitteilung der zuständigen Behörde unverzüglich an die zentrale Kontaktstelle des anderen Staats weiter.</w:t>
      </w:r>
    </w:p>
    <w:p>
      <w:r>
        <w:t>(3) Sofern das Ersuchen innerhalb von 15 Arbeitstagen nach Eingang noch nicht abschließend beantwortet werden kann, erteilt das Bundesamt für Justiz der zentralen Kontaktstelle des anderen Staats innerhalb dieser Frist eine erste Antwort.</w:t>
      </w:r>
    </w:p>
    <w:p>
      <w:pPr>
        <w:pStyle w:val="Heading3"/>
      </w:pPr>
      <w:bookmarkStart w:id="498" w:name="b497"/>
      <w:r>
        <w:t>Anlage 1 (zu Artikel 246a § 1 Absatz 2 Satz 2)Muster für die Widerrufsbelehrung bei außerhalb von Geschäftsräumen geschlossenen Verträgen und bei Fernabsatzverträgen mit Ausnahme von Verträgen über Finanzdienstleistungen</w:t>
      </w:r>
      <w:bookmarkEnd w:id="498"/>
    </w:p>
    <w:p>
      <w:r>
        <w:rPr>
          <w:color w:val="404040"/>
          <w:sz w:val="21"/>
        </w:rPr>
        <w:t>(Fundstelle: BGBl. I 2013, S. 3663 – 3664;</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1"/>
      </w:tblPr>
      <w:tblGrid>
        <w:gridCol w:w="9406"/>
      </w:tblGrid>
      <w:tr>
        <w:trPr>
          <w:cantSplit/>
        </w:trPr>
        <w:tc>
          <w:tcPr>
            <w:tcW w:type="dxa" w:w="9406"/>
          </w:tcPr>
          <w:p>
            <w:r>
              <w:rPr>
                <w:b/>
              </w:rPr>
              <w:t>Widerrufsbelehrung</w:t>
            </w:r>
          </w:p>
        </w:tc>
      </w:tr>
      <w:tr>
        <w:trPr>
          <w:cantSplit/>
        </w:trPr>
        <w:tc>
          <w:tcPr>
            <w:tcW w:type="dxa" w:w="9406"/>
          </w:tcPr>
          <w:p>
            <w:r>
              <w:rPr>
                <w:b/>
              </w:rPr>
              <w:t>Widerrufsrecht</w:t>
            </w:r>
          </w:p>
        </w:tc>
      </w:tr>
      <w:tr>
        <w:trPr>
          <w:cantSplit/>
        </w:trPr>
        <w:tc>
          <w:tcPr>
            <w:tcW w:type="dxa" w:w="9406"/>
          </w:tcPr>
          <w:p>
            <w:r>
              <w:t>Sie haben das Recht, binnen vierzehn Tagen ohne Angabe von Gründen diesen Vertrag zu widerrufen.</w:t>
            </w:r>
          </w:p>
        </w:tc>
      </w:tr>
      <w:tr>
        <w:trPr>
          <w:cantSplit/>
        </w:trPr>
        <w:tc>
          <w:tcPr>
            <w:tcW w:type="dxa" w:w="9406"/>
          </w:tcPr>
          <w:p>
            <w:r>
              <w:t xml:space="preserve">Die Widerrufsfrist beträgt vierzehn Tage ab dem Tag </w:t>
            </w:r>
            <w:r>
              <w:t xml:space="preserve"> .</w:t>
            </w:r>
          </w:p>
        </w:tc>
      </w:tr>
      <w:tr>
        <w:trPr>
          <w:cantSplit/>
        </w:trPr>
        <w:tc>
          <w:tcPr>
            <w:tcW w:type="dxa" w:w="9406"/>
          </w:tcPr>
          <w:p>
            <w:r>
              <w:t xml:space="preserve">Um Ihr Widerrufsrecht auszuüben, müssen Sie uns ( </w:t>
            </w:r>
            <w:r>
              <w:t xml:space="preserve">  ) mittels einer eindeutigen Erklärung (z. B. ein mit der Post versandter Brief oder eine E-Mail) über Ihren Entschluss, diesen Vertrag zu widerrufen, informieren. Sie können dafür das beigefügte Muster-Widerrufsformular verwenden, das jedoch nicht vorgeschrieben ist.</w:t>
            </w:r>
          </w:p>
        </w:tc>
      </w:tr>
      <w:tr>
        <w:trPr>
          <w:cantSplit/>
        </w:trPr>
        <w:tc>
          <w:tcPr>
            <w:tcW w:type="dxa" w:w="9406"/>
          </w:tcPr>
          <w:p>
            <w:r>
              <w:t>Zur Wahrung der Widerrufsfrist reicht es aus, dass Sie die Mitteilung über die Ausübung des Widerrufsrechts vor Ablauf der Widerrufsfrist absenden.</w:t>
            </w:r>
          </w:p>
        </w:tc>
      </w:tr>
      <w:tr>
        <w:trPr>
          <w:cantSplit/>
        </w:trPr>
        <w:tc>
          <w:tcPr>
            <w:tcW w:type="dxa" w:w="9406"/>
          </w:tcPr>
          <w:p>
            <w:r>
              <w:rPr>
                <w:b/>
              </w:rPr>
              <w:t>Folgen des Widerrufs</w:t>
            </w:r>
          </w:p>
        </w:tc>
      </w:tr>
      <w:tr>
        <w:trPr>
          <w:cantSplit/>
        </w:trPr>
        <w:tc>
          <w:tcPr>
            <w:tcW w:type="dxa" w:w="9406"/>
          </w:tcPr>
          <w:p>
            <w:r>
              <w:t xml:space="preserve">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 </w:t>
            </w:r>
          </w:p>
        </w:tc>
      </w:tr>
      <w:tr>
        <w:trPr>
          <w:cantSplit/>
        </w:trPr>
        <w:tc>
          <w:tcPr>
            <w:tcW w:type="dxa" w:w="9406"/>
          </w:tcPr>
          <w:p/>
        </w:tc>
      </w:tr>
      <w:tr>
        <w:trPr>
          <w:cantSplit/>
        </w:trPr>
        <w:tc>
          <w:tcPr>
            <w:tcW w:type="dxa" w:w="9406"/>
          </w:tcPr>
          <w:p/>
        </w:tc>
      </w:tr>
    </w:tbl>
    <w:p>
      <w:pPr>
        <w:spacing w:after="0"/>
      </w:pPr>
    </w:p>
    <w:p>
      <w:r>
        <w:rPr>
          <w:b/>
        </w:rPr>
        <w:t>Gestaltungshinweise:</w:t>
      </w:r>
    </w:p>
    <w:p>
      <w:pPr>
        <w:ind w:left="567"/>
      </w:pPr>
      <w:r>
        <w:t>Fügen Sie einen der folgenden in Anführungszeichen gesetzten Textbausteine ein:</w:t>
      </w:r>
    </w:p>
    <w:p>
      <w:pPr>
        <w:tabs>
          <w:tab w:pos="1134" w:val="left"/>
        </w:tabs>
        <w:ind w:left="1134" w:hanging="567"/>
      </w:pPr>
      <w:r>
        <w:t>a)</w:t>
      </w:r>
      <w:r>
        <w:tab/>
      </w:r>
      <w:r>
        <w:t>im Falle eines Dienstleistungsvertrags oder eines Vertrags über die Lieferung von Wasser, Gas oder Strom, wenn sie nicht in einem begrenzten Volumen oder in einer bestimmten Menge zum Verkauf angeboten werden, von Fernwärme oder von digitalen Inhalten, die nicht auf einem körperlichen Datenträger geliefert werden: „des Vertragsabschlusses.“;</w:t>
      </w:r>
    </w:p>
    <w:p>
      <w:pPr>
        <w:tabs>
          <w:tab w:pos="1134" w:val="left"/>
        </w:tabs>
        <w:ind w:left="1134" w:hanging="567"/>
      </w:pPr>
      <w:r>
        <w:t>b)</w:t>
      </w:r>
      <w:r>
        <w:tab/>
      </w:r>
      <w:r>
        <w:t>im Falle eines Kaufvertrags: „, an dem Sie oder ein von Ihnen benannter Dritter, der nicht der Beförderer ist, die Waren in Besitz genommen haben bzw. hat.“;</w:t>
      </w:r>
    </w:p>
    <w:p>
      <w:pPr>
        <w:tabs>
          <w:tab w:pos="1134" w:val="left"/>
        </w:tabs>
        <w:ind w:left="1134" w:hanging="567"/>
      </w:pPr>
      <w:r>
        <w:t>c)</w:t>
      </w:r>
      <w:r>
        <w:tab/>
      </w:r>
      <w:r>
        <w:t>im Falle eines Vertrags über mehrere Waren, die der Verbraucher im Rahmen einer einheitlichen Bestellung bestellt hat und die getrennt geliefert werden: „, an dem Sie oder ein von Ihnen benannter Dritter, der nicht der Beförderer ist, die letzte Ware in Besitz genommen haben bzw. hat.“;</w:t>
      </w:r>
    </w:p>
    <w:p>
      <w:pPr>
        <w:tabs>
          <w:tab w:pos="1134" w:val="left"/>
        </w:tabs>
        <w:ind w:left="1134" w:hanging="567"/>
      </w:pPr>
      <w:r>
        <w:t>d)</w:t>
      </w:r>
      <w:r>
        <w:tab/>
      </w:r>
      <w:r>
        <w:t>im Falle eines Vertrags über die Lieferung einer Ware in mehreren Teilsendungen oder Stücken: „, an dem Sie oder ein von Ihnen benannter Dritter, der nicht der Beförderer ist, die letzte Teilsendung oder das letzte Stück in Besitz genommen haben bzw. hat.“;</w:t>
      </w:r>
    </w:p>
    <w:p>
      <w:pPr>
        <w:tabs>
          <w:tab w:pos="1134" w:val="left"/>
        </w:tabs>
        <w:ind w:left="1134" w:hanging="567"/>
      </w:pPr>
      <w:r>
        <w:t>e)</w:t>
      </w:r>
      <w:r>
        <w:tab/>
      </w:r>
      <w:r>
        <w:t>im Falle eines Vertrags zur regelmäßigen Lieferung von Waren über einen festgelegten Zeitraum hinweg: „, an dem Sie oder ein von Ihnen benannter Dritter, der nicht der Beförderer ist, die erste Ware in Besitz genommen haben bzw. hat.“</w:t>
      </w:r>
    </w:p>
    <w:p>
      <w:pPr>
        <w:ind w:left="567"/>
      </w:pPr>
      <w:r>
        <w:t>Fügen Sie Ihren Namen, Ihre Anschrift, Ihre Telefonnummer und Ihre E-Mail-Adresse ein.</w:t>
      </w:r>
    </w:p>
    <w:p>
      <w:pPr>
        <w:ind w:left="567"/>
      </w:pPr>
      <w:r>
        <w:t xml:space="preserve">Wenn Sie dazu verpflichtet sind, eine Funktion bereitzustellen, mit der der Verbraucher den online geschlossenen Vertrag widerrufen kann, fügen Sie Folgendes ein: „Sie können Ihr Widerrufsrecht auch online unter … [Internetadresse oder anderen geeigneten Hinweis darüber eingeben, wo die Widerrufsfunktion verfügbar ist] ausüben. </w:t>
      </w:r>
      <w:r>
        <w:rPr>
          <w:rStyle w:val="Satznummer"/>
        </w:rPr>
        <w:t>2</w:t>
      </w:r>
      <w:r>
        <w:t xml:space="preserve">Wenn Sie diese Online-Funktion nutzen, übermitteln wir Ihnen auf einem dauerhaften Datenträger (z. B. durch eine E-Mail) unverzüglich eine Eingangsbestätigung mit Informationen zum Inhalt der Widerrufserklärung sowie dem Datum und der Uhrzeit ihres Eingangs. “ Wenn Sie dem Verbraucher die Wahl einräumen, die Information über seinen Widerruf des Vertrags auf Ihrer Webseite elektronisch auszufüllen und zu übermitteln, fügen Sie Folgendes ein: „Sie können das Muster-Widerrufsformular oder eine andere eindeutige Erklärung auch auf unserer Webseite … [Internet-Adresse einfügen] elektronisch ausfüllen und übermitteln. </w:t>
      </w:r>
      <w:r>
        <w:rPr>
          <w:rStyle w:val="Satznummer"/>
        </w:rPr>
        <w:t>3</w:t>
      </w:r>
      <w:r>
        <w:t>Machen Sie von dieser Möglichkeit Gebrauch, so werden wir Ihnen unverzüglich (z. B. per E-Mail) eine Bestätigung über den Eingang eines solchen Widerrufs übermitteln. “</w:t>
      </w:r>
    </w:p>
    <w:p>
      <w:pPr>
        <w:ind w:left="567"/>
      </w:pPr>
      <w:r>
        <w:t>Im Falle von Kaufverträgen, in denen Sie nicht angeboten haben, im Falle des Widerrufs die Waren selbst abzuholen, fügen Sie Folgendes ein: „Wir können die Rückzahlung verweigern, bis wir die Waren wieder zurückerhalten haben oder bis Sie den Nachweis erbracht haben, dass Sie die Waren zurückgesandt haben, je nachdem, welches der frühere Zeitpunkt ist.“</w:t>
      </w:r>
    </w:p>
    <w:p>
      <w:pPr>
        <w:ind w:left="567"/>
      </w:pPr>
      <w:r>
        <w:t>Wenn der Verbraucher Waren im Zusammenhang mit dem Vertrag erhalten hat:</w:t>
      </w:r>
    </w:p>
    <w:p>
      <w:pPr>
        <w:tabs>
          <w:tab w:pos="1134" w:val="left"/>
        </w:tabs>
        <w:ind w:left="1134" w:hanging="567"/>
      </w:pPr>
      <w:r>
        <w:t>a)</w:t>
      </w:r>
      <w:r>
        <w:tab/>
      </w:r>
      <w:r>
        <w:t>Fügen Sie ein:</w:t>
      </w:r>
    </w:p>
    <w:p>
      <w:pPr>
        <w:tabs>
          <w:tab w:pos="1701" w:val="left"/>
        </w:tabs>
        <w:ind w:left="1701" w:hanging="567"/>
      </w:pPr>
      <w:r>
        <w:t>–</w:t>
      </w:r>
      <w:r>
        <w:tab/>
      </w:r>
      <w:r>
        <w:t>„Wir holen die Waren ab.“ oder</w:t>
      </w:r>
    </w:p>
    <w:p>
      <w:pPr>
        <w:tabs>
          <w:tab w:pos="1701" w:val="left"/>
        </w:tabs>
        <w:ind w:left="1701" w:hanging="567"/>
      </w:pPr>
      <w:r>
        <w:t>–</w:t>
      </w:r>
      <w:r>
        <w:tab/>
      </w:r>
      <w:r>
        <w:t xml:space="preserve">„Sie haben die Waren unverzüglich und in jedem Fall spätestens binnen vierzehn Tagen ab dem Tag, an dem Sie uns über den Widerruf dieses Vertrags unterrichten, an … uns oder an [hier sind gegebenenfalls der Name und die Anschrift der von Ihnen zur Entgegennahme der Waren ermächtigten Person einzufügen] zurückzusenden oder zu übergeben. </w:t>
      </w:r>
      <w:r>
        <w:rPr>
          <w:rStyle w:val="Satznummer"/>
        </w:rPr>
        <w:t>2</w:t>
      </w:r>
      <w:r>
        <w:t>Die Frist ist gewahrt, wenn Sie die Waren vor Ablauf der Frist von vierzehn Tagen absenden.“</w:t>
      </w:r>
    </w:p>
    <w:p>
      <w:pPr>
        <w:tabs>
          <w:tab w:pos="1134" w:val="left"/>
        </w:tabs>
        <w:ind w:left="1134" w:hanging="567"/>
      </w:pPr>
      <w:r>
        <w:t>b)</w:t>
      </w:r>
      <w:r>
        <w:tab/>
      </w:r>
      <w:r>
        <w:t>fügen Sie ein:</w:t>
      </w:r>
    </w:p>
    <w:p>
      <w:pPr>
        <w:tabs>
          <w:tab w:pos="1701" w:val="left"/>
        </w:tabs>
        <w:ind w:left="1701" w:hanging="567"/>
      </w:pPr>
      <w:r>
        <w:t>–</w:t>
      </w:r>
      <w:r>
        <w:tab/>
      </w:r>
      <w:r>
        <w:t>„Wir tragen die Kosten der Rücksendung der Waren.“;</w:t>
      </w:r>
    </w:p>
    <w:p>
      <w:pPr>
        <w:tabs>
          <w:tab w:pos="1701" w:val="left"/>
        </w:tabs>
        <w:ind w:left="1701" w:hanging="567"/>
      </w:pPr>
      <w:r>
        <w:t>–</w:t>
      </w:r>
      <w:r>
        <w:tab/>
      </w:r>
      <w:r>
        <w:t>„Sie tragen die unmittelbaren Kosten der Rücksendung der Waren.“;</w:t>
      </w:r>
    </w:p>
    <w:p>
      <w:pPr>
        <w:tabs>
          <w:tab w:pos="1701" w:val="left"/>
        </w:tabs>
        <w:ind w:left="1701" w:hanging="567"/>
      </w:pPr>
      <w:r>
        <w:t>–</w:t>
      </w:r>
      <w:r>
        <w:tab/>
      </w:r>
      <w:r>
        <w:t xml:space="preserve">Wenn Sie bei einem Fernabsatzvertrag nicht anbieten, die Kosten der Rücksendung der Waren zu tragen, und die Waren aufgrund ihrer Beschaffenheit nicht normal mit der Post zurückgesandt werden können: „Sie tragen die unmittelbaren Kosten der Rücksendung der Waren in Höhe von … EUR [Betrag einfügen].“, oder, wenn die Kosten vernünftigerweise nicht im Voraus berechnet werden können: „Sie tragen die unmittelbaren Kosten der Rücksendung der Waren. </w:t>
      </w:r>
      <w:r>
        <w:rPr>
          <w:rStyle w:val="Satznummer"/>
        </w:rPr>
        <w:t>2</w:t>
      </w:r>
      <w:r>
        <w:t>Die Kosten werden auf höchstens etwa … EUR [Betrag einfügen] geschätzt.“ oder</w:t>
      </w:r>
    </w:p>
    <w:p>
      <w:pPr>
        <w:tabs>
          <w:tab w:pos="1701" w:val="left"/>
        </w:tabs>
        <w:ind w:left="1701" w:hanging="567"/>
      </w:pPr>
      <w:r>
        <w:t>–</w:t>
      </w:r>
      <w:r>
        <w:tab/>
      </w:r>
      <w:r>
        <w:t>Wenn die Waren bei einem außerhalb von Geschäftsräumen geschlossenen Vertrag aufgrund ihrer Beschaffenheit nicht normal mit der Post zurückgesandt werden können und zum Zeitpunkt des Vertragsschlusses zur Wohnung des Verbrauchers gebracht worden sind: „Wir holen die Waren auf unsere Kosten ab.“ und</w:t>
      </w:r>
    </w:p>
    <w:p>
      <w:pPr>
        <w:tabs>
          <w:tab w:pos="1134" w:val="left"/>
        </w:tabs>
        <w:ind w:left="1134" w:hanging="567"/>
      </w:pPr>
      <w:r>
        <w:t>c)</w:t>
      </w:r>
      <w:r>
        <w:tab/>
      </w:r>
      <w:r>
        <w:t>fügen Sie ein: „Sie müssen für einen etwaigen Wertverlust der Waren nur aufkommen, wenn dieser Wertverlust auf einen zur Prüfung der Beschaffenheit, Eigenschaften und Funktionsweise der Waren nicht notwendigen Umgang mit ihnen zurückzuführen ist.“</w:t>
      </w:r>
    </w:p>
    <w:p>
      <w:pPr>
        <w:ind w:left="567"/>
      </w:pPr>
      <w:r>
        <w:t>Im Falle eines Vertrags, der die Erbringung von Dienstleistungen oder die Lieferung von Wasser, Gas oder Strom, wenn sie nicht in einem begrenzten Volumen oder in einer bestimmten Menge zum Verkauf angeboten werden, oder von Fernwärme zum Gegenstand hat, fügen Sie Folgendes ein: „Haben Sie verlangt, dass die Dienstleistungen oder Lieferung von Wasser/Gas/Strom/Fernwärme [Unzutreffendes streichen]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 “</w:t>
      </w:r>
    </w:p>
    <w:p>
      <w:pPr>
        <w:pStyle w:val="Heading3"/>
      </w:pPr>
      <w:bookmarkStart w:id="499" w:name="b498"/>
      <w:r>
        <w:t>Anlage 2 (zu Artikel 246a § 1 Absatz 2 Satz 1 Nummer 1 und § 2 Absatz 2 Nummer 2)Muster für das Widerrufsformular</w:t>
      </w:r>
      <w:bookmarkEnd w:id="499"/>
    </w:p>
    <w:p>
      <w:r>
        <w:rPr>
          <w:color w:val="404040"/>
          <w:sz w:val="21"/>
        </w:rPr>
        <w:t>(Fundstelle: BGBl. I 2013, S. 3665;</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2"/>
      </w:tblPr>
      <w:tblGrid>
        <w:gridCol w:w="9406"/>
      </w:tblGrid>
      <w:tr>
        <w:trPr>
          <w:cantSplit/>
        </w:trPr>
        <w:tc>
          <w:tcPr>
            <w:tcW w:type="dxa" w:w="9406"/>
          </w:tcPr>
          <w:p>
            <w:r>
              <w:rPr>
                <w:b/>
              </w:rPr>
              <w:t>Muster-Widerrufsformular</w:t>
            </w:r>
          </w:p>
        </w:tc>
      </w:tr>
      <w:tr>
        <w:trPr>
          <w:cantSplit/>
        </w:trPr>
        <w:tc>
          <w:tcPr>
            <w:tcW w:type="dxa" w:w="9406"/>
          </w:tcPr>
          <w:p>
            <w:r>
              <w:t>(Wenn Sie den Vertrag widerrufen wollen, dann füllen Sie bitte dieses Formular aus und senden Sie es zurück.)</w:t>
            </w:r>
          </w:p>
        </w:tc>
      </w:tr>
      <w:tr>
        <w:trPr>
          <w:cantSplit/>
        </w:trPr>
        <w:tc>
          <w:tcPr>
            <w:tcW w:type="dxa" w:w="9406"/>
          </w:tcPr>
          <w:p>
            <w:pPr>
              <w:tabs>
                <w:tab w:pos="567" w:val="left"/>
              </w:tabs>
              <w:ind w:left="567" w:hanging="567"/>
            </w:pPr>
            <w:r>
              <w:t>–</w:t>
            </w:r>
            <w:r>
              <w:tab/>
            </w:r>
            <w:r>
              <w:t>An [hier ist der Name, die Anschrift und die E-Mail-Adresse des Unternehmers durch den Unternehmer einzufügen]:</w:t>
            </w:r>
          </w:p>
          <w:p>
            <w:pPr>
              <w:tabs>
                <w:tab w:pos="567" w:val="left"/>
              </w:tabs>
              <w:ind w:left="567" w:hanging="567"/>
            </w:pPr>
            <w:r>
              <w:t>–</w:t>
            </w:r>
            <w:r>
              <w:tab/>
            </w:r>
            <w:r>
              <w:t>Hiermit widerrufe(n) ich/wir (*) den von mir/uns (*) abgeschlossenen Vertrag über den Kauf der folgenden Waren (*)/die Erbringung der folgenden Dienstleistung (*)</w:t>
            </w:r>
          </w:p>
          <w:p>
            <w:pPr>
              <w:tabs>
                <w:tab w:pos="567" w:val="left"/>
              </w:tabs>
              <w:ind w:left="567" w:hanging="567"/>
            </w:pPr>
            <w:r>
              <w:t>–</w:t>
            </w:r>
            <w:r>
              <w:tab/>
            </w:r>
            <w:r>
              <w:t>Bestellt am (*)/erhalten am (*)</w:t>
            </w:r>
          </w:p>
          <w:p>
            <w:pPr>
              <w:tabs>
                <w:tab w:pos="567" w:val="left"/>
              </w:tabs>
              <w:ind w:left="567" w:hanging="567"/>
            </w:pPr>
            <w:r>
              <w:t>–</w:t>
            </w:r>
            <w:r>
              <w:tab/>
            </w:r>
            <w:r>
              <w:t>Name des/der Verbraucher(s)</w:t>
            </w:r>
          </w:p>
          <w:p>
            <w:pPr>
              <w:tabs>
                <w:tab w:pos="567" w:val="left"/>
              </w:tabs>
              <w:ind w:left="567" w:hanging="567"/>
            </w:pPr>
            <w:r>
              <w:t>–</w:t>
            </w:r>
            <w:r>
              <w:tab/>
            </w:r>
            <w:r>
              <w:t>Anschrift des/der Verbraucher(s)</w:t>
            </w:r>
          </w:p>
          <w:p>
            <w:pPr>
              <w:tabs>
                <w:tab w:pos="567" w:val="left"/>
              </w:tabs>
              <w:ind w:left="567" w:hanging="567"/>
            </w:pPr>
            <w:r>
              <w:t>–</w:t>
            </w:r>
            <w:r>
              <w:tab/>
            </w:r>
            <w:r>
              <w:t>Unterschrift des/der Verbraucher(s) (nur bei Mitteilung auf Papier)</w:t>
            </w:r>
          </w:p>
          <w:p>
            <w:pPr>
              <w:tabs>
                <w:tab w:pos="567" w:val="left"/>
              </w:tabs>
              <w:ind w:left="567" w:hanging="567"/>
            </w:pPr>
            <w:r>
              <w:t>–</w:t>
            </w:r>
            <w:r>
              <w:tab/>
            </w:r>
            <w:r>
              <w:t>Datum</w:t>
            </w:r>
          </w:p>
        </w:tc>
      </w:tr>
      <w:tr>
        <w:trPr>
          <w:cantSplit/>
        </w:trPr>
        <w:tc>
          <w:tcPr>
            <w:tcW w:type="dxa" w:w="9406"/>
          </w:tcPr>
          <w:p>
            <w:r>
              <w:t>(*) Unzutreffendes streichen.</w:t>
            </w:r>
          </w:p>
        </w:tc>
      </w:tr>
    </w:tbl>
    <w:p>
      <w:pPr>
        <w:spacing w:after="0"/>
      </w:pPr>
    </w:p>
    <w:p>
      <w:pPr>
        <w:pStyle w:val="Heading3"/>
      </w:pPr>
      <w:bookmarkStart w:id="500" w:name="b499"/>
      <w:r>
        <w:t>Anlage 3 (weggefallen)</w:t>
      </w:r>
      <w:bookmarkEnd w:id="500"/>
    </w:p>
    <w:p>
      <w:pPr>
        <w:pStyle w:val="Heading3"/>
      </w:pPr>
      <w:bookmarkStart w:id="501" w:name="b500"/>
      <w:r>
        <w:t>Anlage 3a (weggefallen)</w:t>
      </w:r>
      <w:bookmarkEnd w:id="501"/>
    </w:p>
    <w:p>
      <w:pPr>
        <w:pStyle w:val="Heading3"/>
      </w:pPr>
      <w:bookmarkStart w:id="502" w:name="b501"/>
      <w:r>
        <w:t>Anlage 3b (weggefallen)</w:t>
      </w:r>
      <w:bookmarkEnd w:id="502"/>
    </w:p>
    <w:p>
      <w:pPr>
        <w:pStyle w:val="Heading3"/>
      </w:pPr>
      <w:bookmarkStart w:id="503" w:name="b502"/>
      <w:r>
        <w:t>Anlage 4 (zu Artikel 247 § 2) Europäische Standardinformationen für Verbraucherkredite</w:t>
      </w:r>
      <w:bookmarkEnd w:id="503"/>
    </w:p>
    <w:p>
      <w:r>
        <w:rPr>
          <w:color w:val="404040"/>
          <w:sz w:val="21"/>
        </w:rPr>
        <w:t>(Fundstelle: BGBl. I 2009, S. 2393 - 2397;</w:t>
      </w:r>
      <w:r>
        <w:br/>
      </w:r>
      <w:r>
        <w:rPr>
          <w:color w:val="404040"/>
          <w:sz w:val="21"/>
        </w:rPr>
        <w:t>bezüglich der einzelnen Änderungen vgl. Fußnote)</w:t>
      </w:r>
    </w:p>
    <w:p>
      <w:pPr>
        <w:tabs>
          <w:tab w:pos="567" w:val="left"/>
        </w:tabs>
        <w:ind w:left="567" w:hanging="567"/>
      </w:pPr>
      <w:r>
        <w:t>1.</w:t>
      </w:r>
      <w:r>
        <w:tab/>
      </w:r>
      <w:r>
        <w:t>Name und Kontaktangaben des Kreditgebers/Kreditvermittlers</w:t>
      </w:r>
    </w:p>
    <w:tbl>
      <w:tblPr>
        <w:tblStyle w:val="TableGrid"/>
        <w:tblW w:type="pct" w:w="5000"/>
        <w:tblLook w:firstColumn="1" w:firstRow="1" w:lastColumn="0" w:lastRow="0" w:noHBand="0" w:noVBand="1" w:val="04A0"/>
        <w:tblCaption w:val="Tabelle 1 zu Anlage 4"/>
      </w:tblPr>
      <w:tblGrid>
        <w:gridCol w:w="4703"/>
        <w:gridCol w:w="4703"/>
      </w:tblGrid>
      <w:tr>
        <w:trPr>
          <w:cantSplit/>
        </w:trPr>
        <w:tc>
          <w:tcPr>
            <w:tcW w:type="dxa" w:w="4703"/>
          </w:tcPr>
          <w:p>
            <w:r>
              <w:t>Kreditgeber</w:t>
            </w:r>
            <w:r>
              <w:br/>
            </w:r>
            <w:r>
              <w:t>Anschrift</w:t>
            </w:r>
            <w:r>
              <w:br/>
            </w:r>
            <w:r>
              <w:t>Telefon*)</w:t>
            </w:r>
            <w:r>
              <w:br/>
            </w:r>
            <w:r>
              <w:t>E-Mail*)</w:t>
            </w:r>
            <w:r>
              <w:br/>
            </w:r>
            <w:r>
              <w:t>Fax*)</w:t>
            </w:r>
            <w:r>
              <w:br/>
            </w:r>
            <w:r>
              <w:t>Internet-Adresse*)</w:t>
            </w:r>
          </w:p>
        </w:tc>
        <w:tc>
          <w:tcPr>
            <w:tcW w:type="dxa" w:w="4703"/>
          </w:tcPr>
          <w:p>
            <w:r>
              <w:t>[Name]</w:t>
            </w:r>
            <w:r>
              <w:br/>
            </w:r>
            <w:r>
              <w:t>[Ladungsfähige Anschrift für Kontakte</w:t>
            </w:r>
            <w:r>
              <w:br/>
            </w:r>
            <w:r>
              <w:t>des Verbrauchers]</w:t>
            </w:r>
          </w:p>
        </w:tc>
      </w:tr>
      <w:tr>
        <w:trPr>
          <w:cantSplit/>
        </w:trPr>
        <w:tc>
          <w:tcPr>
            <w:tcW w:type="dxa" w:w="4703"/>
          </w:tcPr>
          <w:p>
            <w:r>
              <w:t>(falls zutreffend)</w:t>
            </w:r>
            <w:r>
              <w:br/>
            </w:r>
            <w:r>
              <w:t>Kreditvermittler</w:t>
            </w:r>
            <w:r>
              <w:br/>
            </w:r>
            <w:r>
              <w:t>Anschrift</w:t>
            </w:r>
            <w:r>
              <w:br/>
            </w:r>
            <w:r>
              <w:t>Telefon*)</w:t>
            </w:r>
            <w:r>
              <w:br/>
            </w:r>
            <w:r>
              <w:t>E-Mail*)</w:t>
            </w:r>
            <w:r>
              <w:br/>
            </w:r>
            <w:r>
              <w:t>Fax*)</w:t>
            </w:r>
            <w:r>
              <w:br/>
            </w:r>
            <w:r>
              <w:t>Internet-Adresse*)</w:t>
            </w:r>
          </w:p>
        </w:tc>
        <w:tc>
          <w:tcPr>
            <w:tcW w:type="dxa" w:w="4703"/>
          </w:tcPr>
          <w:p>
            <w:r>
              <w:t>[Name]</w:t>
            </w:r>
            <w:r>
              <w:br/>
            </w:r>
            <w:r>
              <w:t>[Anschrift für Kontakte mit dem Verbraucher]</w:t>
            </w:r>
          </w:p>
        </w:tc>
      </w:tr>
    </w:tbl>
    <w:p>
      <w:pPr>
        <w:spacing w:after="0"/>
      </w:pPr>
    </w:p>
    <w:p>
      <w:pPr>
        <w:ind w:left="567"/>
      </w:pPr>
      <w:r>
        <w:rPr>
          <w:rStyle w:val="Satznummer"/>
        </w:rPr>
        <w:t>2</w:t>
      </w:r>
      <w:r>
        <w:t>-----</w:t>
      </w:r>
      <w:r>
        <w:br/>
      </w:r>
      <w:r>
        <w:t>*) Freiwillige Angaben des Kreditgebers</w:t>
      </w:r>
    </w:p>
    <w:p>
      <w:pPr>
        <w:ind w:left="567"/>
      </w:pPr>
      <w:r>
        <w:t>In allen Fällen, in denen „falls zutreffend“ angegeben ist, muss der Kreditgeber das betreffende Kästchen ausfüllen, wenn die Information für den Kreditvertrag relevant ist, oder die betreffende Information bzw. die gesamte Zeile streichen, wenn die Information für die in Frage kommende Kreditart nicht relevant ist.</w:t>
      </w:r>
    </w:p>
    <w:p>
      <w:pPr>
        <w:ind w:left="567"/>
      </w:pPr>
      <w:r>
        <w:rPr>
          <w:rStyle w:val="Satznummer"/>
        </w:rPr>
        <w:t>3</w:t>
      </w:r>
      <w:r>
        <w:t>Die Vermerke in eckigen Klammern dienen zur Erläuterung und sind durch die entsprechenden Angaben zu ersetzen.</w:t>
      </w:r>
    </w:p>
    <w:p>
      <w:pPr>
        <w:tabs>
          <w:tab w:pos="567" w:val="left"/>
        </w:tabs>
        <w:ind w:left="567" w:hanging="567"/>
      </w:pPr>
      <w:r>
        <w:t>2.</w:t>
      </w:r>
      <w:r>
        <w:tab/>
      </w:r>
      <w:r>
        <w:t>Beschreibung der wesentlichen Merkmale des Kredits</w:t>
      </w:r>
    </w:p>
    <w:tbl>
      <w:tblPr>
        <w:tblStyle w:val="TableGrid"/>
        <w:tblW w:type="pct" w:w="5000"/>
        <w:tblLook w:firstColumn="1" w:firstRow="1" w:lastColumn="0" w:lastRow="0" w:noHBand="0" w:noVBand="1" w:val="04A0"/>
        <w:tblCaption w:val="Tabelle 2 zu Anlage 4"/>
      </w:tblPr>
      <w:tblGrid>
        <w:gridCol w:w="4703"/>
        <w:gridCol w:w="4703"/>
      </w:tblGrid>
      <w:tr>
        <w:trPr>
          <w:cantSplit/>
        </w:trPr>
        <w:tc>
          <w:tcPr>
            <w:tcW w:type="dxa" w:w="4703"/>
          </w:tcPr>
          <w:p>
            <w:r>
              <w:t>Kreditart</w:t>
            </w:r>
          </w:p>
        </w:tc>
        <w:tc>
          <w:tcPr>
            <w:tcW w:type="dxa" w:w="4703"/>
          </w:tcPr>
          <w:p/>
        </w:tc>
      </w:tr>
      <w:tr>
        <w:trPr>
          <w:cantSplit/>
        </w:trPr>
        <w:tc>
          <w:tcPr>
            <w:tcW w:type="dxa" w:w="4703"/>
          </w:tcPr>
          <w:p>
            <w:r>
              <w:t>Gesamtkreditbetrag</w:t>
            </w:r>
            <w:r>
              <w:br/>
            </w:r>
            <w:r>
              <w:t>Obergrenze oder Summe aller Beträge, die aufgrund des Kreditvertrags zur Verfügung gestellt wird</w:t>
            </w:r>
          </w:p>
        </w:tc>
        <w:tc>
          <w:tcPr>
            <w:tcW w:type="dxa" w:w="4703"/>
          </w:tcPr>
          <w:p/>
        </w:tc>
      </w:tr>
      <w:tr>
        <w:trPr>
          <w:cantSplit/>
        </w:trPr>
        <w:tc>
          <w:tcPr>
            <w:tcW w:type="dxa" w:w="4703"/>
          </w:tcPr>
          <w:p>
            <w:r>
              <w:t>Bedingungen für die Inanspruchnahme</w:t>
            </w:r>
            <w:r>
              <w:br/>
            </w:r>
            <w:r>
              <w:t>Gemeint ist, wie und wann Sie das Geld erhalten</w:t>
            </w:r>
          </w:p>
        </w:tc>
        <w:tc>
          <w:tcPr>
            <w:tcW w:type="dxa" w:w="4703"/>
          </w:tcPr>
          <w:p/>
        </w:tc>
      </w:tr>
      <w:tr>
        <w:trPr>
          <w:cantSplit/>
        </w:trPr>
        <w:tc>
          <w:tcPr>
            <w:tcW w:type="dxa" w:w="4703"/>
          </w:tcPr>
          <w:p>
            <w:r>
              <w:t>Laufzeit des Kreditvertrags</w:t>
            </w:r>
          </w:p>
        </w:tc>
        <w:tc>
          <w:tcPr>
            <w:tcW w:type="dxa" w:w="4703"/>
          </w:tcPr>
          <w:p/>
        </w:tc>
      </w:tr>
      <w:tr>
        <w:trPr>
          <w:cantSplit/>
        </w:trPr>
        <w:tc>
          <w:tcPr>
            <w:tcW w:type="dxa" w:w="4703"/>
          </w:tcPr>
          <w:p>
            <w:r>
              <w:t>Teilzahlungen und gegebenenfalls Reihenfolge, in der die Teilzahlungen angerechnet werden</w:t>
            </w:r>
          </w:p>
        </w:tc>
        <w:tc>
          <w:tcPr>
            <w:tcW w:type="dxa" w:w="4703"/>
          </w:tcPr>
          <w:p>
            <w:r>
              <w:t>Sie müssen folgende Zahlungen leisten:</w:t>
            </w:r>
            <w:r>
              <w:br/>
            </w:r>
            <w:r>
              <w:t>[Betrag, Anzahl und Periodizität der vom Verbraucher zu leistenden Zahlungen]</w:t>
            </w:r>
            <w:r>
              <w:br/>
            </w:r>
            <w:r>
              <w:t>Zinsen und/oder Kosten sind wie folgt zu entrichten:</w:t>
            </w:r>
          </w:p>
        </w:tc>
      </w:tr>
      <w:tr>
        <w:trPr>
          <w:cantSplit/>
        </w:trPr>
        <w:tc>
          <w:tcPr>
            <w:tcW w:type="dxa" w:w="4703"/>
          </w:tcPr>
          <w:p>
            <w:r>
              <w:t>Von Ihnen zu zahlender Gesamtbetrag</w:t>
            </w:r>
            <w:r>
              <w:br/>
            </w:r>
            <w:r>
              <w:t>Betrag des geliehenen Kapitals zuzüglich Zinsen und etwaiger Kosten im Zusammenhang mit Ihrem Kredit</w:t>
            </w:r>
          </w:p>
        </w:tc>
        <w:tc>
          <w:tcPr>
            <w:tcW w:type="dxa" w:w="4703"/>
          </w:tcPr>
          <w:p>
            <w:r>
              <w:t>[Summe des Gesamtkreditbetrags und der Gesamtkosten des Kredits]</w:t>
            </w:r>
          </w:p>
        </w:tc>
      </w:tr>
      <w:tr>
        <w:trPr>
          <w:cantSplit/>
        </w:trPr>
        <w:tc>
          <w:tcPr>
            <w:tcW w:type="dxa" w:w="4703"/>
          </w:tcPr>
          <w:p>
            <w:r>
              <w:t>(falls zutreffend)</w:t>
            </w:r>
            <w:r>
              <w:br/>
            </w:r>
            <w:r>
              <w:t>Der Kredit wird in Form eines Zahlungsaufschubs für eine Ware oder Dienstleistung gewährt oder ist mit der Lieferung bestimmter Waren oder der Erbringung einer Dienstleistung verbunden.</w:t>
            </w:r>
            <w:r>
              <w:br/>
            </w:r>
            <w:r>
              <w:t>Bezeichnung der Ware oder Dienstleistung</w:t>
            </w:r>
            <w:r>
              <w:br/>
            </w:r>
            <w:r>
              <w:t>Barzahlungspreis</w:t>
            </w:r>
          </w:p>
        </w:tc>
        <w:tc>
          <w:tcPr>
            <w:tcW w:type="dxa" w:w="4703"/>
          </w:tcPr>
          <w:p/>
        </w:tc>
      </w:tr>
      <w:tr>
        <w:trPr>
          <w:cantSplit/>
        </w:trPr>
        <w:tc>
          <w:tcPr>
            <w:tcW w:type="dxa" w:w="4703"/>
          </w:tcPr>
          <w:p>
            <w:r>
              <w:t>(falls zutreffend)</w:t>
            </w:r>
            <w:r>
              <w:br/>
            </w:r>
            <w:r>
              <w:t>Verlangte Sicherheiten</w:t>
            </w:r>
            <w:r>
              <w:br/>
            </w:r>
            <w:r>
              <w:t>Beschreibung der von Ihnen im Zusammenhang mit dem Kreditvertrag zu stellenden Sicherheiten</w:t>
            </w:r>
          </w:p>
        </w:tc>
        <w:tc>
          <w:tcPr>
            <w:tcW w:type="dxa" w:w="4703"/>
          </w:tcPr>
          <w:p>
            <w:r>
              <w:t>[Art der Sicherheiten]</w:t>
            </w:r>
          </w:p>
        </w:tc>
      </w:tr>
      <w:tr>
        <w:trPr>
          <w:cantSplit/>
        </w:trPr>
        <w:tc>
          <w:tcPr>
            <w:tcW w:type="dxa" w:w="4703"/>
          </w:tcPr>
          <w:p>
            <w:r>
              <w:t>(falls zutreffend)</w:t>
            </w:r>
            <w:r>
              <w:br/>
            </w:r>
            <w:r>
              <w:t>Zahlungen dienen nicht der unmittelbaren Kapitaltilgung</w:t>
            </w:r>
          </w:p>
        </w:tc>
        <w:tc>
          <w:tcPr>
            <w:tcW w:type="dxa" w:w="4703"/>
          </w:tcPr>
          <w:p/>
        </w:tc>
      </w:tr>
    </w:tbl>
    <w:p>
      <w:pPr>
        <w:spacing w:after="0"/>
      </w:pPr>
    </w:p>
    <w:p>
      <w:pPr>
        <w:tabs>
          <w:tab w:pos="567" w:val="left"/>
        </w:tabs>
        <w:ind w:left="567" w:hanging="567"/>
      </w:pPr>
      <w:r>
        <w:t>3.</w:t>
      </w:r>
      <w:r>
        <w:tab/>
      </w:r>
      <w:r>
        <w:t>Kreditkosten</w:t>
      </w:r>
    </w:p>
    <w:tbl>
      <w:tblPr>
        <w:tblStyle w:val="TableGrid"/>
        <w:tblW w:type="pct" w:w="5000"/>
        <w:tblLook w:firstColumn="1" w:firstRow="1" w:lastColumn="0" w:lastRow="0" w:noHBand="0" w:noVBand="1" w:val="04A0"/>
        <w:tblCaption w:val="Tabelle 3 zu Anlage 4"/>
      </w:tblPr>
      <w:tblGrid>
        <w:gridCol w:w="4703"/>
        <w:gridCol w:w="4703"/>
      </w:tblGrid>
      <w:tr>
        <w:trPr>
          <w:cantSplit/>
        </w:trPr>
        <w:tc>
          <w:tcPr>
            <w:tcW w:type="dxa" w:w="4703"/>
          </w:tcPr>
          <w:p>
            <w:r>
              <w:t>Sollzinssatz oder gegebenenfalls die verschiedenen Sollzinssätze, die für den Kreditvertrag gelten</w:t>
            </w:r>
          </w:p>
        </w:tc>
        <w:tc>
          <w:tcPr>
            <w:tcW w:type="dxa" w:w="4703"/>
          </w:tcPr>
          <w:p>
            <w:r>
              <w:t>[%</w:t>
            </w:r>
            <w:r>
              <w:br/>
            </w:r>
            <w:r>
              <w:t>– gebunden oder</w:t>
            </w:r>
            <w:r>
              <w:br/>
            </w:r>
            <w:r>
              <w:t>– veränderlich (mit dem Index oder Referenzzinssatz für den anfänglichen Sollzinssatz)</w:t>
            </w:r>
            <w:r>
              <w:br/>
            </w:r>
            <w:r>
              <w:t>– Zeiträume]</w:t>
            </w:r>
          </w:p>
        </w:tc>
      </w:tr>
      <w:tr>
        <w:trPr>
          <w:cantSplit/>
        </w:trPr>
        <w:tc>
          <w:tcPr>
            <w:tcW w:type="dxa" w:w="4703"/>
          </w:tcPr>
          <w:p>
            <w:r>
              <w:t>Effektiver Jahreszins</w:t>
            </w:r>
            <w:r>
              <w:br/>
            </w:r>
            <w:r>
              <w:t>Gesamtkosten ausgedrückt als jährlicher Prozentsatz des Gesamtkreditbetrags</w:t>
            </w:r>
            <w:r>
              <w:br/>
            </w:r>
            <w:r>
              <w:t>Diese Angabe hilft Ihnen dabei, unterschiedliche Angebote zu vergleichen.</w:t>
            </w:r>
          </w:p>
        </w:tc>
        <w:tc>
          <w:tcPr>
            <w:tcW w:type="dxa" w:w="4703"/>
          </w:tcPr>
          <w:p>
            <w:r>
              <w:t>[% Repräsentatives Beispiel unter Angabe sämtlicher in die Berechnung des Jahreszinses einfließender Annahmen]</w:t>
            </w:r>
          </w:p>
        </w:tc>
      </w:tr>
      <w:tr>
        <w:trPr>
          <w:cantSplit/>
        </w:trPr>
        <w:tc>
          <w:tcPr>
            <w:tcW w:type="dxa" w:w="4703"/>
          </w:tcPr>
          <w:p>
            <w:r>
              <w:t>Ist</w:t>
            </w:r>
            <w:r>
              <w:br/>
            </w:r>
            <w:r>
              <w:t>– der Abschluss einer Kreditversicherung</w:t>
            </w:r>
            <w:r>
              <w:br/>
            </w:r>
            <w:r>
              <w:t>oder</w:t>
            </w:r>
            <w:r>
              <w:br/>
            </w:r>
            <w:r>
              <w:t>– die Inanspruchnahme einer anderen mit dem Kreditvertrag zusammenhängenden Nebenleistung</w:t>
            </w:r>
            <w:r>
              <w:br/>
            </w:r>
            <w:r>
              <w:t>zwingende Voraussetzung dafür, dass der Kredit überhaupt oder nach den vorgesehenen Vertragsbedingungen gewährt wird?</w:t>
            </w:r>
            <w:r>
              <w:br/>
            </w:r>
            <w:r>
              <w:t>Falls der Kreditgeber die Kosten dieser Dienstleistungen nicht kennt, sind sie nicht im effektiven Jahreszins enthalten.</w:t>
            </w:r>
          </w:p>
        </w:tc>
        <w:tc>
          <w:tcPr>
            <w:tcW w:type="dxa" w:w="4703"/>
          </w:tcPr>
          <w:p>
            <w:r>
              <w:t>Ja/Nein</w:t>
            </w:r>
            <w:r>
              <w:br/>
            </w:r>
            <w:r>
              <w:t>[Falls ja, Art der Versicherung:]</w:t>
            </w:r>
            <w:r>
              <w:br/>
            </w:r>
            <w:r>
              <w:t>Ja/Nein</w:t>
            </w:r>
            <w:r>
              <w:br/>
            </w:r>
            <w:r>
              <w:t>[Falls ja, Art der Nebenleistung:]</w:t>
            </w:r>
          </w:p>
        </w:tc>
      </w:tr>
      <w:tr>
        <w:trPr>
          <w:cantSplit/>
        </w:trPr>
        <w:tc>
          <w:tcPr>
            <w:tcW w:type="dxa" w:w="4703"/>
          </w:tcPr>
          <w:p>
            <w:r>
              <w:t>Kosten im Zusammenhang mit dem Kredit</w:t>
            </w:r>
          </w:p>
        </w:tc>
        <w:tc>
          <w:tcPr>
            <w:tcW w:type="dxa" w:w="4703"/>
          </w:tcPr>
          <w:p/>
        </w:tc>
      </w:tr>
      <w:tr>
        <w:trPr>
          <w:cantSplit/>
        </w:trPr>
        <w:tc>
          <w:tcPr>
            <w:tcW w:type="dxa" w:w="4703"/>
          </w:tcPr>
          <w:p>
            <w:r>
              <w:t>(falls zutreffend)</w:t>
            </w:r>
            <w:r>
              <w:br/>
            </w:r>
            <w:r>
              <w:t>Die Führung eines oder mehrerer Konten ist für die Buchung der Zahlungsvorgänge und der in Anspruch genommenen Kreditbeträge erforderlich.</w:t>
            </w:r>
          </w:p>
        </w:tc>
        <w:tc>
          <w:tcPr>
            <w:tcW w:type="dxa" w:w="4703"/>
          </w:tcPr>
          <w:p/>
        </w:tc>
      </w:tr>
      <w:tr>
        <w:trPr>
          <w:cantSplit/>
        </w:trPr>
        <w:tc>
          <w:tcPr>
            <w:tcW w:type="dxa" w:w="4703"/>
          </w:tcPr>
          <w:p>
            <w:r>
              <w:t>(falls zutreffend)</w:t>
            </w:r>
            <w:r>
              <w:br/>
            </w:r>
            <w:r>
              <w:t>Höhe der Kosten für die Verwendung eines bestimmten Zahlungsmittels (z. B. einer Kreditkarte)</w:t>
            </w:r>
          </w:p>
        </w:tc>
        <w:tc>
          <w:tcPr>
            <w:tcW w:type="dxa" w:w="4703"/>
          </w:tcPr>
          <w:p/>
        </w:tc>
      </w:tr>
      <w:tr>
        <w:trPr>
          <w:cantSplit/>
        </w:trPr>
        <w:tc>
          <w:tcPr>
            <w:tcW w:type="dxa" w:w="4703"/>
          </w:tcPr>
          <w:p>
            <w:r>
              <w:t>(falls zutreffend)</w:t>
            </w:r>
            <w:r>
              <w:br/>
            </w:r>
            <w:r>
              <w:t>Sonstige Kosten im Zusammenhang mit dem Kreditvertrag</w:t>
            </w:r>
          </w:p>
        </w:tc>
        <w:tc>
          <w:tcPr>
            <w:tcW w:type="dxa" w:w="4703"/>
          </w:tcPr>
          <w:p/>
        </w:tc>
      </w:tr>
      <w:tr>
        <w:trPr>
          <w:cantSplit/>
        </w:trPr>
        <w:tc>
          <w:tcPr>
            <w:tcW w:type="dxa" w:w="4703"/>
          </w:tcPr>
          <w:p>
            <w:r>
              <w:t>(falls zutreffend)</w:t>
            </w:r>
            <w:r>
              <w:br/>
            </w:r>
            <w:r>
              <w:t>Bedingungen, unter denen die vorstehend genannten Kosten im Zusammenhang mit dem Kreditvertrag geändert werden können</w:t>
            </w:r>
          </w:p>
        </w:tc>
        <w:tc>
          <w:tcPr>
            <w:tcW w:type="dxa" w:w="4703"/>
          </w:tcPr>
          <w:p/>
        </w:tc>
      </w:tr>
      <w:tr>
        <w:trPr>
          <w:cantSplit/>
        </w:trPr>
        <w:tc>
          <w:tcPr>
            <w:tcW w:type="dxa" w:w="4703"/>
          </w:tcPr>
          <w:p>
            <w:r>
              <w:t>(falls zutreffend)</w:t>
            </w:r>
            <w:r>
              <w:br/>
            </w:r>
            <w:r>
              <w:t>Verpflichtung zur Zahlung von Notarkosten</w:t>
            </w:r>
          </w:p>
        </w:tc>
        <w:tc>
          <w:tcPr>
            <w:tcW w:type="dxa" w:w="4703"/>
          </w:tcPr>
          <w:p/>
        </w:tc>
      </w:tr>
      <w:tr>
        <w:trPr>
          <w:cantSplit/>
        </w:trPr>
        <w:tc>
          <w:tcPr>
            <w:tcW w:type="dxa" w:w="4703"/>
          </w:tcPr>
          <w:p>
            <w:r>
              <w:t>Kosten bei Zahlungsverzug</w:t>
            </w:r>
            <w:r>
              <w:br/>
            </w:r>
            <w:r>
              <w:t>Ausbleibende Zahlungen können schwer wiegende Folgen für Sie haben (z. B. Zwangsverkauf) und die Erlangung eines Kredits erschweren.</w:t>
            </w:r>
          </w:p>
        </w:tc>
        <w:tc>
          <w:tcPr>
            <w:tcW w:type="dxa" w:w="4703"/>
          </w:tcPr>
          <w:p>
            <w:r>
              <w:t>Bei Zahlungsverzug wird Ihnen</w:t>
            </w:r>
            <w:r>
              <w:br/>
            </w:r>
            <w:r>
              <w:t>[… (anwendbarer Zinssatz und Regelungen für seine Anpassung sowie gegebenenfalls Verzugskosten)] berechnet.</w:t>
            </w:r>
          </w:p>
        </w:tc>
      </w:tr>
    </w:tbl>
    <w:p>
      <w:pPr>
        <w:spacing w:after="0"/>
      </w:pPr>
    </w:p>
    <w:p>
      <w:pPr>
        <w:tabs>
          <w:tab w:pos="567" w:val="left"/>
        </w:tabs>
        <w:ind w:left="567" w:hanging="567"/>
      </w:pPr>
      <w:r>
        <w:t>4.</w:t>
      </w:r>
      <w:r>
        <w:tab/>
      </w:r>
      <w:r>
        <w:t>Andere wichtige rechtliche Aspekte</w:t>
      </w:r>
    </w:p>
    <w:tbl>
      <w:tblPr>
        <w:tblStyle w:val="TableGrid"/>
        <w:tblW w:type="pct" w:w="5000"/>
        <w:tblLook w:firstColumn="1" w:firstRow="1" w:lastColumn="0" w:lastRow="0" w:noHBand="0" w:noVBand="1" w:val="04A0"/>
        <w:tblCaption w:val="Tabelle 4 zu Anlage 4"/>
      </w:tblPr>
      <w:tblGrid>
        <w:gridCol w:w="4703"/>
        <w:gridCol w:w="4703"/>
      </w:tblGrid>
      <w:tr>
        <w:trPr>
          <w:cantSplit/>
        </w:trPr>
        <w:tc>
          <w:tcPr>
            <w:tcW w:type="dxa" w:w="4703"/>
          </w:tcPr>
          <w:p>
            <w:r>
              <w:t>Widerrufsrecht</w:t>
            </w:r>
            <w:r>
              <w:br/>
            </w:r>
            <w:r>
              <w:t>Sie haben das Recht, innerhalb von 14 Kalendertagen den Kreditvertrag zu widerrufen.</w:t>
            </w:r>
          </w:p>
        </w:tc>
        <w:tc>
          <w:tcPr>
            <w:tcW w:type="dxa" w:w="4703"/>
          </w:tcPr>
          <w:p>
            <w:r>
              <w:t>Ja/Nein</w:t>
            </w:r>
          </w:p>
        </w:tc>
      </w:tr>
      <w:tr>
        <w:trPr>
          <w:cantSplit/>
        </w:trPr>
        <w:tc>
          <w:tcPr>
            <w:tcW w:type="dxa" w:w="4703"/>
          </w:tcPr>
          <w:p>
            <w:r>
              <w:t>Vorzeitige Rückzahlung</w:t>
            </w:r>
            <w:r>
              <w:br/>
            </w:r>
            <w:r>
              <w:t>Sie haben das Recht, den Kredit jederzeit ganz oder teilweise vorzeitig zurückzuzahlen.</w:t>
            </w:r>
            <w:r>
              <w:br/>
            </w:r>
            <w:r>
              <w:t>(falls zutreffend)</w:t>
            </w:r>
            <w:r>
              <w:br/>
            </w:r>
            <w:r>
              <w:t>Dem Kreditgeber steht bei vorzeitiger Rückzahlung eine Entschädigung zu</w:t>
            </w:r>
          </w:p>
        </w:tc>
        <w:tc>
          <w:tcPr>
            <w:tcW w:type="dxa" w:w="4703"/>
          </w:tcPr>
          <w:p>
            <w:r>
              <w:t>[Festlegung der Entschädigung (Berechnungsmethode) gemäß § 502 BGB]</w:t>
            </w:r>
          </w:p>
        </w:tc>
      </w:tr>
      <w:tr>
        <w:trPr>
          <w:cantSplit/>
        </w:trPr>
        <w:tc>
          <w:tcPr>
            <w:tcW w:type="dxa" w:w="4703"/>
          </w:tcPr>
          <w:p>
            <w:r>
              <w:t>Datenbankabfrage</w:t>
            </w:r>
            <w:r>
              <w:br/>
            </w:r>
            <w:r>
              <w:t>Der Kreditgeber muss Sie unverzüglich und unentgeltlich über das Ergebnis einer Datenbankabfrage unterrichten, wenn ein Kreditantrag aufgrund einer solchen Abfrage abgelehnt wird. Dies gilt nicht, wenn eine entsprechende Unterrichtung durch die Rechtsvorschriften der Europäischen Union untersagt ist oder den Zielen der öffentlichen Ordnung oder Sicherheit zuwiderläuft.</w:t>
            </w:r>
          </w:p>
        </w:tc>
        <w:tc>
          <w:tcPr>
            <w:tcW w:type="dxa" w:w="4703"/>
          </w:tcPr>
          <w:p/>
        </w:tc>
      </w:tr>
      <w:tr>
        <w:trPr>
          <w:cantSplit/>
        </w:trPr>
        <w:tc>
          <w:tcPr>
            <w:tcW w:type="dxa" w:w="4703"/>
          </w:tcPr>
          <w:p>
            <w:r>
              <w:t>Recht auf einen Kreditvertragsentwurf</w:t>
            </w:r>
            <w:r>
              <w:br/>
            </w:r>
            <w:r>
              <w:t>Sie haben das Recht, auf Verlangen unentgeltlich eine Kopie des Kreditvertragsentwurfs zu erhalten. Diese Bestimmung gilt nicht, wenn der Kreditgeber zum Zeitpunkt der Beantragung nicht zum Abschluss eines Kreditvertrags mit Ihnen bereit ist.</w:t>
            </w:r>
          </w:p>
        </w:tc>
        <w:tc>
          <w:tcPr>
            <w:tcW w:type="dxa" w:w="4703"/>
          </w:tcPr>
          <w:p/>
        </w:tc>
      </w:tr>
      <w:tr>
        <w:trPr>
          <w:cantSplit/>
        </w:trPr>
        <w:tc>
          <w:tcPr>
            <w:tcW w:type="dxa" w:w="4703"/>
          </w:tcPr>
          <w:p>
            <w:r>
              <w:t>(falls zutreffend)</w:t>
            </w:r>
            <w:r>
              <w:br/>
            </w:r>
            <w:r>
              <w:t>Zeitraum, während dessen der Kreditgeber an die vorvertraglichen Informationen gebunden ist</w:t>
            </w:r>
          </w:p>
        </w:tc>
        <w:tc>
          <w:tcPr>
            <w:tcW w:type="dxa" w:w="4703"/>
          </w:tcPr>
          <w:p>
            <w:r>
              <w:t>Diese Informationen gelten vom … bis …</w:t>
            </w:r>
          </w:p>
        </w:tc>
      </w:tr>
    </w:tbl>
    <w:p>
      <w:pPr>
        <w:spacing w:after="0"/>
      </w:pPr>
    </w:p>
    <w:p>
      <w:pPr>
        <w:ind w:left="567"/>
      </w:pPr>
      <w:r>
        <w:rPr>
          <w:rStyle w:val="Satznummer"/>
        </w:rPr>
        <w:t>2</w:t>
      </w:r>
      <w:r>
        <w:t>(falls zutreffend)</w:t>
      </w:r>
    </w:p>
    <w:p>
      <w:pPr>
        <w:tabs>
          <w:tab w:pos="567" w:val="left"/>
        </w:tabs>
        <w:ind w:left="567" w:hanging="567"/>
      </w:pPr>
      <w:r>
        <w:t>5.</w:t>
      </w:r>
      <w:r>
        <w:tab/>
      </w:r>
      <w:r>
        <w:t>Zusätzliche Informationen beim Fernabsatz von Finanzdienstleistungen</w:t>
      </w:r>
    </w:p>
    <w:tbl>
      <w:tblPr>
        <w:tblStyle w:val="TableGrid"/>
        <w:tblW w:type="pct" w:w="5000"/>
        <w:tblLook w:firstColumn="1" w:firstRow="1" w:lastColumn="0" w:lastRow="0" w:noHBand="0" w:noVBand="1" w:val="04A0"/>
        <w:tblCaption w:val="Tabelle 5 zu Anlage 4"/>
      </w:tblPr>
      <w:tblGrid>
        <w:gridCol w:w="4703"/>
        <w:gridCol w:w="4703"/>
      </w:tblGrid>
      <w:tr>
        <w:trPr>
          <w:cantSplit/>
        </w:trPr>
        <w:tc>
          <w:tcPr>
            <w:tcW w:type="dxa" w:w="4703"/>
          </w:tcPr>
          <w:p>
            <w:r>
              <w:t>a) zum Kreditgeber</w:t>
            </w:r>
          </w:p>
        </w:tc>
        <w:tc>
          <w:tcPr>
            <w:tcW w:type="dxa" w:w="4703"/>
          </w:tcPr>
          <w:p/>
        </w:tc>
      </w:tr>
      <w:tr>
        <w:trPr>
          <w:cantSplit/>
        </w:trPr>
        <w:tc>
          <w:tcPr>
            <w:tcW w:type="dxa" w:w="4703"/>
          </w:tcPr>
          <w:p>
            <w:r>
              <w:t>(falls zutreffend)</w:t>
            </w:r>
            <w:r>
              <w:br/>
            </w:r>
            <w:r>
              <w:t>Vertreter des Kreditgebers in dem Mitgliedstaat, in dem Sie Ihren Wohnsitz haben</w:t>
            </w:r>
            <w:r>
              <w:br/>
            </w:r>
            <w:r>
              <w:t>Anschrift</w:t>
            </w:r>
            <w:r>
              <w:br/>
            </w:r>
            <w:r>
              <w:t>Telefon*)</w:t>
            </w:r>
            <w:r>
              <w:br/>
            </w:r>
            <w:r>
              <w:t>E-Mail*)</w:t>
            </w:r>
            <w:r>
              <w:br/>
            </w:r>
            <w:r>
              <w:t>Fax*)</w:t>
            </w:r>
            <w:r>
              <w:br/>
            </w:r>
            <w:r>
              <w:t>Internet-Adresse*)</w:t>
            </w:r>
            <w:r>
              <w:br/>
            </w:r>
            <w:r>
              <w:t>*) Freiwillige Angaben des Kreditgebers</w:t>
            </w:r>
          </w:p>
        </w:tc>
        <w:tc>
          <w:tcPr>
            <w:tcW w:type="dxa" w:w="4703"/>
          </w:tcPr>
          <w:p>
            <w:r>
              <w:t>[Name]</w:t>
            </w:r>
            <w:r>
              <w:br/>
            </w:r>
            <w:r>
              <w:t>[Ladungsfähige Anschrift für Kontakte des Verbrauchers]</w:t>
            </w:r>
          </w:p>
        </w:tc>
      </w:tr>
      <w:tr>
        <w:trPr>
          <w:cantSplit/>
        </w:trPr>
        <w:tc>
          <w:tcPr>
            <w:tcW w:type="dxa" w:w="4703"/>
          </w:tcPr>
          <w:p>
            <w:r>
              <w:t>(falls zutreffend)</w:t>
            </w:r>
            <w:r>
              <w:br/>
            </w:r>
            <w:r>
              <w:t>Eintrag im Handelsregister</w:t>
            </w:r>
          </w:p>
        </w:tc>
        <w:tc>
          <w:tcPr>
            <w:tcW w:type="dxa" w:w="4703"/>
          </w:tcPr>
          <w:p>
            <w:r>
              <w:t>[Handelsregister, in das der Kreditgeber eingetragen ist, und seine Handelsregisternummer oder eine gleichwertige in diesem Register verwendete Kennung]</w:t>
            </w:r>
          </w:p>
        </w:tc>
      </w:tr>
      <w:tr>
        <w:trPr>
          <w:cantSplit/>
        </w:trPr>
        <w:tc>
          <w:tcPr>
            <w:tcW w:type="dxa" w:w="4703"/>
          </w:tcPr>
          <w:p>
            <w:r>
              <w:t>(falls zutreffend)</w:t>
            </w:r>
            <w:r>
              <w:br/>
            </w:r>
            <w:r>
              <w:t>Zuständige Aufsichtsbehörde</w:t>
            </w:r>
          </w:p>
        </w:tc>
        <w:tc>
          <w:tcPr>
            <w:tcW w:type="dxa" w:w="4703"/>
          </w:tcPr>
          <w:p/>
        </w:tc>
      </w:tr>
      <w:tr>
        <w:trPr>
          <w:cantSplit/>
        </w:trPr>
        <w:tc>
          <w:tcPr>
            <w:tcW w:type="dxa" w:w="4703"/>
          </w:tcPr>
          <w:p>
            <w:r>
              <w:t>b) zum Kreditvertrag</w:t>
            </w:r>
          </w:p>
        </w:tc>
        <w:tc>
          <w:tcPr>
            <w:tcW w:type="dxa" w:w="4703"/>
          </w:tcPr>
          <w:p/>
        </w:tc>
      </w:tr>
      <w:tr>
        <w:trPr>
          <w:cantSplit/>
        </w:trPr>
        <w:tc>
          <w:tcPr>
            <w:tcW w:type="dxa" w:w="4703"/>
          </w:tcPr>
          <w:p>
            <w:r>
              <w:t>(falls zutreffend)</w:t>
            </w:r>
            <w:r>
              <w:br/>
            </w:r>
            <w:r>
              <w:t>Ausübung des Widerrufsrechts</w:t>
            </w:r>
          </w:p>
        </w:tc>
        <w:tc>
          <w:tcPr>
            <w:tcW w:type="dxa" w:w="4703"/>
          </w:tcPr>
          <w:p>
            <w:r>
              <w:t>[Praktische Hinweise zur Ausübung des Widerrufsrechts, darunter Widerrufsfrist, Angabe der Anschrift, an die die Widerruferklärung zu senden ist, sowie Folgen bei Nichtausübung dieses Rechts]</w:t>
            </w:r>
          </w:p>
        </w:tc>
      </w:tr>
      <w:tr>
        <w:trPr>
          <w:cantSplit/>
        </w:trPr>
        <w:tc>
          <w:tcPr>
            <w:tcW w:type="dxa" w:w="4703"/>
          </w:tcPr>
          <w:p>
            <w:r>
              <w:t>(falls zutreffend)</w:t>
            </w:r>
            <w:r>
              <w:br/>
            </w:r>
            <w:r>
              <w:t>Recht, das der Kreditgeber der Aufnahme von Beziehungen zu Ihnen vor Abschluss des Kreditvertrags zugrunde legt</w:t>
            </w:r>
          </w:p>
        </w:tc>
        <w:tc>
          <w:tcPr>
            <w:tcW w:type="dxa" w:w="4703"/>
          </w:tcPr>
          <w:p/>
        </w:tc>
      </w:tr>
      <w:tr>
        <w:trPr>
          <w:cantSplit/>
        </w:trPr>
        <w:tc>
          <w:tcPr>
            <w:tcW w:type="dxa" w:w="4703"/>
          </w:tcPr>
          <w:p>
            <w:r>
              <w:t>(falls zutreffend)</w:t>
            </w:r>
            <w:r>
              <w:br/>
            </w:r>
            <w:r>
              <w:t>Klauseln über das auf den Kreditvertrag anwendbare Recht und/oder das zuständige Gericht</w:t>
            </w:r>
          </w:p>
        </w:tc>
        <w:tc>
          <w:tcPr>
            <w:tcW w:type="dxa" w:w="4703"/>
          </w:tcPr>
          <w:p>
            <w:r>
              <w:t>[Entsprechende Klauseln hier wiedergeben]</w:t>
            </w:r>
          </w:p>
        </w:tc>
      </w:tr>
      <w:tr>
        <w:trPr>
          <w:cantSplit/>
        </w:trPr>
        <w:tc>
          <w:tcPr>
            <w:tcW w:type="dxa" w:w="4703"/>
          </w:tcPr>
          <w:p>
            <w:r>
              <w:t>(falls zutreffend)</w:t>
            </w:r>
            <w:r>
              <w:br/>
            </w:r>
            <w:r>
              <w:t>Wahl der Sprache</w:t>
            </w:r>
          </w:p>
        </w:tc>
        <w:tc>
          <w:tcPr>
            <w:tcW w:type="dxa" w:w="4703"/>
          </w:tcPr>
          <w:p>
            <w:r>
              <w:t>Die Informationen und Vertragsbedingungen werden in [Angabe der Sprache] vorgelegt. Mit Ihrer Zustimmung werden wir während der Laufzeit des Kreditvertrags in [Angabe der Sprache(n)] mit Ihnen Kontakt halten.</w:t>
            </w:r>
          </w:p>
        </w:tc>
      </w:tr>
      <w:tr>
        <w:trPr>
          <w:cantSplit/>
        </w:trPr>
        <w:tc>
          <w:tcPr>
            <w:tcW w:type="dxa" w:w="4703"/>
          </w:tcPr>
          <w:p>
            <w:r>
              <w:t>c) zu den Rechtsmitteln</w:t>
            </w:r>
          </w:p>
        </w:tc>
        <w:tc>
          <w:tcPr>
            <w:tcW w:type="dxa" w:w="4703"/>
          </w:tcPr>
          <w:p/>
        </w:tc>
      </w:tr>
      <w:tr>
        <w:trPr>
          <w:cantSplit/>
        </w:trPr>
        <w:tc>
          <w:tcPr>
            <w:tcW w:type="dxa" w:w="4703"/>
          </w:tcPr>
          <w:p>
            <w:r>
              <w:t>Verfügbarkeit außergerichtlicher Beschwerde- und Rechtsbehelfsverfahren und Zugang dazu</w:t>
            </w:r>
          </w:p>
        </w:tc>
        <w:tc>
          <w:tcPr>
            <w:tcW w:type="dxa" w:w="4703"/>
          </w:tcPr>
          <w:p>
            <w:r>
              <w:t>[Angabe, ob der Verbraucher, der Vertragspartei eines Fernabsatzvertrags ist, Zugang zu einem außergerichtlichen Beschwerde- und Rechtsbehelfsverfahren hat, und gegebenenfalls die Voraussetzungen für diesen Zugang]</w:t>
            </w:r>
          </w:p>
        </w:tc>
      </w:tr>
    </w:tbl>
    <w:p>
      <w:pPr>
        <w:spacing w:after="0"/>
      </w:pPr>
    </w:p>
    <w:p>
      <w:pPr>
        <w:pStyle w:val="Heading3"/>
      </w:pPr>
      <w:bookmarkStart w:id="504" w:name="b503"/>
      <w:r>
        <w:t>Anlage 5 (zu Artikel 247 § 2) Europäische Verbraucherkreditinformationen bei 1. Überziehungskrediten 2. Umschuldungen</w:t>
      </w:r>
      <w:bookmarkEnd w:id="504"/>
    </w:p>
    <w:p>
      <w:r>
        <w:rPr>
          <w:color w:val="404040"/>
          <w:sz w:val="21"/>
        </w:rPr>
        <w:t>(Fundstelle: BGBl. I 2009, S. 2398 - 2401;</w:t>
      </w:r>
      <w:r>
        <w:br/>
      </w:r>
      <w:r>
        <w:rPr>
          <w:color w:val="404040"/>
          <w:sz w:val="21"/>
        </w:rPr>
        <w:t>bezüglich der einzelnen Änderungen vgl. Fußnote)</w:t>
      </w:r>
    </w:p>
    <w:p>
      <w:pPr>
        <w:tabs>
          <w:tab w:pos="567" w:val="left"/>
        </w:tabs>
        <w:ind w:left="567" w:hanging="567"/>
      </w:pPr>
      <w:r>
        <w:t>1.</w:t>
      </w:r>
      <w:r>
        <w:tab/>
      </w:r>
      <w:r>
        <w:t>Name und Kontaktangaben des Kreditgebers/Kreditvermittlers</w:t>
      </w:r>
    </w:p>
    <w:tbl>
      <w:tblPr>
        <w:tblStyle w:val="TableGrid"/>
        <w:tblW w:type="pct" w:w="5000"/>
        <w:tblLook w:firstColumn="1" w:firstRow="1" w:lastColumn="0" w:lastRow="0" w:noHBand="0" w:noVBand="1" w:val="04A0"/>
        <w:tblCaption w:val="Tabelle 1 zu Anlage 5"/>
      </w:tblPr>
      <w:tblGrid>
        <w:gridCol w:w="4703"/>
        <w:gridCol w:w="4703"/>
      </w:tblGrid>
      <w:tr>
        <w:trPr>
          <w:cantSplit/>
        </w:trPr>
        <w:tc>
          <w:tcPr>
            <w:tcW w:type="dxa" w:w="4703"/>
          </w:tcPr>
          <w:p>
            <w:r>
              <w:t>Kreditgeber</w:t>
            </w:r>
            <w:r>
              <w:br/>
            </w:r>
            <w:r>
              <w:t>Anschrift</w:t>
            </w:r>
            <w:r>
              <w:br/>
            </w:r>
            <w:r>
              <w:t>Telefon*)</w:t>
            </w:r>
            <w:r>
              <w:br/>
            </w:r>
            <w:r>
              <w:t>E-Mail*)</w:t>
            </w:r>
            <w:r>
              <w:br/>
            </w:r>
            <w:r>
              <w:t>Fax*)</w:t>
            </w:r>
            <w:r>
              <w:br/>
            </w:r>
            <w:r>
              <w:t>Internet-Adresse*)</w:t>
            </w:r>
          </w:p>
        </w:tc>
        <w:tc>
          <w:tcPr>
            <w:tcW w:type="dxa" w:w="4703"/>
          </w:tcPr>
          <w:p>
            <w:r>
              <w:t>[Name]</w:t>
            </w:r>
            <w:r>
              <w:br/>
            </w:r>
            <w:r>
              <w:t>[Ladungsfähige Anschrift für Kontakte des Verbrauchers]</w:t>
            </w:r>
          </w:p>
        </w:tc>
      </w:tr>
      <w:tr>
        <w:trPr>
          <w:cantSplit/>
        </w:trPr>
        <w:tc>
          <w:tcPr>
            <w:tcW w:type="dxa" w:w="4703"/>
          </w:tcPr>
          <w:p>
            <w:r>
              <w:t>(falls zutreffend)</w:t>
            </w:r>
            <w:r>
              <w:br/>
            </w:r>
            <w:r>
              <w:t>Kreditvermittler</w:t>
            </w:r>
            <w:r>
              <w:br/>
            </w:r>
            <w:r>
              <w:t>Anschrift</w:t>
            </w:r>
            <w:r>
              <w:br/>
            </w:r>
            <w:r>
              <w:t>Telefon*)</w:t>
            </w:r>
            <w:r>
              <w:br/>
            </w:r>
            <w:r>
              <w:t>E-Mail*)</w:t>
            </w:r>
            <w:r>
              <w:br/>
            </w:r>
            <w:r>
              <w:t>Fax*)</w:t>
            </w:r>
            <w:r>
              <w:br/>
            </w:r>
            <w:r>
              <w:t>Internet-Adresse*)</w:t>
            </w:r>
          </w:p>
        </w:tc>
        <w:tc>
          <w:tcPr>
            <w:tcW w:type="dxa" w:w="4703"/>
          </w:tcPr>
          <w:p>
            <w:r>
              <w:t>[Name]</w:t>
            </w:r>
            <w:r>
              <w:br/>
            </w:r>
            <w:r>
              <w:t>[Ladungsfähige Anschrift für Kontakte des Verbrauchers]</w:t>
            </w:r>
          </w:p>
        </w:tc>
      </w:tr>
    </w:tbl>
    <w:p>
      <w:pPr>
        <w:spacing w:after="0"/>
      </w:pPr>
    </w:p>
    <w:p>
      <w:pPr>
        <w:ind w:left="567"/>
      </w:pPr>
      <w:r>
        <w:rPr>
          <w:rStyle w:val="Satznummer"/>
        </w:rPr>
        <w:t>2</w:t>
      </w:r>
      <w:r>
        <w:t>-----</w:t>
      </w:r>
      <w:r>
        <w:br/>
      </w:r>
      <w:r>
        <w:t>*) Freiwillige Angaben des Kreditgebers</w:t>
      </w:r>
    </w:p>
    <w:p>
      <w:pPr>
        <w:ind w:left="567"/>
      </w:pPr>
      <w:r>
        <w:t>In allen Fällen, in denen „falls zutreffend" angegeben ist, muss der Kreditgeber das betreffende Kästchen ausfüllen, wenn die Information für den Kreditvertrag relevant ist, oder die betreffende Information bzw. die gesamte Zeile streichen, wenn die Information für die in Frage kommende Kreditart nicht relevant ist.</w:t>
      </w:r>
    </w:p>
    <w:p>
      <w:pPr>
        <w:ind w:left="567"/>
      </w:pPr>
      <w:r>
        <w:rPr>
          <w:rStyle w:val="Satznummer"/>
        </w:rPr>
        <w:t>3</w:t>
      </w:r>
      <w:r>
        <w:t>Die Vermerke in eckigen Klammern dienen zur Erläuterung und sind durch die entsprechenden Angaben zu ersetzen.</w:t>
      </w:r>
    </w:p>
    <w:p>
      <w:pPr>
        <w:tabs>
          <w:tab w:pos="567" w:val="left"/>
        </w:tabs>
        <w:ind w:left="567" w:hanging="567"/>
      </w:pPr>
      <w:r>
        <w:t>2.</w:t>
      </w:r>
      <w:r>
        <w:tab/>
      </w:r>
      <w:r>
        <w:t>Beschreibung der wesentlichen Merkmale des Kredits</w:t>
      </w:r>
    </w:p>
    <w:tbl>
      <w:tblPr>
        <w:tblStyle w:val="TableGrid"/>
        <w:tblW w:type="pct" w:w="5000"/>
        <w:tblLook w:firstColumn="1" w:firstRow="1" w:lastColumn="0" w:lastRow="0" w:noHBand="0" w:noVBand="1" w:val="04A0"/>
        <w:tblCaption w:val="Tabelle 2 zu Anlage 5"/>
      </w:tblPr>
      <w:tblGrid>
        <w:gridCol w:w="4703"/>
        <w:gridCol w:w="4703"/>
      </w:tblGrid>
      <w:tr>
        <w:trPr>
          <w:cantSplit/>
        </w:trPr>
        <w:tc>
          <w:tcPr>
            <w:tcW w:type="dxa" w:w="4703"/>
          </w:tcPr>
          <w:p>
            <w:r>
              <w:t>Kreditart</w:t>
            </w:r>
          </w:p>
        </w:tc>
        <w:tc>
          <w:tcPr>
            <w:tcW w:type="dxa" w:w="4703"/>
          </w:tcPr>
          <w:p/>
        </w:tc>
      </w:tr>
      <w:tr>
        <w:trPr>
          <w:cantSplit/>
        </w:trPr>
        <w:tc>
          <w:tcPr>
            <w:tcW w:type="dxa" w:w="4703"/>
          </w:tcPr>
          <w:p>
            <w:r>
              <w:t>Gesamtkreditbetrag</w:t>
            </w:r>
            <w:r>
              <w:br/>
            </w:r>
            <w:r>
              <w:t>Obergrenze oder Summe aller Beträge, die aufgrund des Kreditvertrags zur Verfügung gestellt wird</w:t>
            </w:r>
          </w:p>
        </w:tc>
        <w:tc>
          <w:tcPr>
            <w:tcW w:type="dxa" w:w="4703"/>
          </w:tcPr>
          <w:p/>
        </w:tc>
      </w:tr>
      <w:tr>
        <w:trPr>
          <w:cantSplit/>
        </w:trPr>
        <w:tc>
          <w:tcPr>
            <w:tcW w:type="dxa" w:w="4703"/>
          </w:tcPr>
          <w:p>
            <w:r>
              <w:t>Laufzeit des Kreditvertrags</w:t>
            </w:r>
          </w:p>
        </w:tc>
        <w:tc>
          <w:tcPr>
            <w:tcW w:type="dxa" w:w="4703"/>
          </w:tcPr>
          <w:p/>
        </w:tc>
      </w:tr>
      <w:tr>
        <w:trPr>
          <w:cantSplit/>
        </w:trPr>
        <w:tc>
          <w:tcPr>
            <w:tcW w:type="dxa" w:w="4703"/>
          </w:tcPr>
          <w:p>
            <w:r>
              <w:t>(falls zutreffend)</w:t>
            </w:r>
            <w:r>
              <w:br/>
            </w:r>
            <w:r>
              <w:t>Sie können jederzeit zur Rückzahlung des gesamten Kreditbetrags aufgefordert werden.</w:t>
            </w:r>
          </w:p>
        </w:tc>
        <w:tc>
          <w:tcPr>
            <w:tcW w:type="dxa" w:w="4703"/>
          </w:tcPr>
          <w:p/>
        </w:tc>
      </w:tr>
    </w:tbl>
    <w:p>
      <w:pPr>
        <w:spacing w:after="0"/>
      </w:pPr>
    </w:p>
    <w:p>
      <w:pPr>
        <w:tabs>
          <w:tab w:pos="567" w:val="left"/>
        </w:tabs>
        <w:ind w:left="567" w:hanging="567"/>
      </w:pPr>
      <w:r>
        <w:t>3.</w:t>
      </w:r>
      <w:r>
        <w:tab/>
      </w:r>
      <w:r>
        <w:t>Kreditkosten</w:t>
      </w:r>
    </w:p>
    <w:tbl>
      <w:tblPr>
        <w:tblStyle w:val="TableGrid"/>
        <w:tblW w:type="pct" w:w="5000"/>
        <w:tblLook w:firstColumn="1" w:firstRow="1" w:lastColumn="0" w:lastRow="0" w:noHBand="0" w:noVBand="1" w:val="04A0"/>
        <w:tblCaption w:val="Tabelle 3 zu Anlage 5"/>
      </w:tblPr>
      <w:tblGrid>
        <w:gridCol w:w="4703"/>
        <w:gridCol w:w="4703"/>
      </w:tblGrid>
      <w:tr>
        <w:trPr>
          <w:cantSplit/>
        </w:trPr>
        <w:tc>
          <w:tcPr>
            <w:tcW w:type="dxa" w:w="4703"/>
          </w:tcPr>
          <w:p>
            <w:r>
              <w:t>Sollzinssatz oder gegebenenfalls die verschiedenen Sollzinssätze, die für den Kreditvertrag gelten</w:t>
            </w:r>
          </w:p>
        </w:tc>
        <w:tc>
          <w:tcPr>
            <w:tcW w:type="dxa" w:w="4703"/>
          </w:tcPr>
          <w:p>
            <w:r>
              <w:t>[%</w:t>
            </w:r>
            <w:r>
              <w:br/>
            </w:r>
            <w:r>
              <w:t>– gebunden oder</w:t>
            </w:r>
            <w:r>
              <w:br/>
            </w:r>
            <w:r>
              <w:t>– veränderlich (mit dem Index oder Referenzzinssatz für den anfänglichen Sollzinssatz)]</w:t>
            </w:r>
          </w:p>
        </w:tc>
      </w:tr>
      <w:tr>
        <w:trPr>
          <w:cantSplit/>
        </w:trPr>
        <w:tc>
          <w:tcPr>
            <w:tcW w:type="dxa" w:w="4703"/>
          </w:tcPr>
          <w:p>
            <w:r>
              <w:t>(falls zutreffend)</w:t>
            </w:r>
            <w:r>
              <w:br/>
            </w:r>
            <w:r>
              <w:t>Effektiver Jahreszins*)</w:t>
            </w:r>
            <w:r>
              <w:br/>
            </w:r>
            <w:r>
              <w:t>Gesamtkosten ausgedrückt als jährlicher Prozentsatz des Gesamtkreditbetrags</w:t>
            </w:r>
            <w:r>
              <w:br/>
            </w:r>
            <w:r>
              <w:t>Diese Angabe hilft Ihnen dabei, unterschiedliche Angebote zu vergleichen.</w:t>
            </w:r>
          </w:p>
        </w:tc>
        <w:tc>
          <w:tcPr>
            <w:tcW w:type="dxa" w:w="4703"/>
          </w:tcPr>
          <w:p>
            <w:r>
              <w:t>[%. Repräsentatives Beispiel unter Angabe sämtlicher in die Berechnung des Jahreszinses einfließender Annahmen]</w:t>
            </w:r>
          </w:p>
        </w:tc>
      </w:tr>
      <w:tr>
        <w:trPr>
          <w:cantSplit/>
        </w:trPr>
        <w:tc>
          <w:tcPr>
            <w:tcW w:type="dxa" w:w="4703"/>
          </w:tcPr>
          <w:p>
            <w:r>
              <w:t>(falls zutreffend)</w:t>
            </w:r>
            <w:r>
              <w:br/>
            </w:r>
            <w:r>
              <w:t>Kosten</w:t>
            </w:r>
            <w:r>
              <w:br/>
            </w:r>
            <w:r>
              <w:t>(falls zutreffend)</w:t>
            </w:r>
            <w:r>
              <w:br/>
            </w:r>
            <w:r>
              <w:t>Bedingungen, unter denen diese Kosten geändert werden können</w:t>
            </w:r>
          </w:p>
        </w:tc>
        <w:tc>
          <w:tcPr>
            <w:tcW w:type="dxa" w:w="4703"/>
          </w:tcPr>
          <w:p>
            <w:r>
              <w:t>[Sämtliche vom Zeitpunkt des Vertragsabschlusses des Kreditvertrags an zu zahlende Kosten]</w:t>
            </w:r>
          </w:p>
        </w:tc>
      </w:tr>
      <w:tr>
        <w:trPr>
          <w:cantSplit/>
        </w:trPr>
        <w:tc>
          <w:tcPr>
            <w:tcW w:type="dxa" w:w="4703"/>
          </w:tcPr>
          <w:p>
            <w:r>
              <w:t>Kosten bei Zahlungsverzug</w:t>
            </w:r>
          </w:p>
        </w:tc>
        <w:tc>
          <w:tcPr>
            <w:tcW w:type="dxa" w:w="4703"/>
          </w:tcPr>
          <w:p>
            <w:r>
              <w:t>Bei Zahlungsverzug wird Ihnen [… (anwendbarer Zinssatz und Regelungen für seine Anpassung sowie gegebenenfalls Verzugskosten)] berechnet.</w:t>
            </w:r>
          </w:p>
        </w:tc>
      </w:tr>
    </w:tbl>
    <w:p>
      <w:pPr>
        <w:spacing w:after="0"/>
      </w:pPr>
    </w:p>
    <w:p>
      <w:pPr>
        <w:ind w:left="567"/>
      </w:pPr>
      <w:r>
        <w:rPr>
          <w:rStyle w:val="Satznummer"/>
        </w:rPr>
        <w:t>2</w:t>
      </w:r>
      <w:r>
        <w:t>-----</w:t>
      </w:r>
      <w:r>
        <w:br/>
      </w:r>
      <w:r>
        <w:t>*) Bei Überziehungsmöglichkeiten nach § 504 Abs. 2 des Bürgerlichen Gesetzbuchs, bei denen der Kredit jederzeit vom Kreditgeber gekündigt werden kann oder binnen drei Monaten zurückgezahlt werden muss, muss der effektive Jahreszins nicht angegeben werden, wenn der Kreditgeber außer den Sollzinsen keine weiteren Kosten verlangt.</w:t>
      </w:r>
    </w:p>
    <w:p>
      <w:pPr>
        <w:tabs>
          <w:tab w:pos="567" w:val="left"/>
        </w:tabs>
        <w:ind w:left="567" w:hanging="567"/>
      </w:pPr>
      <w:r>
        <w:t>4.</w:t>
      </w:r>
      <w:r>
        <w:tab/>
      </w:r>
      <w:r>
        <w:t>Andere wichtige rechtliche Aspekte</w:t>
      </w:r>
    </w:p>
    <w:tbl>
      <w:tblPr>
        <w:tblStyle w:val="TableGrid"/>
        <w:tblW w:type="pct" w:w="5000"/>
        <w:tblLook w:firstColumn="1" w:firstRow="1" w:lastColumn="0" w:lastRow="0" w:noHBand="0" w:noVBand="1" w:val="04A0"/>
        <w:tblCaption w:val="Tabelle 4 zu Anlage 5"/>
      </w:tblPr>
      <w:tblGrid>
        <w:gridCol w:w="4703"/>
        <w:gridCol w:w="4703"/>
      </w:tblGrid>
      <w:tr>
        <w:trPr>
          <w:cantSplit/>
        </w:trPr>
        <w:tc>
          <w:tcPr>
            <w:tcW w:type="dxa" w:w="4703"/>
          </w:tcPr>
          <w:p>
            <w:r>
              <w:t>Beendigung des Kreditvertrags</w:t>
            </w:r>
          </w:p>
        </w:tc>
        <w:tc>
          <w:tcPr>
            <w:tcW w:type="dxa" w:w="4703"/>
          </w:tcPr>
          <w:p>
            <w:r>
              <w:t>[Bedingungen und Verfahren zur Beendigung des Kreditvertrags]</w:t>
            </w:r>
          </w:p>
        </w:tc>
      </w:tr>
      <w:tr>
        <w:trPr>
          <w:cantSplit/>
        </w:trPr>
        <w:tc>
          <w:tcPr>
            <w:tcW w:type="dxa" w:w="4703"/>
          </w:tcPr>
          <w:p>
            <w:r>
              <w:t>Datenbankabfrage</w:t>
            </w:r>
            <w:r>
              <w:br/>
            </w:r>
            <w:r>
              <w:t>Der Kreditgeber muss Sie unverzüglich und unentgeltlich über das Ergebnis einer Datenbankabfrage unterrichten, wenn ein Kreditantrag aufgrund einer solchen Abfrage abgelehnt wird. Dies gilt nicht, wenn eine entsprechende Unterrichtung durch die Rechtsvorschriften der Europäischen Union untersagt ist oder den Zielen der öffentlichen Ordnung oder Sicherheit zuwiderläuft.</w:t>
            </w:r>
          </w:p>
        </w:tc>
        <w:tc>
          <w:tcPr>
            <w:tcW w:type="dxa" w:w="4703"/>
          </w:tcPr>
          <w:p/>
        </w:tc>
      </w:tr>
      <w:tr>
        <w:trPr>
          <w:cantSplit/>
        </w:trPr>
        <w:tc>
          <w:tcPr>
            <w:tcW w:type="dxa" w:w="4703"/>
          </w:tcPr>
          <w:p>
            <w:r>
              <w:t>(falls zutreffend)</w:t>
            </w:r>
            <w:r>
              <w:br/>
            </w:r>
            <w:r>
              <w:t>Zeitraum, während dessen der Kreditgeber an die vorvertraglichen Informationen gebunden ist</w:t>
            </w:r>
          </w:p>
        </w:tc>
        <w:tc>
          <w:tcPr>
            <w:tcW w:type="dxa" w:w="4703"/>
          </w:tcPr>
          <w:p>
            <w:r>
              <w:t>Diese Informationen gelten vom … bis …</w:t>
            </w:r>
          </w:p>
        </w:tc>
      </w:tr>
    </w:tbl>
    <w:p>
      <w:pPr>
        <w:spacing w:after="0"/>
      </w:pPr>
    </w:p>
    <w:p>
      <w:pPr>
        <w:ind w:left="567"/>
      </w:pPr>
      <w:r>
        <w:rPr>
          <w:rStyle w:val="Satznummer"/>
        </w:rPr>
        <w:t>2</w:t>
      </w:r>
      <w:r>
        <w:t>(falls zutreffend)</w:t>
      </w:r>
    </w:p>
    <w:p>
      <w:pPr>
        <w:tabs>
          <w:tab w:pos="567" w:val="left"/>
        </w:tabs>
        <w:ind w:left="567" w:hanging="567"/>
      </w:pPr>
      <w:r>
        <w:t>5.</w:t>
      </w:r>
      <w:r>
        <w:tab/>
      </w:r>
      <w:r>
        <w:t>Zusätzliche Informationen, die zu liefern sind, wenn die vorvertraglichen Informationen einen Verbraucherkredit für eine Umschuldung betreffen</w:t>
      </w:r>
    </w:p>
    <w:tbl>
      <w:tblPr>
        <w:tblStyle w:val="TableGrid"/>
        <w:tblW w:type="pct" w:w="5000"/>
        <w:tblLook w:firstColumn="1" w:firstRow="1" w:lastColumn="0" w:lastRow="0" w:noHBand="0" w:noVBand="1" w:val="04A0"/>
        <w:tblCaption w:val="Tabelle 5 zu Anlage 5"/>
      </w:tblPr>
      <w:tblGrid>
        <w:gridCol w:w="4703"/>
        <w:gridCol w:w="4703"/>
      </w:tblGrid>
      <w:tr>
        <w:trPr>
          <w:cantSplit/>
        </w:trPr>
        <w:tc>
          <w:tcPr>
            <w:tcW w:type="dxa" w:w="4703"/>
          </w:tcPr>
          <w:p>
            <w:r>
              <w:t>Teilzahlungen und gegebenenfalls Reihenfolge, in der die Teilzahlungen angerechnet werden</w:t>
            </w:r>
          </w:p>
        </w:tc>
        <w:tc>
          <w:tcPr>
            <w:tcW w:type="dxa" w:w="4703"/>
          </w:tcPr>
          <w:p>
            <w:r>
              <w:t>Sie müssen folgende Zahlungen leisten:</w:t>
            </w:r>
            <w:r>
              <w:br/>
            </w:r>
            <w:r>
              <w:t>[Repräsentatives Beispiel für einen Ratenzahlungsplan unter Angabe des Betrags, der Anzahl und der Periodizität der vom Verbraucher zu leistenden Zahlungen]</w:t>
            </w:r>
          </w:p>
        </w:tc>
      </w:tr>
      <w:tr>
        <w:trPr>
          <w:cantSplit/>
        </w:trPr>
        <w:tc>
          <w:tcPr>
            <w:tcW w:type="dxa" w:w="4703"/>
          </w:tcPr>
          <w:p>
            <w:r>
              <w:t>Von Ihnen zu zahlender Gesamtbetrag</w:t>
            </w:r>
          </w:p>
        </w:tc>
        <w:tc>
          <w:tcPr>
            <w:tcW w:type="dxa" w:w="4703"/>
          </w:tcPr>
          <w:p/>
        </w:tc>
      </w:tr>
      <w:tr>
        <w:trPr>
          <w:cantSplit/>
        </w:trPr>
        <w:tc>
          <w:tcPr>
            <w:tcW w:type="dxa" w:w="4703"/>
          </w:tcPr>
          <w:p>
            <w:r>
              <w:t>Vorzeitige Rückzahlung</w:t>
            </w:r>
            <w:r>
              <w:br/>
            </w:r>
            <w:r>
              <w:t>Sie haben das Recht, den Kredit jederzeit ganz oder teilweise vorzeitig zurückzuzahlen.</w:t>
            </w:r>
            <w:r>
              <w:br/>
            </w:r>
            <w:r>
              <w:t>(falls zutreffend)</w:t>
            </w:r>
            <w:r>
              <w:br/>
            </w:r>
            <w:r>
              <w:t>Dem Kreditgeber steht bei vorzeitiger Rückzahlung eine Entschädigung zu.</w:t>
            </w:r>
          </w:p>
        </w:tc>
        <w:tc>
          <w:tcPr>
            <w:tcW w:type="dxa" w:w="4703"/>
          </w:tcPr>
          <w:p>
            <w:r>
              <w:t>[Festlegung der Entschädigung (Berechnungsmethode) gemäß § 502 BGB]</w:t>
            </w:r>
          </w:p>
        </w:tc>
      </w:tr>
    </w:tbl>
    <w:p>
      <w:pPr>
        <w:spacing w:after="0"/>
      </w:pPr>
    </w:p>
    <w:p>
      <w:pPr>
        <w:tabs>
          <w:tab w:pos="567" w:val="left"/>
        </w:tabs>
        <w:ind w:left="567" w:hanging="567"/>
      </w:pPr>
      <w:r>
        <w:t>6.</w:t>
      </w:r>
      <w:r>
        <w:tab/>
      </w:r>
      <w:r>
        <w:t>Zusätzlich zu gebende Informationen beim Fernabsatz von Finanzdienstleistungen</w:t>
      </w:r>
    </w:p>
    <w:tbl>
      <w:tblPr>
        <w:tblStyle w:val="TableGrid"/>
        <w:tblW w:type="pct" w:w="5000"/>
        <w:tblLook w:firstColumn="1" w:firstRow="1" w:lastColumn="0" w:lastRow="0" w:noHBand="0" w:noVBand="1" w:val="04A0"/>
        <w:tblCaption w:val="Tabelle 6 zu Anlage 5"/>
      </w:tblPr>
      <w:tblGrid>
        <w:gridCol w:w="4703"/>
        <w:gridCol w:w="4703"/>
      </w:tblGrid>
      <w:tr>
        <w:trPr>
          <w:cantSplit/>
        </w:trPr>
        <w:tc>
          <w:tcPr>
            <w:tcW w:type="dxa" w:w="4703"/>
          </w:tcPr>
          <w:p>
            <w:r>
              <w:t>a) zum Kreditgeber</w:t>
            </w:r>
          </w:p>
        </w:tc>
        <w:tc>
          <w:tcPr>
            <w:tcW w:type="dxa" w:w="4703"/>
          </w:tcPr>
          <w:p/>
        </w:tc>
      </w:tr>
      <w:tr>
        <w:trPr>
          <w:cantSplit/>
        </w:trPr>
        <w:tc>
          <w:tcPr>
            <w:tcW w:type="dxa" w:w="4703"/>
          </w:tcPr>
          <w:p>
            <w:r>
              <w:t>(falls zutreffend)</w:t>
            </w:r>
            <w:r>
              <w:br/>
            </w:r>
            <w:r>
              <w:t>Vertreter des Kreditgebers in dem Mitgliedstaat, in dem Sie Ihren Wohnsitz haben</w:t>
            </w:r>
            <w:r>
              <w:br/>
            </w:r>
            <w:r>
              <w:t>Anschrift</w:t>
            </w:r>
            <w:r>
              <w:br/>
            </w:r>
            <w:r>
              <w:t>Telefon*)</w:t>
            </w:r>
            <w:r>
              <w:br/>
            </w:r>
            <w:r>
              <w:t>E-Mail*)</w:t>
            </w:r>
            <w:r>
              <w:br/>
            </w:r>
            <w:r>
              <w:t>Fax*)</w:t>
            </w:r>
            <w:r>
              <w:br/>
            </w:r>
            <w:r>
              <w:t>Internet-Adresse*)</w:t>
            </w:r>
            <w:r>
              <w:br/>
            </w:r>
            <w:r>
              <w:t>*) Freiwillige Angaben des Kreditgebers.</w:t>
            </w:r>
          </w:p>
        </w:tc>
        <w:tc>
          <w:tcPr>
            <w:tcW w:type="dxa" w:w="4703"/>
          </w:tcPr>
          <w:p>
            <w:r>
              <w:t>[Name]</w:t>
            </w:r>
            <w:r>
              <w:br/>
            </w:r>
            <w:r>
              <w:t>[Ladungsfähige Anschrift für Kontakte des Verbrauchers]</w:t>
            </w:r>
          </w:p>
        </w:tc>
      </w:tr>
      <w:tr>
        <w:trPr>
          <w:cantSplit/>
        </w:trPr>
        <w:tc>
          <w:tcPr>
            <w:tcW w:type="dxa" w:w="4703"/>
          </w:tcPr>
          <w:p>
            <w:r>
              <w:t>(falls zutreffend)</w:t>
            </w:r>
            <w:r>
              <w:br/>
            </w:r>
            <w:r>
              <w:t>Eintrag im Handelsregister</w:t>
            </w:r>
          </w:p>
        </w:tc>
        <w:tc>
          <w:tcPr>
            <w:tcW w:type="dxa" w:w="4703"/>
          </w:tcPr>
          <w:p>
            <w:r>
              <w:t>[Handelsregister, in das der Kreditgeber eingetragen ist, und seine Handelsregisternummer oder eine gleichwertige in diesem Register verwendete Kennung]</w:t>
            </w:r>
          </w:p>
        </w:tc>
      </w:tr>
      <w:tr>
        <w:trPr>
          <w:cantSplit/>
        </w:trPr>
        <w:tc>
          <w:tcPr>
            <w:tcW w:type="dxa" w:w="4703"/>
          </w:tcPr>
          <w:p>
            <w:r>
              <w:t>(falls zutreffend)</w:t>
            </w:r>
            <w:r>
              <w:br/>
            </w:r>
            <w:r>
              <w:t>zuständige Aufsichtsbehörde</w:t>
            </w:r>
          </w:p>
        </w:tc>
        <w:tc>
          <w:tcPr>
            <w:tcW w:type="dxa" w:w="4703"/>
          </w:tcPr>
          <w:p/>
        </w:tc>
      </w:tr>
      <w:tr>
        <w:trPr>
          <w:cantSplit/>
        </w:trPr>
        <w:tc>
          <w:tcPr>
            <w:tcW w:type="dxa" w:w="4703"/>
          </w:tcPr>
          <w:p>
            <w:r>
              <w:t>b) zum Kreditvertrag</w:t>
            </w:r>
          </w:p>
        </w:tc>
        <w:tc>
          <w:tcPr>
            <w:tcW w:type="dxa" w:w="4703"/>
          </w:tcPr>
          <w:p/>
        </w:tc>
      </w:tr>
      <w:tr>
        <w:trPr>
          <w:cantSplit/>
        </w:trPr>
        <w:tc>
          <w:tcPr>
            <w:tcW w:type="dxa" w:w="4703"/>
          </w:tcPr>
          <w:p>
            <w:r>
              <w:t>Widerrufsrecht</w:t>
            </w:r>
            <w:r>
              <w:br/>
            </w:r>
            <w:r>
              <w:t>Sie haben das Recht, innerhalb von 14 Kalendertagen den Kreditvertrag zu widerrufen.</w:t>
            </w:r>
            <w:r>
              <w:br/>
            </w:r>
            <w:r>
              <w:t>(falls zutreffend)</w:t>
            </w:r>
            <w:r>
              <w:br/>
            </w:r>
            <w:r>
              <w:t>Ausübung des Widerrufsrechts</w:t>
            </w:r>
          </w:p>
        </w:tc>
        <w:tc>
          <w:tcPr>
            <w:tcW w:type="dxa" w:w="4703"/>
          </w:tcPr>
          <w:p>
            <w:r>
              <w:t>Ja/Nein</w:t>
            </w:r>
            <w:r>
              <w:br/>
            </w:r>
            <w:r>
              <w:t>[Praktische Hinweise zur Ausübung des Widerrufsrechts, u. a. Anschrift, an die die Widerrufserklärung zu senden ist, sowie Folgen bei Nichtausübung dieses Rechts]</w:t>
            </w:r>
          </w:p>
        </w:tc>
      </w:tr>
      <w:tr>
        <w:trPr>
          <w:cantSplit/>
        </w:trPr>
        <w:tc>
          <w:tcPr>
            <w:tcW w:type="dxa" w:w="4703"/>
          </w:tcPr>
          <w:p>
            <w:r>
              <w:t>(falls zutreffend)</w:t>
            </w:r>
            <w:r>
              <w:br/>
            </w:r>
            <w:r>
              <w:t>Recht, das der Kreditgeber der Aufnahme von Beziehungen zu Ihnen vor Abschluss des Kreditvertrags zugrunde legt</w:t>
            </w:r>
          </w:p>
        </w:tc>
        <w:tc>
          <w:tcPr>
            <w:tcW w:type="dxa" w:w="4703"/>
          </w:tcPr>
          <w:p/>
        </w:tc>
      </w:tr>
      <w:tr>
        <w:trPr>
          <w:cantSplit/>
        </w:trPr>
        <w:tc>
          <w:tcPr>
            <w:tcW w:type="dxa" w:w="4703"/>
          </w:tcPr>
          <w:p>
            <w:r>
              <w:t>(falls zutreffend)</w:t>
            </w:r>
            <w:r>
              <w:br/>
            </w:r>
            <w:r>
              <w:t>Klauseln über das auf den Kreditvertrag anwendbare Recht und/oder das zuständige Gericht</w:t>
            </w:r>
          </w:p>
        </w:tc>
        <w:tc>
          <w:tcPr>
            <w:tcW w:type="dxa" w:w="4703"/>
          </w:tcPr>
          <w:p>
            <w:r>
              <w:t>[Entsprechende Klauseln hier wiedergeben]</w:t>
            </w:r>
          </w:p>
        </w:tc>
      </w:tr>
      <w:tr>
        <w:trPr>
          <w:cantSplit/>
        </w:trPr>
        <w:tc>
          <w:tcPr>
            <w:tcW w:type="dxa" w:w="4703"/>
          </w:tcPr>
          <w:p>
            <w:r>
              <w:t>(falls zutreffend)</w:t>
            </w:r>
            <w:r>
              <w:br/>
            </w:r>
            <w:r>
              <w:t>Wahl der Sprache</w:t>
            </w:r>
          </w:p>
        </w:tc>
        <w:tc>
          <w:tcPr>
            <w:tcW w:type="dxa" w:w="4703"/>
          </w:tcPr>
          <w:p>
            <w:r>
              <w:t>Die Informationen und Vertragsbedingungen werden in [Angabe der Sprache] vorgelegt. Mit Ihrer Zustimmung werden wir während der Laufzeit des Kreditvertrags in [Angabe der Sprache(n)] mit Ihnen Kontakt halten.</w:t>
            </w:r>
          </w:p>
        </w:tc>
      </w:tr>
      <w:tr>
        <w:trPr>
          <w:cantSplit/>
        </w:trPr>
        <w:tc>
          <w:tcPr>
            <w:tcW w:type="dxa" w:w="4703"/>
          </w:tcPr>
          <w:p>
            <w:r>
              <w:t>c) zu den Rechtsmitteln</w:t>
            </w:r>
          </w:p>
        </w:tc>
        <w:tc>
          <w:tcPr>
            <w:tcW w:type="dxa" w:w="4703"/>
          </w:tcPr>
          <w:p/>
        </w:tc>
      </w:tr>
      <w:tr>
        <w:trPr>
          <w:cantSplit/>
        </w:trPr>
        <w:tc>
          <w:tcPr>
            <w:tcW w:type="dxa" w:w="4703"/>
          </w:tcPr>
          <w:p>
            <w:r>
              <w:t>Verfügbarkeit außergerichtlicher Beschwerde- und Rechtsbehelfsverfahren und Zugang zu ihnen</w:t>
            </w:r>
          </w:p>
        </w:tc>
        <w:tc>
          <w:tcPr>
            <w:tcW w:type="dxa" w:w="4703"/>
          </w:tcPr>
          <w:p>
            <w:r>
              <w:t>[Angabe, ob der Verbraucher, der Vertragspartei eines Fernabsatzvertrags ist, Zugang zu einem außergerichtlichen Beschwerde- und Rechtsbehelfsverfahren hat, und gegebenenfalls die Voraussetzungen für diesen Zugang]</w:t>
            </w:r>
          </w:p>
        </w:tc>
      </w:tr>
    </w:tbl>
    <w:p>
      <w:pPr>
        <w:spacing w:after="0"/>
      </w:pPr>
    </w:p>
    <w:p>
      <w:pPr>
        <w:pStyle w:val="Heading3"/>
      </w:pPr>
      <w:bookmarkStart w:id="505" w:name="b504"/>
      <w:r>
        <w:t>Anlage 6 (zu Artikel 247 § 1 Absatz 2) Europäisches Standardisiertes Merkblatt (ESIS-Merkblatt)</w:t>
      </w:r>
      <w:bookmarkEnd w:id="505"/>
    </w:p>
    <w:p>
      <w:r>
        <w:rPr>
          <w:color w:val="404040"/>
          <w:sz w:val="21"/>
        </w:rPr>
        <w:t>(Fundstelle: BGBl. I 2016, S. 420 - 429;</w:t>
      </w:r>
      <w:r>
        <w:br/>
      </w:r>
      <w:r>
        <w:rPr>
          <w:color w:val="404040"/>
          <w:sz w:val="21"/>
        </w:rPr>
        <w:t>bzgl. der einzelnen Änderungen vgl. Fußnote)</w:t>
      </w:r>
    </w:p>
    <w:p>
      <w:pPr>
        <w:pStyle w:val="Zwischentitel"/>
      </w:pPr>
      <w:r>
        <w:rPr>
          <w:b/>
        </w:rPr>
        <w:t>Teil A</w:t>
      </w:r>
    </w:p>
    <w:p>
      <w:r>
        <w:rPr>
          <w:rStyle w:val="Satznummer"/>
        </w:rPr>
        <w:t>1</w:t>
      </w:r>
      <w:r>
        <w:t xml:space="preserve">Das folgende Muster ist im selben Wortlaut in das ESIS-Merkblatt zu übernehmen. </w:t>
      </w:r>
      <w:r>
        <w:rPr>
          <w:rStyle w:val="Satznummer"/>
        </w:rPr>
        <w:t>2</w:t>
      </w:r>
      <w:r>
        <w:t xml:space="preserve">Text in eckigen Klammern ist durch die entsprechende Angabe zu ersetzen. </w:t>
      </w:r>
      <w:r>
        <w:rPr>
          <w:rStyle w:val="Satznummer"/>
        </w:rPr>
        <w:t>3</w:t>
      </w:r>
      <w:r>
        <w:t>Hinweise für den Kreditgeber oder gegebenenfalls den Kreditvermittler zum Ausfüllen des ESIS-Merkblatts finden sich in Teil B.</w:t>
      </w:r>
    </w:p>
    <w:p>
      <w:r>
        <w:rPr>
          <w:rStyle w:val="Satznummer"/>
        </w:rPr>
        <w:t>1</w:t>
      </w:r>
      <w:r>
        <w:t xml:space="preserve">Bei Angaben, denen der Text „falls zutreffend“ vorangestellt ist, hat der Kreditgeber die erforderlichen Angaben zu machen, wenn sie für den Kreditvertrag relevant sind. </w:t>
      </w:r>
      <w:r>
        <w:rPr>
          <w:rStyle w:val="Satznummer"/>
        </w:rPr>
        <w:t>2</w:t>
      </w:r>
      <w:r>
        <w:t xml:space="preserve">Ist die betreffende Information nicht relevant, ist die entsprechende Rubrik bzw. der gesamte Abschnitt vom Kreditgeber zu streichen (beispielsweise wenn der Abschnitt nicht anwendbar ist). </w:t>
      </w:r>
      <w:r>
        <w:rPr>
          <w:rStyle w:val="Satznummer"/>
        </w:rPr>
        <w:t>3</w:t>
      </w:r>
      <w:r>
        <w:t>Wird der gesamte Abschnitt gestrichen, so ist die Nummerierung der einzelnen Abschnitte des ESIS-Merkblatts entsprechend anzupassen.</w:t>
      </w:r>
    </w:p>
    <w:p>
      <w:r>
        <w:rPr>
          <w:rStyle w:val="Satznummer"/>
        </w:rPr>
        <w:t>1</w:t>
      </w:r>
      <w:r>
        <w:t xml:space="preserve">Die nachstehenden Informationen müssen in einem einzigen Dokument enthalten sein. </w:t>
      </w:r>
      <w:r>
        <w:rPr>
          <w:rStyle w:val="Satznummer"/>
        </w:rPr>
        <w:t>2</w:t>
      </w:r>
      <w:r>
        <w:t xml:space="preserve">Es ist eine gut lesbare Schriftgröße zu wählen. </w:t>
      </w:r>
      <w:r>
        <w:rPr>
          <w:rStyle w:val="Satznummer"/>
        </w:rPr>
        <w:t>3</w:t>
      </w:r>
      <w:r>
        <w:t xml:space="preserve">Zur Hervorhebung sind Fettdruck, Schattierung oder eine größere Schriftgröße zu verwenden. </w:t>
      </w:r>
      <w:r>
        <w:rPr>
          <w:rStyle w:val="Satznummer"/>
        </w:rPr>
        <w:t>4</w:t>
      </w:r>
      <w:r>
        <w:t>Sämtliche Warnhinweise sind optisch hervorzuheben.</w:t>
      </w:r>
    </w:p>
    <w:p>
      <w:r>
        <w:rPr>
          <w:b/>
        </w:rPr>
        <w:t>Muster für das ESIS-Merkblatt</w:t>
      </w:r>
    </w:p>
    <w:tbl>
      <w:tblPr>
        <w:tblStyle w:val="TableGrid"/>
        <w:tblW w:type="pct" w:w="5000"/>
        <w:tblLook w:firstColumn="1" w:firstRow="1" w:lastColumn="0" w:lastRow="0" w:noHBand="0" w:noVBand="1" w:val="04A0"/>
        <w:tblCaption w:val="Tabelle 1 zu Anlage 6"/>
      </w:tblPr>
      <w:tblGrid>
        <w:gridCol w:w="9406"/>
      </w:tblGrid>
      <w:tr>
        <w:trPr>
          <w:cantSplit/>
        </w:trPr>
        <w:tc>
          <w:tcPr>
            <w:tcW w:type="dxa" w:w="9406"/>
          </w:tcPr>
          <w:p>
            <w:r>
              <w:t>(Vorbemerkungen)</w:t>
            </w:r>
          </w:p>
        </w:tc>
      </w:tr>
      <w:tr>
        <w:trPr>
          <w:cantSplit/>
        </w:trPr>
        <w:tc>
          <w:tcPr>
            <w:tcW w:type="dxa" w:w="9406"/>
          </w:tcPr>
          <w:p>
            <w:r>
              <w:t>Dieses Dokument wurde am [Datum] für [Name des Verbrauchers] erstellt.</w:t>
            </w:r>
            <w:r>
              <w:br/>
            </w:r>
            <w:r>
              <w:t>Das Dokument wurde auf der Grundlage der bereits von Ihnen gemachten Angaben sowie der aktuellen Bedingungen am Finanzmarkt erstellt.</w:t>
            </w:r>
            <w:r>
              <w:br/>
            </w:r>
            <w:r>
              <w:t>Die nachstehenden Informationen bleiben bis [Gültigkeitsdatum] gültig, (falls zutreffend) mit Ausnahme des Zinssatzes und anderer Kosten. Danach können sie sich je nach Marktbedingungen ändern.</w:t>
            </w:r>
            <w:r>
              <w:br/>
            </w:r>
            <w:r>
              <w:t>(falls zutreffend) Die Ausfertigung dieses Dokuments begründet für [Name des Kreditgebers] keinerlei Verpflichtung zur Gewährung eines Kredits.</w:t>
            </w:r>
          </w:p>
        </w:tc>
      </w:tr>
      <w:tr>
        <w:trPr>
          <w:cantSplit/>
        </w:trPr>
        <w:tc>
          <w:tcPr>
            <w:tcW w:type="dxa" w:w="9406"/>
          </w:tcPr>
          <w:p>
            <w:r>
              <w:t>1. Kreditgeber</w:t>
            </w:r>
          </w:p>
        </w:tc>
      </w:tr>
      <w:tr>
        <w:trPr>
          <w:cantSplit/>
        </w:trPr>
        <w:tc>
          <w:tcPr>
            <w:tcW w:type="dxa" w:w="9406"/>
          </w:tcPr>
          <w:p>
            <w:r>
              <w:t>[Name]</w:t>
            </w:r>
            <w:r>
              <w:br/>
            </w:r>
            <w:r>
              <w:t>[Telefon]</w:t>
            </w:r>
            <w:r>
              <w:br/>
            </w:r>
            <w:r>
              <w:t>[Anschrift]</w:t>
            </w:r>
            <w:r>
              <w:br/>
            </w:r>
            <w:r>
              <w:t>(Fakultativ) [E-Mail]</w:t>
            </w:r>
            <w:r>
              <w:br/>
            </w:r>
            <w:r>
              <w:t>(Fakultativ) [Faxnummer]</w:t>
            </w:r>
            <w:r>
              <w:br/>
            </w:r>
            <w:r>
              <w:t>(Fakultativ) [Internetadresse]</w:t>
            </w:r>
            <w:r>
              <w:br/>
            </w:r>
            <w:r>
              <w:t>(Fakultativ) [Kontaktperson/-stelle]</w:t>
            </w:r>
            <w:r>
              <w:br/>
            </w:r>
            <w:r>
              <w:t>(falls zutreffend, Informationen darüber, ob Beratungsdienstleistungen erbracht werden:) [Wir empfehlen nach Analyse Ihres Bedarfs und Ihrer Situation, dass Sie diesen Kredit aufnehmen. / Wir empfehlen Ihnen keinen bestimmten Kredit. Auf Grund Ihrer Antworten auf einige der Fragen erhalten Sie von uns jedoch Informationen zu diesem Kredit, damit Sie Ihre eigene Entscheidung treffen können.]</w:t>
            </w:r>
          </w:p>
        </w:tc>
      </w:tr>
      <w:tr>
        <w:trPr>
          <w:cantSplit/>
        </w:trPr>
        <w:tc>
          <w:tcPr>
            <w:tcW w:type="dxa" w:w="9406"/>
          </w:tcPr>
          <w:p>
            <w:r>
              <w:t>2. (falls zutreffend) Kreditvermittler</w:t>
            </w:r>
          </w:p>
        </w:tc>
      </w:tr>
      <w:tr>
        <w:trPr>
          <w:cantSplit/>
        </w:trPr>
        <w:tc>
          <w:tcPr>
            <w:tcW w:type="dxa" w:w="9406"/>
          </w:tcPr>
          <w:p>
            <w:r>
              <w:t>[Name]</w:t>
            </w:r>
            <w:r>
              <w:br/>
            </w:r>
            <w:r>
              <w:t>[Telefon]</w:t>
            </w:r>
            <w:r>
              <w:br/>
            </w:r>
            <w:r>
              <w:t>[Anschrift]</w:t>
            </w:r>
            <w:r>
              <w:br/>
            </w:r>
            <w:r>
              <w:t>(Fakultativ) [E-Mail]</w:t>
            </w:r>
            <w:r>
              <w:br/>
            </w:r>
            <w:r>
              <w:t>(Fakultativ) [Faxnummer]</w:t>
            </w:r>
            <w:r>
              <w:br/>
            </w:r>
            <w:r>
              <w:t>(Fakultativ) [Internetadresse]</w:t>
            </w:r>
            <w:r>
              <w:br/>
            </w:r>
            <w:r>
              <w:t>(Fakultativ) [Kontaktperson/-stelle]</w:t>
            </w:r>
            <w:r>
              <w:br/>
            </w:r>
            <w:r>
              <w:t>(falls zutreffend, Informationen darüber, ob Beratungsdienstleistungen erbracht werden:) [Wir empfehlen nach Analyse Ihres Bedarfs und Ihrer Situation, dass Sie diesen Kredit aufnehmen. / Wir empfehlen Ihnen keinen bestimmten Kredit. Auf Grund Ihrer Antworten auf einige der Fragen erhalten Sie von uns jedoch Informationen zu diesem Kredit, damit Sie Ihre eigene Entscheidung treffen können.]</w:t>
            </w:r>
            <w:r>
              <w:br/>
            </w:r>
            <w:r>
              <w:t>[Vergütung]</w:t>
            </w:r>
          </w:p>
        </w:tc>
      </w:tr>
      <w:tr>
        <w:trPr>
          <w:cantSplit/>
        </w:trPr>
        <w:tc>
          <w:tcPr>
            <w:tcW w:type="dxa" w:w="9406"/>
          </w:tcPr>
          <w:p>
            <w:r>
              <w:t>3. Hauptmerkmale des Kredits</w:t>
            </w:r>
          </w:p>
        </w:tc>
      </w:tr>
      <w:tr>
        <w:trPr>
          <w:cantSplit/>
        </w:trPr>
        <w:tc>
          <w:tcPr>
            <w:tcW w:type="dxa" w:w="9406"/>
          </w:tcPr>
          <w:p>
            <w:r>
              <w:t>Kreditbetrag und Währung: [Wert] [Währung]</w:t>
            </w:r>
            <w:r>
              <w:br/>
            </w:r>
            <w:r>
              <w:t>(falls zutreffend) Dieser Kredit lautet nicht auf [Landeswährung des Kreditnehmers].</w:t>
            </w:r>
            <w:r>
              <w:br/>
            </w:r>
            <w:r>
              <w:t>(falls zutreffend) Der Wert Ihres Kredits in [Landeswährung des Kreditnehmers] kann sich ändern.</w:t>
            </w:r>
            <w:r>
              <w:br/>
            </w:r>
            <w:r>
              <w:t>(falls zutreffend) Wenn beispielsweise [Landeswährung des Kreditnehmers] gegenüber [Kreditwährung] um 20 % an Wert verliert, würde sich der Wert Ihres Kredits um [Betrag in der Landeswährung des Kreditnehmers] erhöhen. Allerdings könnte es sich auch um einen höheren Betrag handeln, falls [Landeswährung des Kreditnehmers] um mehr als 20 % an Wert verliert.</w:t>
            </w:r>
            <w:r>
              <w:br/>
            </w:r>
            <w:r>
              <w:t>(falls zutreffend) Der Wert Ihres Kredits beläuft sich auf maximal [Betrag in der Landeswährung des Kreditnehmers]. (falls zutreffend) Sie erhalten einen Warnhinweis, falls der Kreditbetrag [Betrag in der Landeswährung des Kreditnehmers] erreicht. (falls zutreffend) Sie haben die Möglichkeit, [Recht auf Neuverhandlung eines Fremdwährungskreditvertrags oder Recht, den Kredit in [einschlägige Währung] umzuwandeln, und Bedingungen].</w:t>
            </w:r>
            <w:r>
              <w:br/>
            </w:r>
            <w:r>
              <w:t>Laufzeit des Kredits: [Laufzeit]</w:t>
            </w:r>
            <w:r>
              <w:br/>
            </w:r>
            <w:r>
              <w:t>[Kreditart]</w:t>
            </w:r>
            <w:r>
              <w:br/>
            </w:r>
            <w:r>
              <w:t>[Art des anwendbaren Zinssatzes]</w:t>
            </w:r>
            <w:r>
              <w:br/>
            </w:r>
            <w:r>
              <w:t>Zurückzuzahlender Gesamtbetrag:</w:t>
            </w:r>
            <w:r>
              <w:br/>
            </w:r>
            <w:r>
              <w:t>Dies bedeutet, dass Sie [Betrag] je geliehene(n) [Währungseinheit] zurückzuzahlen haben.</w:t>
            </w:r>
            <w:r>
              <w:br/>
            </w:r>
            <w:r>
              <w:t>(falls zutreffend) Bei dem gewährten Kredit/einem Teil des gewährten Kredits handelt es sich um einen endfälligen Kredit. Ihre Schuld nach Ablauf der Laufzeit des Kredits beträgt [Kreditbetrag nach Endfälligkeit].</w:t>
            </w:r>
            <w:r>
              <w:br/>
            </w:r>
            <w:r>
              <w:t>(falls zutreffend) Für dieses Merkblatt zugrunde gelegter Schätzwert der Immobilie: [Betrag]</w:t>
            </w:r>
            <w:r>
              <w:br/>
            </w:r>
            <w:r>
              <w:t>(falls zutreffend) Beleihungsgrenze (maximale Höhe des Kredits im Verhältnis zum Wert der Immobilie): [Verhältnis] oder Mindestwert der Immobilie als Voraussetzung für die Aufnahme eines Kredits in der angegebenen Höhe: [Betrag]</w:t>
            </w:r>
            <w:r>
              <w:br/>
            </w:r>
            <w:r>
              <w:t>(falls zutreffend) [Sicherheit]</w:t>
            </w:r>
          </w:p>
        </w:tc>
      </w:tr>
      <w:tr>
        <w:trPr>
          <w:cantSplit/>
        </w:trPr>
        <w:tc>
          <w:tcPr>
            <w:tcW w:type="dxa" w:w="9406"/>
          </w:tcPr>
          <w:p>
            <w:r>
              <w:t>4. Zinssatz und andere Kosten</w:t>
            </w:r>
          </w:p>
        </w:tc>
      </w:tr>
      <w:tr>
        <w:trPr>
          <w:cantSplit/>
        </w:trPr>
        <w:tc>
          <w:tcPr>
            <w:tcW w:type="dxa" w:w="9406"/>
          </w:tcPr>
          <w:p>
            <w:r>
              <w:t>Der effektive Jahreszins entspricht den Gesamtkosten des Kredits, ausgedrückt als jährlicher Prozentsatz. Der effektive Jahreszins erleichtert den Vergleich verschiedener Angebote.</w:t>
            </w:r>
            <w:r>
              <w:br/>
            </w:r>
            <w:r>
              <w:t>Der für Ihren Kredit geltende effektive Jahreszins beträgt [effektiver Jahreszins].</w:t>
            </w:r>
            <w:r>
              <w:br/>
            </w:r>
            <w:r>
              <w:t>Er setzt sich zusammen aus:</w:t>
            </w:r>
            <w:r>
              <w:br/>
            </w:r>
            <w:r>
              <w:t>Zinssatz: [Wert in Prozent oder, falls zutreffend, Angabe eines Referenzzinssatzes und Prozentwerts der Zinsmarge des Kreditgebers]</w:t>
            </w:r>
            <w:r>
              <w:br/>
            </w:r>
            <w:r>
              <w:t>[sonstige Komponenten des effektiven Jahreszinses]</w:t>
            </w:r>
            <w:r>
              <w:br/>
            </w:r>
            <w:r>
              <w:t>Einmalige Kosten:</w:t>
            </w:r>
            <w:r>
              <w:br/>
            </w:r>
            <w:r>
              <w:t>(falls zutreffend) Für die Eintragung der Hypothek bzw. Grundschuld wird eine Gebühr fällig. [Gebühr, sofern bekannt, oder Grundlage für die Berechnung.]</w:t>
            </w:r>
            <w:r>
              <w:br/>
            </w:r>
            <w:r>
              <w:t>Regelmäßig anfallende Kosten:</w:t>
            </w:r>
            <w:r>
              <w:br/>
            </w:r>
            <w:r>
              <w:t>(falls zutreffend) Dieser effektive Jahreszins wird anhand des angenommenen Zinssatzes berechnet.</w:t>
            </w:r>
            <w:r>
              <w:br/>
            </w:r>
            <w:r>
              <w:t>(falls zutreffend) Da es sich bei Ihrem Kredit [einem Teil Ihres Kredits] um einen Kredit mit variablem Zinssatz handelt, kann der tatsächliche effektive Jahreszins von dem angegebenen effektiven Jahreszins abweichen, falls sich der Zinssatz Ihres Kredits ändert. Falls sich der Zinssatz beispielsweise auf [unter Teil B beschriebenes Szenario] erhöht, kann der effektive Jahreszins auf [Beispiel für den gemäß diesem Szenario fälligen effektiven Jahreszins] ansteigen.</w:t>
            </w:r>
            <w:r>
              <w:br/>
            </w:r>
            <w:r>
              <w:t>(falls zutreffend) Beachten Sie bitte, dass bei der Berechnung dieses effektiven Jahreszinses davon ausgegangen wird, dass der Zinssatz während der gesamten Vertragslaufzeit auf dem für den Anfangszeitraum festgelegten Niveau bleibt.</w:t>
            </w:r>
            <w:r>
              <w:br/>
            </w:r>
            <w:r>
              <w:t>(falls zutreffend) Die folgenden Kosten sind dem Kreditgeber nicht bekannt und sind daher im effektiven Jahreszins nicht enthalten: [Kosten]</w:t>
            </w:r>
            <w:r>
              <w:br/>
            </w:r>
            <w:r>
              <w:t>(falls zutreffend) Für die Eintragung der Hypothek bzw. Grundschuld wird eine Gebühr fällig.</w:t>
            </w:r>
            <w:r>
              <w:br/>
            </w:r>
            <w:r>
              <w:t>Bitte vergewissern Sie sich, dass Sie alle im Zusammenhang mit Ihrem Kredit anfallenden Kosten und Gebühren bedacht haben.</w:t>
            </w:r>
          </w:p>
        </w:tc>
      </w:tr>
      <w:tr>
        <w:trPr>
          <w:cantSplit/>
        </w:trPr>
        <w:tc>
          <w:tcPr>
            <w:tcW w:type="dxa" w:w="9406"/>
          </w:tcPr>
          <w:p>
            <w:r>
              <w:t>5. Häufigkeit und Anzahl der Ratenzahlungen</w:t>
            </w:r>
          </w:p>
        </w:tc>
      </w:tr>
      <w:tr>
        <w:trPr>
          <w:cantSplit/>
        </w:trPr>
        <w:tc>
          <w:tcPr>
            <w:tcW w:type="dxa" w:w="9406"/>
          </w:tcPr>
          <w:p>
            <w:r>
              <w:t>Häufigkeit der Ratenzahlungen: [Zahlungsintervall]</w:t>
            </w:r>
            <w:r>
              <w:br/>
            </w:r>
            <w:r>
              <w:t>Anzahl der Zahlungen: [Anzahl]</w:t>
            </w:r>
          </w:p>
        </w:tc>
      </w:tr>
      <w:tr>
        <w:trPr>
          <w:cantSplit/>
        </w:trPr>
        <w:tc>
          <w:tcPr>
            <w:tcW w:type="dxa" w:w="9406"/>
          </w:tcPr>
          <w:p>
            <w:r>
              <w:t>6. Höhe der einzelnen Raten</w:t>
            </w:r>
          </w:p>
        </w:tc>
      </w:tr>
      <w:tr>
        <w:trPr>
          <w:cantSplit/>
        </w:trPr>
        <w:tc>
          <w:tcPr>
            <w:tcW w:type="dxa" w:w="9406"/>
          </w:tcPr>
          <w:p>
            <w:r>
              <w:t>[Betrag] [Währung]</w:t>
            </w:r>
            <w:r>
              <w:br/>
            </w:r>
            <w:r>
              <w:t>Ihre Einkommenssituation kann sich ändern. Prüfen Sie bitte, ob Sie Ihre [Zahlungsintervall] Raten auch dann noch zahlen können, wenn sich Ihr Einkommen verringern sollte.</w:t>
            </w:r>
            <w:r>
              <w:br/>
            </w:r>
            <w:r>
              <w:t>(falls zutreffend) Da es sich bei dem [gewährten Kredit/einem Teil des gewährten Kredits] um einen endfälligen Kredit handelt, müssen Sie eine gesonderte Regelung für die Tilgung der Schuld von [Kreditbetrag nach Endfälligkeit] nach Ablauf der Laufzeit des Kredits treffen. Berücksichtigen Sie dabei auch alle Zahlungen, die Sie zusätzlich zu der hier angegebenen Ratenhöhe leisten müssen.</w:t>
            </w:r>
            <w:r>
              <w:br/>
            </w:r>
            <w:r>
              <w:t>(falls zutreffend) Der Zinssatz dieses Kredits oder eines Teils davon kann sich ändern. Daher kann die Höhe Ihrer Raten steigen oder sinken. Falls sich der Zinssatz beispielsweise auf [unter Teil B beschriebenes Szenario] erhöht, können Ihre Ratenzahlungen auf [Angabe der Höhe der gemäß diesem Szenario fälligen Rate] ansteigen.</w:t>
            </w:r>
            <w:r>
              <w:br/>
            </w:r>
            <w:r>
              <w:t>(falls zutreffend) Die Höhe der [Zahlungsintervall] in [Landeswährung des Kreditnehmers] fälligen Zahlungen kann sich ändern.</w:t>
            </w:r>
            <w:r>
              <w:br/>
            </w:r>
            <w:r>
              <w:t>(falls zutreffend) Ihre pro [Zahlungsperiode] fälligen Zahlungen können sich auf [Höchstbetrag in der Landeswährung des Kreditnehmers] erhöhen.</w:t>
            </w:r>
            <w:r>
              <w:br/>
            </w:r>
            <w:r>
              <w:t>(falls zutreffend) Wenn beispielsweise [Landeswährung des Kreditnehmers] gegenüber [Kreditwährung] um 20 % an Wert verliert, müssten Sie pro [Zeitraum] [Betrag in der Landeswährung des Kreditnehmers] mehr zahlen. Ihre Zahlungen könnten auch um einen höheren Betrag ansteigen.</w:t>
            </w:r>
            <w:r>
              <w:br/>
            </w:r>
            <w:r>
              <w:t>(falls zutreffend) Bei der Umrechnung Ihrer in [Kreditwährung] geleisteten Rückzahlungen in [Landeswährung des Kreditnehmers] wird der von [Name der den Wechselkurs veröffentlichenden Einrichtung] am [Datum] veröffentlichte oder auf der Grundlage von [Bezeichnung der Bezugsgrundlage oder der Berechnungsmethode] am [Datum] errechnete Wechselkurs zugrunde gelegt.</w:t>
            </w:r>
            <w:r>
              <w:br/>
            </w:r>
            <w:r>
              <w:t>(falls zutreffend) [Spezifische Angaben zu verbundenen Sparprodukten und Krediten mit abgegrenztem Zins]</w:t>
            </w:r>
          </w:p>
        </w:tc>
      </w:tr>
      <w:tr>
        <w:trPr>
          <w:cantSplit/>
        </w:trPr>
        <w:tc>
          <w:tcPr>
            <w:tcW w:type="dxa" w:w="9406"/>
          </w:tcPr>
          <w:p>
            <w:r>
              <w:t>7. (falls zutreffend) Beispiel eines Tilgungsplans</w:t>
            </w:r>
          </w:p>
        </w:tc>
      </w:tr>
      <w:tr>
        <w:trPr>
          <w:cantSplit/>
        </w:trPr>
        <w:tc>
          <w:tcPr>
            <w:tcW w:type="dxa" w:w="9406"/>
          </w:tcPr>
          <w:p>
            <w:r>
              <w:t>Der folgenden Tabelle ist die Höhe des pro [Zahlungsintervall] zu zahlenden Betrags zu entnehmen.</w:t>
            </w:r>
            <w:r>
              <w:br/>
            </w:r>
            <w:r>
              <w:t>Die Raten (Spalte [Nummer]) setzen sich aus zu zahlenden Zinsen (Spalte [Nummer]) und, falls zutreffend, zu zahlender Tilgung (Spalte [Nummer]) sowie, falls zutreffend, sonstigen Kosten (Spalte [Nummer]) zusammen. (falls zutreffend) Die in der Spalte „sonstige Kosten“ angegebenen Kosten betreffen [Aufzählung der Kosten]. Das Restkapital (Spalte [Nummer]) ist der nach einer Ratenzahlung noch verbleibende zurückzuzahlende Kreditbetrag.</w:t>
            </w:r>
            <w:r>
              <w:br/>
            </w:r>
            <w:r>
              <w:t>[Tabelle]</w:t>
            </w:r>
          </w:p>
        </w:tc>
      </w:tr>
      <w:tr>
        <w:trPr>
          <w:cantSplit/>
        </w:trPr>
        <w:tc>
          <w:tcPr>
            <w:tcW w:type="dxa" w:w="9406"/>
          </w:tcPr>
          <w:p>
            <w:r>
              <w:t>8. Zusätzliche Auflagen</w:t>
            </w:r>
          </w:p>
        </w:tc>
      </w:tr>
      <w:tr>
        <w:trPr>
          <w:cantSplit/>
        </w:trPr>
        <w:tc>
          <w:tcPr>
            <w:tcW w:type="dxa" w:w="9406"/>
          </w:tcPr>
          <w:p>
            <w:r>
              <w:t>Der Kreditnehmer muss folgende Auflagen erfüllen, um in den Genuss der im vorliegenden Dokument genannten Kreditkonditionen zu kommen.</w:t>
            </w:r>
            <w:r>
              <w:br/>
            </w:r>
            <w:r>
              <w:t>[Auflagen]</w:t>
            </w:r>
            <w:r>
              <w:br/>
            </w:r>
            <w:r>
              <w:t>(falls zutreffend) Beachten Sie bitte, dass sich die in diesem Dokument genannten Kreditkonditionen (einschließlich Zinssatz) ändern können, falls Sie diese Auflagen nicht erfüllen.</w:t>
            </w:r>
            <w:r>
              <w:br/>
            </w:r>
            <w:r>
              <w:t>(falls zutreffend) Beachten Sie bitte die möglichen Konsequenzen einer späteren Kündigung der mit dem Kredit verbundenen Nebenleistungen:</w:t>
            </w:r>
            <w:r>
              <w:br/>
            </w:r>
            <w:r>
              <w:t>[Konsequenzen]</w:t>
            </w:r>
          </w:p>
        </w:tc>
      </w:tr>
      <w:tr>
        <w:trPr>
          <w:cantSplit/>
        </w:trPr>
        <w:tc>
          <w:tcPr>
            <w:tcW w:type="dxa" w:w="9406"/>
          </w:tcPr>
          <w:p>
            <w:r>
              <w:t>9. Vorzeitige Rückzahlung</w:t>
            </w:r>
          </w:p>
        </w:tc>
      </w:tr>
      <w:tr>
        <w:trPr>
          <w:cantSplit/>
        </w:trPr>
        <w:tc>
          <w:tcPr>
            <w:tcW w:type="dxa" w:w="9406"/>
          </w:tcPr>
          <w:p>
            <w:r>
              <w:t>Sie können den Kredit ganz oder teilweise vorzeitig zurückzahlen.</w:t>
            </w:r>
            <w:r>
              <w:br/>
            </w:r>
            <w:r>
              <w:t>(falls zutreffend) [Bedingungen]</w:t>
            </w:r>
            <w:r>
              <w:br/>
            </w:r>
            <w:r>
              <w:t>(falls zutreffend) Ablösungsentschädigung: [Betrag oder, sofern keine Angabe möglich ist, Berechnungsmethode]</w:t>
            </w:r>
            <w:r>
              <w:br/>
            </w:r>
            <w:r>
              <w:t>(falls zutreffend) Sollten Sie beschließen, den Kredit vorzeitig zurückzuzahlen, setzen Sie sich bitte mit uns in Verbindung, um die genaue Höhe der Ablösungsentschädigung zum betreffenden Zeitpunkt in Erfahrung zu bringen.</w:t>
            </w:r>
          </w:p>
        </w:tc>
      </w:tr>
      <w:tr>
        <w:trPr>
          <w:cantSplit/>
        </w:trPr>
        <w:tc>
          <w:tcPr>
            <w:tcW w:type="dxa" w:w="9406"/>
          </w:tcPr>
          <w:p>
            <w:r>
              <w:t>10. Flexible Merkmale</w:t>
            </w:r>
          </w:p>
        </w:tc>
      </w:tr>
      <w:tr>
        <w:trPr>
          <w:cantSplit/>
        </w:trPr>
        <w:tc>
          <w:tcPr>
            <w:tcW w:type="dxa" w:w="9406"/>
          </w:tcPr>
          <w:p>
            <w:r>
              <w:t>(falls zutreffend) [Information über Übertragbarkeit/Abtretung] Sie können den Kredit auf [einen anderen Kreditnehmer] [oder] [eine andere Immobilie] übertragen. [Bedingungen]</w:t>
            </w:r>
            <w:r>
              <w:br/>
            </w:r>
            <w:r>
              <w:t>(falls zutreffend) Sie können den Kredit nicht auf [einen anderen Kreditnehmer] [oder] [eine andere Immobilie] übertragen.</w:t>
            </w:r>
            <w:r>
              <w:br/>
            </w:r>
            <w:r>
              <w:t>(falls zutreffend) Zusätzliche Merkmale: [Erläuterung der in Teil B aufgelisteten zusätzlichen Merkmale und – fakultativ – aller weiteren Merkmale, die der Kreditgeber im Rahmen des Kreditvertrags anbietet und die nicht in den vorausgehenden Abschnitten genannt sind.]</w:t>
            </w:r>
          </w:p>
        </w:tc>
      </w:tr>
      <w:tr>
        <w:trPr>
          <w:cantSplit/>
        </w:trPr>
        <w:tc>
          <w:tcPr>
            <w:tcW w:type="dxa" w:w="9406"/>
          </w:tcPr>
          <w:p>
            <w:r>
              <w:t>11. Sonstige Rechte des Kreditnehmers</w:t>
            </w:r>
          </w:p>
        </w:tc>
      </w:tr>
      <w:tr>
        <w:trPr>
          <w:cantSplit/>
        </w:trPr>
        <w:tc>
          <w:tcPr>
            <w:tcW w:type="dxa" w:w="9406"/>
          </w:tcPr>
          <w:p>
            <w:r>
              <w:t>(falls zutreffend) Bevor Sie sich für die Aufnahme des Kredits entscheiden, haben Sie ab dem [Zeitpunkt, zu dem die Bedenkzeit beginnt] [Dauer der Bedenkzeit] Bedenkzeit. (falls zutreffend) Sobald Sie den Kreditvertrag vom Kreditgeber erhalten haben, können Sie diesen nicht vor Ablauf einer Frist von [Zeitraum der Bedenkzeit] annehmen.</w:t>
            </w:r>
            <w:r>
              <w:br/>
            </w:r>
            <w:r>
              <w:t>(falls zutreffend) Sie können während eines Zeitraums von [Dauer der Widerrufsfrist] ab [Zeitpunkt, zu dem die Widerruffrist beginnt] von Ihrem Widerrufsrecht Gebrauch machen. [Bedingungen] [Verfahren]</w:t>
            </w:r>
            <w:r>
              <w:br/>
            </w:r>
            <w:r>
              <w:t>(falls zutreffend) Sie können Ihr Widerrufsrecht verlieren, wenn Sie innerhalb dieses Zeitraums eine Immobilie erwerben oder veräußern, die im Zusammenhang mit diesem Kreditvertrag steht.</w:t>
            </w:r>
            <w:r>
              <w:br/>
            </w:r>
            <w:r>
              <w:t>(falls zutreffend) Sollten Sie beschließen, von Ihrem Recht auf Widerruf [des Kreditvertrags] Gebrauch zu machen, so prüfen Sie bitte, ob Sie durch andere [, in Abschnitt 8 genannte] Auflagen im Zusammenhang mit dem Kredit [einschließlich der mit dem Kredit verbundenen Nebenleistungen] weiter gebunden bleiben.</w:t>
            </w:r>
          </w:p>
        </w:tc>
      </w:tr>
      <w:tr>
        <w:trPr>
          <w:cantSplit/>
        </w:trPr>
        <w:tc>
          <w:tcPr>
            <w:tcW w:type="dxa" w:w="9406"/>
          </w:tcPr>
          <w:p>
            <w:r>
              <w:t>12. Beschwerden</w:t>
            </w:r>
          </w:p>
        </w:tc>
      </w:tr>
      <w:tr>
        <w:trPr>
          <w:cantSplit/>
        </w:trPr>
        <w:tc>
          <w:tcPr>
            <w:tcW w:type="dxa" w:w="9406"/>
          </w:tcPr>
          <w:p>
            <w:r>
              <w:t>Im Fall einer Beschwerde wenden Sie sich bitte an [interne Kontaktstelle und Informationsquelle zum weiteren Verfahren].</w:t>
            </w:r>
            <w:r>
              <w:br/>
            </w:r>
            <w:r>
              <w:t>(falls zutreffend) Maximale Frist für die Bearbeitung der Beschwerde: [Zeitraum]</w:t>
            </w:r>
            <w:r>
              <w:br/>
            </w:r>
            <w:r>
              <w:t>(falls zutreffend) Sollten wir die Beschwerde nicht intern zu Ihrer Zufriedenheit beilegen, so können Sie sich auch an [Name der externen Stelle für außergerichtliche Beschwerde- und Rechtsbehelfsverfahren] wenden</w:t>
            </w:r>
            <w:r>
              <w:br/>
            </w:r>
            <w:r>
              <w:t>(falls zutreffend) oder Sie können weitere Informationen bei FIN-NET oder der entsprechenden Stelle in Ihrem eigenen Land erfragen.</w:t>
            </w:r>
          </w:p>
        </w:tc>
      </w:tr>
      <w:tr>
        <w:trPr>
          <w:cantSplit/>
        </w:trPr>
        <w:tc>
          <w:tcPr>
            <w:tcW w:type="dxa" w:w="9406"/>
          </w:tcPr>
          <w:p>
            <w:r>
              <w:t>13. Nichteinhaltung der aus dem Kreditvertrag erwachsenden Verpflichtungen: Konsequenzen für den Kreditnehmer</w:t>
            </w:r>
          </w:p>
        </w:tc>
      </w:tr>
      <w:tr>
        <w:trPr>
          <w:cantSplit/>
        </w:trPr>
        <w:tc>
          <w:tcPr>
            <w:tcW w:type="dxa" w:w="9406"/>
          </w:tcPr>
          <w:p>
            <w:r>
              <w:t>[Arten eines Verstoßes gegen die Verpflichtungen]</w:t>
            </w:r>
            <w:r>
              <w:br/>
            </w:r>
            <w:r>
              <w:t>[finanzielle und/oder rechtliche Folgen]</w:t>
            </w:r>
            <w:r>
              <w:br/>
            </w:r>
            <w:r>
              <w:t>Sollten Sie Schwierigkeiten haben, die [Zahlungsintervall] Zahlungen zu leisten, so nehmen Sie bitte umgehend Kontakt mit uns auf, damit nach möglichen Lösungen gesucht werden kann.</w:t>
            </w:r>
            <w:r>
              <w:br/>
            </w:r>
            <w:r>
              <w:t>(falls zutreffend) Kommen Sie Ihren Zahlungsverpflichtungen nicht nach, kann als letztes Mittel Ihre Immobilie zwangsversteigert werden.</w:t>
            </w:r>
          </w:p>
        </w:tc>
      </w:tr>
      <w:tr>
        <w:trPr>
          <w:cantSplit/>
        </w:trPr>
        <w:tc>
          <w:tcPr>
            <w:tcW w:type="dxa" w:w="9406"/>
          </w:tcPr>
          <w:p>
            <w:r>
              <w:t>(falls zutreffend) 14. Zusätzliche Informationen</w:t>
            </w:r>
          </w:p>
        </w:tc>
      </w:tr>
      <w:tr>
        <w:trPr>
          <w:cantSplit/>
        </w:trPr>
        <w:tc>
          <w:tcPr>
            <w:tcW w:type="dxa" w:w="9406"/>
          </w:tcPr>
          <w:p>
            <w:r>
              <w:t>(falls zutreffend) [auf den Kreditvertrag anwendbares Recht]</w:t>
            </w:r>
            <w:r>
              <w:br/>
            </w:r>
            <w:r>
              <w:t>(Sofern der Kreditgeber eine Sprache verwenden möchte, die sich von der Sprache des ESIS-Merkblatts unterscheidet:) Informationen und Vertragsbedingungen werden in [Angabe der Sprache] vorgelegt. Mit Ihrer Zustimmung werden wir während der Laufzeit des Kreditvertrags mit Ihnen in [Angabe der Sprache(n)] kommunizieren.</w:t>
            </w:r>
            <w:r>
              <w:br/>
            </w:r>
            <w:r>
              <w:t>[Hinweis betreffend das Recht, dass der Kreditvertrag gegebenenfalls im Entwurf vorgelegt oder dies angeboten wird].</w:t>
            </w:r>
          </w:p>
        </w:tc>
      </w:tr>
      <w:tr>
        <w:trPr>
          <w:cantSplit/>
        </w:trPr>
        <w:tc>
          <w:tcPr>
            <w:tcW w:type="dxa" w:w="9406"/>
          </w:tcPr>
          <w:p>
            <w:r>
              <w:t>15. Aufsichtsbehörde</w:t>
            </w:r>
          </w:p>
        </w:tc>
      </w:tr>
      <w:tr>
        <w:trPr>
          <w:cantSplit/>
        </w:trPr>
        <w:tc>
          <w:tcPr>
            <w:tcW w:type="dxa" w:w="9406"/>
          </w:tcPr>
          <w:p>
            <w:r>
              <w:t>Die Aufsicht über diesen Kreditgeber obliegt: [Bezeichnung(en) und Internetadresse(n) der Aufsichtsbehörde(n)].</w:t>
            </w:r>
            <w:r>
              <w:br/>
            </w:r>
            <w:r>
              <w:t>(falls zutreffend) Die Aufsicht über diesen Kreditvermittler obliegt: [Bezeichnung und Internetadresse der Aufsichtsbehörde].</w:t>
            </w:r>
          </w:p>
        </w:tc>
      </w:tr>
    </w:tbl>
    <w:p>
      <w:pPr>
        <w:spacing w:after="0"/>
      </w:pPr>
    </w:p>
    <w:p>
      <w:pPr>
        <w:pStyle w:val="Zwischentitel"/>
      </w:pPr>
      <w:r>
        <w:rPr>
          <w:b/>
        </w:rPr>
        <w:t>Teil B</w:t>
      </w:r>
      <w:r>
        <w:br/>
      </w:r>
      <w:r>
        <w:rPr>
          <w:b/>
        </w:rPr>
        <w:t>Hinweise zum Ausfüllen des ESIS-Merkblatts</w:t>
      </w:r>
    </w:p>
    <w:p>
      <w:r>
        <w:t>Beim Ausfüllen des ESIS-Merkblatts sind die folgenden Hinweise zu beachten:</w:t>
      </w:r>
    </w:p>
    <w:p>
      <w:r>
        <w:t>Abschnitt „Vorbemerkungen“</w:t>
      </w:r>
    </w:p>
    <w:p>
      <w:r>
        <w:rPr>
          <w:rStyle w:val="Satznummer"/>
        </w:rPr>
        <w:t>1</w:t>
      </w:r>
      <w:r>
        <w:t xml:space="preserve">Das Datum, bis zu dem die Angaben gelten, ist optisch angemessen hervorzuheben. </w:t>
      </w:r>
      <w:r>
        <w:rPr>
          <w:rStyle w:val="Satznummer"/>
        </w:rPr>
        <w:t>2</w:t>
      </w:r>
      <w:r>
        <w:t xml:space="preserve">Für die Zwecke dieses Abschnitts bezeichnet der Begriff „Gültigkeitsdatum“ den Zeitraum, innerhalb dessen die im ESIS-Merkblatt enthaltenen Angaben, etwa der Sollzinssatz, unverändert bleiben und zur Anwendung kommen werden, falls der Kreditgeber beschließt, den Kredit innerhalb dieser Frist zu bewilligen. </w:t>
      </w:r>
      <w:r>
        <w:rPr>
          <w:rStyle w:val="Satznummer"/>
        </w:rPr>
        <w:t>3</w:t>
      </w:r>
      <w:r>
        <w:t xml:space="preserve">Hängt die Festlegung des anwendbaren Sollzinssatzes und anderer Kosten vom Ergebnis des Verkaufs zugrunde liegender Wertpapiere ab, so können der vertraglich vereinbarte Sollzinssatz und andere Kosten gegebenenfalls von diesen Angaben abweichen. </w:t>
      </w:r>
      <w:r>
        <w:rPr>
          <w:rStyle w:val="Satznummer"/>
        </w:rPr>
        <w:t>4</w:t>
      </w:r>
      <w:r>
        <w:t>Ausschließlich unter diesen Umständen ist auf die Tatsache, dass sich das Gültigkeitsdatum nicht auf den Sollzinssatz und andere Kosten bezieht, mit folgender Angabe hinzuweisen: „mit Ausnahme des Zinssatzes und anderer Kosten“.</w:t>
      </w:r>
    </w:p>
    <w:p>
      <w:pPr>
        <w:pStyle w:val="Zwischentitel"/>
      </w:pPr>
      <w:r>
        <w:rPr>
          <w:b/>
        </w:rPr>
        <w:t>Abschnitt „1. Kreditgeber“</w:t>
      </w:r>
    </w:p>
    <w:p>
      <w:pPr>
        <w:tabs>
          <w:tab w:pos="567" w:val="left"/>
        </w:tabs>
        <w:ind w:left="567" w:hanging="567"/>
      </w:pPr>
      <w:r>
        <w:t>(1)</w:t>
      </w:r>
      <w:r>
        <w:tab/>
      </w:r>
      <w:r>
        <w:t>Name, Telefonnummer und Anschrift des Kreditgebers müssen diejenigen Kontaktdaten sein, die der Verbraucher in der künftigen Kommunikation verwenden kann.</w:t>
      </w:r>
    </w:p>
    <w:p>
      <w:pPr>
        <w:tabs>
          <w:tab w:pos="567" w:val="left"/>
        </w:tabs>
        <w:ind w:left="567" w:hanging="567"/>
      </w:pPr>
      <w:r>
        <w:t>(2)</w:t>
      </w:r>
      <w:r>
        <w:tab/>
      </w:r>
      <w:r>
        <w:t>Angaben zu E-Mail-Adresse, Faxnummer, Internetadresse und Kontaktperson oder -stelle sind fakultativ.</w:t>
      </w:r>
    </w:p>
    <w:p>
      <w:pPr>
        <w:tabs>
          <w:tab w:pos="567" w:val="left"/>
        </w:tabs>
        <w:ind w:left="567" w:hanging="567"/>
      </w:pPr>
      <w:r>
        <w:t>(3)</w:t>
      </w:r>
      <w:r>
        <w:tab/>
      </w:r>
      <w:r>
        <w:t xml:space="preserve">Wird der Kreditvertrag im Rahmen eines Fernabsatzgeschäfts gemäß § 312c des Bürgerlichen Gesetzbuchs angeboten, muss der Kreditgeber hier gegebenenfalls gemäß Artikel 246b § 1 Absatz 1 Nummer 1 und 2 des Einführungsgesetzes zum Bürgerlichen Gesetzbuche Namen und Anschrift seines Vertreters in dem Mitgliedstaat der Europäischen Union, in dem der Verbraucher seinen Wohnsitz hat, angeben. </w:t>
      </w:r>
      <w:r>
        <w:rPr>
          <w:rStyle w:val="Satznummer"/>
        </w:rPr>
        <w:t>2</w:t>
      </w:r>
      <w:r>
        <w:t>Die Angabe von Telefonnummer, E-Mail-Adresse und Internetadresse des Vertreters des Kreditgebers ist fakultativ.</w:t>
      </w:r>
    </w:p>
    <w:p>
      <w:pPr>
        <w:tabs>
          <w:tab w:pos="567" w:val="left"/>
        </w:tabs>
        <w:ind w:left="567" w:hanging="567"/>
      </w:pPr>
      <w:r>
        <w:t>(4)</w:t>
      </w:r>
      <w:r>
        <w:tab/>
      </w:r>
      <w:r>
        <w:t>Kommt Abschnitt 2 nicht zur Anwendung, so unterrichtet der Kreditgeber unter Verwendung der Formulierungen in Teil A den Verbraucher darüber, ob und auf welcher Grundlage Beratungsdienstleistungen (Beratungsleistungen gemäß § 511 des Bürgerlichen Gesetzbuchs) erbracht werden.</w:t>
      </w:r>
    </w:p>
    <w:p>
      <w:pPr>
        <w:pStyle w:val="Zwischentitel"/>
      </w:pPr>
      <w:r>
        <w:rPr>
          <w:b/>
        </w:rPr>
        <w:t>(falls zutreffend) Abschnitt „2. Kreditvermittler“</w:t>
      </w:r>
    </w:p>
    <w:p>
      <w:r>
        <w:t>Erhält der Verbraucher die Produktinformationen von einem Kreditvermittler, so erteilt dieser die folgenden Informationen:</w:t>
      </w:r>
    </w:p>
    <w:p>
      <w:pPr>
        <w:tabs>
          <w:tab w:pos="567" w:val="left"/>
        </w:tabs>
        <w:ind w:left="567" w:hanging="567"/>
      </w:pPr>
      <w:r>
        <w:t>(1)</w:t>
      </w:r>
      <w:r>
        <w:tab/>
      </w:r>
      <w:r>
        <w:t>Name, Telefonnummer und Anschrift des Kreditvermittlers müssen diejenigen Kontaktdaten sein, die der Verbraucher in der künftigen Kommunikation verwenden kann.</w:t>
      </w:r>
    </w:p>
    <w:p>
      <w:pPr>
        <w:tabs>
          <w:tab w:pos="567" w:val="left"/>
        </w:tabs>
        <w:ind w:left="567" w:hanging="567"/>
      </w:pPr>
      <w:r>
        <w:t>(2)</w:t>
      </w:r>
      <w:r>
        <w:tab/>
      </w:r>
      <w:r>
        <w:t>Angaben zu E-Mail-Adresse, Faxnummer, Internetadresse und Kontaktperson oder -stelle sind fakultativ.</w:t>
      </w:r>
    </w:p>
    <w:p>
      <w:pPr>
        <w:tabs>
          <w:tab w:pos="567" w:val="left"/>
        </w:tabs>
        <w:ind w:left="567" w:hanging="567"/>
      </w:pPr>
      <w:r>
        <w:t>(3)</w:t>
      </w:r>
      <w:r>
        <w:tab/>
      </w:r>
      <w:r>
        <w:t>Der Kreditvermittler unterrichtet unter Verwendung der Formulierungen in Teil A den Verbraucher darüber, ob und auf welcher Grundlage Beratungsdienstleistungen (Beratungsleistungen gemäß § 511 des Bürgerlichen Gesetzbuchs) erbracht werden.</w:t>
      </w:r>
    </w:p>
    <w:p>
      <w:pPr>
        <w:tabs>
          <w:tab w:pos="567" w:val="left"/>
        </w:tabs>
        <w:ind w:left="567" w:hanging="567"/>
      </w:pPr>
      <w:r>
        <w:t>(4)</w:t>
      </w:r>
      <w:r>
        <w:tab/>
      </w:r>
      <w:r>
        <w:t xml:space="preserve">Erläuterungen zur Art und Weise der Vergütung des Kreditvermittlers. </w:t>
      </w:r>
      <w:r>
        <w:rPr>
          <w:rStyle w:val="Satznummer"/>
        </w:rPr>
        <w:t>2</w:t>
      </w:r>
      <w:r>
        <w:t>Erhält dieser eine Provision vom Kreditgeber, so sind der Betrag und – sofern abweichend von der Angabe unter Abschnitt 1 – der Name des Kreditgebers anzugeben.</w:t>
      </w:r>
    </w:p>
    <w:p>
      <w:pPr>
        <w:pStyle w:val="Zwischentitel"/>
      </w:pPr>
      <w:r>
        <w:rPr>
          <w:b/>
        </w:rPr>
        <w:t>Abschnitt „3. Hauptmerkmale des Kredits“</w:t>
      </w:r>
    </w:p>
    <w:p>
      <w:pPr>
        <w:tabs>
          <w:tab w:pos="567" w:val="left"/>
        </w:tabs>
        <w:ind w:left="567" w:hanging="567"/>
      </w:pPr>
      <w:r>
        <w:t>(1)</w:t>
      </w:r>
      <w:r>
        <w:tab/>
      </w:r>
      <w:r>
        <w:t>In diesem Abschnitt sind die Hauptmerkmale des Kredits, einschließlich des Wertes, der Währung und der potenziellen Risiken, die mit dem Sollzinssatz (darunter die unter Nummer 8 genannten Risiken) und der Amortisationsstruktur verbunden sind, klar darzulegen.</w:t>
      </w:r>
    </w:p>
    <w:p>
      <w:pPr>
        <w:tabs>
          <w:tab w:pos="567" w:val="left"/>
        </w:tabs>
        <w:ind w:left="567" w:hanging="567"/>
      </w:pPr>
      <w:r>
        <w:t>(2)</w:t>
      </w:r>
      <w:r>
        <w:tab/>
      </w:r>
      <w:r>
        <w:t xml:space="preserve">Handelt es sich bei der Kreditwährung nicht um die Landeswährung des Verbrauchers, so weist der Kreditgeber darauf hin, dass der Verbraucher einen regelmäßigen Warnhinweis erhält, sobald der Wechselkurs um mehr als 20 % schwankt, und dass er das Recht hat, die Währung des Kreditvertrags in seine Landeswährung umzuwandeln. </w:t>
      </w:r>
      <w:r>
        <w:rPr>
          <w:rStyle w:val="Satznummer"/>
        </w:rPr>
        <w:t>2</w:t>
      </w:r>
      <w:r>
        <w:t xml:space="preserve">Er weist auch auf alle sonstigen Regelungen, die dem Verbraucher zur Begrenzung des Wechselkursrisikos zur Verfügung stehen, hin. </w:t>
      </w:r>
      <w:r>
        <w:rPr>
          <w:rStyle w:val="Satznummer"/>
        </w:rPr>
        <w:t>3</w:t>
      </w:r>
      <w:r>
        <w:t xml:space="preserve">Ist im Kreditvertrag eine Bestimmung zur Begrenzung des Wechselkursrisikos vorgesehen, so gibt der Kreditgeber den Höchstbetrag an, den der Verbraucher gegebenenfalls zurückzuzahlen hat. </w:t>
      </w:r>
      <w:r>
        <w:rPr>
          <w:rStyle w:val="Satznummer"/>
        </w:rPr>
        <w:t>4</w:t>
      </w:r>
      <w:r>
        <w:t>Ist im Kreditvertrag keine Bestimmung vorgesehen, wonach das Wechselkursrisiko für den Verbraucher auf eine Wechselkursschwankung von weniger als 20 % begrenzt wird, so gibt der Kreditgeber ein anschauliches Beispiel dafür, wie sich ein Kursverfall der Landeswährung des Verbrauchers von 20 % gegenüber der Kreditwährung auf den Wert des Kredits auswirkt.</w:t>
      </w:r>
    </w:p>
    <w:p>
      <w:pPr>
        <w:tabs>
          <w:tab w:pos="567" w:val="left"/>
        </w:tabs>
        <w:ind w:left="567" w:hanging="567"/>
      </w:pPr>
      <w:r>
        <w:t>(3)</w:t>
      </w:r>
      <w:r>
        <w:tab/>
      </w:r>
      <w:r>
        <w:t xml:space="preserve">Die Laufzeit des Kredits ist – je nach Relevanz – in Jahren oder Monaten auszudrücken. </w:t>
      </w:r>
      <w:r>
        <w:rPr>
          <w:rStyle w:val="Satznummer"/>
        </w:rPr>
        <w:t>2</w:t>
      </w:r>
      <w:r>
        <w:t xml:space="preserve">Kann sich die Kreditlaufzeit während der Geltungsdauer des Vertrags ändern, erläutert der Kreditgeber, wann und unter welchen Bedingungen dies möglich ist. </w:t>
      </w:r>
      <w:r>
        <w:rPr>
          <w:rStyle w:val="Satznummer"/>
        </w:rPr>
        <w:t>3</w:t>
      </w:r>
      <w:r>
        <w:t>Handelt es sich um einen unbefristeten Kredit, etwa für eine gesicherte Kreditkarte, so ist dies vom Kreditgeber klar anzugeben.</w:t>
      </w:r>
    </w:p>
    <w:p>
      <w:pPr>
        <w:tabs>
          <w:tab w:pos="567" w:val="left"/>
        </w:tabs>
        <w:ind w:left="567" w:hanging="567"/>
      </w:pPr>
      <w:r>
        <w:t>(4)</w:t>
      </w:r>
      <w:r>
        <w:tab/>
      </w:r>
      <w:r>
        <w:t xml:space="preserve">Die Art des Kredits ist genau anzugeben (z. B. grundpfandrechtlich besicherter Kredit, wohnungswirtschaftlicher Kredit, gesicherte Kreditkarte). </w:t>
      </w:r>
      <w:r>
        <w:rPr>
          <w:rStyle w:val="Satznummer"/>
        </w:rPr>
        <w:t>2</w:t>
      </w:r>
      <w:r>
        <w:t>Bei der Beschreibung der Kreditart ist klar anzugeben, wie Kapital und Zinsen während der Laufzeit des Kredits zurückzuzahlen sind (d. h. die Amortisationsstruktur) und ob der Kreditvertrag auf einer Kapitalrückzahlung oder auf der Endfälligkeit basiert oder eine Mischung von beidem ist.</w:t>
      </w:r>
    </w:p>
    <w:p>
      <w:pPr>
        <w:tabs>
          <w:tab w:pos="567" w:val="left"/>
        </w:tabs>
        <w:ind w:left="567" w:hanging="567"/>
      </w:pPr>
      <w:r>
        <w:t>(5)</w:t>
      </w:r>
      <w:r>
        <w:tab/>
      </w:r>
      <w:r>
        <w:t>Handelt es sich bei dem gewährten Kredit oder einem Teil davon um einen endfälligen Kredit, so ist ein diesbezüglicher eindeutiger Hinweis unter Verwendung der Formulierung in Teil A deutlich sichtbar am Ende dieses Abschnitts einzufügen.</w:t>
      </w:r>
    </w:p>
    <w:p>
      <w:pPr>
        <w:tabs>
          <w:tab w:pos="567" w:val="left"/>
        </w:tabs>
        <w:ind w:left="567" w:hanging="567"/>
      </w:pPr>
      <w:r>
        <w:t>(6)</w:t>
      </w:r>
      <w:r>
        <w:tab/>
      </w:r>
      <w:r>
        <w:t>In der Rubrik [Art des anwendbaren Zinssatzes] ist anzugeben, ob der Sollzinssatz fest oder variabel ist, sowie gegebenenfalls die Zeiträume, für die der Zinssatz festgeschrieben ist, wie häufig der Zinssatz in der Folge überprüft wird und inwieweit die Variabilität des Sollzinssatzes nach oben oder nach unten hin begrenzt ist.</w:t>
      </w:r>
    </w:p>
    <w:p>
      <w:pPr>
        <w:ind w:left="567"/>
      </w:pPr>
      <w:r>
        <w:rPr>
          <w:rStyle w:val="Satznummer"/>
        </w:rPr>
        <w:t>2</w:t>
      </w:r>
      <w:r>
        <w:t xml:space="preserve">Die Formel für die Überprüfung des Sollzinssatzes und ihrer einzelnen Bestandteile (z. B. Referenzzinssatz, Zinsmarge) ist zu erläutern. </w:t>
      </w:r>
      <w:r>
        <w:rPr>
          <w:rStyle w:val="Satznummer"/>
        </w:rPr>
        <w:t>3</w:t>
      </w:r>
      <w:r>
        <w:t>Der Kreditgeber hat anzugeben, etwa mittels einer Internetadresse, wo weitere Informationen zu den in der Formel zugrunde gelegten Indizes oder Zinssätzen zu finden sind, z. B. EURIBOR-Satz oder Referenzzinssatz der Zentralbank.</w:t>
      </w:r>
    </w:p>
    <w:p>
      <w:pPr>
        <w:tabs>
          <w:tab w:pos="567" w:val="left"/>
        </w:tabs>
        <w:ind w:left="567" w:hanging="567"/>
      </w:pPr>
      <w:r>
        <w:t>(7)</w:t>
      </w:r>
      <w:r>
        <w:tab/>
      </w:r>
      <w:r>
        <w:t>Gelten unter bestimmten Umständen unterschiedliche Sollzinssätze, so sind diese Angaben für alle anzuwendenden Sollzinssätze zu machen.</w:t>
      </w:r>
    </w:p>
    <w:p>
      <w:pPr>
        <w:tabs>
          <w:tab w:pos="567" w:val="left"/>
        </w:tabs>
        <w:ind w:left="567" w:hanging="567"/>
      </w:pPr>
      <w:r>
        <w:t>(8)</w:t>
      </w:r>
      <w:r>
        <w:tab/>
      </w:r>
      <w:r>
        <w:t xml:space="preserve">Der „zurückzuzahlende Gesamtbetrag“ entspricht dem Gesamtbetrag, den der Verbraucher zu zahlen hat. </w:t>
      </w:r>
      <w:r>
        <w:rPr>
          <w:rStyle w:val="Satznummer"/>
        </w:rPr>
        <w:t>2</w:t>
      </w:r>
      <w:r>
        <w:t xml:space="preserve">Er wird dargestellt als die Summe aus Nettodarlehensbetrag und Gesamtkosten des Kredits für den Verbraucher. </w:t>
      </w:r>
      <w:r>
        <w:rPr>
          <w:rStyle w:val="Satznummer"/>
        </w:rPr>
        <w:t>3</w:t>
      </w:r>
      <w:r>
        <w:t>Ist der Sollzinssatz für die Laufzeit des Vertrags nicht festgelegt, so ist optisch hervorzuheben, dass dieser Betrag lediglich Beispielcharakter hat und insbesondere bei einer Veränderung des Sollzinssatzes variieren kann.</w:t>
      </w:r>
    </w:p>
    <w:p>
      <w:pPr>
        <w:tabs>
          <w:tab w:pos="567" w:val="left"/>
        </w:tabs>
        <w:ind w:left="567" w:hanging="567"/>
      </w:pPr>
      <w:r>
        <w:t>(9)</w:t>
      </w:r>
      <w:r>
        <w:tab/>
      </w:r>
      <w:r>
        <w:t xml:space="preserve">Wird der Kredit durch eine Hypothek auf die Immobilie oder durch eine andere vergleichbare Sicherheit oder ein Recht an einer Immobilie gesichert, hat der Kreditgeber den Verbraucher darauf hinzuweisen. </w:t>
      </w:r>
      <w:r>
        <w:rPr>
          <w:rStyle w:val="Satznummer"/>
        </w:rPr>
        <w:t>2</w:t>
      </w:r>
      <w:r>
        <w:t>Der Kreditgeber hat gegebenenfalls den geschätzten Wert der Immobilie oder der sonstigen Sicherheiten zu nennen, die zur Erstellung dieses Merkblatts herangezogen wurden.</w:t>
      </w:r>
    </w:p>
    <w:p>
      <w:pPr>
        <w:tabs>
          <w:tab w:pos="567" w:val="left"/>
        </w:tabs>
        <w:ind w:left="567" w:hanging="567"/>
      </w:pPr>
      <w:r>
        <w:t>(10)</w:t>
      </w:r>
      <w:r>
        <w:tab/>
      </w:r>
      <w:r>
        <w:t>Der Kreditgeber gibt gegebenenfalls Folgendes an:</w:t>
      </w:r>
    </w:p>
    <w:p>
      <w:pPr>
        <w:tabs>
          <w:tab w:pos="1134" w:val="left"/>
        </w:tabs>
        <w:ind w:left="1134" w:hanging="567"/>
      </w:pPr>
      <w:r>
        <w:t>a)</w:t>
      </w:r>
      <w:r>
        <w:tab/>
      </w:r>
      <w:r>
        <w:t>die „Beleihungsgrenze“ (maximale Höhe des Kredits im Verhältnis zum Wert der Immobilie), die das Verhältnis zwischen Kredithöhe und Objektwert angibt; neben der entsprechenden Angabe ist ein konkretes Zahlenbeispiel für die Ermittlung des Höchstbetrags zu nennen, der bei einem bestimmten Immobilienwert als Kredit aufgenommen werden kann oder</w:t>
      </w:r>
    </w:p>
    <w:p>
      <w:pPr>
        <w:tabs>
          <w:tab w:pos="1134" w:val="left"/>
        </w:tabs>
        <w:ind w:left="1134" w:hanging="567"/>
      </w:pPr>
      <w:r>
        <w:t>b)</w:t>
      </w:r>
      <w:r>
        <w:tab/>
      </w:r>
      <w:r>
        <w:t>den „Mindestwert der Immobilie, den der Kreditgeber für die Vergabe eines Kredits in der angegebenen Höhe voraussetzt“.</w:t>
      </w:r>
    </w:p>
    <w:p>
      <w:pPr>
        <w:tabs>
          <w:tab w:pos="567" w:val="left"/>
        </w:tabs>
        <w:ind w:left="567" w:hanging="567"/>
      </w:pPr>
      <w:r>
        <w:t>(11)</w:t>
      </w:r>
      <w:r>
        <w:tab/>
      </w:r>
      <w:r>
        <w:t>Bei mehrteiligen Krediten (z. B. zum Teil mit festem und zum Teil mit variablem Zinssatz) muss dies aus den Angaben zur Art des Kredits hervorgehen und die vorgeschriebenen Informationen müssen für jeden Teil des Kredits angegeben werden.</w:t>
      </w:r>
    </w:p>
    <w:p>
      <w:pPr>
        <w:pStyle w:val="Zwischentitel"/>
      </w:pPr>
      <w:r>
        <w:rPr>
          <w:b/>
        </w:rPr>
        <w:t>Abschnitt „4. Zinssatz und andere Kosten“</w:t>
      </w:r>
    </w:p>
    <w:p>
      <w:pPr>
        <w:tabs>
          <w:tab w:pos="567" w:val="left"/>
        </w:tabs>
        <w:ind w:left="567" w:hanging="567"/>
      </w:pPr>
      <w:r>
        <w:t>(1)</w:t>
      </w:r>
      <w:r>
        <w:tab/>
      </w:r>
      <w:r>
        <w:t>Der Begriff „Zinssatz“ bezeichnet den Sollzinssatz oder die Sollzinssätze.</w:t>
      </w:r>
    </w:p>
    <w:p>
      <w:pPr>
        <w:tabs>
          <w:tab w:pos="567" w:val="left"/>
        </w:tabs>
        <w:ind w:left="567" w:hanging="567"/>
      </w:pPr>
      <w:r>
        <w:t>(2)</w:t>
      </w:r>
      <w:r>
        <w:tab/>
      </w:r>
      <w:r>
        <w:t xml:space="preserve">Der Sollzinssatz ist als Prozentwert anzugeben. </w:t>
      </w:r>
      <w:r>
        <w:rPr>
          <w:rStyle w:val="Satznummer"/>
        </w:rPr>
        <w:t>2</w:t>
      </w:r>
      <w:r>
        <w:t xml:space="preserve">Handelt es sich um einen variablen Sollzinssatz auf Basis eines Referenzzinssatzes, so kann der Kreditgeber den Sollzinssatz in Form eines Referenzzinssatzes und eines Prozentwerts seiner Zinsmarge angeben. </w:t>
      </w:r>
      <w:r>
        <w:rPr>
          <w:rStyle w:val="Satznummer"/>
        </w:rPr>
        <w:t>3</w:t>
      </w:r>
      <w:r>
        <w:t>Der Kreditgeber muss allerdings den am Tag der Ausstellung des ESIS-Merkblatts geltenden Wert des Referenzzinssatzes angeben.</w:t>
      </w:r>
    </w:p>
    <w:p>
      <w:pPr>
        <w:ind w:left="567"/>
      </w:pPr>
      <w:r>
        <w:rPr>
          <w:rStyle w:val="Satznummer"/>
        </w:rPr>
        <w:t>4</w:t>
      </w:r>
      <w:r>
        <w:t>Im Falle eines variablen Sollzinssatzes ist Folgendes anzugeben:</w:t>
      </w:r>
    </w:p>
    <w:p>
      <w:pPr>
        <w:tabs>
          <w:tab w:pos="1134" w:val="left"/>
        </w:tabs>
        <w:ind w:left="1134" w:hanging="567"/>
      </w:pPr>
      <w:r>
        <w:t>a)</w:t>
      </w:r>
      <w:r>
        <w:tab/>
      </w:r>
      <w:r>
        <w:t>die der Berechnung des effektiven Jahreszinses zugrunde gelegten Annahmen,</w:t>
      </w:r>
    </w:p>
    <w:p>
      <w:pPr>
        <w:tabs>
          <w:tab w:pos="1134" w:val="left"/>
        </w:tabs>
        <w:ind w:left="1134" w:hanging="567"/>
      </w:pPr>
      <w:r>
        <w:t>b)</w:t>
      </w:r>
      <w:r>
        <w:tab/>
      </w:r>
      <w:r>
        <w:t>gegebenenfalls die geltenden Ober- und Untergrenzen sowie</w:t>
      </w:r>
    </w:p>
    <w:p>
      <w:pPr>
        <w:tabs>
          <w:tab w:pos="1134" w:val="left"/>
        </w:tabs>
        <w:ind w:left="1134" w:hanging="567"/>
      </w:pPr>
      <w:r>
        <w:t>c)</w:t>
      </w:r>
      <w:r>
        <w:tab/>
      </w:r>
      <w:r>
        <w:t>ein Warnhinweis, dass sich die Variabilität negativ auf die tatsächliche Höhe des effektiven Jahreszinses auswirken könnte.</w:t>
      </w:r>
    </w:p>
    <w:p>
      <w:pPr>
        <w:ind w:left="567"/>
      </w:pPr>
      <w:r>
        <w:rPr>
          <w:rStyle w:val="Satznummer"/>
        </w:rPr>
        <w:t>5</w:t>
      </w:r>
      <w:r>
        <w:t xml:space="preserve">Der Warnhinweis hat in größerer Schrift deutlich sichtbar im Hauptteil des ESIS-Merkblatts zu erscheinen, damit die Aufmerksamkeit der Verbraucher darauf gelenkt wird. </w:t>
      </w:r>
      <w:r>
        <w:rPr>
          <w:rStyle w:val="Satznummer"/>
        </w:rPr>
        <w:t>6</w:t>
      </w:r>
      <w:r>
        <w:t xml:space="preserve">Der Warnhinweis ist durch ein anschauliches Beispiel zum effektiven Jahreszins zu ergänzen. </w:t>
      </w:r>
      <w:r>
        <w:rPr>
          <w:rStyle w:val="Satznummer"/>
        </w:rPr>
        <w:t>7</w:t>
      </w:r>
      <w:r>
        <w:t xml:space="preserve">Besteht eine Obergrenze für den Sollzinssatz, so basiert das Beispiel auf der Annahme, dass der Sollzinssatz bei frühestmöglicher Gelegenheit auf das höchste im Kreditvertrag vorgesehene Niveau ansteigt. </w:t>
      </w:r>
      <w:r>
        <w:rPr>
          <w:rStyle w:val="Satznummer"/>
        </w:rPr>
        <w:t>8</w:t>
      </w:r>
      <w:r>
        <w:t xml:space="preserve">Besteht keine Obergrenze, so bildet das Beispiel den effektiven Jahreszins beim höchsten Sollzinssatz der mindestens letzten 20 Jahre ab oder – falls die der Berechnung des Sollzinssatzes zugrunde liegenden Daten nur für einen Zeitraum von weniger als 20 Jahren vorliegen – des längsten Zeitraums, für den solche Daten vorliegen, und zwar ausgehend vom Höchststand des jeweiligen externen Referenzsatzes, der gegebenenfalls für die Berechnung des Sollzinssatzes herangezogen wurde oder vom Höchststand eines Benchmarkzinssatzes, der von einer zuständigen Behörde oder der Europäischen Bankenaufsichtsbehörde (EBA) festgesetzt wird, sofern der Kreditgeber keinen externen Referenzsatz verwendet. </w:t>
      </w:r>
      <w:r>
        <w:rPr>
          <w:rStyle w:val="Satznummer"/>
        </w:rPr>
        <w:t>9</w:t>
      </w:r>
      <w:r>
        <w:t xml:space="preserve">Diese Anforderung gilt nicht für Kreditverträge, bei denen für einen konkreten Anfangszeitraum von mindestens fünf Jahren ein fester Sollzinssatz vereinbart wurde, der anschließend nach Verhandlungen zwischen Kreditgeber und Verbraucher für einen weiteren Zeitraum festgeschrieben werden kann. </w:t>
      </w:r>
      <w:r>
        <w:rPr>
          <w:rStyle w:val="Satznummer"/>
        </w:rPr>
        <w:t>10</w:t>
      </w:r>
      <w:r>
        <w:t xml:space="preserve">Im Falle von Kreditverträgen, bei denen für einen konkreten Anfangszeitraum von mindestens fünf Jahren ein fester Sollzinssatz vereinbart wurde, der anschließend nach Verhandlungen zwischen Kreditgeber und Verbraucher für einen weiteren Zeitraum festgeschrieben werden kann, muss das Merkblatt einen Warnhinweis enthalten, dass der effektive Jahreszins auf der Grundlage des Sollzinssatzes für den Anfangszeitraum berechnet worden ist. </w:t>
      </w:r>
      <w:r>
        <w:rPr>
          <w:rStyle w:val="Satznummer"/>
        </w:rPr>
        <w:t>11</w:t>
      </w:r>
      <w:r>
        <w:t xml:space="preserve">Der Warnhinweis ist durch ein zusätzliches anschauliches Beispiel für den gemäß § 16 Absatz 2 bis 6 und 8 der Preisangabenverordnung errechneten effektiven Jahreszins zu ergänzen. </w:t>
      </w:r>
      <w:r>
        <w:rPr>
          <w:rStyle w:val="Satznummer"/>
        </w:rPr>
        <w:t>12</w:t>
      </w:r>
      <w:r>
        <w:t>Bei mehrteiligen Krediten (z. B. zugleich zum Teil mit festem und zum Teil mit variablem Zinssatz) sind die entsprechenden Informationen für jeden einzelnen Teil des Kredits zu erteilen.</w:t>
      </w:r>
    </w:p>
    <w:p>
      <w:pPr>
        <w:tabs>
          <w:tab w:pos="567" w:val="left"/>
        </w:tabs>
        <w:ind w:left="567" w:hanging="567"/>
      </w:pPr>
      <w:r>
        <w:t>(3)</w:t>
      </w:r>
      <w:r>
        <w:tab/>
      </w:r>
      <w:r>
        <w:t xml:space="preserve">In der Rubrik „sonstige Komponenten des effektiven Jahreszinses“ sind alle sonstigen im effektiven Jahreszins enthaltenen Kosten aufzuführen, einschließlich einmaliger Kosten – etwa Verwaltungsgebühren – sowie regelmäßige Kosten wie jährliche Verwaltungsgebühren. </w:t>
      </w:r>
      <w:r>
        <w:rPr>
          <w:rStyle w:val="Satznummer"/>
        </w:rPr>
        <w:t>2</w:t>
      </w:r>
      <w:r>
        <w:t xml:space="preserve">Der Kreditgeber listet die einzelnen Kosten nach Kategorien auf (einmalige Kosten, in den Raten enthaltene regelmäßig anfallende Kosten, in den Raten nicht enthaltene regelmäßig anfallende Kosten) und gibt die jeweiligen Beträge, den Zahlungsempfänger und den Zeitpunkt der Fälligkeit an. </w:t>
      </w:r>
      <w:r>
        <w:rPr>
          <w:rStyle w:val="Satznummer"/>
        </w:rPr>
        <w:t>3</w:t>
      </w:r>
      <w:r>
        <w:t xml:space="preserve">Dabei müssen die für Vertragsverletzungen anfallenden Kosten nicht enthalten sein. </w:t>
      </w:r>
      <w:r>
        <w:rPr>
          <w:rStyle w:val="Satznummer"/>
        </w:rPr>
        <w:t>4</w:t>
      </w:r>
      <w:r>
        <w:t xml:space="preserve">Ist die Höhe der Kosten nicht bekannt, so gibt der Kreditgeber, falls möglich, einen Näherungswert an; ist dies nicht möglich, so erläutert er, wie sich der Betrag berechnen wird, wobei ausdrücklich anzugeben ist, dass der genannte Betrag lediglich Hinweischarakter hat. </w:t>
      </w:r>
      <w:r>
        <w:rPr>
          <w:rStyle w:val="Satznummer"/>
        </w:rPr>
        <w:t>5</w:t>
      </w:r>
      <w:r>
        <w:t>Sind einzelne Kosten im effektiven Jahreszins nicht enthalten, weil sie dem Kreditgeber nicht bekannt sind, so ist dies optisch hervorzuheben.</w:t>
      </w:r>
    </w:p>
    <w:p>
      <w:pPr>
        <w:ind w:left="567"/>
      </w:pPr>
      <w:r>
        <w:rPr>
          <w:rStyle w:val="Satznummer"/>
        </w:rPr>
        <w:t>6</w:t>
      </w:r>
      <w:r>
        <w:t xml:space="preserve">Hat der Verbraucher dem Kreditgeber seine Wünsche in Bezug auf eines oder mehrere Elemente seines Kredits mitgeteilt, beispielsweise in Bezug auf die Laufzeit des Kreditvertrags oder den Gesamtkreditbetrag, so muss der Kreditgeber diese Elemente soweit möglich aufgreifen; sofern ein Kreditvertrag unterschiedliche Verfahren der Inanspruchnahme mit jeweils unterschiedlichen Gebühren oder Sollzinssätzen vorsieht und der Kreditgeber die Annahmen nach der Anlage zu § 16 der Preisangabenverordnung zugrunde legt, so weist er darauf hin, dass andere Mechanismen der Inanspruchnahme bei dieser Art des Kreditvertrags zu einem höheren effektiven Jahreszins führen können. </w:t>
      </w:r>
      <w:r>
        <w:rPr>
          <w:rStyle w:val="Satznummer"/>
        </w:rPr>
        <w:t>7</w:t>
      </w:r>
      <w:r>
        <w:t>Falls die Bedingungen für die Inanspruchnahme in die Berechnung des effektiven Jahreszinses einfließen, hebt der Kreditgeber die Gebühren optisch hervor, die mit anderen Mechanismen der Inanspruchnahme verbunden sein können, welche nicht notwendigerweise diejenigen sind, anhand deren der effektive Jahreszins berechnet worden ist.</w:t>
      </w:r>
    </w:p>
    <w:p>
      <w:pPr>
        <w:tabs>
          <w:tab w:pos="567" w:val="left"/>
        </w:tabs>
        <w:ind w:left="567" w:hanging="567"/>
      </w:pPr>
      <w:r>
        <w:t>(4)</w:t>
      </w:r>
      <w:r>
        <w:tab/>
      </w:r>
      <w:r>
        <w:t xml:space="preserve">Fällt eine Gebühr für die Eintragung einer Hypothek oder vergleichbaren Sicherheit an, so ist diese zusammen mit dem Betrag (sofern bekannt) in diesem Abschnitt anzugeben oder – falls dies nicht möglich ist – ist die Grundlage für die Festsetzung dieses Betrags anzugeben. </w:t>
      </w:r>
      <w:r>
        <w:rPr>
          <w:rStyle w:val="Satznummer"/>
        </w:rPr>
        <w:t>2</w:t>
      </w:r>
      <w:r>
        <w:t xml:space="preserve">Ist die Gebühr bekannt und wurde sie in den effektiven Jahreszins eingerechnet, so sind das Anfallen der Gebühr und deren Höhe unter „einmalige Kosten“ auszuweisen. </w:t>
      </w:r>
      <w:r>
        <w:rPr>
          <w:rStyle w:val="Satznummer"/>
        </w:rPr>
        <w:t>3</w:t>
      </w:r>
      <w:r>
        <w:t xml:space="preserve">Ist dem Kreditgeber die Gebühr nicht bekannt und wurde diese daher nicht in den effektiven Jahreszins eingerechnet, so muss das Anfallen einer Gebühr klar und deutlich in der Liste der dem Kreditgeber nicht bekannten Kosten aufgeführt werden. </w:t>
      </w:r>
      <w:r>
        <w:rPr>
          <w:rStyle w:val="Satznummer"/>
        </w:rPr>
        <w:t>4</w:t>
      </w:r>
      <w:r>
        <w:t>In beiden Fällen ist die Standardformulierung gemäß Teil A unter der entsprechenden Rubrik zu verwenden.</w:t>
      </w:r>
    </w:p>
    <w:p>
      <w:pPr>
        <w:pStyle w:val="Zwischentitel"/>
      </w:pPr>
      <w:r>
        <w:rPr>
          <w:b/>
        </w:rPr>
        <w:t>Abschnitt „5. Häufigkeit und Anzahl der Ratenzahlungen“</w:t>
      </w:r>
    </w:p>
    <w:p>
      <w:pPr>
        <w:tabs>
          <w:tab w:pos="567" w:val="left"/>
        </w:tabs>
        <w:ind w:left="567" w:hanging="567"/>
      </w:pPr>
      <w:r>
        <w:t>(1)</w:t>
      </w:r>
      <w:r>
        <w:tab/>
      </w:r>
      <w:r>
        <w:t xml:space="preserve">Sind regelmäßige Zahlungen zu leisten, ist das Zahlungsintervall (z. B. monatlich) anzugeben. </w:t>
      </w:r>
      <w:r>
        <w:rPr>
          <w:rStyle w:val="Satznummer"/>
        </w:rPr>
        <w:t>2</w:t>
      </w:r>
      <w:r>
        <w:t>Sind Zahlungen in unregelmäßigen Abständen vorgesehen, ist dies dem Verbraucher klar zu erläutern.</w:t>
      </w:r>
    </w:p>
    <w:p>
      <w:pPr>
        <w:tabs>
          <w:tab w:pos="567" w:val="left"/>
        </w:tabs>
        <w:ind w:left="567" w:hanging="567"/>
      </w:pPr>
      <w:r>
        <w:t>(2)</w:t>
      </w:r>
      <w:r>
        <w:tab/>
      </w:r>
      <w:r>
        <w:t>Es sind alle über die gesamte Kreditlaufzeit zu leistenden Zahlungen aufzuführen.</w:t>
      </w:r>
    </w:p>
    <w:p>
      <w:pPr>
        <w:pStyle w:val="Zwischentitel"/>
      </w:pPr>
      <w:r>
        <w:rPr>
          <w:b/>
        </w:rPr>
        <w:t>Abschnitt „6. Höhe der einzelnen Raten“</w:t>
      </w:r>
    </w:p>
    <w:p>
      <w:pPr>
        <w:tabs>
          <w:tab w:pos="567" w:val="left"/>
        </w:tabs>
        <w:ind w:left="567" w:hanging="567"/>
      </w:pPr>
      <w:r>
        <w:t>(1)</w:t>
      </w:r>
      <w:r>
        <w:tab/>
      </w:r>
      <w:r>
        <w:t>Es ist klar anzugeben, in welcher Währung der Kredit bereitgestellt wird und die Raten gezahlt werden.</w:t>
      </w:r>
    </w:p>
    <w:p>
      <w:pPr>
        <w:tabs>
          <w:tab w:pos="567" w:val="left"/>
        </w:tabs>
        <w:ind w:left="567" w:hanging="567"/>
      </w:pPr>
      <w:r>
        <w:t>(2)</w:t>
      </w:r>
      <w:r>
        <w:tab/>
      </w:r>
      <w:r>
        <w:t>Kann sich die Höhe der Raten während der Kreditlaufzeit ändern, hat der Kreditgeber anzugeben, für welchen Zeitraum die anfängliche Ratenhöhe unverändert bleibt und wann und wie häufig sie sich in der Folge ändern wird.</w:t>
      </w:r>
    </w:p>
    <w:p>
      <w:pPr>
        <w:tabs>
          <w:tab w:pos="567" w:val="left"/>
        </w:tabs>
        <w:ind w:left="567" w:hanging="567"/>
      </w:pPr>
      <w:r>
        <w:t>(3)</w:t>
      </w:r>
      <w:r>
        <w:tab/>
      </w:r>
      <w:r>
        <w:t>Handelt es sich bei dem gewährten Kredit oder einem Teil davon um einen endfälligen Kredit, so ist ein diesbezüglicher eindeutiger Hinweis unter Verwendung der Formulierung in Teil A deutlich sichtbar am Ende dieses Abschnitts einzufügen.</w:t>
      </w:r>
    </w:p>
    <w:p>
      <w:pPr>
        <w:ind w:left="567"/>
      </w:pPr>
      <w:r>
        <w:rPr>
          <w:rStyle w:val="Satznummer"/>
        </w:rPr>
        <w:t>2</w:t>
      </w:r>
      <w:r>
        <w:t>Muss der Verbraucher ein damit verbundenes Sparprodukt aufnehmen, um einen durch eine Hypothek oder eine vergleichbare Sicherheit gesicherten endfälligen Kredit zu erhalten, sind Betrag und Häufigkeit von Zahlungen für dieses Produkt anzugeben.</w:t>
      </w:r>
    </w:p>
    <w:p>
      <w:pPr>
        <w:tabs>
          <w:tab w:pos="567" w:val="left"/>
        </w:tabs>
        <w:ind w:left="567" w:hanging="567"/>
      </w:pPr>
      <w:r>
        <w:t>(4)</w:t>
      </w:r>
      <w:r>
        <w:tab/>
      </w:r>
      <w:r>
        <w:t xml:space="preserve">Im Falle eines variablen Sollzinssatzes muss das Merkblatt einen diesbezüglichen Hinweis enthalten, wobei die Formulierung unter Teil A zu verwenden und ein anschauliches Beispiel für die maximale Zahlungsrate anzuführen ist. </w:t>
      </w:r>
      <w:r>
        <w:rPr>
          <w:rStyle w:val="Satznummer"/>
        </w:rPr>
        <w:t>2</w:t>
      </w:r>
      <w:r>
        <w:t xml:space="preserve">Besteht eine Obergrenze, so muss in dem Beispiel die Höhe der Raten aufgezeigt werden, die fällig sind, falls der Sollzinssatz die Obergrenze erreicht. </w:t>
      </w:r>
      <w:r>
        <w:rPr>
          <w:rStyle w:val="Satznummer"/>
        </w:rPr>
        <w:t>3</w:t>
      </w:r>
      <w:r>
        <w:t xml:space="preserve">Besteht keine Obergrenze, so bildet der ungünstigste denkbare Verlauf die Höhe der Ratenzahlungen beim höchsten Sollzinssatz der letzten 20 Jahre ab oder – falls die der Berechnung des Sollzinssatzes zugrunde liegenden Daten nur für einen Zeitraum von weniger als 20 Jahren vorliegen – des längsten Zeitraums, für den solche Daten vorliegen, und zwar ausgehend vom Höchststand des jeweiligen externen Referenzsatzes, der gegebenenfalls für die Berechnung des Sollzinssatzes herangezogen wurde oder vom Höchststand eines Benchmarkzinssatzes, der von einer zuständigen Behörde oder der EBA festgesetzt wird, sofern der Kreditgeber keinen externen Referenzsatz verwendet. </w:t>
      </w:r>
      <w:r>
        <w:rPr>
          <w:rStyle w:val="Satznummer"/>
        </w:rPr>
        <w:t>4</w:t>
      </w:r>
      <w:r>
        <w:t xml:space="preserve">Die Anforderung, ein anschauliches Beispiel anzuführen, gilt nicht für Kreditverträge, bei denen ein fester Sollzinssatz für einen konkreten Anfangszeitraum von mindestens fünf Jahren vereinbart wurde, der anschließend nach Verhandlungen zwischen Kreditgeber und Verbraucher für einen weiteren Zeitraum festgelegt werden kann. </w:t>
      </w:r>
      <w:r>
        <w:rPr>
          <w:rStyle w:val="Satznummer"/>
        </w:rPr>
        <w:t>5</w:t>
      </w:r>
      <w:r>
        <w:t>Bei mehrteiligen Krediten (d. h. zugleich zum Teil mit festem und zum Teil mit variablem Zinssatz) sind die entsprechenden Informationen für jeden einzelnen Teil des Kredits und für den Gesamtkredit anzugeben.</w:t>
      </w:r>
    </w:p>
    <w:p>
      <w:pPr>
        <w:tabs>
          <w:tab w:pos="567" w:val="left"/>
        </w:tabs>
        <w:ind w:left="567" w:hanging="567"/>
      </w:pPr>
      <w:r>
        <w:t>(5)</w:t>
      </w:r>
      <w:r>
        <w:tab/>
      </w:r>
      <w:r>
        <w:t xml:space="preserve">(falls zutreffend) Wird der Kredit in einer anderen Währung als der Landeswährung des Verbrauchers bereitgestellt oder ist er auf eine andere Währung als die Landeswährung des Verbrauchers indexiert, verdeutlicht der Kreditgeber – unter Verwendung der Formulierung unter Teil A – anhand eines Zahlenbeispiels, wie sich Änderungen des maßgeblichen Wechselkurses auf die Höhe der Raten auswirken können. </w:t>
      </w:r>
      <w:r>
        <w:rPr>
          <w:rStyle w:val="Satznummer"/>
        </w:rPr>
        <w:t>2</w:t>
      </w:r>
      <w:r>
        <w:t xml:space="preserve">Dieses Beispiel basiert auf einem Kursverlust der Landeswährung des Verbrauchers von 20 % und wird von einem Hinweis an hervorgehobener Stelle begleitet, dass die Raten um mehr als den in diesem Beispiel angenommenen Betrag steigen können. </w:t>
      </w:r>
      <w:r>
        <w:rPr>
          <w:rStyle w:val="Satznummer"/>
        </w:rPr>
        <w:t>3</w:t>
      </w:r>
      <w:r>
        <w:t>Besteht eine Obergrenze, die den Anstieg auf weniger als 20 % begrenzt, so ist stattdessen der Höchstwert der Zahlungen in der Landeswährung des Verbrauchers anzugeben und der Hinweis auf etwaige weitere Anstiege entfällt.</w:t>
      </w:r>
    </w:p>
    <w:p>
      <w:pPr>
        <w:tabs>
          <w:tab w:pos="567" w:val="left"/>
        </w:tabs>
        <w:ind w:left="567" w:hanging="567"/>
      </w:pPr>
      <w:r>
        <w:t>(6)</w:t>
      </w:r>
      <w:r>
        <w:tab/>
      </w:r>
      <w:r>
        <w:t>Handelt es sich bei dem gesamten Kreditvertrag oder einem Teil davon um einen Kreditvertrag mit variablem Zinssatz und kommt ferner Nummer 5 zur Anwendung, so ist das Beispiel nach Nummer 4 auf der Grundlage der Ratenhöhe im Sinne von Nummer 1 anzugeben.</w:t>
      </w:r>
    </w:p>
    <w:p>
      <w:pPr>
        <w:tabs>
          <w:tab w:pos="567" w:val="left"/>
        </w:tabs>
        <w:ind w:left="567" w:hanging="567"/>
      </w:pPr>
      <w:r>
        <w:t>(7)</w:t>
      </w:r>
      <w:r>
        <w:tab/>
      </w:r>
      <w:r>
        <w:t xml:space="preserve">Werden die Raten in einer anderen Währung als der Kreditwährung gezahlt oder hängt die Höhe der einzelnen in der Landeswährung des Verbrauchers ausgedrückten Raten von dem entsprechenden Betrag in einer anderen Währung ab, so sind in diesem Abschnitt der Termin, zu dem der anwendbare Wechselkurs berechnet wurde, sowie entweder der Wechselkurs oder die Grundlage für dessen Berechnung und die Häufigkeit der Anpassung desselben anzugeben. </w:t>
      </w:r>
      <w:r>
        <w:rPr>
          <w:rStyle w:val="Satznummer"/>
        </w:rPr>
        <w:t>2</w:t>
      </w:r>
      <w:r>
        <w:t>Gegebenenfalls ist dabei der Name der den Wechselkurs veröffentlichenden Einrichtung zu nennen.</w:t>
      </w:r>
    </w:p>
    <w:p>
      <w:pPr>
        <w:tabs>
          <w:tab w:pos="567" w:val="left"/>
        </w:tabs>
        <w:ind w:left="567" w:hanging="567"/>
      </w:pPr>
      <w:r>
        <w:t>(8)</w:t>
      </w:r>
      <w:r>
        <w:tab/>
      </w:r>
      <w:r>
        <w:t>Handelt es sich um einen Kredit mit abgegrenztem Zins, bei dem der fällige Zins durch die Raten nicht vollständig zurückbezahlt und zum ausstehenden Gesamtkreditbetrag hinzuaddiert wird, so ist zu erläutern, wie und wann der abgegrenzte Zins als Barbetrag zu dem Kredit hinzuaddiert wird und wie sich dies auf die Restschuld des Verbrauchers auswirkt.</w:t>
      </w:r>
    </w:p>
    <w:p>
      <w:pPr>
        <w:pStyle w:val="Zwischentitel"/>
      </w:pPr>
      <w:r>
        <w:rPr>
          <w:b/>
        </w:rPr>
        <w:t>Abschnitt „7. Beispiel eines Tilgungsplans“</w:t>
      </w:r>
    </w:p>
    <w:p>
      <w:pPr>
        <w:tabs>
          <w:tab w:pos="567" w:val="left"/>
        </w:tabs>
        <w:ind w:left="567" w:hanging="567"/>
      </w:pPr>
      <w:r>
        <w:t>(1)</w:t>
      </w:r>
      <w:r>
        <w:tab/>
      </w:r>
      <w:r>
        <w:t xml:space="preserve">Dieser Abschnitt ist aufzunehmen, falls es sich um einen Kredit mit abgegrenztem Zins handelt, bei dem der fällige Zins durch die Raten nicht vollständig zurückbezahlt und zum ausstehenden Gesamtkreditbetrag hinzuaddiert wird, oder falls der Sollzinssatz für die Laufzeit des Kreditvertrags festgeschrieben ist. </w:t>
      </w:r>
      <w:r>
        <w:rPr>
          <w:rStyle w:val="Satznummer"/>
        </w:rPr>
        <w:t>2</w:t>
      </w:r>
      <w:r>
        <w:t xml:space="preserve">Der Abschnitt ist ferner aufzunehmen, wenn im Kreditvertrag ein Zeitpunkt für die Rückzahlung des Kredits bestimmt werden soll. </w:t>
      </w:r>
      <w:r>
        <w:rPr>
          <w:rStyle w:val="Satznummer"/>
        </w:rPr>
        <w:t>3</w:t>
      </w:r>
      <w:r>
        <w:t>Soll im Kreditvertrag ein Zeitpunkt für die Rückzahlung des Kredits bestimmt werden, ist der Verbraucher darauf hinzuweisen, dass er vom Kreditgeber jederzeit einen Tilgungsplan nach Artikel 247 § 14 des Einführungsgesetzes zum Bürgerlichen Gesetzbuche verlangen kann.</w:t>
      </w:r>
    </w:p>
    <w:p>
      <w:pPr>
        <w:tabs>
          <w:tab w:pos="567" w:val="left"/>
        </w:tabs>
        <w:ind w:left="567" w:hanging="567"/>
      </w:pPr>
      <w:r>
        <w:t>(2)</w:t>
      </w:r>
      <w:r>
        <w:tab/>
      </w:r>
      <w:r>
        <w:t>Kann der Sollzinssatz während der Kreditlaufzeit variieren, so muss der Kreditgeber nach Angabe des Sollzinssatzes den Zeitraum nennen, während dessen der Anfangszinssatz unverändert bleibt, wenn dieser bekannt ist.</w:t>
      </w:r>
    </w:p>
    <w:p>
      <w:pPr>
        <w:tabs>
          <w:tab w:pos="567" w:val="left"/>
        </w:tabs>
        <w:ind w:left="567" w:hanging="567"/>
      </w:pPr>
      <w:r>
        <w:t>(3)</w:t>
      </w:r>
      <w:r>
        <w:tab/>
      </w:r>
      <w:r>
        <w:t>Die Tabelle in diesem Abschnitt muss folgende Spalten enthalten: „Rückzahlungsplan“ (z. B. Monat 1, Monat 2, Monat 3), „Ratenhöhe“, „pro Rate zu zahlende Zinsen“, „sonstige in der Rate enthaltene Kosten“ (falls zutreffend), „pro Rate zurückgezahltes Kapital“ und „nach der jeweiligen Ratenzahlung noch zurückzuzahlendes Kapital“.</w:t>
      </w:r>
    </w:p>
    <w:p>
      <w:pPr>
        <w:tabs>
          <w:tab w:pos="567" w:val="left"/>
        </w:tabs>
        <w:ind w:left="567" w:hanging="567"/>
      </w:pPr>
      <w:r>
        <w:t>(4)</w:t>
      </w:r>
      <w:r>
        <w:tab/>
      </w:r>
      <w:r>
        <w:t xml:space="preserve">Für das erste Jahr der Rückzahlung sind für jede einzelne Ratenzahlung die betreffenden Angaben und für jede einzelne Spalte die Zwischensumme am Ende des ersten Jahres anzugeben. </w:t>
      </w:r>
      <w:r>
        <w:rPr>
          <w:rStyle w:val="Satznummer"/>
        </w:rPr>
        <w:t>2</w:t>
      </w:r>
      <w:r>
        <w:t xml:space="preserve">Für die Folgejahre können die Angaben auf Jahresbasis gemacht werden. </w:t>
      </w:r>
      <w:r>
        <w:rPr>
          <w:rStyle w:val="Satznummer"/>
        </w:rPr>
        <w:t>3</w:t>
      </w:r>
      <w:r>
        <w:t xml:space="preserve">Am Ende der Tabelle ist eine Reihe mit den Gesamtbeträgen für alle Spalten anzufügen. </w:t>
      </w:r>
      <w:r>
        <w:rPr>
          <w:rStyle w:val="Satznummer"/>
        </w:rPr>
        <w:t>4</w:t>
      </w:r>
      <w:r>
        <w:t>Die vom Verbraucher gezahlte Gesamtsumme der Spalte „Höhe der Ratenzahlung“ ist optisch deutlich hervorzuheben und als solche darzustellen.</w:t>
      </w:r>
    </w:p>
    <w:p>
      <w:pPr>
        <w:tabs>
          <w:tab w:pos="567" w:val="left"/>
        </w:tabs>
        <w:ind w:left="567" w:hanging="567"/>
      </w:pPr>
      <w:r>
        <w:t>(5)</w:t>
      </w:r>
      <w:r>
        <w:tab/>
      </w:r>
      <w:r>
        <w:t xml:space="preserve">Ist der Sollzinssatz Gegenstand einer Überprüfung und ist die Ratenhöhe nach einer solchen Überprüfung nicht bekannt, kann der Kreditgeber im Tilgungsplan für die gesamte Kreditlaufzeit dieselbe Ratenhöhe angeben. </w:t>
      </w:r>
      <w:r>
        <w:rPr>
          <w:rStyle w:val="Satznummer"/>
        </w:rPr>
        <w:t>2</w:t>
      </w:r>
      <w:r>
        <w:t xml:space="preserve">In diesem Fall macht der Kreditgeber den Verbraucher darauf aufmerksam, indem er den Unterschied zwischen bereits feststehenden Beträgen und hypothetischen Beträgen optisch verdeutlicht (z. B. durch Schriftgröße, Rahmen oder Schattierung). </w:t>
      </w:r>
      <w:r>
        <w:rPr>
          <w:rStyle w:val="Satznummer"/>
        </w:rPr>
        <w:t>3</w:t>
      </w:r>
      <w:r>
        <w:t>Außerdem ist in leicht verständlicher Form zu erläutern, für welche Zeiträume und aus welchen Gründen sich die in der Tabelle angegebenen Beträge ändern können.</w:t>
      </w:r>
    </w:p>
    <w:p>
      <w:pPr>
        <w:pStyle w:val="Zwischentitel"/>
      </w:pPr>
      <w:r>
        <w:rPr>
          <w:b/>
        </w:rPr>
        <w:t>Abschnitt „8. Zusätzliche Auflagen“</w:t>
      </w:r>
    </w:p>
    <w:p>
      <w:pPr>
        <w:tabs>
          <w:tab w:pos="567" w:val="left"/>
        </w:tabs>
        <w:ind w:left="567" w:hanging="567"/>
      </w:pPr>
      <w:r>
        <w:t>(1)</w:t>
      </w:r>
      <w:r>
        <w:tab/>
      </w:r>
      <w:r>
        <w:t xml:space="preserve">Der Kreditgeber nennt in diesem Abschnitt die mit der Kreditvergabe verbundenen Auflagen, so die Auflage, die Immobilie zu versichern, eine Lebensversicherung abzuschließen, das Gehalt auf ein bei dem Kreditgeber geführtes Konto überweisen zu lassen oder ein anderes Produkt oder eine andere Dienstleistung zu erwerben. </w:t>
      </w:r>
      <w:r>
        <w:rPr>
          <w:rStyle w:val="Satznummer"/>
        </w:rPr>
        <w:t>2</w:t>
      </w:r>
      <w:r>
        <w:t>Für jede dieser Auflagen gibt der Kreditgeber an, wem gegenüber die Verpflichtung besteht und bis wann ihr nachzukommen ist.</w:t>
      </w:r>
    </w:p>
    <w:p>
      <w:pPr>
        <w:tabs>
          <w:tab w:pos="567" w:val="left"/>
        </w:tabs>
        <w:ind w:left="567" w:hanging="567"/>
      </w:pPr>
      <w:r>
        <w:t>(2)</w:t>
      </w:r>
      <w:r>
        <w:tab/>
      </w:r>
      <w:r>
        <w:t xml:space="preserve">Der Kreditgeber gibt die Dauer der Auflage an, z. B. bis zum Ablauf des Kreditvertrags. </w:t>
      </w:r>
      <w:r>
        <w:rPr>
          <w:rStyle w:val="Satznummer"/>
        </w:rPr>
        <w:t>2</w:t>
      </w:r>
      <w:r>
        <w:t>Der Kreditgeber gibt für jede Verpflichtung die dem Verbraucher entstehenden Kosten an, die im effektiven Jahreszins nicht berücksichtigt wurden.</w:t>
      </w:r>
    </w:p>
    <w:p>
      <w:pPr>
        <w:tabs>
          <w:tab w:pos="567" w:val="left"/>
        </w:tabs>
        <w:ind w:left="567" w:hanging="567"/>
      </w:pPr>
      <w:r>
        <w:t>(3)</w:t>
      </w:r>
      <w:r>
        <w:tab/>
      </w:r>
      <w:r>
        <w:t xml:space="preserve">Der Kreditgeber teilt mit, ob der Verbraucher zum Erwerb etwaiger Nebenleistungen verpflichtet ist, um den Kredit zu den genannten Bedingungen zu erhalten, und ob der Verbraucher gegebenenfalls verpflichtet ist, diese vom bevorzugten Anbieter des Kreditgebers zu erwerben oder ob er diese von einem Anbieter seiner Wahl erwerben kann. </w:t>
      </w:r>
      <w:r>
        <w:rPr>
          <w:rStyle w:val="Satznummer"/>
        </w:rPr>
        <w:t>2</w:t>
      </w:r>
      <w:r>
        <w:t>Hängt eine solche Möglichkeit davon ab, dass die Nebenleistungen bestimmte Mindestmerkmale aufweisen, so sind diese in dieser Rubrik zu beschreiben.</w:t>
      </w:r>
    </w:p>
    <w:p>
      <w:pPr>
        <w:ind w:left="567"/>
      </w:pPr>
      <w:r>
        <w:rPr>
          <w:rStyle w:val="Satznummer"/>
        </w:rPr>
        <w:t>3</w:t>
      </w:r>
      <w:r>
        <w:t>Sofern der Kreditvertrag mit anderen Produkten gebündelt angeboten wird, nennt der Kreditgeber die wichtigsten Merkmale dieser anderen Produkte und gibt eindeutig an, ob der Verbraucher das Recht hat, den Kreditvertrag oder die an ihn geknüpften Produkte voneinander getrennt zu kündigen und zu welchen Bedingungen und mit welchen Folgen dies möglich ist sowie gegebenenfalls die möglichen Folgen der Kündigung der in Verbindung mit dem Kreditvertrag vorgeschriebenen Nebenleistungen.</w:t>
      </w:r>
    </w:p>
    <w:p>
      <w:pPr>
        <w:pStyle w:val="Zwischentitel"/>
      </w:pPr>
      <w:r>
        <w:rPr>
          <w:b/>
        </w:rPr>
        <w:t>Abschnitt „9. Vorzeitige Rückzahlung“</w:t>
      </w:r>
    </w:p>
    <w:p>
      <w:pPr>
        <w:tabs>
          <w:tab w:pos="567" w:val="left"/>
        </w:tabs>
        <w:ind w:left="567" w:hanging="567"/>
      </w:pPr>
      <w:r>
        <w:t>(1)</w:t>
      </w:r>
      <w:r>
        <w:tab/>
      </w:r>
      <w:r>
        <w:t>Der Kreditgeber nennt die etwaigen Bedingungen für eine vorzeitige vollständige oder teilweise Rückzahlung des Kredits.</w:t>
      </w:r>
    </w:p>
    <w:p>
      <w:pPr>
        <w:tabs>
          <w:tab w:pos="567" w:val="left"/>
        </w:tabs>
        <w:ind w:left="567" w:hanging="567"/>
      </w:pPr>
      <w:r>
        <w:t>(2)</w:t>
      </w:r>
      <w:r>
        <w:tab/>
      </w:r>
      <w:r>
        <w:t xml:space="preserve">In der Rubrik „Ablöseentschädigung“ weist der Kreditgeber den Verbraucher auf die im Falle einer vorzeitigen Rückzahlung mögliche Vorfälligkeitsentschädigung hin und gibt sofern möglich deren Höhe an. </w:t>
      </w:r>
      <w:r>
        <w:rPr>
          <w:rStyle w:val="Satznummer"/>
        </w:rPr>
        <w:t>2</w:t>
      </w:r>
      <w:r>
        <w:t>Der Kreditgeber erläutert, wie die Vorfälligkeitsentschädigung berechnet wird, und gibt den potenziellen Höchstbetrag der Entschädigung an oder – falls dies nicht möglich ist – macht dem Verbraucher in einem anschaulichen Beispiel deutlich, wie hoch die Entschädigung bei Zugrundelegung unterschiedlicher möglicher Szenarien ausfällt.</w:t>
      </w:r>
    </w:p>
    <w:p>
      <w:pPr>
        <w:pStyle w:val="Zwischentitel"/>
      </w:pPr>
      <w:r>
        <w:rPr>
          <w:b/>
        </w:rPr>
        <w:t>Abschnitt „10. Flexible Merkmale“</w:t>
      </w:r>
    </w:p>
    <w:p>
      <w:pPr>
        <w:tabs>
          <w:tab w:pos="567" w:val="left"/>
        </w:tabs>
        <w:ind w:left="567" w:hanging="567"/>
      </w:pPr>
      <w:r>
        <w:t>(1)</w:t>
      </w:r>
      <w:r>
        <w:tab/>
      </w:r>
      <w:r>
        <w:t>Gegebenenfalls erläutert der Kreditgeber die Möglichkeit und die Bedingungen für die Übertragung des Kredits auf einen anderen Kreditnehmer oder eine andere Immobilie.</w:t>
      </w:r>
    </w:p>
    <w:p>
      <w:pPr>
        <w:tabs>
          <w:tab w:pos="567" w:val="left"/>
        </w:tabs>
        <w:ind w:left="567" w:hanging="567"/>
      </w:pPr>
      <w:r>
        <w:t>(2)</w:t>
      </w:r>
      <w:r>
        <w:tab/>
      </w:r>
      <w:r>
        <w:t>(falls zutreffend) Zusätzliche Merkmale: Wenn Produkte eines der unten unter Nummer 5 aufgelisteten Merkmale enthalten, muss dieser Abschnitt diese Merkmale auflisten und eine knappe Erläuterung der folgenden Punkte enthalten:</w:t>
      </w:r>
    </w:p>
    <w:p>
      <w:pPr>
        <w:tabs>
          <w:tab w:pos="1134" w:val="left"/>
        </w:tabs>
        <w:ind w:left="1134" w:hanging="567"/>
      </w:pPr>
      <w:r>
        <w:t>–</w:t>
      </w:r>
      <w:r>
        <w:tab/>
      </w:r>
      <w:r>
        <w:t>die Bedingungen, unter denen der Verbraucher dieses Merkmal nutzen kann;</w:t>
      </w:r>
    </w:p>
    <w:p>
      <w:pPr>
        <w:tabs>
          <w:tab w:pos="1134" w:val="left"/>
        </w:tabs>
        <w:ind w:left="1134" w:hanging="567"/>
      </w:pPr>
      <w:r>
        <w:t>–</w:t>
      </w:r>
      <w:r>
        <w:tab/>
      </w:r>
      <w:r>
        <w:t>jegliche mit dem Merkmal verbundenen Bedingungen;</w:t>
      </w:r>
    </w:p>
    <w:p>
      <w:pPr>
        <w:tabs>
          <w:tab w:pos="1134" w:val="left"/>
        </w:tabs>
        <w:ind w:left="1134" w:hanging="567"/>
      </w:pPr>
      <w:r>
        <w:t>–</w:t>
      </w:r>
      <w:r>
        <w:tab/>
      </w:r>
      <w:r>
        <w:t>ob gewöhnlich mit dem Merkmal verbundene gesetzliche oder andere Schutzvorkehrungen für den Verbraucher wegfallen, wenn das Merkmal Bestandteil des durch eine Hypothek oder vergleichbare Sicherheit gesicherten Kredits ist, und</w:t>
      </w:r>
    </w:p>
    <w:p>
      <w:pPr>
        <w:tabs>
          <w:tab w:pos="1134" w:val="left"/>
        </w:tabs>
        <w:ind w:left="1134" w:hanging="567"/>
      </w:pPr>
      <w:r>
        <w:t>–</w:t>
      </w:r>
      <w:r>
        <w:tab/>
      </w:r>
      <w:r>
        <w:t>die Firma, die das Merkmal anbietet (sofern mit dem Kreditgeber nicht identisch).</w:t>
      </w:r>
    </w:p>
    <w:p>
      <w:pPr>
        <w:tabs>
          <w:tab w:pos="567" w:val="left"/>
        </w:tabs>
        <w:ind w:left="567" w:hanging="567"/>
      </w:pPr>
      <w:r>
        <w:t>(3)</w:t>
      </w:r>
      <w:r>
        <w:tab/>
      </w:r>
      <w:r>
        <w:t xml:space="preserve">Wenn das Merkmal zusätzliche Kredite umfasst, müssen dem Verbraucher in diesem Abschnitt die folgenden Punkte erläutert werden: der Gesamtkreditbetrag (einschließlich des Kredits, der durch die Hypothek oder vergleichbare Sicherheit gesichert ist); ob der zusätzliche Kredit besichert ist; die entsprechenden Sollzinssätze und ob er einer Regulierung unterliegt. </w:t>
      </w:r>
      <w:r>
        <w:rPr>
          <w:rStyle w:val="Satznummer"/>
        </w:rPr>
        <w:t>2</w:t>
      </w:r>
      <w:r>
        <w:t>Dieser zusätzliche Kreditbetrag ist entweder im Rahmen der ursprünglichen Kreditwürdigkeitsprüfung enthalten oder – wenn dies nicht der Fall ist – es wird in diesem Abschnitt klargestellt, dass die Verfügbarkeit des zusätzlichen Betrags von einer weiteren Prüfung der Fähigkeit des Verbrauchers, den Kredit zurückzuzahlen, abhängt.</w:t>
      </w:r>
    </w:p>
    <w:p>
      <w:pPr>
        <w:tabs>
          <w:tab w:pos="567" w:val="left"/>
        </w:tabs>
        <w:ind w:left="567" w:hanging="567"/>
      </w:pPr>
      <w:r>
        <w:t>(4)</w:t>
      </w:r>
      <w:r>
        <w:tab/>
      </w:r>
      <w:r>
        <w:t>Wenn das Merkmal einen Träger für Spareinlagen umfasst, sind die entsprechenden Zinssätze zu erläutern.</w:t>
      </w:r>
    </w:p>
    <w:p>
      <w:pPr>
        <w:tabs>
          <w:tab w:pos="567" w:val="left"/>
        </w:tabs>
        <w:ind w:left="567" w:hanging="567"/>
      </w:pPr>
      <w:r>
        <w:t>(5)</w:t>
      </w:r>
      <w:r>
        <w:tab/>
      </w:r>
      <w:r>
        <w:t>Die möglichen weiteren Merkmale sind:</w:t>
      </w:r>
    </w:p>
    <w:p>
      <w:pPr>
        <w:tabs>
          <w:tab w:pos="1134" w:val="left"/>
        </w:tabs>
        <w:ind w:left="1134" w:hanging="567"/>
      </w:pPr>
      <w:r>
        <w:t>–</w:t>
      </w:r>
      <w:r>
        <w:tab/>
      </w:r>
      <w:r>
        <w:t>„Überzahlungen/Unterzahlungen“ [es wird mehr oder weniger zurückgezahlt als die im Rahmen der Amortisationsstruktur vereinbarte normale Rate];</w:t>
      </w:r>
    </w:p>
    <w:p>
      <w:pPr>
        <w:tabs>
          <w:tab w:pos="1134" w:val="left"/>
        </w:tabs>
        <w:ind w:left="1134" w:hanging="567"/>
      </w:pPr>
      <w:r>
        <w:t>–</w:t>
      </w:r>
      <w:r>
        <w:tab/>
      </w:r>
      <w:r>
        <w:t>„Zahlungsunterbrechungen“ [Zeiträume, während denen der Verbraucher keine Zahlungen leisten muss];</w:t>
      </w:r>
    </w:p>
    <w:p>
      <w:pPr>
        <w:tabs>
          <w:tab w:pos="1134" w:val="left"/>
        </w:tabs>
        <w:ind w:left="1134" w:hanging="567"/>
      </w:pPr>
      <w:r>
        <w:t>–</w:t>
      </w:r>
      <w:r>
        <w:tab/>
      </w:r>
      <w:r>
        <w:t>„Rückdarlehen“ [Möglichkeit für den Verbraucher, Beträge, die bereits in Anspruch genommen und zurückbezahlt wurden, erneut aufzunehmen];</w:t>
      </w:r>
    </w:p>
    <w:p>
      <w:pPr>
        <w:tabs>
          <w:tab w:pos="1134" w:val="left"/>
        </w:tabs>
        <w:ind w:left="1134" w:hanging="567"/>
      </w:pPr>
      <w:r>
        <w:t>–</w:t>
      </w:r>
      <w:r>
        <w:tab/>
      </w:r>
      <w:r>
        <w:t>„verfügbare zusätzliche Kreditaufnahme ohne weitere Genehmigung“;</w:t>
      </w:r>
    </w:p>
    <w:p>
      <w:pPr>
        <w:tabs>
          <w:tab w:pos="1134" w:val="left"/>
        </w:tabs>
        <w:ind w:left="1134" w:hanging="567"/>
      </w:pPr>
      <w:r>
        <w:t>–</w:t>
      </w:r>
      <w:r>
        <w:tab/>
      </w:r>
      <w:r>
        <w:t>„zusätzliche besicherte oder unbesicherte Kreditaufnahme [in Übereinstimmung mit Nummer 3 oben] „Kreditkarte“;</w:t>
      </w:r>
    </w:p>
    <w:p>
      <w:pPr>
        <w:tabs>
          <w:tab w:pos="1134" w:val="left"/>
        </w:tabs>
        <w:ind w:left="1134" w:hanging="567"/>
      </w:pPr>
      <w:r>
        <w:t>–</w:t>
      </w:r>
      <w:r>
        <w:tab/>
      </w:r>
      <w:r>
        <w:t>„damit verbundenes Girokonto“ sowie</w:t>
      </w:r>
    </w:p>
    <w:p>
      <w:pPr>
        <w:tabs>
          <w:tab w:pos="1134" w:val="left"/>
        </w:tabs>
        <w:ind w:left="1134" w:hanging="567"/>
      </w:pPr>
      <w:r>
        <w:t>–</w:t>
      </w:r>
      <w:r>
        <w:tab/>
      </w:r>
      <w:r>
        <w:t>„damit verbundenes Sparkonto“.</w:t>
      </w:r>
    </w:p>
    <w:p>
      <w:pPr>
        <w:tabs>
          <w:tab w:pos="567" w:val="left"/>
        </w:tabs>
        <w:ind w:left="567" w:hanging="567"/>
      </w:pPr>
      <w:r>
        <w:t>(6)</w:t>
      </w:r>
      <w:r>
        <w:tab/>
      </w:r>
      <w:r>
        <w:t>Der Kreditgeber kann alle weiteren Merkmale erläutern, die er als Teil des Kreditvertrags anbietet und die nicht in den vorausgehenden Abschnitten genannt sind.</w:t>
      </w:r>
    </w:p>
    <w:p>
      <w:pPr>
        <w:pStyle w:val="Zwischentitel"/>
      </w:pPr>
      <w:r>
        <w:rPr>
          <w:b/>
        </w:rPr>
        <w:t>Abschnitt „11. Sonstige Rechte des Kreditnehmers“</w:t>
      </w:r>
    </w:p>
    <w:p>
      <w:pPr>
        <w:tabs>
          <w:tab w:pos="567" w:val="left"/>
        </w:tabs>
        <w:ind w:left="567" w:hanging="567"/>
      </w:pPr>
      <w:r>
        <w:t>(1)</w:t>
      </w:r>
      <w:r>
        <w:tab/>
      </w:r>
      <w:r>
        <w:t>Der Kreditgeber weist auf die bestehenden Rechte hin wie etwa ein Recht auf Widerruf oder Bedenkzeit oder gegebenenfalls andere Rechte wie etwa ein Recht auf Übertragbarkeit (einschließlich Abtretung), spezifiziert die Voraussetzungen für ihre Ausübung, die bei ihrer Ausübung vom Verbraucher einzuhaltenden Verfahren – unter anderem die Adresse, an die die Mitteilung über den Widerruf zu richten ist – sowie die entsprechenden Gebühren (falls zutreffend).</w:t>
      </w:r>
    </w:p>
    <w:p>
      <w:pPr>
        <w:tabs>
          <w:tab w:pos="567" w:val="left"/>
        </w:tabs>
        <w:ind w:left="567" w:hanging="567"/>
      </w:pPr>
      <w:r>
        <w:t>(2)</w:t>
      </w:r>
      <w:r>
        <w:tab/>
      </w:r>
      <w:r>
        <w:t xml:space="preserve">Falls der Verbraucher ein Recht auf Bedenkzeit oder Widerruf hat, so wird deutlich darauf hingewiesen. </w:t>
      </w:r>
      <w:r>
        <w:rPr>
          <w:rStyle w:val="Satznummer"/>
        </w:rPr>
        <w:t>2</w:t>
      </w:r>
      <w:r>
        <w:t>Bei einem Widerrufsrecht nach § 495 des Bürgerlichen Gesetzbuchs kann für die Information zu dem „Zeitpunkt, zu dem die Frist beginnt“, die Formulierung aus Satz 2 (gegebenenfalls mit Gestaltungshinweis [2]) des Musters in Anlage 8 zu Artikel 247 § 6 Absatz 2 und Artikel 247 § 12 Absatz 1 des Einführungsgesetzes zum Bürgerlichen Gesetzbuche verwandt werden.</w:t>
      </w:r>
    </w:p>
    <w:p>
      <w:pPr>
        <w:tabs>
          <w:tab w:pos="567" w:val="left"/>
        </w:tabs>
        <w:ind w:left="567" w:hanging="567"/>
      </w:pPr>
      <w:r>
        <w:t>(3)</w:t>
      </w:r>
      <w:r>
        <w:tab/>
      </w:r>
      <w:r>
        <w:t>Wird der Kreditvertrag im Rahmen eines Fernabsatzgeschäfts angeboten und besteht kein Widerrufsrecht nach § 495 des Bürgerlichen Gesetzbuchs, ist der Verbraucher darüber zu unterrichten, ob er über ein Widerrufsrecht nach § 312g des Bürgerlichen Gesetzbuchs verfügt oder nicht.</w:t>
      </w:r>
    </w:p>
    <w:p>
      <w:pPr>
        <w:pStyle w:val="Zwischentitel"/>
      </w:pPr>
      <w:r>
        <w:rPr>
          <w:b/>
        </w:rPr>
        <w:t>Abschnitt „12. Beschwerden“</w:t>
      </w:r>
    </w:p>
    <w:p>
      <w:pPr>
        <w:tabs>
          <w:tab w:pos="567" w:val="left"/>
        </w:tabs>
        <w:ind w:left="567" w:hanging="567"/>
      </w:pPr>
      <w:r>
        <w:t>(1)</w:t>
      </w:r>
      <w:r>
        <w:tab/>
      </w:r>
      <w:r>
        <w:t>In diesem Abschnitt werden die interne Kontaktstelle [Bezeichnung der einschlägigen Abteilung] und ein Weg zur Kontaktaufnahme mit dieser Beschwerdestelle [Anschrift] oder [Telefonnummer] oder [eine Kontaktperson] [Kontaktangaben] sowie ein Link zu einem Beschwerdeverfahren auf der entsprechenden Seite einer Website oder ähnlichen Informationsquelle angegeben.</w:t>
      </w:r>
    </w:p>
    <w:p>
      <w:pPr>
        <w:tabs>
          <w:tab w:pos="567" w:val="left"/>
        </w:tabs>
        <w:ind w:left="567" w:hanging="567"/>
      </w:pPr>
      <w:r>
        <w:t>(2)</w:t>
      </w:r>
      <w:r>
        <w:tab/>
      </w:r>
      <w:r>
        <w:t>Es wird der Name der externen Stelle für außergerichtliche Beschwerde- und Rechtsbehelfsverfahren angegeben und – falls die Nutzung des internen Beschwerdeverfahrens eine Voraussetzung für den Zugang zu dieser Stelle ist – wird unter Verwendung der Formulierung in Teil A auf diesen Umstand hingewiesen.</w:t>
      </w:r>
    </w:p>
    <w:p>
      <w:pPr>
        <w:tabs>
          <w:tab w:pos="567" w:val="left"/>
        </w:tabs>
        <w:ind w:left="567" w:hanging="567"/>
      </w:pPr>
      <w:r>
        <w:t>(3)</w:t>
      </w:r>
      <w:r>
        <w:tab/>
      </w:r>
      <w:r>
        <w:t>Bei Kreditverträgen mit einem Verbraucher, der seinen Wohnsitz in einem anderen Mitgliedstaat hat, macht der Kreditgeber diesen auf das FIN-NET aufmerksam (http://ec.europa.eu/internal_market/fin-net/).</w:t>
      </w:r>
    </w:p>
    <w:p>
      <w:pPr>
        <w:pStyle w:val="Zwischentitel"/>
      </w:pPr>
      <w:r>
        <w:rPr>
          <w:b/>
        </w:rPr>
        <w:t>Abschnitt „13. Nichteinhaltung der aus dem Kreditvertrag</w:t>
      </w:r>
      <w:r>
        <w:br/>
      </w:r>
      <w:r>
        <w:rPr>
          <w:b/>
        </w:rPr>
        <w:t>erwachsenden Verpflichtungen: Konsequenzen für den Kreditnehmer“</w:t>
      </w:r>
    </w:p>
    <w:p>
      <w:pPr>
        <w:tabs>
          <w:tab w:pos="567" w:val="left"/>
        </w:tabs>
        <w:ind w:left="567" w:hanging="567"/>
      </w:pPr>
      <w:r>
        <w:t>(1)</w:t>
      </w:r>
      <w:r>
        <w:tab/>
      </w:r>
      <w:r>
        <w:t>Kann die Nichteinhaltung einer aus dem Kredit erwachsenden Verpflichtung durch den Verbraucher für diesen finanzielle oder rechtliche Konsequenzen haben, erläutert der Kreditgeber in diesem Abschnitt die wichtigsten Fälle (z. B. Zahlungsverzug/Zahlungsausfall, Nichteinhaltung der in Abschnitt 8 – „Zusätzliche Auflagen“ – genannten Verpflichtungen) und gibt an, wo weitere Informationen hierzu eingeholt werden können.</w:t>
      </w:r>
    </w:p>
    <w:p>
      <w:pPr>
        <w:tabs>
          <w:tab w:pos="567" w:val="left"/>
        </w:tabs>
        <w:ind w:left="567" w:hanging="567"/>
      </w:pPr>
      <w:r>
        <w:t>(2)</w:t>
      </w:r>
      <w:r>
        <w:tab/>
      </w:r>
      <w:r>
        <w:t xml:space="preserve">Der Kreditgeber gibt für jeden dieser Fälle in klarer, leicht verständlicher Form an, welche Sanktionen oder Konsequenzen daraus erwachsen können. </w:t>
      </w:r>
      <w:r>
        <w:rPr>
          <w:rStyle w:val="Satznummer"/>
        </w:rPr>
        <w:t>2</w:t>
      </w:r>
      <w:r>
        <w:t>Hinweise auf schwerwiegende Konsequenzen sind optisch hervorzuheben.</w:t>
      </w:r>
    </w:p>
    <w:p>
      <w:pPr>
        <w:tabs>
          <w:tab w:pos="567" w:val="left"/>
        </w:tabs>
        <w:ind w:left="567" w:hanging="567"/>
      </w:pPr>
      <w:r>
        <w:t>(3)</w:t>
      </w:r>
      <w:r>
        <w:tab/>
      </w:r>
      <w:r>
        <w:t>Kann die zur Besicherung des Kredits verwendete Immobilie an den Kreditgeber zurückgegeben oder übertragen werden, falls der Verbraucher seinen Verpflichtungen nicht nachkommt, so ist in diesem Abschnitt unter Verwendung der Formulierung in Teil A auf diesen Umstand hinzuweisen.</w:t>
      </w:r>
    </w:p>
    <w:p>
      <w:pPr>
        <w:pStyle w:val="Zwischentitel"/>
      </w:pPr>
      <w:r>
        <w:rPr>
          <w:b/>
        </w:rPr>
        <w:t>Abschnitt „14. Weitere Angaben“</w:t>
      </w:r>
    </w:p>
    <w:p>
      <w:pPr>
        <w:tabs>
          <w:tab w:pos="567" w:val="left"/>
        </w:tabs>
        <w:ind w:left="567" w:hanging="567"/>
      </w:pPr>
      <w:r>
        <w:t>(1)</w:t>
      </w:r>
      <w:r>
        <w:tab/>
      </w:r>
      <w:r>
        <w:t>Im Falle von im Fernabsatz geschlossenen Verträgen enthält dieser Abschnitt sämtliche Angaben zu dem auf den Kreditvertrag anwendbaren Recht oder zur zuständigen Gerichtsbarkeit.</w:t>
      </w:r>
    </w:p>
    <w:p>
      <w:pPr>
        <w:tabs>
          <w:tab w:pos="567" w:val="left"/>
        </w:tabs>
        <w:ind w:left="567" w:hanging="567"/>
      </w:pPr>
      <w:r>
        <w:t>(2)</w:t>
      </w:r>
      <w:r>
        <w:tab/>
      </w:r>
      <w:r>
        <w:t xml:space="preserve">Beabsichtigt der Kreditgeber, während der Vertragslaufzeit mit dem Verbraucher in einer anderen Sprache als der des ESIS-Merkblatts zu kommunizieren, wird dies ebenfalls erwähnt und die Sprache angegeben, in der kommuniziert werden soll. </w:t>
      </w:r>
      <w:r>
        <w:rPr>
          <w:rStyle w:val="Satznummer"/>
        </w:rPr>
        <w:t>2</w:t>
      </w:r>
      <w:r>
        <w:t>Die Verpflichtung zur vorvertraglichen Information bei Fernabsatzverträgen über die verwendete Sprache gemäß § 312d des Bürgerlichen Gesetzbuchs und Artikel 246b § 1 Absatz 1 Nummer 21 des Einführungsgesetzes zum Bürgerlichen Gesetzbuche bleibt hiervon unberührt.</w:t>
      </w:r>
    </w:p>
    <w:p>
      <w:pPr>
        <w:tabs>
          <w:tab w:pos="567" w:val="left"/>
        </w:tabs>
        <w:ind w:left="567" w:hanging="567"/>
      </w:pPr>
      <w:r>
        <w:t>(3)</w:t>
      </w:r>
      <w:r>
        <w:tab/>
      </w:r>
      <w:r>
        <w:t>Der Kreditgeber oder der Kreditvermittler weisen auf das Recht des Verbrauchers hin, dass er gegebenenfalls zumindest zum Zeitpunkt der Vorlage eines für den Kreditgeber verbindlichen Angebots eine Ausfertigung des Kreditvertragsentwurfs erhält oder ihm dies angeboten wird.</w:t>
      </w:r>
    </w:p>
    <w:p>
      <w:pPr>
        <w:pStyle w:val="Zwischentitel"/>
      </w:pPr>
      <w:r>
        <w:rPr>
          <w:b/>
        </w:rPr>
        <w:t>Abschnitt „15. Aufsichtsbehörde“</w:t>
      </w:r>
    </w:p>
    <w:p>
      <w:r>
        <w:t>Es sind die Behörden anzugeben, die für die Überwachung des vorvertraglichen Stadiums der Kreditvergabe zuständig sind.</w:t>
      </w:r>
    </w:p>
    <w:p>
      <w:pPr>
        <w:pStyle w:val="Heading3"/>
      </w:pPr>
      <w:bookmarkStart w:id="506" w:name="b505"/>
      <w:r>
        <w:t>Anlage 7 (zu Artikel 247 § 6 Absatz 2 und § 12 Absatz 1)Muster für eine Widerrufsinformation für Allgemein-Verbraucherdarlehensverträge</w:t>
      </w:r>
      <w:bookmarkEnd w:id="506"/>
    </w:p>
    <w:p>
      <w:r>
        <w:rPr>
          <w:color w:val="404040"/>
          <w:sz w:val="21"/>
        </w:rPr>
        <w:t>(Fundstelle: BGBl. I 2021, 1682 - 1686;</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7"/>
      </w:tblPr>
      <w:tblGrid>
        <w:gridCol w:w="3135"/>
        <w:gridCol w:w="3135"/>
        <w:gridCol w:w="3135"/>
      </w:tblGrid>
      <w:tr>
        <w:trPr>
          <w:cantSplit/>
        </w:trPr>
        <w:tc>
          <w:tcPr>
            <w:tcW w:type="dxa" w:w="9405"/>
            <w:gridSpan w:val="3"/>
          </w:tcPr>
          <w:p>
            <w:r>
              <w:rPr>
                <w:b/>
              </w:rPr>
              <w:t>Widerrufsinformation</w:t>
            </w:r>
          </w:p>
        </w:tc>
      </w:tr>
      <w:tr>
        <w:trPr>
          <w:cantSplit/>
        </w:trPr>
        <w:tc>
          <w:tcPr>
            <w:tcW w:type="dxa" w:w="9405"/>
            <w:gridSpan w:val="3"/>
          </w:tcPr>
          <w:p>
            <w:r>
              <w:rPr>
                <w:b/>
              </w:rPr>
              <w:t>Abschnitt 1</w:t>
            </w:r>
            <w:r>
              <w:br/>
            </w:r>
            <w:r>
              <w:rPr>
                <w:b/>
              </w:rPr>
              <w:t>Widerrufsrecht</w:t>
            </w:r>
          </w:p>
        </w:tc>
      </w:tr>
      <w:tr>
        <w:trPr>
          <w:cantSplit/>
        </w:trPr>
        <w:tc>
          <w:tcPr>
            <w:tcW w:type="dxa" w:w="9405"/>
            <w:gridSpan w:val="3"/>
          </w:tcPr>
          <w:p>
            <w:r>
              <w:rPr>
                <w:b/>
              </w:rPr>
              <w:t>Der Darlehensnehmer*</w:t>
            </w:r>
            <w:r>
              <w:t xml:space="preserve"> kann seine Vertragserklärung </w:t>
            </w:r>
            <w:r>
              <w:rPr>
                <w:b/>
              </w:rPr>
              <w:t>innerhalb von 14 Tagen ohne Angabe von Gründen widerrufen</w:t>
            </w:r>
            <w:r>
              <w:t>.</w:t>
            </w:r>
          </w:p>
        </w:tc>
      </w:tr>
      <w:tr>
        <w:trPr>
          <w:cantSplit/>
        </w:trPr>
        <w:tc>
          <w:tcPr>
            <w:tcW w:type="dxa" w:w="9405"/>
            <w:gridSpan w:val="3"/>
          </w:tcPr>
          <w:p>
            <w:r>
              <w:t xml:space="preserve">Die Frist </w:t>
            </w:r>
            <w:r>
              <w:rPr>
                <w:b/>
              </w:rPr>
              <w:t>beginnt nach Abschluss des Vertrags, aber erst</w:t>
            </w:r>
            <w:r>
              <w:t xml:space="preserve">, nachdem der Darlehensnehmer </w:t>
            </w:r>
            <w:r>
              <w:rPr>
                <w:b/>
              </w:rPr>
              <w:t>alle nachstehend unter Abschnitt 2 aufgeführten Pflichtangaben erhalten</w:t>
            </w:r>
            <w:r>
              <w:t xml:space="preserve"> hat. Der Darlehensnehmer hat alle Pflichtangaben erhalten, wenn sie in der für den Darlehensnehmer bestimmten Ausfertigung seines Antrags oder in der für den Darlehensnehmer bestimmten Ausfertigung der Vertragsurkunde oder in einer für den Darlehensnehmer bestimmten Abschrift seines Antrags oder der Vertragsurkunde enthalten sind und dem Darlehensnehmer eine solche Unterlage zur Verfügung gestellt worden ist. Über in den Vertragstext nicht aufgenommene Pflichtangaben kann der Darlehensnehmer nachträglich auf einem dauerhaften Datenträger informiert werden; die Widerrufsfrist beträgt dann einen Monat. Der Darlehensnehmer ist mit den nachgeholten Pflichtangaben nochmals auf den Beginn der Widerrufsfrist hinzuweisen.</w:t>
            </w:r>
            <w:r>
              <w:rPr>
                <w:b/>
              </w:rPr>
              <w:t>Zur Wahrung der Widerrufsfrist genügt die rechtzeitige Absendung des Widerrufs</w:t>
            </w:r>
            <w:r>
              <w:t>, wenn die Erklärung auf einem dauerhaften Datenträger (z. B. Brief, Telefax, E-Mail) erfolgt. Der Widerruf ist zu richten an:</w:t>
            </w: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r>
        <w:trPr>
          <w:cantSplit/>
        </w:trPr>
        <w:tc>
          <w:tcPr>
            <w:tcW w:type="dxa" w:w="9405"/>
            <w:gridSpan w:val="3"/>
          </w:tcPr>
          <w:p>
            <w:r>
              <w:rPr>
                <w:b/>
              </w:rPr>
              <w:t>Abschnitt 2</w:t>
            </w:r>
            <w:r>
              <w:br/>
            </w:r>
            <w:r>
              <w:rPr>
                <w:b/>
              </w:rPr>
              <w:t>Für den Beginn der Widerrufsfrist erforderliche vertragliche Pflichtangaben</w:t>
            </w:r>
          </w:p>
        </w:tc>
      </w:tr>
      <w:tr>
        <w:trPr>
          <w:cantSplit/>
        </w:trPr>
        <w:tc>
          <w:tcPr>
            <w:tcW w:type="dxa" w:w="9405"/>
            <w:gridSpan w:val="3"/>
          </w:tcPr>
          <w:p>
            <w:r>
              <w:t>Die Pflichtangaben nach Abschnitt 1 Satz 2 umfassen:</w:t>
            </w:r>
          </w:p>
        </w:tc>
      </w:tr>
      <w:tr>
        <w:trPr>
          <w:cantSplit/>
        </w:trPr>
        <w:tc>
          <w:tcPr>
            <w:tcW w:type="dxa" w:w="3135"/>
          </w:tcPr>
          <w:p/>
        </w:tc>
        <w:tc>
          <w:tcPr>
            <w:tcW w:type="dxa" w:w="3135"/>
          </w:tcPr>
          <w:p>
            <w:r>
              <w:t xml:space="preserve"> 1.</w:t>
            </w:r>
          </w:p>
        </w:tc>
        <w:tc>
          <w:tcPr>
            <w:tcW w:type="dxa" w:w="3135"/>
          </w:tcPr>
          <w:p>
            <w:r>
              <w:t>den Namen und die Anschrift des Darlehensgebers und des Darlehensnehmers;</w:t>
            </w:r>
          </w:p>
        </w:tc>
      </w:tr>
      <w:tr>
        <w:trPr>
          <w:cantSplit/>
        </w:trPr>
        <w:tc>
          <w:tcPr>
            <w:tcW w:type="dxa" w:w="3135"/>
          </w:tcPr>
          <w:p/>
        </w:tc>
        <w:tc>
          <w:tcPr>
            <w:tcW w:type="dxa" w:w="3135"/>
          </w:tcPr>
          <w:p>
            <w:r>
              <w:t xml:space="preserve"> 2.</w:t>
            </w:r>
          </w:p>
        </w:tc>
        <w:tc>
          <w:tcPr>
            <w:tcW w:type="dxa" w:w="3135"/>
          </w:tcPr>
          <w:p>
            <w:r>
              <w:t>die Art des Darlehens;</w:t>
            </w:r>
          </w:p>
        </w:tc>
      </w:tr>
      <w:tr>
        <w:trPr>
          <w:cantSplit/>
        </w:trPr>
        <w:tc>
          <w:tcPr>
            <w:tcW w:type="dxa" w:w="3135"/>
          </w:tcPr>
          <w:p/>
        </w:tc>
        <w:tc>
          <w:tcPr>
            <w:tcW w:type="dxa" w:w="3135"/>
          </w:tcPr>
          <w:p>
            <w:r>
              <w:t xml:space="preserve"> 3.</w:t>
            </w:r>
          </w:p>
        </w:tc>
        <w:tc>
          <w:tcPr>
            <w:tcW w:type="dxa" w:w="3135"/>
          </w:tcPr>
          <w:p>
            <w:r>
              <w:t>den Nettodarlehensbetrag;</w:t>
            </w:r>
          </w:p>
        </w:tc>
      </w:tr>
      <w:tr>
        <w:trPr>
          <w:cantSplit/>
        </w:trPr>
        <w:tc>
          <w:tcPr>
            <w:tcW w:type="dxa" w:w="3135"/>
          </w:tcPr>
          <w:p/>
        </w:tc>
        <w:tc>
          <w:tcPr>
            <w:tcW w:type="dxa" w:w="3135"/>
          </w:tcPr>
          <w:p>
            <w:r>
              <w:t xml:space="preserve"> 4.</w:t>
            </w:r>
          </w:p>
        </w:tc>
        <w:tc>
          <w:tcPr>
            <w:tcW w:type="dxa" w:w="3135"/>
          </w:tcPr>
          <w:p>
            <w:r>
              <w:t>den effektiven Jahreszins;</w:t>
            </w:r>
          </w:p>
        </w:tc>
      </w:tr>
      <w:tr>
        <w:trPr>
          <w:cantSplit/>
        </w:trPr>
        <w:tc>
          <w:tcPr>
            <w:tcW w:type="dxa" w:w="3135"/>
          </w:tcPr>
          <w:p/>
        </w:tc>
        <w:tc>
          <w:tcPr>
            <w:tcW w:type="dxa" w:w="3135"/>
          </w:tcPr>
          <w:p>
            <w:r>
              <w:t xml:space="preserve"> 5.</w:t>
            </w:r>
          </w:p>
        </w:tc>
        <w:tc>
          <w:tcPr>
            <w:tcW w:type="dxa" w:w="3135"/>
          </w:tcPr>
          <w:p>
            <w:r>
              <w:t>den Gesamtbetrag;</w:t>
            </w:r>
          </w:p>
        </w:tc>
      </w:tr>
      <w:tr>
        <w:trPr>
          <w:cantSplit/>
        </w:trPr>
        <w:tc>
          <w:tcPr>
            <w:tcW w:type="dxa" w:w="3135"/>
          </w:tcPr>
          <w:p/>
        </w:tc>
        <w:tc>
          <w:tcPr>
            <w:tcW w:type="dxa" w:w="3135"/>
          </w:tcPr>
          <w:p/>
        </w:tc>
        <w:tc>
          <w:tcPr>
            <w:tcW w:type="dxa" w:w="3135"/>
          </w:tcPr>
          <w:p>
            <w:r>
              <w:t>Zu den Nummern 4 und 5: Die Angabe des effektiven Jahreszinses und des Gesamtbetrags hat unter Angabe der Annahmen zu erfolgen, die zum Zeitpunkt des Abschlusses des Vertrags bekannt sind und die in die Berechnung des effektiven Jahreszinses einfließen.</w:t>
            </w:r>
          </w:p>
        </w:tc>
      </w:tr>
      <w:tr>
        <w:trPr>
          <w:cantSplit/>
        </w:trPr>
        <w:tc>
          <w:tcPr>
            <w:tcW w:type="dxa" w:w="3135"/>
          </w:tcPr>
          <w:p/>
        </w:tc>
        <w:tc>
          <w:tcPr>
            <w:tcW w:type="dxa" w:w="3135"/>
          </w:tcPr>
          <w:p>
            <w:r>
              <w:t xml:space="preserve"> 6.</w:t>
            </w:r>
          </w:p>
        </w:tc>
        <w:tc>
          <w:tcPr>
            <w:tcW w:type="dxa" w:w="3135"/>
          </w:tcPr>
          <w:p>
            <w:r>
              <w:t>den Sollzinssatz;</w:t>
            </w:r>
          </w:p>
        </w:tc>
      </w:tr>
      <w:tr>
        <w:trPr>
          <w:cantSplit/>
        </w:trPr>
        <w:tc>
          <w:tcPr>
            <w:tcW w:type="dxa" w:w="3135"/>
          </w:tcPr>
          <w:p/>
        </w:tc>
        <w:tc>
          <w:tcPr>
            <w:tcW w:type="dxa" w:w="3135"/>
          </w:tcPr>
          <w:p/>
        </w:tc>
        <w:tc>
          <w:tcPr>
            <w:tcW w:type="dxa" w:w="3135"/>
          </w:tcPr>
          <w:p>
            <w:r>
              <w:t>Die Angabe zum Sollzinssatz muss die Bedingungen und den Zeitraum für seine Anwendung sowie die Art und Weise seiner Anpassung enthalten. Ist der Sollzinssatz von einem Index oder Referenzzinssatz abhängig, so sind diese anzugeben. Sieht der Darlehensvertrag mehrere Sollzinssätze vor, so sind die Angaben für alle Sollzinssätze zu erteilen.</w:t>
            </w:r>
          </w:p>
        </w:tc>
      </w:tr>
      <w:tr>
        <w:trPr>
          <w:cantSplit/>
        </w:trPr>
        <w:tc>
          <w:tcPr>
            <w:tcW w:type="dxa" w:w="3135"/>
          </w:tcPr>
          <w:p/>
        </w:tc>
        <w:tc>
          <w:tcPr>
            <w:tcW w:type="dxa" w:w="3135"/>
          </w:tcPr>
          <w:p>
            <w:r>
              <w:t xml:space="preserve"> 7.</w:t>
            </w:r>
          </w:p>
        </w:tc>
        <w:tc>
          <w:tcPr>
            <w:tcW w:type="dxa" w:w="3135"/>
          </w:tcPr>
          <w:p>
            <w:r>
              <w:t>die Vertragslaufzeit;</w:t>
            </w:r>
          </w:p>
        </w:tc>
      </w:tr>
      <w:tr>
        <w:trPr>
          <w:cantSplit/>
        </w:trPr>
        <w:tc>
          <w:tcPr>
            <w:tcW w:type="dxa" w:w="3135"/>
          </w:tcPr>
          <w:p/>
        </w:tc>
        <w:tc>
          <w:tcPr>
            <w:tcW w:type="dxa" w:w="3135"/>
          </w:tcPr>
          <w:p>
            <w:r>
              <w:t xml:space="preserve"> 8.</w:t>
            </w:r>
          </w:p>
        </w:tc>
        <w:tc>
          <w:tcPr>
            <w:tcW w:type="dxa" w:w="3135"/>
          </w:tcPr>
          <w:p>
            <w:r>
              <w:t>den Betrag, die Zahl und die Fälligkeit der einzelnen Teilzahlungen;</w:t>
            </w:r>
          </w:p>
        </w:tc>
      </w:tr>
      <w:tr>
        <w:trPr>
          <w:cantSplit/>
        </w:trPr>
        <w:tc>
          <w:tcPr>
            <w:tcW w:type="dxa" w:w="3135"/>
          </w:tcPr>
          <w:p/>
        </w:tc>
        <w:tc>
          <w:tcPr>
            <w:tcW w:type="dxa" w:w="3135"/>
          </w:tcPr>
          <w:p/>
        </w:tc>
        <w:tc>
          <w:tcPr>
            <w:tcW w:type="dxa" w:w="3135"/>
          </w:tcPr>
          <w:p>
            <w:r>
              <w:t>Sind im Fall mehrerer vereinbarter Sollzinssätze Teilzahlungen vorgesehen, so ist anzugeben, in welcher Reihenfolge die ausstehenden Forderungen des Darlehensgebers, für die unterschiedliche Sollzinssätze gelten, durch die Teilzahlungen getilgt werden.</w:t>
            </w:r>
          </w:p>
        </w:tc>
      </w:tr>
      <w:tr>
        <w:trPr>
          <w:cantSplit/>
        </w:trPr>
        <w:tc>
          <w:tcPr>
            <w:tcW w:type="dxa" w:w="3135"/>
          </w:tcPr>
          <w:p/>
        </w:tc>
        <w:tc>
          <w:tcPr>
            <w:tcW w:type="dxa" w:w="3135"/>
          </w:tcPr>
          <w:p>
            <w:r>
              <w:t xml:space="preserve"> 9.</w:t>
            </w:r>
          </w:p>
        </w:tc>
        <w:tc>
          <w:tcPr>
            <w:tcW w:type="dxa" w:w="3135"/>
          </w:tcPr>
          <w:p>
            <w:r>
              <w:t>die Auszahlungsbedingungen;</w:t>
            </w:r>
          </w:p>
        </w:tc>
      </w:tr>
      <w:tr>
        <w:trPr>
          <w:cantSplit/>
        </w:trPr>
        <w:tc>
          <w:tcPr>
            <w:tcW w:type="dxa" w:w="3135"/>
          </w:tcPr>
          <w:p/>
        </w:tc>
        <w:tc>
          <w:tcPr>
            <w:tcW w:type="dxa" w:w="3135"/>
          </w:tcPr>
          <w:p>
            <w:r>
              <w:t>10.</w:t>
            </w:r>
          </w:p>
        </w:tc>
        <w:tc>
          <w:tcPr>
            <w:tcW w:type="dxa" w:w="3135"/>
          </w:tcPr>
          <w:p>
            <w:r>
              <w:t>den Verzugszinssatz und die Art und Weise seiner etwaigen Anpassung sowie gegebenenfalls anfallende Verzugskosten;</w:t>
            </w:r>
          </w:p>
        </w:tc>
      </w:tr>
      <w:tr>
        <w:trPr>
          <w:cantSplit/>
        </w:trPr>
        <w:tc>
          <w:tcPr>
            <w:tcW w:type="dxa" w:w="3135"/>
          </w:tcPr>
          <w:p/>
        </w:tc>
        <w:tc>
          <w:tcPr>
            <w:tcW w:type="dxa" w:w="3135"/>
          </w:tcPr>
          <w:p>
            <w:r>
              <w:t>11.</w:t>
            </w:r>
          </w:p>
        </w:tc>
        <w:tc>
          <w:tcPr>
            <w:tcW w:type="dxa" w:w="3135"/>
          </w:tcPr>
          <w:p>
            <w:r>
              <w:t>einen Warnhinweis zu den Folgen ausbleibender Zahlungen;</w:t>
            </w:r>
          </w:p>
        </w:tc>
      </w:tr>
      <w:tr>
        <w:trPr>
          <w:cantSplit/>
        </w:trPr>
        <w:tc>
          <w:tcPr>
            <w:tcW w:type="dxa" w:w="3135"/>
          </w:tcPr>
          <w:p/>
        </w:tc>
        <w:tc>
          <w:tcPr>
            <w:tcW w:type="dxa" w:w="3135"/>
          </w:tcPr>
          <w:p>
            <w:r>
              <w:t>12.</w:t>
            </w:r>
          </w:p>
        </w:tc>
        <w:tc>
          <w:tcPr>
            <w:tcW w:type="dxa" w:w="3135"/>
          </w:tcPr>
          <w:p>
            <w:r>
              <w:t>das Bestehen oder Nichtbestehen eines Widerrufsrechts, die Frist und die anderen Umstände für die Erklärung des Widerrufs sowie einen Hinweis auf die Verpflichtung des Darlehensnehmers, ein bereits ausbezahltes Darlehen zurückzuzahlen und Zinsen zu vergüten; der pro Tag zu zahlende Zinsbetrag ist anzugeben;</w:t>
            </w:r>
          </w:p>
        </w:tc>
      </w:tr>
      <w:tr>
        <w:trPr>
          <w:cantSplit/>
        </w:trPr>
        <w:tc>
          <w:tcPr>
            <w:tcW w:type="dxa" w:w="3135"/>
          </w:tcPr>
          <w:p/>
        </w:tc>
        <w:tc>
          <w:tcPr>
            <w:tcW w:type="dxa" w:w="3135"/>
          </w:tcPr>
          <w:p>
            <w:r>
              <w:t>13.</w:t>
            </w:r>
          </w:p>
        </w:tc>
        <w:tc>
          <w:tcPr>
            <w:tcW w:type="dxa" w:w="3135"/>
          </w:tcPr>
          <w:p>
            <w:r>
              <w:t>das Recht des Darlehensnehmers, das Darlehen vorzeitig zurückzuzahlen;</w:t>
            </w:r>
          </w:p>
        </w:tc>
      </w:tr>
      <w:tr>
        <w:trPr>
          <w:cantSplit/>
        </w:trPr>
        <w:tc>
          <w:tcPr>
            <w:tcW w:type="dxa" w:w="3135"/>
          </w:tcPr>
          <w:p/>
        </w:tc>
        <w:tc>
          <w:tcPr>
            <w:tcW w:type="dxa" w:w="3135"/>
          </w:tcPr>
          <w:p>
            <w:r>
              <w:t>14.</w:t>
            </w:r>
          </w:p>
        </w:tc>
        <w:tc>
          <w:tcPr>
            <w:tcW w:type="dxa" w:w="3135"/>
          </w:tcPr>
          <w:p>
            <w:r>
              <w:t>die für den Darlehensgeber zuständige Aufsichtsbehörde;</w:t>
            </w:r>
          </w:p>
        </w:tc>
      </w:tr>
      <w:tr>
        <w:trPr>
          <w:cantSplit/>
        </w:trPr>
        <w:tc>
          <w:tcPr>
            <w:tcW w:type="dxa" w:w="3135"/>
          </w:tcPr>
          <w:p/>
        </w:tc>
        <w:tc>
          <w:tcPr>
            <w:tcW w:type="dxa" w:w="3135"/>
          </w:tcPr>
          <w:p>
            <w:r>
              <w:t>15.</w:t>
            </w:r>
          </w:p>
        </w:tc>
        <w:tc>
          <w:tcPr>
            <w:tcW w:type="dxa" w:w="3135"/>
          </w:tcPr>
          <w:p>
            <w:r>
              <w:t>das einzuhaltende Verfahren bei der Kündigung des Vertrags;</w:t>
            </w:r>
          </w:p>
        </w:tc>
      </w:tr>
      <w:tr>
        <w:trPr>
          <w:cantSplit/>
        </w:trPr>
        <w:tc>
          <w:tcPr>
            <w:tcW w:type="dxa" w:w="3135"/>
          </w:tcPr>
          <w:p/>
        </w:tc>
        <w:tc>
          <w:tcPr>
            <w:tcW w:type="dxa" w:w="3135"/>
          </w:tcPr>
          <w:p>
            <w:r>
              <w:t>16.</w:t>
            </w:r>
          </w:p>
        </w:tc>
        <w:tc>
          <w:tcPr>
            <w:tcW w:type="dxa" w:w="3135"/>
          </w:tcPr>
          <w:p>
            <w:r>
              <w:t>den Hinweis, dass der Darlehensnehmer Zugang zu einem außergerichtlichen Beschwerde- und Rechtsbehelfsverfahren hat, und die Voraussetzungen für diesen Zugang;</w:t>
            </w: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r>
              <w:t>17.</w:t>
            </w:r>
          </w:p>
        </w:tc>
        <w:tc>
          <w:tcPr>
            <w:tcW w:type="dxa" w:w="3135"/>
          </w:tcPr>
          <w:p>
            <w:r>
              <w:t>ist ein Zeitpunkt für die Rückzahlung des Darlehens bestimmt, einen Hinweis auf den Anspruch des Darlehensnehmers, während der Gesamtlaufzeit des Darlehens jederzeit kostenlos einen Tilgungsplan zu erhalten;</w:t>
            </w:r>
          </w:p>
        </w:tc>
      </w:tr>
      <w:tr>
        <w:trPr>
          <w:cantSplit/>
        </w:trPr>
        <w:tc>
          <w:tcPr>
            <w:tcW w:type="dxa" w:w="3135"/>
          </w:tcPr>
          <w:p/>
        </w:tc>
        <w:tc>
          <w:tcPr>
            <w:tcW w:type="dxa" w:w="3135"/>
          </w:tcPr>
          <w:p/>
        </w:tc>
        <w:tc>
          <w:tcPr>
            <w:tcW w:type="dxa" w:w="3135"/>
          </w:tcPr>
          <w:p>
            <w:r>
              <w:t>Verlangt der Darlehensnehmer einen Tilgungsplan, muss aus diesem hervorgehen, welche Zahlungen in welchen Zeitabständen zu leisten sind und welche Bedingungen für diese Zahlungen gelten. Dabei ist aufzuschlüsseln, in welcher Höhe die Teilzahlungen auf das Darlehen, die nach dem Sollzinssatz berechneten Zinsen und die sonstigen Kosten angerechnet werden. Ist der Sollzinssatz nicht gebunden oder können die sonstigen Kosten angepasst werden, so ist in dem Tilgungsplan in klarer und verständlicher Form anzugeben, dass die Daten des Tilgungsplans nur bis zur nächsten Anpassung des Sollzinssatzes oder der sonstigen Kosten gelten. Der Tilgungsplan ist dem Darlehensnehmer auf einem dauerhaften Datenträger zur Verfügung zu stellen.</w:t>
            </w:r>
          </w:p>
        </w:tc>
      </w:tr>
      <w:tr>
        <w:trPr>
          <w:cantSplit/>
        </w:trPr>
        <w:tc>
          <w:tcPr>
            <w:tcW w:type="dxa" w:w="3135"/>
          </w:tcPr>
          <w:p/>
        </w:tc>
        <w:tc>
          <w:tcPr>
            <w:tcW w:type="dxa" w:w="3135"/>
          </w:tcPr>
          <w:p>
            <w:r>
              <w:t>18.</w:t>
            </w:r>
          </w:p>
        </w:tc>
        <w:tc>
          <w:tcPr>
            <w:tcW w:type="dxa" w:w="3135"/>
          </w:tcPr>
          <w:p>
            <w:r>
              <w:t>einen Hinweis, dass der Darlehensnehmer Notarkosten zu tragen hat;</w:t>
            </w:r>
          </w:p>
        </w:tc>
      </w:tr>
      <w:tr>
        <w:trPr>
          <w:cantSplit/>
        </w:trPr>
        <w:tc>
          <w:tcPr>
            <w:tcW w:type="dxa" w:w="3135"/>
          </w:tcPr>
          <w:p/>
        </w:tc>
        <w:tc>
          <w:tcPr>
            <w:tcW w:type="dxa" w:w="3135"/>
          </w:tcPr>
          <w:p>
            <w:r>
              <w:t>19.</w:t>
            </w:r>
          </w:p>
        </w:tc>
        <w:tc>
          <w:tcPr>
            <w:tcW w:type="dxa" w:w="3135"/>
          </w:tcPr>
          <w:p>
            <w:r>
              <w:t>die vom Darlehensgeber verlangten Sicherheiten und Versicherungen, im Fall von entgeltlichen Finanzierungshilfen insbesondere einen Eigentumsvorbehalt;</w:t>
            </w:r>
          </w:p>
        </w:tc>
      </w:tr>
      <w:tr>
        <w:trPr>
          <w:cantSplit/>
        </w:trPr>
        <w:tc>
          <w:tcPr>
            <w:tcW w:type="dxa" w:w="3135"/>
          </w:tcPr>
          <w:p/>
        </w:tc>
        <w:tc>
          <w:tcPr>
            <w:tcW w:type="dxa" w:w="3135"/>
          </w:tcPr>
          <w:p>
            <w:r>
              <w:t>20.</w:t>
            </w:r>
          </w:p>
        </w:tc>
        <w:tc>
          <w:tcPr>
            <w:tcW w:type="dxa" w:w="3135"/>
          </w:tcPr>
          <w:p>
            <w:r>
              <w:t>die Berechnungsmethode des Anspruchs auf Vorfälligkeitsentschädigung, soweit der Darlehensgeber beabsichtigt, diesen Anspruch geltend zu machen, falls der Darlehensnehmer das Darlehen vorzeitig zurückzahlt;</w:t>
            </w:r>
          </w:p>
        </w:tc>
      </w:tr>
      <w:tr>
        <w:trPr>
          <w:cantSplit/>
        </w:trPr>
        <w:tc>
          <w:tcPr>
            <w:tcW w:type="dxa" w:w="3135"/>
          </w:tcPr>
          <w:p/>
        </w:tc>
        <w:tc>
          <w:tcPr>
            <w:tcW w:type="dxa" w:w="3135"/>
          </w:tcPr>
          <w:p>
            <w:r>
              <w:t>21.</w:t>
            </w:r>
          </w:p>
        </w:tc>
        <w:tc>
          <w:tcPr>
            <w:tcW w:type="dxa" w:w="3135"/>
          </w:tcPr>
          <w:p>
            <w:r>
              <w:t>den Namen und die Anschrift des beteiligten Darlehensvermittlers;</w:t>
            </w:r>
          </w:p>
        </w:tc>
      </w:tr>
      <w:tr>
        <w:trPr>
          <w:cantSplit/>
        </w:trPr>
        <w:tc>
          <w:tcPr>
            <w:tcW w:type="dxa" w:w="3135"/>
          </w:tcPr>
          <w:p/>
        </w:tc>
        <w:tc>
          <w:tcPr>
            <w:tcW w:type="dxa" w:w="3135"/>
          </w:tcPr>
          <w:p>
            <w:r>
              <w:t>22.</w:t>
            </w:r>
          </w:p>
        </w:tc>
        <w:tc>
          <w:tcPr>
            <w:tcW w:type="dxa" w:w="3135"/>
          </w:tcPr>
          <w:p>
            <w:r>
              <w:t>im Zusammenhang mit dem Verbraucherdarlehensvertrag erhobene Kontoführungsgebühren sowie die Bedingungen, unter denen die Gebühren angepasst werden können, wenn der Darlehensgeber den Abschluss eines Kontoführungsvertrags verlangt, sowie alle sonstigen Kosten, insbesondere in Zusammenhang mit der Auszahlung oder der Verwendung eines Zahlungsinstruments, mit dem sowohl Zahlungsvorgänge als auch Abhebungen getätigt werden können, sowie die Bedingungen, unter denen die Kosten angepasst werden können;</w:t>
            </w:r>
          </w:p>
        </w:tc>
      </w:tr>
      <w:tr>
        <w:trPr>
          <w:cantSplit/>
        </w:trPr>
        <w:tc>
          <w:tcPr>
            <w:tcW w:type="dxa" w:w="3135"/>
          </w:tcPr>
          <w:p/>
        </w:tc>
        <w:tc>
          <w:tcPr>
            <w:tcW w:type="dxa" w:w="3135"/>
          </w:tcPr>
          <w:p>
            <w:r>
              <w:t>23.</w:t>
            </w:r>
          </w:p>
        </w:tc>
        <w:tc>
          <w:tcPr>
            <w:tcW w:type="dxa" w:w="3135"/>
          </w:tcPr>
          <w:p>
            <w:r>
              <w:t>soweit die vom Darlehensnehmer geleisteten Zahlungen nicht der unmittelbaren Darlehenstilgung dienen, eine Aufstellung der Zeiträume und Bedingungen für die Zahlung der Sollzinsen und der damit verbundenen wiederkehrenden und nicht wiederkehrenden Kosten im Darlehensvertrag;</w:t>
            </w:r>
          </w:p>
        </w:tc>
      </w:tr>
      <w:tr>
        <w:trPr>
          <w:cantSplit/>
        </w:trPr>
        <w:tc>
          <w:tcPr>
            <w:tcW w:type="dxa" w:w="3135"/>
          </w:tcPr>
          <w:p/>
        </w:tc>
        <w:tc>
          <w:tcPr>
            <w:tcW w:type="dxa" w:w="3135"/>
          </w:tcPr>
          <w:p>
            <w:r>
              <w:t>24.</w:t>
            </w:r>
          </w:p>
        </w:tc>
        <w:tc>
          <w:tcPr>
            <w:tcW w:type="dxa" w:w="3135"/>
          </w:tcPr>
          <w:p>
            <w:r>
              <w:t>soweit sich der Darlehensnehmer mit dem Abschluss eines Darlehensvertrags auch zur Vermögensbildung verpflichtet, einen Hinweis, dass weder die während der Vertragslaufzeit fälligen Zahlungsverpflichtungen noch die Ansprüche, die der Darlehensnehmer aus der Vermögensbildung erwirbt, die Tilgung des Darlehens gewährleisten, es sei denn, dies wird vertraglich vereinbart;</w:t>
            </w:r>
          </w:p>
        </w:tc>
      </w:tr>
      <w:tr>
        <w:trPr>
          <w:cantSplit/>
        </w:trPr>
        <w:tc>
          <w:tcPr>
            <w:tcW w:type="dxa" w:w="3135"/>
          </w:tcPr>
          <w:p/>
        </w:tc>
        <w:tc>
          <w:tcPr>
            <w:tcW w:type="dxa" w:w="3135"/>
          </w:tcPr>
          <w:p>
            <w:r>
              <w:t>25.</w:t>
            </w:r>
          </w:p>
        </w:tc>
        <w:tc>
          <w:tcPr>
            <w:tcW w:type="dxa" w:w="3135"/>
          </w:tcPr>
          <w:p>
            <w:r>
              <w:t>sämtliche weitere Vertragsbedingungen.</w:t>
            </w: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r>
        <w:trPr>
          <w:cantSplit/>
        </w:trPr>
        <w:tc>
          <w:tcPr>
            <w:tcW w:type="dxa" w:w="9405"/>
            <w:gridSpan w:val="3"/>
          </w:tcPr>
          <w:p>
            <w:r>
              <w:rPr>
                <w:b/>
              </w:rPr>
              <w:t>Abschnitt 3</w:t>
            </w:r>
            <w:r>
              <w:br/>
            </w:r>
            <w:r>
              <w:rPr>
                <w:b/>
              </w:rPr>
              <w:t>Widerrufsfolgen</w:t>
            </w:r>
          </w:p>
        </w:tc>
      </w:tr>
      <w:tr>
        <w:trPr>
          <w:cantSplit/>
        </w:trPr>
        <w:tc>
          <w:tcPr>
            <w:tcW w:type="dxa" w:w="9405"/>
            <w:gridSpan w:val="3"/>
          </w:tcPr>
          <w:p>
            <w:r>
              <w:t xml:space="preserve">Soweit das Darlehen bereits ausbezahlt wurde, hat der Darlehensnehmer es </w:t>
            </w:r>
            <w:r>
              <w:rPr>
                <w:b/>
              </w:rPr>
              <w:t>spätestens innerhalb von 30 Tagen zurückzuzahlen</w:t>
            </w:r>
            <w:r>
              <w:t xml:space="preserve"> und für den Zeitraum zwischen der Auszahlung und der Rückzahlung des Darlehens den </w:t>
            </w:r>
            <w:r>
              <w:rPr>
                <w:b/>
              </w:rPr>
              <w:t>vereinbarten Sollzins zu entrichten</w:t>
            </w:r>
            <w:r>
              <w:t xml:space="preserve">. Die Frist beginnt mit der Absendung der Widerrufserklärung. Für den Zeitraum zwischen der Auszahlung und der Rückzahlung ist bei vollständiger Inanspruchnahme des Darlehens pro Tag ein Zinsbetrag in Höhe von  </w:t>
            </w:r>
            <w:r>
              <w:t xml:space="preserve"> Euro zu zahlen. Dieser Betrag verringert sich entsprechend, wenn das Darlehen nur teilweise in Anspruch genommen wurde.</w:t>
            </w: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r>
        <w:trPr>
          <w:cantSplit/>
        </w:trPr>
        <w:tc>
          <w:tcPr>
            <w:tcW w:type="dxa" w:w="3135"/>
          </w:tcPr>
          <w:p/>
        </w:tc>
        <w:tc>
          <w:tcPr>
            <w:tcW w:type="dxa" w:w="3135"/>
          </w:tcPr>
          <w:p/>
        </w:tc>
        <w:tc>
          <w:tcPr>
            <w:tcW w:type="dxa" w:w="3135"/>
          </w:tcPr>
          <w:p/>
        </w:tc>
      </w:tr>
    </w:tbl>
    <w:p>
      <w:pPr>
        <w:spacing w:after="0"/>
      </w:pPr>
    </w:p>
    <w:tbl>
      <w:tblPr>
        <w:tblStyle w:val="TableGrid"/>
        <w:tblW w:type="pct" w:w="5000"/>
        <w:tblLook w:firstColumn="1" w:firstRow="1" w:lastColumn="0" w:lastRow="0" w:noHBand="0" w:noVBand="1" w:val="04A0"/>
        <w:tblCaption w:val="Tabelle 2 zu Anlage 7"/>
      </w:tblPr>
      <w:tblGrid>
        <w:gridCol w:w="2351"/>
        <w:gridCol w:w="2351"/>
        <w:gridCol w:w="2351"/>
        <w:gridCol w:w="2351"/>
      </w:tblGrid>
      <w:tr>
        <w:trPr>
          <w:cantSplit/>
        </w:trPr>
        <w:tc>
          <w:tcPr>
            <w:tcW w:type="dxa" w:w="9404"/>
            <w:gridSpan w:val="4"/>
          </w:tcPr>
          <w:p>
            <w:r>
              <w:rPr>
                <w:b/>
              </w:rPr>
              <w:t>Gestaltungshinweise:</w:t>
            </w:r>
          </w:p>
        </w:tc>
      </w:tr>
      <w:tr>
        <w:trPr>
          <w:cantSplit/>
        </w:trPr>
        <w:tc>
          <w:tcPr>
            <w:tcW w:type="dxa" w:w="2351"/>
          </w:tcPr>
          <w:p/>
        </w:tc>
        <w:tc>
          <w:tcPr>
            <w:tcW w:type="dxa" w:w="7053"/>
            <w:gridSpan w:val="3"/>
          </w:tcPr>
          <w:p>
            <w:r>
              <w:t>Hier sind einzufügen: Name/Firma und ladungsfähige Anschrift des Widerrufsadressaten. Zusätzlich können angegeben werden: Telefaxnummer, E-Mail-Adresse und/oder, wenn der Darlehensnehmer eine Bestätigung seiner Widerrufserklärung an den Darlehensgeber erhält, auch eine Internetadresse.</w:t>
            </w:r>
          </w:p>
        </w:tc>
      </w:tr>
      <w:tr>
        <w:trPr>
          <w:cantSplit/>
        </w:trPr>
        <w:tc>
          <w:tcPr>
            <w:tcW w:type="dxa" w:w="2351"/>
          </w:tcPr>
          <w:p/>
        </w:tc>
        <w:tc>
          <w:tcPr>
            <w:tcW w:type="dxa" w:w="7053"/>
            <w:gridSpan w:val="3"/>
          </w:tcPr>
          <w:p>
            <w:r>
              <w:t xml:space="preserve">Bei Anwendung der Gestaltungshinweise </w:t>
            </w:r>
            <w:r>
              <w:t xml:space="preserve"> , </w:t>
            </w:r>
            <w:r>
              <w:t xml:space="preserve"> oder </w:t>
            </w:r>
            <w:r>
              <w:t xml:space="preserve"> ist hier folgende Unterüberschrift einzufügen:</w:t>
            </w:r>
          </w:p>
        </w:tc>
      </w:tr>
      <w:tr>
        <w:trPr>
          <w:cantSplit/>
        </w:trPr>
        <w:tc>
          <w:tcPr>
            <w:tcW w:type="dxa" w:w="2351"/>
          </w:tcPr>
          <w:p/>
        </w:tc>
        <w:tc>
          <w:tcPr>
            <w:tcW w:type="dxa" w:w="7053"/>
            <w:gridSpan w:val="3"/>
          </w:tcPr>
          <w:p>
            <w:r>
              <w:rPr>
                <w:b/>
              </w:rPr>
              <w:t>„Besonderheiten bei weiteren Verträgen“</w:t>
            </w:r>
            <w:r>
              <w:t>.</w:t>
            </w:r>
          </w:p>
        </w:tc>
      </w:tr>
      <w:tr>
        <w:trPr>
          <w:cantSplit/>
        </w:trPr>
        <w:tc>
          <w:tcPr>
            <w:tcW w:type="dxa" w:w="2351"/>
          </w:tcPr>
          <w:p/>
        </w:tc>
        <w:tc>
          <w:tcPr>
            <w:tcW w:type="dxa" w:w="7053"/>
            <w:gridSpan w:val="3"/>
          </w:tcPr>
          <w:p>
            <w:r>
              <w:t>Bei einem verbundenen Vertrag nach § 358 des Bürgerlichen Gesetzbuchs (BGB) ist hier einzufügen:</w:t>
            </w:r>
          </w:p>
        </w:tc>
      </w:tr>
      <w:tr>
        <w:trPr>
          <w:cantSplit/>
        </w:trPr>
        <w:tc>
          <w:tcPr>
            <w:tcW w:type="dxa" w:w="2351"/>
          </w:tcPr>
          <w:p/>
        </w:tc>
        <w:tc>
          <w:tcPr>
            <w:tcW w:type="dxa" w:w="2351"/>
          </w:tcPr>
          <w:p>
            <w:r>
              <w:t>a)</w:t>
            </w:r>
          </w:p>
        </w:tc>
        <w:tc>
          <w:tcPr>
            <w:tcW w:type="dxa" w:w="4702"/>
            <w:gridSpan w:val="2"/>
          </w:tcPr>
          <w:p>
            <w:r>
              <w:t>Wenn der Vertrag nicht den Erwerb von Finanzinstrumenten zum Gegenstand hat:</w:t>
            </w:r>
          </w:p>
        </w:tc>
      </w:tr>
      <w:tr>
        <w:trPr>
          <w:cantSplit/>
        </w:trPr>
        <w:tc>
          <w:tcPr>
            <w:tcW w:type="dxa" w:w="2351"/>
          </w:tcPr>
          <w:p/>
        </w:tc>
        <w:tc>
          <w:tcPr>
            <w:tcW w:type="dxa" w:w="2351"/>
          </w:tcPr>
          <w:p/>
        </w:tc>
        <w:tc>
          <w:tcPr>
            <w:tcW w:type="dxa" w:w="2351"/>
          </w:tcPr>
          <w:p>
            <w:r>
              <w:t>„–</w:t>
            </w:r>
          </w:p>
        </w:tc>
        <w:tc>
          <w:tcPr>
            <w:tcW w:type="dxa" w:w="2351"/>
          </w:tcPr>
          <w:p>
            <w:r>
              <w:t>Widerruft der Darlehensnehmer diesen Darlehensvertrag, so ist er auch an den [einsetzen: Bezeichnung des verbundenen Vertrags] (im Folgenden: verbundener Vertrag)** nicht mehr gebunden.</w:t>
            </w:r>
          </w:p>
        </w:tc>
      </w:tr>
      <w:tr>
        <w:trPr>
          <w:cantSplit/>
        </w:trPr>
        <w:tc>
          <w:tcPr>
            <w:tcW w:type="dxa" w:w="2351"/>
          </w:tcPr>
          <w:p/>
        </w:tc>
        <w:tc>
          <w:tcPr>
            <w:tcW w:type="dxa" w:w="2351"/>
          </w:tcPr>
          <w:p/>
        </w:tc>
        <w:tc>
          <w:tcPr>
            <w:tcW w:type="dxa" w:w="2351"/>
          </w:tcPr>
          <w:p>
            <w:r>
              <w:t>–</w:t>
            </w:r>
          </w:p>
        </w:tc>
        <w:tc>
          <w:tcPr>
            <w:tcW w:type="dxa" w:w="2351"/>
          </w:tcPr>
          <w:p>
            <w:r>
              <w:t>Steht dem Darlehensnehmer in Bezug auf den [einsetzen***: verbundenen Vertrag] ein Widerrufsrecht zu, so ist er mit wirksamem Widerruf des [einsetzen***: verbundenen Vertrags] auch an den Darlehensvertrag nicht mehr gebunden. Für die Rechtsfolgen des Widerrufs sind die in dem [einsetzen***: verbundenen Vertrag] getroffenen Regelungen und die hierfür erteilte Widerrufsbelehrung maßgeblich.“</w:t>
            </w:r>
          </w:p>
        </w:tc>
      </w:tr>
      <w:tr>
        <w:trPr>
          <w:cantSplit/>
        </w:trPr>
        <w:tc>
          <w:tcPr>
            <w:tcW w:type="dxa" w:w="2351"/>
          </w:tcPr>
          <w:p/>
        </w:tc>
        <w:tc>
          <w:tcPr>
            <w:tcW w:type="dxa" w:w="2351"/>
          </w:tcPr>
          <w:p>
            <w:r>
              <w:t>b)</w:t>
            </w:r>
          </w:p>
        </w:tc>
        <w:tc>
          <w:tcPr>
            <w:tcW w:type="dxa" w:w="4702"/>
            <w:gridSpan w:val="2"/>
          </w:tcPr>
          <w:p>
            <w:r>
              <w:t>Wenn der Vertrag den Erwerb von Finanzinstrumenten zum Gegenstand hat:</w:t>
            </w:r>
          </w:p>
        </w:tc>
      </w:tr>
      <w:tr>
        <w:trPr>
          <w:cantSplit/>
        </w:trPr>
        <w:tc>
          <w:tcPr>
            <w:tcW w:type="dxa" w:w="2351"/>
          </w:tcPr>
          <w:p/>
        </w:tc>
        <w:tc>
          <w:tcPr>
            <w:tcW w:type="dxa" w:w="2351"/>
          </w:tcPr>
          <w:p/>
        </w:tc>
        <w:tc>
          <w:tcPr>
            <w:tcW w:type="dxa" w:w="2351"/>
          </w:tcPr>
          <w:p>
            <w:r>
              <w:t>„–</w:t>
            </w:r>
          </w:p>
        </w:tc>
        <w:tc>
          <w:tcPr>
            <w:tcW w:type="dxa" w:w="2351"/>
          </w:tcPr>
          <w:p>
            <w:r>
              <w:t>Widerruft der Darlehensnehmer den [einsetzen: Bezeichnung des verbundenen Vertrags], so ist er auch an den Darlehensvertrag nicht mehr gebunden.“</w:t>
            </w:r>
          </w:p>
        </w:tc>
      </w:tr>
      <w:tr>
        <w:trPr>
          <w:cantSplit/>
        </w:trPr>
        <w:tc>
          <w:tcPr>
            <w:tcW w:type="dxa" w:w="2351"/>
          </w:tcPr>
          <w:p/>
        </w:tc>
        <w:tc>
          <w:tcPr>
            <w:tcW w:type="dxa" w:w="7053"/>
            <w:gridSpan w:val="3"/>
          </w:tcPr>
          <w:p>
            <w:r>
              <w:t>Bei einem Geschäft, dessen Vertragsgegenstand (die Leistung des Unternehmers) in dem Verbraucherdarlehensvertrag genau angegeben ist und das nicht gleichzeitig die Voraussetzungen eines verbundenen Vertrags gemäß § 358 BGB erfüllt, obwohl das Darlehen ausschließlich zu dessen Finanzierung dient (angegebenes Geschäft gemäß § 360 Absatz 2 Satz 2 BGB), ist hier Folgendes einzufügen:</w:t>
            </w:r>
          </w:p>
        </w:tc>
      </w:tr>
      <w:tr>
        <w:trPr>
          <w:cantSplit/>
        </w:trPr>
        <w:tc>
          <w:tcPr>
            <w:tcW w:type="dxa" w:w="2351"/>
          </w:tcPr>
          <w:p/>
        </w:tc>
        <w:tc>
          <w:tcPr>
            <w:tcW w:type="dxa" w:w="2351"/>
          </w:tcPr>
          <w:p>
            <w:r>
              <w:t>„–</w:t>
            </w:r>
          </w:p>
        </w:tc>
        <w:tc>
          <w:tcPr>
            <w:tcW w:type="dxa" w:w="4702"/>
            <w:gridSpan w:val="2"/>
          </w:tcPr>
          <w:p>
            <w:r>
              <w:t>Steht dem Darlehensnehmer in Bezug auf das [einsetzen: Bezeichnung des im Darlehensvertrag angegebenen Geschäfts] (im Folgenden: angegebenes Geschäft)** ein Widerrufsrecht zu, so ist er mit wirksamem Widerruf des angegebenen Geschäfts auch an diesen Darlehensvertrag nicht mehr gebunden.“</w:t>
            </w:r>
          </w:p>
        </w:tc>
      </w:tr>
      <w:tr>
        <w:trPr>
          <w:cantSplit/>
        </w:trPr>
        <w:tc>
          <w:tcPr>
            <w:tcW w:type="dxa" w:w="2351"/>
          </w:tcPr>
          <w:p/>
        </w:tc>
        <w:tc>
          <w:tcPr>
            <w:tcW w:type="dxa" w:w="7053"/>
            <w:gridSpan w:val="3"/>
          </w:tcPr>
          <w:p>
            <w:r>
              <w:t>Bei einem mit einem Verbraucherdarlehensvertrag zusammenhängenden Vertrag (§ 360 BGB), der nicht gleichzeitig die Voraussetzungen eines verbundenen Vertrags gemäß § 358 BGB erfüllt, kann hier Folgendes eingefügt werden:</w:t>
            </w:r>
          </w:p>
        </w:tc>
      </w:tr>
      <w:tr>
        <w:trPr>
          <w:cantSplit/>
        </w:trPr>
        <w:tc>
          <w:tcPr>
            <w:tcW w:type="dxa" w:w="2351"/>
          </w:tcPr>
          <w:p/>
        </w:tc>
        <w:tc>
          <w:tcPr>
            <w:tcW w:type="dxa" w:w="2351"/>
          </w:tcPr>
          <w:p>
            <w:r>
              <w:t>„–</w:t>
            </w:r>
          </w:p>
        </w:tc>
        <w:tc>
          <w:tcPr>
            <w:tcW w:type="dxa" w:w="4702"/>
            <w:gridSpan w:val="2"/>
          </w:tcPr>
          <w:p>
            <w:r>
              <w:t>Steht dem Darlehensnehmer in Bezug auf diesen Darlehensvertrag ein Widerrufsrecht zu, so ist er mit wirksamem Widerruf des Darlehensvertrags auch an den [einsetzen: Bezeichnung des mit dem Darlehensvertrag zusammenhängenden Vertrags] (im Folgenden: zusammenhängender Vertrag)** nicht mehr gebunden.“</w:t>
            </w:r>
          </w:p>
        </w:tc>
      </w:tr>
      <w:tr>
        <w:trPr>
          <w:cantSplit/>
        </w:trPr>
        <w:tc>
          <w:tcPr>
            <w:tcW w:type="dxa" w:w="2351"/>
          </w:tcPr>
          <w:p/>
        </w:tc>
        <w:tc>
          <w:tcPr>
            <w:tcW w:type="dxa" w:w="7053"/>
            <w:gridSpan w:val="3"/>
          </w:tcPr>
          <w:p>
            <w:r>
              <w:t>Die in den Nummern 17 bis 25 aufgelisteten Pflichtangaben sind nur dann in die Widerrufsinformation aufzunehmen, wenn sie für den vorliegenden Vertrag einschlägig sind. Eine Pflichtangabe ist auch dann vollständig aufzunehmen, wenn sie nur teilweise einschlägig ist, beispielsweise in Nummer 22 nur sonstige Kosten, nicht aber Kontoführungsgebühren vereinbart sind. Werden Pflichtangaben gemäß der vorstehenden Vorgabe nicht aufgenommen, ist die fortlaufende Nummerierung entsprechend anzupassen (wird beispielsweise Nummer 17 nicht übernommen, wird Nummer 18 zu Nummer 17 etc.). Die letzte in die Widerrufsinformation aufgenommene Pflichtangabe ist mit dem Satzzeichen „.“ abzuschließen.</w:t>
            </w:r>
          </w:p>
        </w:tc>
      </w:tr>
      <w:tr>
        <w:trPr>
          <w:cantSplit/>
        </w:trPr>
        <w:tc>
          <w:tcPr>
            <w:tcW w:type="dxa" w:w="2351"/>
          </w:tcPr>
          <w:p/>
        </w:tc>
        <w:tc>
          <w:tcPr>
            <w:tcW w:type="dxa" w:w="7053"/>
            <w:gridSpan w:val="3"/>
          </w:tcPr>
          <w:p>
            <w:r>
              <w:t xml:space="preserve">Bei Anwendung der Gestaltungshinweise  </w:t>
            </w:r>
            <w:r>
              <w:t xml:space="preserve">oder  </w:t>
            </w:r>
            <w:r>
              <w:t xml:space="preserve"> ist hier folgende Unterüberschrift einzufügen:</w:t>
            </w:r>
          </w:p>
        </w:tc>
      </w:tr>
      <w:tr>
        <w:trPr>
          <w:cantSplit/>
        </w:trPr>
        <w:tc>
          <w:tcPr>
            <w:tcW w:type="dxa" w:w="2351"/>
          </w:tcPr>
          <w:p/>
        </w:tc>
        <w:tc>
          <w:tcPr>
            <w:tcW w:type="dxa" w:w="7053"/>
            <w:gridSpan w:val="3"/>
          </w:tcPr>
          <w:p>
            <w:r>
              <w:rPr>
                <w:b/>
              </w:rPr>
              <w:t>„Besonderheiten bei weiteren Verträgen“</w:t>
            </w:r>
            <w:r>
              <w:t>.</w:t>
            </w:r>
          </w:p>
        </w:tc>
      </w:tr>
      <w:tr>
        <w:trPr>
          <w:cantSplit/>
        </w:trPr>
        <w:tc>
          <w:tcPr>
            <w:tcW w:type="dxa" w:w="2351"/>
          </w:tcPr>
          <w:p/>
        </w:tc>
        <w:tc>
          <w:tcPr>
            <w:tcW w:type="dxa" w:w="7053"/>
            <w:gridSpan w:val="3"/>
          </w:tcPr>
          <w:p>
            <w:r>
              <w:t>Bei Verträgen über einen entgeltlichen Zahlungsaufschub oder über eine sonstige entgeltliche Finanzierungshilfe gilt Folgendes:</w:t>
            </w:r>
          </w:p>
        </w:tc>
      </w:tr>
      <w:tr>
        <w:trPr>
          <w:cantSplit/>
        </w:trPr>
        <w:tc>
          <w:tcPr>
            <w:tcW w:type="dxa" w:w="2351"/>
          </w:tcPr>
          <w:p/>
        </w:tc>
        <w:tc>
          <w:tcPr>
            <w:tcW w:type="dxa" w:w="2351"/>
          </w:tcPr>
          <w:p>
            <w:r>
              <w:t>a)</w:t>
            </w:r>
          </w:p>
        </w:tc>
        <w:tc>
          <w:tcPr>
            <w:tcW w:type="dxa" w:w="4702"/>
            <w:gridSpan w:val="2"/>
          </w:tcPr>
          <w:p>
            <w:r>
              <w:t xml:space="preserve">Es ist folgende Pflichtangabe einzufügen, und zwar unter der nächsten fortlaufenden Nummer, die – unter Berücksichtigung von Gestaltungshinweis  </w:t>
            </w:r>
            <w:r>
              <w:t xml:space="preserve"> – auf die in der vorliegenden Widerrufsinformation zuletzt verwendete Nummer folgt:</w:t>
            </w:r>
          </w:p>
        </w:tc>
      </w:tr>
      <w:tr>
        <w:trPr>
          <w:cantSplit/>
        </w:trPr>
        <w:tc>
          <w:tcPr>
            <w:tcW w:type="dxa" w:w="2351"/>
          </w:tcPr>
          <w:p/>
        </w:tc>
        <w:tc>
          <w:tcPr>
            <w:tcW w:type="dxa" w:w="2351"/>
          </w:tcPr>
          <w:p/>
        </w:tc>
        <w:tc>
          <w:tcPr>
            <w:tcW w:type="dxa" w:w="4702"/>
            <w:gridSpan w:val="2"/>
          </w:tcPr>
          <w:p>
            <w:r>
              <w:t>„Ergänzende Pflichtangaben bei Verträgen über einen entgeltlichen Zahlungsaufschub oder über eine sonstige entgeltliche Finanzierungshilfe:</w:t>
            </w:r>
          </w:p>
        </w:tc>
      </w:tr>
      <w:tr>
        <w:trPr>
          <w:cantSplit/>
        </w:trPr>
        <w:tc>
          <w:tcPr>
            <w:tcW w:type="dxa" w:w="2351"/>
          </w:tcPr>
          <w:p/>
        </w:tc>
        <w:tc>
          <w:tcPr>
            <w:tcW w:type="dxa" w:w="2351"/>
          </w:tcPr>
          <w:p/>
        </w:tc>
        <w:tc>
          <w:tcPr>
            <w:tcW w:type="dxa" w:w="4702"/>
            <w:gridSpan w:val="2"/>
          </w:tcPr>
          <w:p>
            <w:r>
              <w:t>Diese Verträge müssen zusätzlich zu den Angaben nach den Nummern 1 bis [einsetzen: die verwendete Nummer der zuletzt aufgeführten Pflichtangabe] den Gegenstand (Ware oder Dienstleistung), den der Darlehensnehmer erhalten soll, und den Barzahlungspreis enthalten. Hat der Unternehmer den Gegenstand für den Verbraucher erworben, so tritt an die Stelle des Barzahlungspreises der Anschaffungspreis.“</w:t>
            </w:r>
          </w:p>
        </w:tc>
      </w:tr>
      <w:tr>
        <w:trPr>
          <w:cantSplit/>
        </w:trPr>
        <w:tc>
          <w:tcPr>
            <w:tcW w:type="dxa" w:w="2351"/>
          </w:tcPr>
          <w:p/>
        </w:tc>
        <w:tc>
          <w:tcPr>
            <w:tcW w:type="dxa" w:w="2351"/>
          </w:tcPr>
          <w:p>
            <w:r>
              <w:t>b)</w:t>
            </w:r>
          </w:p>
        </w:tc>
        <w:tc>
          <w:tcPr>
            <w:tcW w:type="dxa" w:w="4702"/>
            <w:gridSpan w:val="2"/>
          </w:tcPr>
          <w:p>
            <w:r>
              <w:t>Handelt es sich um einen Vertrag zwischen einem Unternehmer und einem Verbraucher über die entgeltliche Nutzung eines Gegenstandes, in dem vereinbart ist, dass der Verbraucher bei Beendigung des Vertrags für einen bestimmten Wert des Gegenstandes einzustehen hat, so sind die Angaben nach Nummer 13 (vorzeitige Rückzahlung), Nummer 17 Satz 3 (Aufschlüsselung der Anrechnung von Teilzahlungen im Tilgungsplan) und Nummer 20 (Vorfälligkeitsentschädigung) entbehrlich.</w:t>
            </w:r>
          </w:p>
        </w:tc>
      </w:tr>
      <w:tr>
        <w:trPr>
          <w:cantSplit/>
        </w:trPr>
        <w:tc>
          <w:tcPr>
            <w:tcW w:type="dxa" w:w="2351"/>
          </w:tcPr>
          <w:p/>
        </w:tc>
        <w:tc>
          <w:tcPr>
            <w:tcW w:type="dxa" w:w="7053"/>
            <w:gridSpan w:val="3"/>
          </w:tcPr>
          <w:p>
            <w:r>
              <w:t xml:space="preserve">Bei Darlehensverträgen, die mit einem anderen Vertrag verbunden sind, und bei Darlehensverträgen, die ausschließlich der Finanzierung eines anderen (später widerrufenen) Vertrags dienen und in denen die Leistung des Unternehmers aus dem widerrufenen Vertrag genau angegeben ist, ist unter der nächsten fortlaufenden Nummer, die – unter Berücksichtigung der Gestaltungshinweise </w:t>
            </w:r>
            <w:r>
              <w:t xml:space="preserve"> und </w:t>
            </w:r>
            <w:r>
              <w:t xml:space="preserve"> – auf die in der vorliegenden Widerrufsinformation zuletzt verwendete Nummer folgt, folgende Pflichtangabe einzufügen:</w:t>
            </w:r>
          </w:p>
        </w:tc>
      </w:tr>
      <w:tr>
        <w:trPr>
          <w:cantSplit/>
        </w:trPr>
        <w:tc>
          <w:tcPr>
            <w:tcW w:type="dxa" w:w="2351"/>
          </w:tcPr>
          <w:p/>
        </w:tc>
        <w:tc>
          <w:tcPr>
            <w:tcW w:type="dxa" w:w="7053"/>
            <w:gridSpan w:val="3"/>
          </w:tcPr>
          <w:p>
            <w:r>
              <w:t>„Ergänzende Pflichtangaben bei Darlehensverträgen, die mit einem anderen Vertrag verbunden sind, und bei Darlehensverträgen, die ausschließlich der Finanzierung eines anderen (später widerrufenen) Vertrags dienen und in denen die Leistung des Unternehmers aus dem widerrufenen Vertrag genau angegeben ist:</w:t>
            </w:r>
          </w:p>
        </w:tc>
      </w:tr>
      <w:tr>
        <w:trPr>
          <w:cantSplit/>
        </w:trPr>
        <w:tc>
          <w:tcPr>
            <w:tcW w:type="dxa" w:w="2351"/>
          </w:tcPr>
          <w:p/>
        </w:tc>
        <w:tc>
          <w:tcPr>
            <w:tcW w:type="dxa" w:w="7053"/>
            <w:gridSpan w:val="3"/>
          </w:tcPr>
          <w:p>
            <w:r>
              <w:t xml:space="preserve">Diese Verträge müssen zusätzlich zu den Angaben nach den Nummern 1 bis [einsetzen: die verwendete Nummer der zuletzt aufgeführten Pflichtangabe mit Ausnahme der Einfügung einer Pflichtangabe nach Gestaltungshinweis </w:t>
            </w:r>
            <w:r>
              <w:t xml:space="preserve"> ] Folgendes enthalten:</w:t>
            </w:r>
          </w:p>
        </w:tc>
      </w:tr>
      <w:tr>
        <w:trPr>
          <w:cantSplit/>
        </w:trPr>
        <w:tc>
          <w:tcPr>
            <w:tcW w:type="dxa" w:w="2351"/>
          </w:tcPr>
          <w:p/>
        </w:tc>
        <w:tc>
          <w:tcPr>
            <w:tcW w:type="dxa" w:w="2351"/>
          </w:tcPr>
          <w:p>
            <w:r>
              <w:t>a)</w:t>
            </w:r>
          </w:p>
        </w:tc>
        <w:tc>
          <w:tcPr>
            <w:tcW w:type="dxa" w:w="4702"/>
            <w:gridSpan w:val="2"/>
          </w:tcPr>
          <w:p>
            <w:r>
              <w:t>Bezeichnung des Gegenstandes (Ware oder Dienstleistung) und Höhe des Barzahlungspreises sowie</w:t>
            </w:r>
          </w:p>
        </w:tc>
      </w:tr>
      <w:tr>
        <w:trPr>
          <w:cantSplit/>
        </w:trPr>
        <w:tc>
          <w:tcPr>
            <w:tcW w:type="dxa" w:w="2351"/>
          </w:tcPr>
          <w:p/>
        </w:tc>
        <w:tc>
          <w:tcPr>
            <w:tcW w:type="dxa" w:w="2351"/>
          </w:tcPr>
          <w:p>
            <w:r>
              <w:t>b)</w:t>
            </w:r>
          </w:p>
        </w:tc>
        <w:tc>
          <w:tcPr>
            <w:tcW w:type="dxa" w:w="4702"/>
            <w:gridSpan w:val="2"/>
          </w:tcPr>
          <w:p>
            <w:r>
              <w:t>Informationen über die Rechte des Verbrauchers, die sich daraus ergeben, dass der Darlehensvertrag mit einem anderen Vertrag verbunden ist oder in der vorstehend genannten Weise zusammenhängt. Weiter ist über die Bedingungen für die Ausübung dieser Rechte zu informieren.“</w:t>
            </w:r>
          </w:p>
        </w:tc>
      </w:tr>
      <w:tr>
        <w:trPr>
          <w:cantSplit/>
        </w:trPr>
        <w:tc>
          <w:tcPr>
            <w:tcW w:type="dxa" w:w="2351"/>
          </w:tcPr>
          <w:p/>
        </w:tc>
        <w:tc>
          <w:tcPr>
            <w:tcW w:type="dxa" w:w="7053"/>
            <w:gridSpan w:val="3"/>
          </w:tcPr>
          <w:p>
            <w:r>
              <w:t>Hier ist der genaue Zinsbetrag in Euro pro Tag einzufügen. Centbeträge sind als Dezimalstellen anzugeben.</w:t>
            </w:r>
          </w:p>
        </w:tc>
      </w:tr>
      <w:tr>
        <w:trPr>
          <w:cantSplit/>
        </w:trPr>
        <w:tc>
          <w:tcPr>
            <w:tcW w:type="dxa" w:w="2351"/>
          </w:tcPr>
          <w:p/>
        </w:tc>
        <w:tc>
          <w:tcPr>
            <w:tcW w:type="dxa" w:w="7053"/>
            <w:gridSpan w:val="3"/>
          </w:tcPr>
          <w:p>
            <w:r>
              <w:t>Erbringt der Darlehensgeber gegenüber öffentlichen Stellen Aufwendungen gemäß § 357b Absatz 3 Satz 5 BGB und will er sich für den Fall des Widerrufs die Geltendmachung dieses Anspruchs vorbehalten, so ist hier Folgendes einzufügen:</w:t>
            </w:r>
          </w:p>
        </w:tc>
      </w:tr>
      <w:tr>
        <w:trPr>
          <w:cantSplit/>
        </w:trPr>
        <w:tc>
          <w:tcPr>
            <w:tcW w:type="dxa" w:w="2351"/>
          </w:tcPr>
          <w:p/>
        </w:tc>
        <w:tc>
          <w:tcPr>
            <w:tcW w:type="dxa" w:w="2351"/>
          </w:tcPr>
          <w:p>
            <w:r>
              <w:t>„–</w:t>
            </w:r>
          </w:p>
        </w:tc>
        <w:tc>
          <w:tcPr>
            <w:tcW w:type="dxa" w:w="4702"/>
            <w:gridSpan w:val="2"/>
          </w:tcPr>
          <w:p>
            <w:r>
              <w:t>Der Darlehensnehmer hat dem Darlehensgeber auch die Aufwendungen zu ersetzen, die der Darlehensgeber gegenüber öffentlichen Stellen erbracht hat und nicht zurückverlangen kann.“</w:t>
            </w:r>
          </w:p>
        </w:tc>
      </w:tr>
      <w:tr>
        <w:trPr>
          <w:cantSplit/>
        </w:trPr>
        <w:tc>
          <w:tcPr>
            <w:tcW w:type="dxa" w:w="2351"/>
          </w:tcPr>
          <w:p/>
        </w:tc>
        <w:tc>
          <w:tcPr>
            <w:tcW w:type="dxa" w:w="7053"/>
            <w:gridSpan w:val="3"/>
          </w:tcPr>
          <w:p>
            <w:r>
              <w:t xml:space="preserve">Bei Anwendung der Gestaltungshinweise  </w:t>
            </w:r>
            <w:r>
              <w:t xml:space="preserve"> , </w:t>
            </w:r>
            <w:r>
              <w:t xml:space="preserve"> , </w:t>
            </w:r>
            <w:r>
              <w:t xml:space="preserve"> , </w:t>
            </w:r>
            <w:r>
              <w:t xml:space="preserve"> , </w:t>
            </w:r>
            <w:r>
              <w:t xml:space="preserve"> , </w:t>
            </w:r>
            <w:r>
              <w:t xml:space="preserve">  oder </w:t>
            </w:r>
            <w:r>
              <w:t xml:space="preserve"> ist hier als Unterüberschrift einzufügen:</w:t>
            </w:r>
          </w:p>
        </w:tc>
      </w:tr>
      <w:tr>
        <w:trPr>
          <w:cantSplit/>
        </w:trPr>
        <w:tc>
          <w:tcPr>
            <w:tcW w:type="dxa" w:w="2351"/>
          </w:tcPr>
          <w:p/>
        </w:tc>
        <w:tc>
          <w:tcPr>
            <w:tcW w:type="dxa" w:w="7053"/>
            <w:gridSpan w:val="3"/>
          </w:tcPr>
          <w:p>
            <w:r>
              <w:rPr>
                <w:b/>
              </w:rPr>
              <w:t>„Besonderheiten bei weiteren Verträgen“</w:t>
            </w:r>
            <w:r>
              <w:t>.</w:t>
            </w:r>
          </w:p>
        </w:tc>
      </w:tr>
      <w:tr>
        <w:trPr>
          <w:cantSplit/>
        </w:trPr>
        <w:tc>
          <w:tcPr>
            <w:tcW w:type="dxa" w:w="2351"/>
          </w:tcPr>
          <w:p/>
        </w:tc>
        <w:tc>
          <w:tcPr>
            <w:tcW w:type="dxa" w:w="7053"/>
            <w:gridSpan w:val="3"/>
          </w:tcPr>
          <w:p>
            <w:r>
              <w:t xml:space="preserve">Dies gilt nicht, wenn bei einer entgeltlichen Finanzierungshilfe ausschließlich der Hinweis </w:t>
            </w:r>
            <w:r>
              <w:t xml:space="preserve"> verwendet wird und weitere Verträge nicht vorliegen.</w:t>
            </w:r>
          </w:p>
        </w:tc>
      </w:tr>
      <w:tr>
        <w:trPr>
          <w:cantSplit/>
        </w:trPr>
        <w:tc>
          <w:tcPr>
            <w:tcW w:type="dxa" w:w="2351"/>
          </w:tcPr>
          <w:p/>
        </w:tc>
        <w:tc>
          <w:tcPr>
            <w:tcW w:type="dxa" w:w="7053"/>
            <w:gridSpan w:val="3"/>
          </w:tcPr>
          <w:p>
            <w:r>
              <w:t>Liegen mehrere weitere Verträge nebeneinander vor, so kann im Folgenden die Unterrichtung gemäß den anwendbaren Gestaltungshinweisen auch durch eine entsprechende, jeweils auf den konkreten Vertrag bezogene, wiederholte Nennung der Hinweise erfolgen.</w:t>
            </w:r>
          </w:p>
        </w:tc>
      </w:tr>
      <w:tr>
        <w:trPr>
          <w:cantSplit/>
        </w:trPr>
        <w:tc>
          <w:tcPr>
            <w:tcW w:type="dxa" w:w="2351"/>
          </w:tcPr>
          <w:p/>
        </w:tc>
        <w:tc>
          <w:tcPr>
            <w:tcW w:type="dxa" w:w="7053"/>
            <w:gridSpan w:val="3"/>
          </w:tcPr>
          <w:p>
            <w:r>
              <w:t>Bei einem verbundenen Vertrag nach § 358 BGB, der nicht den Erwerb von Finanzinstrumenten zum Gegenstand hat, ist hier Folgendes einzufügen:</w:t>
            </w:r>
          </w:p>
        </w:tc>
      </w:tr>
      <w:tr>
        <w:trPr>
          <w:cantSplit/>
        </w:trPr>
        <w:tc>
          <w:tcPr>
            <w:tcW w:type="dxa" w:w="2351"/>
          </w:tcPr>
          <w:p/>
        </w:tc>
        <w:tc>
          <w:tcPr>
            <w:tcW w:type="dxa" w:w="2351"/>
          </w:tcPr>
          <w:p>
            <w:r>
              <w:t>„–</w:t>
            </w:r>
          </w:p>
        </w:tc>
        <w:tc>
          <w:tcPr>
            <w:tcW w:type="dxa" w:w="4702"/>
            <w:gridSpan w:val="2"/>
          </w:tcPr>
          <w:p>
            <w:r>
              <w:t>Steht dem Darlehensnehmer in Bezug auf [einsetzen***: den verbundenen Vertrag] ein Widerrufsrecht zu, so sind im Fall des wirksamen Widerrufs [einsetzen***: des verbundenen Vertrags] Ansprüche des Darlehensgebers auf Zahlung von Zinsen und Kosten aus der Rückabwicklung des Darlehensvertrags gegen den Darlehensnehmer ausgeschlossen.“</w:t>
            </w:r>
          </w:p>
        </w:tc>
      </w:tr>
      <w:tr>
        <w:trPr>
          <w:cantSplit/>
        </w:trPr>
        <w:tc>
          <w:tcPr>
            <w:tcW w:type="dxa" w:w="2351"/>
          </w:tcPr>
          <w:p/>
        </w:tc>
        <w:tc>
          <w:tcPr>
            <w:tcW w:type="dxa" w:w="7053"/>
            <w:gridSpan w:val="3"/>
          </w:tcPr>
          <w:p>
            <w:r>
              <w:t xml:space="preserve">Bei einem verbundenen Vertrag nach § 358 BGB, der nicht den Erwerb von Finanzinstrumenten zum Gegenstand hat, oder bei einem zusammenhängenden Vertrag, wenn von Gestaltungshinweis </w:t>
            </w:r>
            <w:r>
              <w:t xml:space="preserve"> Gebrauch gemacht wurde, ist hier Folgendes einzufügen:</w:t>
            </w:r>
          </w:p>
        </w:tc>
      </w:tr>
      <w:tr>
        <w:trPr>
          <w:cantSplit/>
        </w:trPr>
        <w:tc>
          <w:tcPr>
            <w:tcW w:type="dxa" w:w="2351"/>
          </w:tcPr>
          <w:p/>
        </w:tc>
        <w:tc>
          <w:tcPr>
            <w:tcW w:type="dxa" w:w="2351"/>
          </w:tcPr>
          <w:p>
            <w:r>
              <w:t>„–</w:t>
            </w:r>
          </w:p>
        </w:tc>
        <w:tc>
          <w:tcPr>
            <w:tcW w:type="dxa" w:w="4702"/>
            <w:gridSpan w:val="2"/>
          </w:tcPr>
          <w:p>
            <w:r>
              <w:t>Ist der Darlehensnehmer auf Grund des Widerrufs dieses Darlehensvertrags an [einsetzen***: den verbundenen Vertrag und/oder den zusammenhängenden Vertrag] nicht mehr gebunden, so sind insoweit die beiderseits empfangenen Leistungen zurückzugewähren.“</w:t>
            </w:r>
          </w:p>
        </w:tc>
      </w:tr>
      <w:tr>
        <w:trPr>
          <w:cantSplit/>
        </w:trPr>
        <w:tc>
          <w:tcPr>
            <w:tcW w:type="dxa" w:w="2351"/>
          </w:tcPr>
          <w:p/>
        </w:tc>
        <w:tc>
          <w:tcPr>
            <w:tcW w:type="dxa" w:w="7053"/>
            <w:gridSpan w:val="3"/>
          </w:tcPr>
          <w:p>
            <w:r>
              <w:t xml:space="preserve">Bei einem verbundenen Vertrag nach § 358 BGB über die Überlassung einer Sache oder bei einem zusammenhängenden Vertrag, gerichtet auf die Überlassung einer Sache, wenn von Gestaltungshinweis </w:t>
            </w:r>
            <w:r>
              <w:t xml:space="preserve"> Gebrauch gemacht wurde, ist hier nachstehender Unterabsatz einzufügen:</w:t>
            </w:r>
          </w:p>
        </w:tc>
      </w:tr>
      <w:tr>
        <w:trPr>
          <w:cantSplit/>
        </w:trPr>
        <w:tc>
          <w:tcPr>
            <w:tcW w:type="dxa" w:w="2351"/>
          </w:tcPr>
          <w:p/>
        </w:tc>
        <w:tc>
          <w:tcPr>
            <w:tcW w:type="dxa" w:w="2351"/>
          </w:tcPr>
          <w:p>
            <w:r>
              <w:t>„–</w:t>
            </w:r>
          </w:p>
        </w:tc>
        <w:tc>
          <w:tcPr>
            <w:tcW w:type="dxa" w:w="4702"/>
            <w:gridSpan w:val="2"/>
          </w:tcPr>
          <w:p>
            <w:r>
              <w:t>Der Darlehensnehmer ist nicht verpflichtet, die Sache zurückzusenden, wenn der an [einsetzen***: dem verbundenen Vertrag oder dem zusammenhängenden Vertrag] beteiligte Unternehmer angeboten hat, die Sachen abzuholen. Grundsätzlich trägt der Darlehensnehmer die unmittelbaren Kosten der Rücksendung der Waren. Dies gilt nicht, wenn der an [einsetzen***: dem verbundenen Vertrag oder dem zusammenhängenden Vertrag] beteiligte Unternehmer sich bereit erklärt hat, diese Kosten zu tragen, oder er es unterlassen hat, den Verbraucher über die Pflicht, die unmittelbaren Kosten der Rücksendung zu tragen, zu unterrichten. Bei außerhalb von Geschäftsräumen geschlossenen Verträgen, bei denen die Waren zum Zeitpunkt des Vertragsschlusses zur Wohnung des Verbrauchers gebracht worden sind, ist der Unternehmer verpflichtet, die Waren auf eigene Kosten abzuholen, wenn die Waren so beschaffen sind, dass sie nicht per Post zurückgesandt werden können.“</w:t>
            </w:r>
          </w:p>
        </w:tc>
      </w:tr>
      <w:tr>
        <w:trPr>
          <w:cantSplit/>
        </w:trPr>
        <w:tc>
          <w:tcPr>
            <w:tcW w:type="dxa" w:w="2351"/>
          </w:tcPr>
          <w:p/>
        </w:tc>
        <w:tc>
          <w:tcPr>
            <w:tcW w:type="dxa" w:w="7053"/>
            <w:gridSpan w:val="3"/>
          </w:tcPr>
          <w:p>
            <w:r>
              <w:t>Der Unterabsatz kann wie folgt ergänzt werden:</w:t>
            </w:r>
          </w:p>
        </w:tc>
      </w:tr>
      <w:tr>
        <w:trPr>
          <w:cantSplit/>
        </w:trPr>
        <w:tc>
          <w:tcPr>
            <w:tcW w:type="dxa" w:w="2351"/>
          </w:tcPr>
          <w:p/>
        </w:tc>
        <w:tc>
          <w:tcPr>
            <w:tcW w:type="dxa" w:w="7053"/>
            <w:gridSpan w:val="3"/>
          </w:tcPr>
          <w:p>
            <w:r>
              <w:t>„Wenn der Darlehensnehmer die auf Grund [einsetzen***: des verbundenen Vertrags oder des zusammenhängenden Vertrags] überlassene Sache nicht oder teilweise nicht oder nur in verschlechtertem Zustand zurückgewähren kann, so hat er insoweit Wertersatz zu leisten. Dies kommt allerdings nur in Betracht, wenn der Wertverlust auf einen Umgang mit den Waren zurückzuführen ist, der zur Prüfung der Beschaffenheit, der Eigenschaften und der Funktionsweise der Waren nicht notwendig war.“</w:t>
            </w:r>
          </w:p>
        </w:tc>
      </w:tr>
      <w:tr>
        <w:trPr>
          <w:cantSplit/>
        </w:trPr>
        <w:tc>
          <w:tcPr>
            <w:tcW w:type="dxa" w:w="2351"/>
          </w:tcPr>
          <w:p/>
        </w:tc>
        <w:tc>
          <w:tcPr>
            <w:tcW w:type="dxa" w:w="7053"/>
            <w:gridSpan w:val="3"/>
          </w:tcPr>
          <w:p>
            <w:r>
              <w:t>Bei einem Vertrag über eine entgeltliche Finanzierungshilfe gilt Folgendes:</w:t>
            </w:r>
          </w:p>
        </w:tc>
      </w:tr>
      <w:tr>
        <w:trPr>
          <w:cantSplit/>
        </w:trPr>
        <w:tc>
          <w:tcPr>
            <w:tcW w:type="dxa" w:w="2351"/>
          </w:tcPr>
          <w:p/>
        </w:tc>
        <w:tc>
          <w:tcPr>
            <w:tcW w:type="dxa" w:w="2351"/>
          </w:tcPr>
          <w:p>
            <w:r>
              <w:t>a)</w:t>
            </w:r>
          </w:p>
        </w:tc>
        <w:tc>
          <w:tcPr>
            <w:tcW w:type="dxa" w:w="4702"/>
            <w:gridSpan w:val="2"/>
          </w:tcPr>
          <w:p>
            <w:r>
              <w:t xml:space="preserve">Ist Vertragsgegenstand die Überlassung einer Sache mit Ausnahme der Lieferung von Wasser, Gas oder Strom, die nicht in einem begrenzten Volumen oder in einer bestimmten Menge zum Verkauf angeboten werden, so sind hier die konkreten Hinweise entsprechend Gestaltungshinweis  </w:t>
            </w:r>
            <w:r>
              <w:t xml:space="preserve"> Buchstabe a und b der Anlage 1 zu Artikel 246a § 1 Absatz 2 Satz 2 des Einführungsgesetzes zum Bürgerlichen Gesetzbuche (EGBGB) unter Anpassung der dort genannten Frist zu geben.</w:t>
            </w:r>
          </w:p>
        </w:tc>
      </w:tr>
      <w:tr>
        <w:trPr>
          <w:cantSplit/>
        </w:trPr>
        <w:tc>
          <w:tcPr>
            <w:tcW w:type="dxa" w:w="2351"/>
          </w:tcPr>
          <w:p/>
        </w:tc>
        <w:tc>
          <w:tcPr>
            <w:tcW w:type="dxa" w:w="2351"/>
          </w:tcPr>
          <w:p/>
        </w:tc>
        <w:tc>
          <w:tcPr>
            <w:tcW w:type="dxa" w:w="4702"/>
            <w:gridSpan w:val="2"/>
          </w:tcPr>
          <w:p>
            <w:r>
              <w:t xml:space="preserve">Diese können durch die konkreten Hinweise entsprechend Gestaltungshinweis  </w:t>
            </w:r>
            <w:r>
              <w:t xml:space="preserve"> Buchstabe c der Anlage 1 zu Artikel 246a § 1 Absatz 2 Satz 2 EGBGB ergänzt werden.</w:t>
            </w:r>
          </w:p>
        </w:tc>
      </w:tr>
      <w:tr>
        <w:trPr>
          <w:cantSplit/>
        </w:trPr>
        <w:tc>
          <w:tcPr>
            <w:tcW w:type="dxa" w:w="2351"/>
          </w:tcPr>
          <w:p/>
        </w:tc>
        <w:tc>
          <w:tcPr>
            <w:tcW w:type="dxa" w:w="2351"/>
          </w:tcPr>
          <w:p>
            <w:r>
              <w:t>b)</w:t>
            </w:r>
          </w:p>
        </w:tc>
        <w:tc>
          <w:tcPr>
            <w:tcW w:type="dxa" w:w="4702"/>
            <w:gridSpan w:val="2"/>
          </w:tcPr>
          <w:p>
            <w:r>
              <w:t>Ist Vertragsgegenstand die Erbringung einer Finanzdienstleistung, kann hier folgender Hinweis gegeben werden:</w:t>
            </w:r>
          </w:p>
        </w:tc>
      </w:tr>
      <w:tr>
        <w:trPr>
          <w:cantSplit/>
        </w:trPr>
        <w:tc>
          <w:tcPr>
            <w:tcW w:type="dxa" w:w="2351"/>
          </w:tcPr>
          <w:p/>
        </w:tc>
        <w:tc>
          <w:tcPr>
            <w:tcW w:type="dxa" w:w="2351"/>
          </w:tcPr>
          <w:p/>
        </w:tc>
        <w:tc>
          <w:tcPr>
            <w:tcW w:type="dxa" w:w="4702"/>
            <w:gridSpan w:val="2"/>
          </w:tcPr>
          <w:p>
            <w:r>
              <w:t>„Der Darlehensnehmer ist zur Zahlung von Wertersatz für die bis zum Widerruf erbrachte Dienstleistung verpflichtet, wenn er ausdrücklich zugestimmt hat, dass vor dem Ende der Widerrufsfrist mit der Ausführung der Gegenleistung begonnen wird. Besteht eine Verpflichtung zur Zahlung von Wertersatz, so kann dies dazu führen, dass der Darlehensnehmer die vertraglichen Zahlungsverpflichtungen für den Zeitraum bis zum Widerruf dennoch erfüllen muss.“</w:t>
            </w:r>
          </w:p>
        </w:tc>
      </w:tr>
      <w:tr>
        <w:trPr>
          <w:cantSplit/>
        </w:trPr>
        <w:tc>
          <w:tcPr>
            <w:tcW w:type="dxa" w:w="2351"/>
          </w:tcPr>
          <w:p/>
        </w:tc>
        <w:tc>
          <w:tcPr>
            <w:tcW w:type="dxa" w:w="2351"/>
          </w:tcPr>
          <w:p>
            <w:r>
              <w:t>c)</w:t>
            </w:r>
          </w:p>
        </w:tc>
        <w:tc>
          <w:tcPr>
            <w:tcW w:type="dxa" w:w="4702"/>
            <w:gridSpan w:val="2"/>
          </w:tcPr>
          <w:p>
            <w:r>
              <w:t xml:space="preserve">Ist Vertragsgegenstand die Erbringung einer Dienstleistung, die nicht in der Überlassung einer Sache gemäß Buchstabe a oder in einer Finanzdienstleistung besteht, oder die Lieferung von Wasser, Gas oder Strom, wenn sie nicht in einem begrenzten Volumen oder in einer bestimmten Menge zum Verkauf angeboten werden, oder die Lieferung von Fernwärme, so können hier die konkreten Hinweise entsprechend Gestaltungshinweis  </w:t>
            </w:r>
            <w:r>
              <w:t xml:space="preserve"> der Anlage 1 zu Artikel 246a § 1 Absatz 2 Satz 2 EGBGB gegeben werden.</w:t>
            </w:r>
          </w:p>
        </w:tc>
      </w:tr>
      <w:tr>
        <w:trPr>
          <w:cantSplit/>
        </w:trPr>
        <w:tc>
          <w:tcPr>
            <w:tcW w:type="dxa" w:w="2351"/>
          </w:tcPr>
          <w:p/>
        </w:tc>
        <w:tc>
          <w:tcPr>
            <w:tcW w:type="dxa" w:w="2351"/>
          </w:tcPr>
          <w:p>
            <w:r>
              <w:t>d)</w:t>
            </w:r>
          </w:p>
        </w:tc>
        <w:tc>
          <w:tcPr>
            <w:tcW w:type="dxa" w:w="4702"/>
            <w:gridSpan w:val="2"/>
          </w:tcPr>
          <w:p>
            <w:r>
              <w:t>Ist Vertragsgegenstand die Lieferung von nicht auf einem körperlichen Datenträger befindlichen digitalen Inhalten, so kann hier folgender Hinweis gegeben werden:</w:t>
            </w:r>
          </w:p>
        </w:tc>
      </w:tr>
      <w:tr>
        <w:trPr>
          <w:cantSplit/>
        </w:trPr>
        <w:tc>
          <w:tcPr>
            <w:tcW w:type="dxa" w:w="2351"/>
          </w:tcPr>
          <w:p/>
        </w:tc>
        <w:tc>
          <w:tcPr>
            <w:tcW w:type="dxa" w:w="2351"/>
          </w:tcPr>
          <w:p/>
        </w:tc>
        <w:tc>
          <w:tcPr>
            <w:tcW w:type="dxa" w:w="4702"/>
            <w:gridSpan w:val="2"/>
          </w:tcPr>
          <w:p>
            <w:r>
              <w:t>„Der Darlehensnehmer ist zur Zahlung von Wertersatz für die bis zum Widerruf gelieferten digitalen Inhalte verpflichtet, wenn er ausdrücklich zugestimmt hat, dass vor dem Ende der Widerrufsfrist mit der Lieferung der digitalen Inhalte begonnen wird.“</w:t>
            </w:r>
          </w:p>
        </w:tc>
      </w:tr>
      <w:tr>
        <w:trPr>
          <w:cantSplit/>
        </w:trPr>
        <w:tc>
          <w:tcPr>
            <w:tcW w:type="dxa" w:w="2351"/>
          </w:tcPr>
          <w:p/>
        </w:tc>
        <w:tc>
          <w:tcPr>
            <w:tcW w:type="dxa" w:w="7053"/>
            <w:gridSpan w:val="3"/>
          </w:tcPr>
          <w:p>
            <w:r>
              <w:t>Bei einem angegebenen Geschäft nach § 360 Absatz 2 Satz 2 BGB ist hier Folgendes einzufügen:</w:t>
            </w:r>
          </w:p>
        </w:tc>
      </w:tr>
      <w:tr>
        <w:trPr>
          <w:cantSplit/>
        </w:trPr>
        <w:tc>
          <w:tcPr>
            <w:tcW w:type="dxa" w:w="2351"/>
          </w:tcPr>
          <w:p/>
        </w:tc>
        <w:tc>
          <w:tcPr>
            <w:tcW w:type="dxa" w:w="2351"/>
          </w:tcPr>
          <w:p>
            <w:r>
              <w:t>„–</w:t>
            </w:r>
          </w:p>
        </w:tc>
        <w:tc>
          <w:tcPr>
            <w:tcW w:type="dxa" w:w="4702"/>
            <w:gridSpan w:val="2"/>
          </w:tcPr>
          <w:p>
            <w:r>
              <w:t>Ist der Darlehensnehmer auf Grund des Widerrufs des [einsetzen***: angegebenen Geschäfts] an den Darlehensvertrag nicht mehr gebunden, so führt das hinsichtlich des Darlehensvertrags zu den gleichen Folgen, die eintreten würden, wenn der Darlehensvertrag selbst widerrufen worden wäre (vergleiche oben unter „Widerrufsfolgen“).“</w:t>
            </w:r>
          </w:p>
        </w:tc>
      </w:tr>
      <w:tr>
        <w:trPr>
          <w:cantSplit/>
        </w:trPr>
        <w:tc>
          <w:tcPr>
            <w:tcW w:type="dxa" w:w="2351"/>
          </w:tcPr>
          <w:p/>
        </w:tc>
        <w:tc>
          <w:tcPr>
            <w:tcW w:type="dxa" w:w="7053"/>
            <w:gridSpan w:val="3"/>
          </w:tcPr>
          <w:p>
            <w:r>
              <w:t>Bei einem verbundenen Vertrag nach § 358 BGB, der nicht den Erwerb von Finanzinstrumenten zum Gegenstand hat, ist hier Folgendes einzufügen:</w:t>
            </w:r>
          </w:p>
        </w:tc>
      </w:tr>
      <w:tr>
        <w:trPr>
          <w:cantSplit/>
        </w:trPr>
        <w:tc>
          <w:tcPr>
            <w:tcW w:type="dxa" w:w="2351"/>
          </w:tcPr>
          <w:p/>
        </w:tc>
        <w:tc>
          <w:tcPr>
            <w:tcW w:type="dxa" w:w="2351"/>
          </w:tcPr>
          <w:p>
            <w:r>
              <w:t>„–</w:t>
            </w:r>
          </w:p>
        </w:tc>
        <w:tc>
          <w:tcPr>
            <w:tcW w:type="dxa" w:w="4702"/>
            <w:gridSpan w:val="2"/>
          </w:tcPr>
          <w:p>
            <w:r>
              <w:t>Wenn der Darlehensnehmer infolge des Widerrufs des Darlehensvertrags nicht mehr an den weiteren Vertrag gebunden ist oder infolge des Widerrufs des weiteren Vertrags nicht mehr an den Darlehensvertrag gebunden ist, so gilt ergänzend Folgendes: Ist das Darlehen bei Wirksamwerden des Widerrufs dem Vertragspartner des Darlehensnehmers aus [einsetzen***: dem verbundenen Vertrag] bereits zugeflossen, so tritt der Darlehensgeber im Verhältnis zum Darlehensnehmer hinsichtlich der Rechtsfolgen des Widerrufs in die Rechte und Pflichten des Vertragspartners aus dem weiteren Vertrag ein.“</w:t>
            </w:r>
          </w:p>
        </w:tc>
      </w:tr>
      <w:tr>
        <w:trPr>
          <w:cantSplit/>
        </w:trPr>
        <w:tc>
          <w:tcPr>
            <w:tcW w:type="dxa" w:w="2351"/>
          </w:tcPr>
          <w:p/>
        </w:tc>
        <w:tc>
          <w:tcPr>
            <w:tcW w:type="dxa" w:w="7053"/>
            <w:gridSpan w:val="3"/>
          </w:tcPr>
          <w:p>
            <w:r>
              <w:t>Dieser Hinweis entfällt, wenn der Darlehensgeber zugleich Vertragspartner des Darlehensnehmers aus dem weiteren Vertrag ist.</w:t>
            </w:r>
          </w:p>
        </w:tc>
      </w:tr>
      <w:tr>
        <w:trPr>
          <w:cantSplit/>
        </w:trPr>
        <w:tc>
          <w:tcPr>
            <w:tcW w:type="dxa" w:w="2351"/>
          </w:tcPr>
          <w:p/>
        </w:tc>
        <w:tc>
          <w:tcPr>
            <w:tcW w:type="dxa" w:w="7053"/>
            <w:gridSpan w:val="3"/>
          </w:tcPr>
          <w:p>
            <w:r>
              <w:t>Bei einem verbundenen Vertrag nach § 358 BGB, der nicht den Erwerb von Finanzinstrumenten zum Gegenstand hat, sind hier folgende Überschrift und folgender Hinweis einzufügen:</w:t>
            </w:r>
          </w:p>
        </w:tc>
      </w:tr>
      <w:tr>
        <w:trPr>
          <w:cantSplit/>
        </w:trPr>
        <w:tc>
          <w:tcPr>
            <w:tcW w:type="dxa" w:w="2351"/>
          </w:tcPr>
          <w:p/>
        </w:tc>
        <w:tc>
          <w:tcPr>
            <w:tcW w:type="dxa" w:w="7053"/>
            <w:gridSpan w:val="3"/>
          </w:tcPr>
          <w:p>
            <w:r>
              <w:rPr>
                <w:b/>
              </w:rPr>
              <w:t>„Einwendungen bei verbundenen Verträgen“</w:t>
            </w:r>
            <w:r>
              <w:t>.</w:t>
            </w:r>
          </w:p>
        </w:tc>
      </w:tr>
      <w:tr>
        <w:trPr>
          <w:cantSplit/>
        </w:trPr>
        <w:tc>
          <w:tcPr>
            <w:tcW w:type="dxa" w:w="2351"/>
          </w:tcPr>
          <w:p/>
        </w:tc>
        <w:tc>
          <w:tcPr>
            <w:tcW w:type="dxa" w:w="7053"/>
            <w:gridSpan w:val="3"/>
          </w:tcPr>
          <w:p>
            <w:r>
              <w:t>„Der Darlehensnehmer kann die Rückzahlung des Darlehens verweigern, soweit ihn Einwendungen berechtigen würden, seine Leistung gegenüber dem Vertragspartner aus dem verbundenen Vertrag zu verweigern. Dies gilt nicht, wenn das finanzierte Entgelt weniger als 200 Euro beträgt oder wenn der Rechtsgrund für die Einwendung auf einer Vereinbarung beruht, die zwischen dem Darlehensnehmer und dem anderen Vertragspartner nach dem Abschluss des Darlehensvertrags getroffen wurde. Kann der Darlehensnehmer von dem anderen Vertragspartner Nacherfüllung verlangen, so kann er die Rückzahlung des Darlehens erst verweigern, wenn die Nacherfüllung fehlgeschlagen ist.“</w:t>
            </w:r>
          </w:p>
        </w:tc>
      </w:tr>
      <w:tr>
        <w:trPr>
          <w:cantSplit/>
        </w:trPr>
        <w:tc>
          <w:tcPr>
            <w:tcW w:type="dxa" w:w="2351"/>
          </w:tcPr>
          <w:p/>
        </w:tc>
        <w:tc>
          <w:tcPr>
            <w:tcW w:type="dxa" w:w="7053"/>
            <w:gridSpan w:val="3"/>
          </w:tcPr>
          <w:p>
            <w:r>
              <w:t>Dieser Hinweis und die Überschrift können entfallen, wenn der Darlehensgeber weiß, dass das finanzierte Entgelt weniger als 200 Euro beträgt.</w:t>
            </w:r>
          </w:p>
        </w:tc>
      </w:tr>
      <w:tr>
        <w:trPr>
          <w:cantSplit/>
        </w:trPr>
        <w:tc>
          <w:tcPr>
            <w:tcW w:type="dxa" w:w="2351"/>
          </w:tcPr>
          <w:p>
            <w:r>
              <w:t>*</w:t>
            </w:r>
          </w:p>
        </w:tc>
        <w:tc>
          <w:tcPr>
            <w:tcW w:type="dxa" w:w="7053"/>
            <w:gridSpan w:val="3"/>
          </w:tcPr>
          <w:p>
            <w:r>
              <w:t>Die Vertragsparteien können auch direkt angesprochen werden (z. B. „Sie“, „Wir“). Es kann auch die weibliche Form der jeweiligen Bezeichnung und/oder die genaue Bezeichnung der Vertragsparteien verwendet werden. Es können auch die Bezeichnungen „Kreditnehmer“ und „Kreditgeber“ verwendet werden. Bei entgeltlichen Finanzierungshilfen sind die Bezeichnungen entsprechend anzupassen, beispielsweise mit „Leasinggeber“ und „Leasingnehmer“.</w:t>
            </w:r>
          </w:p>
        </w:tc>
      </w:tr>
      <w:tr>
        <w:trPr>
          <w:cantSplit/>
        </w:trPr>
        <w:tc>
          <w:tcPr>
            <w:tcW w:type="dxa" w:w="2351"/>
          </w:tcPr>
          <w:p>
            <w:r>
              <w:t>**</w:t>
            </w:r>
          </w:p>
        </w:tc>
        <w:tc>
          <w:tcPr>
            <w:tcW w:type="dxa" w:w="7053"/>
            <w:gridSpan w:val="3"/>
          </w:tcPr>
          <w:p>
            <w:r>
              <w:t>Dieser Klammerzusatz entfällt bei durchgängiger genauer Bezeichnung des Vertrags/Geschäfts.</w:t>
            </w:r>
          </w:p>
        </w:tc>
      </w:tr>
      <w:tr>
        <w:trPr>
          <w:cantSplit/>
        </w:trPr>
        <w:tc>
          <w:tcPr>
            <w:tcW w:type="dxa" w:w="2351"/>
          </w:tcPr>
          <w:p>
            <w:r>
              <w:t>***</w:t>
            </w:r>
          </w:p>
        </w:tc>
        <w:tc>
          <w:tcPr>
            <w:tcW w:type="dxa" w:w="7053"/>
            <w:gridSpan w:val="3"/>
          </w:tcPr>
          <w:p>
            <w:r>
              <w:t>Die Bezugnahme auf den betreffenden Vertrag/auf das betreffende Geschäft kann nach erstmaliger genauer Bezeichnung im Weiteren durch Verwendung der allgemeinen Bezeichnung des jeweiligen Vertrags/Geschäfts (verbundener Vertrag, angegebenes Geschäft, zusammenhängender Vertrag) erfolgen.</w:t>
            </w:r>
          </w:p>
        </w:tc>
      </w:tr>
    </w:tbl>
    <w:p>
      <w:pPr>
        <w:spacing w:after="0"/>
      </w:pPr>
    </w:p>
    <w:p>
      <w:pPr>
        <w:pStyle w:val="Heading3"/>
      </w:pPr>
      <w:bookmarkStart w:id="507" w:name="b506"/>
      <w:r>
        <w:t>Anlage 8 (zu Artikel 247 § 6 Absatz 2 und § 12 Absatz 1)Muster für eine Widerrufsinformation für Immobiliar-Verbraucherdarlehensverträge</w:t>
      </w:r>
      <w:bookmarkEnd w:id="507"/>
    </w:p>
    <w:p>
      <w:r>
        <w:rPr>
          <w:color w:val="404040"/>
          <w:sz w:val="21"/>
        </w:rPr>
        <w:t>(Fundstelle: BGBl. I 2016, S. 433 - 435;</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8"/>
      </w:tblPr>
      <w:tblGrid>
        <w:gridCol w:w="9406"/>
      </w:tblGrid>
      <w:tr>
        <w:trPr>
          <w:cantSplit/>
        </w:trPr>
        <w:tc>
          <w:tcPr>
            <w:tcW w:type="dxa" w:w="9406"/>
          </w:tcPr>
          <w:p>
            <w:r>
              <w:rPr>
                <w:b/>
              </w:rPr>
              <w:t>Widerrufsinformation</w:t>
            </w:r>
          </w:p>
        </w:tc>
      </w:tr>
      <w:tr>
        <w:trPr>
          <w:cantSplit/>
        </w:trPr>
        <w:tc>
          <w:tcPr>
            <w:tcW w:type="dxa" w:w="9406"/>
          </w:tcPr>
          <w:p>
            <w:r>
              <w:rPr>
                <w:b/>
              </w:rPr>
              <w:t>Widerrufsrecht</w:t>
            </w:r>
          </w:p>
        </w:tc>
      </w:tr>
      <w:tr>
        <w:trPr>
          <w:cantSplit/>
        </w:trPr>
        <w:tc>
          <w:tcPr>
            <w:tcW w:type="dxa" w:w="9406"/>
          </w:tcPr>
          <w:p>
            <w:r>
              <w:t xml:space="preserve">Der Darlehensnehmer* kann seine Vertragserklärung innerhalb von 14 Tagen ohne Angabe von Gründen widerrufen. Die Frist beginnt nach Abschluss des Vertrags, aber erst, nachdem der Darlehensnehmer diese Widerrufsinformation erhalten hat. Der Darlehensnehmer hat diese Widerrufsinformation erhalten, wenn sie in der für den Darlehensnehmer bestimmten Ausfertigung seines Antrags oder in der für den Darlehensnehmer bestimmten Ausfertigung der Vertragsurkunde oder in einer für den Darlehensnehmer bestimmten Abschrift seines Antrags oder der Vertragsurkunde enthalten ist und dem Darlehensnehmer eine solche Unterlage zur Verfügung gestellt worden ist. Über eine in den Vertragstext nicht aufgenommene Angabe zum Widerrufsrecht kann der Darlehensnehmer nachträglich auf einem dauerhaften Datenträger informiert werden; die Widerrufsfrist beträgt dann einen Monat. Der Darlehensnehmer ist mit der nachgeholten Widerrufsinformation nochmals auf den Beginn der Widerrufsfrist hinzuweisen. Zur Wahrung der Widerrufsfrist genügt die rechtzeitige Absendung des Widerrufs, wenn die Erklärung auf einem dauerhaften Datenträger (z. B. Brief, Telefax, E-Mail) erfolgt. Der Widerruf ist zu richten an: </w:t>
            </w:r>
          </w:p>
        </w:tc>
      </w:tr>
      <w:tr>
        <w:trPr>
          <w:cantSplit/>
        </w:trPr>
        <w:tc>
          <w:tcPr>
            <w:tcW w:type="dxa" w:w="9406"/>
          </w:tcPr>
          <w:p>
            <w:r>
              <w:rPr>
                <w:b/>
              </w:rPr>
              <w:t>Information über das Erlöschen des Widerrufsrechts</w:t>
            </w:r>
          </w:p>
        </w:tc>
      </w:tr>
      <w:tr>
        <w:trPr>
          <w:cantSplit/>
        </w:trPr>
        <w:tc>
          <w:tcPr>
            <w:tcW w:type="dxa" w:w="9406"/>
          </w:tcPr>
          <w:p>
            <w:r>
              <w:t>Das Widerrufsrecht erlischt spätestens zwölf Monate und 14 Tage nach dem Zeitpunkt des Vertragsschlusses oder, sofern dieser Zeitpunkt nach dem Vertragsschluss liegt, dem Zeitpunkt zu dem dem Darlehensnehmer eine für ihn bestimmte Ausfertigung oder Abschrift seines Antrags oder der Vertragsurkunde zur Verfügung gestellt worden ist. Das Widerrufsrecht erlischt auch dann, wenn die Widerrufsinformation oder die Angaben hierzu im Vertrag fehlerhaft waren oder ganz unterblieben sind.</w:t>
            </w: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r>
              <w:rPr>
                <w:b/>
              </w:rPr>
              <w:t>Widerrufsfolgen</w:t>
            </w:r>
          </w:p>
        </w:tc>
      </w:tr>
      <w:tr>
        <w:trPr>
          <w:cantSplit/>
        </w:trPr>
        <w:tc>
          <w:tcPr>
            <w:tcW w:type="dxa" w:w="9406"/>
          </w:tcPr>
          <w:p>
            <w:r>
              <w:t xml:space="preserve">Der Darlehensnehmer hat innerhalb von 30 Tagen das Darlehen, soweit es bereits ausbezahlt wurde, zurückzuzahlen und für den Zeitraum zwischen der Auszahlung und der Rückzahlung des Darlehens den vereinbarten Sollzins zu entrichten. Die Frist beginnt mit der Absendung der Widerrufserklärung. Für den Zeitraum zwischen Auszahlung und Rückzahlung ist bei vollständiger Inanspruchnahme des Darlehens pro Tag ein Zinsbetrag in Höhe von </w:t>
            </w:r>
            <w:r>
              <w:t xml:space="preserve">  Euro zu zahlen. Dieser Betrag verringert sich entsprechend, wenn das Darlehen nur teilweise in Anspruch genommen wurde. Wenn der Darlehensnehmer nachweist, dass der Wert seines Gebrauchsvorteils niedriger war als der Vertragszins, muss er nur den niedrigeren Betrag zahlen. Dies kann z. B. in Betracht kommen, wenn der marktübliche Zins geringer war als der Vertragszins.  </w:t>
            </w: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tc>
      </w:tr>
    </w:tbl>
    <w:p>
      <w:pPr>
        <w:spacing w:after="0"/>
      </w:pPr>
    </w:p>
    <w:p>
      <w:pPr>
        <w:pStyle w:val="Zwischentitel"/>
      </w:pPr>
      <w:r>
        <w:rPr>
          <w:b/>
        </w:rPr>
        <w:t>Gestaltungshinweise:</w:t>
      </w:r>
    </w:p>
    <w:tbl>
      <w:tblPr>
        <w:tblStyle w:val="TableGrid"/>
        <w:tblW w:type="pct" w:w="5000"/>
        <w:tblLook w:firstColumn="1" w:firstRow="1" w:lastColumn="0" w:lastRow="0" w:noHBand="0" w:noVBand="1" w:val="04A0"/>
        <w:tblCaption w:val="Tabelle 2 zu Anlage 8"/>
      </w:tblPr>
      <w:tblGrid>
        <w:gridCol w:w="2351"/>
        <w:gridCol w:w="2351"/>
        <w:gridCol w:w="2351"/>
        <w:gridCol w:w="2351"/>
      </w:tblGrid>
      <w:tr>
        <w:trPr>
          <w:cantSplit/>
        </w:trPr>
        <w:tc>
          <w:tcPr>
            <w:tcW w:type="dxa" w:w="2351"/>
          </w:tcPr>
          <w:p/>
        </w:tc>
        <w:tc>
          <w:tcPr>
            <w:tcW w:type="dxa" w:w="7053"/>
            <w:gridSpan w:val="3"/>
          </w:tcPr>
          <w:p>
            <w:r>
              <w:t>Hier sind einzufügen: Name/Firma und ladungsfähige Anschrift des Widerrufsadressaten. Zusätzlich können angegeben werden: Telefaxnummer, E-Mail-Adresse und/oder, wenn der Darlehensnehmer eine Bestätigung seiner Widerrufserklärung an den Darlehensgeber erhält, auch eine Internet-Adresse.</w:t>
            </w:r>
          </w:p>
        </w:tc>
      </w:tr>
      <w:tr>
        <w:trPr>
          <w:cantSplit/>
        </w:trPr>
        <w:tc>
          <w:tcPr>
            <w:tcW w:type="dxa" w:w="2351"/>
          </w:tcPr>
          <w:p/>
        </w:tc>
        <w:tc>
          <w:tcPr>
            <w:tcW w:type="dxa" w:w="7053"/>
            <w:gridSpan w:val="3"/>
          </w:tcPr>
          <w:p>
            <w:r>
              <w:t xml:space="preserve">Bei Anwendung der Gestaltungshinweise </w:t>
            </w:r>
            <w:r>
              <w:t xml:space="preserve"> , </w:t>
            </w:r>
            <w:r>
              <w:t xml:space="preserve">  oder </w:t>
            </w:r>
            <w:r>
              <w:t xml:space="preserve">  ist hier folgende Unterüberschrift einzufügen:</w:t>
            </w:r>
          </w:p>
        </w:tc>
      </w:tr>
      <w:tr>
        <w:trPr>
          <w:cantSplit/>
        </w:trPr>
        <w:tc>
          <w:tcPr>
            <w:tcW w:type="dxa" w:w="2351"/>
          </w:tcPr>
          <w:p/>
        </w:tc>
        <w:tc>
          <w:tcPr>
            <w:tcW w:type="dxa" w:w="7053"/>
            <w:gridSpan w:val="3"/>
          </w:tcPr>
          <w:p>
            <w:r>
              <w:t>„Besonderheiten bei weiteren Verträgen”.</w:t>
            </w:r>
          </w:p>
        </w:tc>
      </w:tr>
      <w:tr>
        <w:trPr>
          <w:cantSplit/>
        </w:trPr>
        <w:tc>
          <w:tcPr>
            <w:tcW w:type="dxa" w:w="2351"/>
          </w:tcPr>
          <w:p/>
        </w:tc>
        <w:tc>
          <w:tcPr>
            <w:tcW w:type="dxa" w:w="7053"/>
            <w:gridSpan w:val="3"/>
          </w:tcPr>
          <w:p>
            <w:r>
              <w:t>Bei einem verbundenen Vertrag nach § 358 BGB ist hier einzufügen:</w:t>
            </w:r>
          </w:p>
        </w:tc>
      </w:tr>
      <w:tr>
        <w:trPr>
          <w:cantSplit/>
        </w:trPr>
        <w:tc>
          <w:tcPr>
            <w:tcW w:type="dxa" w:w="2351"/>
          </w:tcPr>
          <w:p/>
        </w:tc>
        <w:tc>
          <w:tcPr>
            <w:tcW w:type="dxa" w:w="2351"/>
          </w:tcPr>
          <w:p>
            <w:r>
              <w:t>a)</w:t>
            </w:r>
          </w:p>
        </w:tc>
        <w:tc>
          <w:tcPr>
            <w:tcW w:type="dxa" w:w="4702"/>
            <w:gridSpan w:val="2"/>
          </w:tcPr>
          <w:p>
            <w:r>
              <w:t>Wenn der Vertrag nicht den Erwerb von Finanzinstrumenten zum Gegenstand hat:</w:t>
            </w:r>
          </w:p>
        </w:tc>
      </w:tr>
      <w:tr>
        <w:trPr>
          <w:cantSplit/>
        </w:trPr>
        <w:tc>
          <w:tcPr>
            <w:tcW w:type="dxa" w:w="2351"/>
          </w:tcPr>
          <w:p/>
        </w:tc>
        <w:tc>
          <w:tcPr>
            <w:tcW w:type="dxa" w:w="2351"/>
          </w:tcPr>
          <w:p/>
        </w:tc>
        <w:tc>
          <w:tcPr>
            <w:tcW w:type="dxa" w:w="2351"/>
          </w:tcPr>
          <w:p>
            <w:r>
              <w:t>„–</w:t>
            </w:r>
          </w:p>
        </w:tc>
        <w:tc>
          <w:tcPr>
            <w:tcW w:type="dxa" w:w="2351"/>
          </w:tcPr>
          <w:p>
            <w:r>
              <w:t>Widerruft der Darlehensnehmer diesen Darlehensvertrag, so ist er auch an den [einsetzen: Bezeichnung des verbundenen Vertrags] (im Folgenden: verbundener Vertrag)** nicht mehr gebunden.</w:t>
            </w:r>
          </w:p>
        </w:tc>
      </w:tr>
      <w:tr>
        <w:trPr>
          <w:cantSplit/>
        </w:trPr>
        <w:tc>
          <w:tcPr>
            <w:tcW w:type="dxa" w:w="2351"/>
          </w:tcPr>
          <w:p/>
        </w:tc>
        <w:tc>
          <w:tcPr>
            <w:tcW w:type="dxa" w:w="2351"/>
          </w:tcPr>
          <w:p/>
        </w:tc>
        <w:tc>
          <w:tcPr>
            <w:tcW w:type="dxa" w:w="2351"/>
          </w:tcPr>
          <w:p>
            <w:r>
              <w:t>–</w:t>
            </w:r>
          </w:p>
        </w:tc>
        <w:tc>
          <w:tcPr>
            <w:tcW w:type="dxa" w:w="2351"/>
          </w:tcPr>
          <w:p>
            <w:r>
              <w:t>Steht dem Darlehensnehmer in Bezug auf den [einsetzen***: verbundenen Vertrag] ein Widerrufsrecht zu, so ist er mit wirksamem Widerruf des [einsetzen***: verbundenen Vertrags] auch an den Darlehensvertrag nicht mehr gebunden. Für die Rechtsfolgen des Widerrufs sind die in dem [einsetzen***: verbundenen Vertrag] getroffenen Regelungen und die hierfür erteilte Widerrufsbelehrung maßgeblich.“</w:t>
            </w:r>
          </w:p>
        </w:tc>
      </w:tr>
      <w:tr>
        <w:trPr>
          <w:cantSplit/>
        </w:trPr>
        <w:tc>
          <w:tcPr>
            <w:tcW w:type="dxa" w:w="2351"/>
          </w:tcPr>
          <w:p/>
        </w:tc>
        <w:tc>
          <w:tcPr>
            <w:tcW w:type="dxa" w:w="2351"/>
          </w:tcPr>
          <w:p>
            <w:r>
              <w:t>b)</w:t>
            </w:r>
          </w:p>
        </w:tc>
        <w:tc>
          <w:tcPr>
            <w:tcW w:type="dxa" w:w="4702"/>
            <w:gridSpan w:val="2"/>
          </w:tcPr>
          <w:p>
            <w:r>
              <w:t>Wenn der Vertrag den Erwerb von Finanzinstrumenten zum Gegenstand hat:</w:t>
            </w:r>
          </w:p>
        </w:tc>
      </w:tr>
      <w:tr>
        <w:trPr>
          <w:cantSplit/>
        </w:trPr>
        <w:tc>
          <w:tcPr>
            <w:tcW w:type="dxa" w:w="2351"/>
          </w:tcPr>
          <w:p/>
        </w:tc>
        <w:tc>
          <w:tcPr>
            <w:tcW w:type="dxa" w:w="2351"/>
          </w:tcPr>
          <w:p/>
        </w:tc>
        <w:tc>
          <w:tcPr>
            <w:tcW w:type="dxa" w:w="2351"/>
          </w:tcPr>
          <w:p>
            <w:r>
              <w:t>„–</w:t>
            </w:r>
          </w:p>
        </w:tc>
        <w:tc>
          <w:tcPr>
            <w:tcW w:type="dxa" w:w="2351"/>
          </w:tcPr>
          <w:p>
            <w:r>
              <w:t>Widerruft der Darlehensnehmer den [einsetzen: Bezeichnung des verbundenen Vertrags], so ist er auch an den Darlehensvertrag nicht mehr gebunden.“</w:t>
            </w:r>
          </w:p>
        </w:tc>
      </w:tr>
      <w:tr>
        <w:trPr>
          <w:cantSplit/>
        </w:trPr>
        <w:tc>
          <w:tcPr>
            <w:tcW w:type="dxa" w:w="2351"/>
          </w:tcPr>
          <w:p/>
        </w:tc>
        <w:tc>
          <w:tcPr>
            <w:tcW w:type="dxa" w:w="7053"/>
            <w:gridSpan w:val="3"/>
          </w:tcPr>
          <w:p>
            <w:r>
              <w:t>Bei einem Geschäft, dessen Vertragsgegenstand (die Leistung des Unternehmers) in dem Verbraucherdarlehensvertrag genau angegeben ist und das nicht gleichzeitig die Voraussetzungen eines verbundenen Vertrags gemäß § 358 BGB erfüllt, obwohl das Darlehen ausschließlich zu dessen Finanzierung dient (angegebenes Geschäft gemäß § 360 Absatz 2 Satz 2 BGB), ist hier Folgendes einzufügen:</w:t>
            </w:r>
          </w:p>
        </w:tc>
      </w:tr>
      <w:tr>
        <w:trPr>
          <w:cantSplit/>
        </w:trPr>
        <w:tc>
          <w:tcPr>
            <w:tcW w:type="dxa" w:w="2351"/>
          </w:tcPr>
          <w:p/>
        </w:tc>
        <w:tc>
          <w:tcPr>
            <w:tcW w:type="dxa" w:w="2351"/>
          </w:tcPr>
          <w:p>
            <w:r>
              <w:t>„–</w:t>
            </w:r>
          </w:p>
        </w:tc>
        <w:tc>
          <w:tcPr>
            <w:tcW w:type="dxa" w:w="4702"/>
            <w:gridSpan w:val="2"/>
          </w:tcPr>
          <w:p>
            <w:r>
              <w:t>Steht dem Darlehensnehmer in Bezug auf das [einsetzen: Bezeichnung des im Darlehensvertrag angegebenen Geschäfts] (im Folgenden: angegebenes Geschäft)** ein Widerrufsrecht zu, so ist er mit wirksamem Widerruf des angegebenen Geschäfts auch an diesen Darlehensvertrag nicht mehr gebunden.“</w:t>
            </w:r>
          </w:p>
        </w:tc>
      </w:tr>
      <w:tr>
        <w:trPr>
          <w:cantSplit/>
        </w:trPr>
        <w:tc>
          <w:tcPr>
            <w:tcW w:type="dxa" w:w="2351"/>
          </w:tcPr>
          <w:p/>
        </w:tc>
        <w:tc>
          <w:tcPr>
            <w:tcW w:type="dxa" w:w="7053"/>
            <w:gridSpan w:val="3"/>
          </w:tcPr>
          <w:p>
            <w:r>
              <w:t>Bei einem mit einem Verbraucherdarlehensvertrag zusammenhängenden Vertrag (§ 360 BGB), der nicht gleichzeitig die Voraussetzungen eines verbundenen Vertrags gemäß § 358 BGB erfüllt, kann hier Folgendes eingefügt werden:</w:t>
            </w:r>
          </w:p>
        </w:tc>
      </w:tr>
      <w:tr>
        <w:trPr>
          <w:cantSplit/>
        </w:trPr>
        <w:tc>
          <w:tcPr>
            <w:tcW w:type="dxa" w:w="2351"/>
          </w:tcPr>
          <w:p/>
        </w:tc>
        <w:tc>
          <w:tcPr>
            <w:tcW w:type="dxa" w:w="2351"/>
          </w:tcPr>
          <w:p>
            <w:r>
              <w:t>„–</w:t>
            </w:r>
          </w:p>
        </w:tc>
        <w:tc>
          <w:tcPr>
            <w:tcW w:type="dxa" w:w="4702"/>
            <w:gridSpan w:val="2"/>
          </w:tcPr>
          <w:p>
            <w:r>
              <w:t>Steht dem Darlehensnehmer in Bezug auf diesen Darlehensvertrag ein Widerrufsrecht zu, so ist er mit wirksamem Widerruf des Darlehensvertrags auch an den [einsetzen: Bezeichnung des mit dem Darlehensvertrag zusammenhängenden Vertrags] (im Folgenden: zusammenhängender Vertrag)** nicht mehr gebunden.“</w:t>
            </w:r>
          </w:p>
        </w:tc>
      </w:tr>
      <w:tr>
        <w:trPr>
          <w:cantSplit/>
        </w:trPr>
        <w:tc>
          <w:tcPr>
            <w:tcW w:type="dxa" w:w="2351"/>
          </w:tcPr>
          <w:p/>
        </w:tc>
        <w:tc>
          <w:tcPr>
            <w:tcW w:type="dxa" w:w="7053"/>
            <w:gridSpan w:val="3"/>
          </w:tcPr>
          <w:p>
            <w:r>
              <w:t>Hier ist der genaue Zinsbetrag in Euro pro Tag einzufügen. Centbeträge sind als Dezimalstellen anzugeben.</w:t>
            </w:r>
          </w:p>
        </w:tc>
      </w:tr>
      <w:tr>
        <w:trPr>
          <w:cantSplit/>
        </w:trPr>
        <w:tc>
          <w:tcPr>
            <w:tcW w:type="dxa" w:w="2351"/>
          </w:tcPr>
          <w:p/>
        </w:tc>
        <w:tc>
          <w:tcPr>
            <w:tcW w:type="dxa" w:w="7053"/>
            <w:gridSpan w:val="3"/>
          </w:tcPr>
          <w:p>
            <w:r>
              <w:t>Erbringt der Darlehensgeber gegenüber öffentlichen Stellen Aufwendungen gemäß § 357b Absatz 3 Satz 5 BGB und will er sich für den Fall des Widerrufs die Geltendmachung dieses Anspruchs vorbehalten, ist hier Folgendes einzufügen:</w:t>
            </w:r>
          </w:p>
        </w:tc>
      </w:tr>
      <w:tr>
        <w:trPr>
          <w:cantSplit/>
        </w:trPr>
        <w:tc>
          <w:tcPr>
            <w:tcW w:type="dxa" w:w="2351"/>
          </w:tcPr>
          <w:p/>
        </w:tc>
        <w:tc>
          <w:tcPr>
            <w:tcW w:type="dxa" w:w="2351"/>
          </w:tcPr>
          <w:p>
            <w:r>
              <w:t>„–</w:t>
            </w:r>
          </w:p>
        </w:tc>
        <w:tc>
          <w:tcPr>
            <w:tcW w:type="dxa" w:w="4702"/>
            <w:gridSpan w:val="2"/>
          </w:tcPr>
          <w:p>
            <w:r>
              <w:t>Der Darlehensnehmer hat dem Darlehensgeber auch die Aufwendungen zu ersetzen, die der Darlehensgeber gegenüber öffentlichen Stellen erbracht hat und nicht zurückverlangen kann.“</w:t>
            </w:r>
          </w:p>
        </w:tc>
      </w:tr>
      <w:tr>
        <w:trPr>
          <w:cantSplit/>
        </w:trPr>
        <w:tc>
          <w:tcPr>
            <w:tcW w:type="dxa" w:w="2351"/>
          </w:tcPr>
          <w:p/>
        </w:tc>
        <w:tc>
          <w:tcPr>
            <w:tcW w:type="dxa" w:w="7053"/>
            <w:gridSpan w:val="3"/>
          </w:tcPr>
          <w:p>
            <w:r>
              <w:t xml:space="preserve">Bei Anwendung der Gestaltungshinweise </w:t>
            </w:r>
            <w:r>
              <w:t xml:space="preserve"> , </w:t>
            </w:r>
            <w:r>
              <w:t xml:space="preserve"> , </w:t>
            </w:r>
            <w:r>
              <w:t xml:space="preserve"> , </w:t>
            </w:r>
            <w:r>
              <w:t xml:space="preserve"> , </w:t>
            </w:r>
            <w:r>
              <w:t xml:space="preserve"> , </w:t>
            </w:r>
            <w:r>
              <w:t xml:space="preserve">  oder </w:t>
            </w:r>
            <w:r>
              <w:t xml:space="preserve">  ist hier als Unterüberschrift einzufügen:</w:t>
            </w:r>
          </w:p>
        </w:tc>
      </w:tr>
      <w:tr>
        <w:trPr>
          <w:cantSplit/>
        </w:trPr>
        <w:tc>
          <w:tcPr>
            <w:tcW w:type="dxa" w:w="2351"/>
          </w:tcPr>
          <w:p/>
        </w:tc>
        <w:tc>
          <w:tcPr>
            <w:tcW w:type="dxa" w:w="7053"/>
            <w:gridSpan w:val="3"/>
          </w:tcPr>
          <w:p>
            <w:r>
              <w:t>„Besonderheiten bei weiteren Verträgen.”</w:t>
            </w:r>
          </w:p>
        </w:tc>
      </w:tr>
      <w:tr>
        <w:trPr>
          <w:cantSplit/>
        </w:trPr>
        <w:tc>
          <w:tcPr>
            <w:tcW w:type="dxa" w:w="2351"/>
          </w:tcPr>
          <w:p/>
        </w:tc>
        <w:tc>
          <w:tcPr>
            <w:tcW w:type="dxa" w:w="7053"/>
            <w:gridSpan w:val="3"/>
          </w:tcPr>
          <w:p>
            <w:r>
              <w:t xml:space="preserve">Dies gilt nicht, wenn bei einer entgeltlichen Finanzierungshilfe ausschließlich der Hinweis </w:t>
            </w:r>
            <w:r>
              <w:t xml:space="preserve">  verwandt wird und weitere Verträge nicht vorliegen.</w:t>
            </w:r>
          </w:p>
        </w:tc>
      </w:tr>
      <w:tr>
        <w:trPr>
          <w:cantSplit/>
        </w:trPr>
        <w:tc>
          <w:tcPr>
            <w:tcW w:type="dxa" w:w="2351"/>
          </w:tcPr>
          <w:p/>
        </w:tc>
        <w:tc>
          <w:tcPr>
            <w:tcW w:type="dxa" w:w="7053"/>
            <w:gridSpan w:val="3"/>
          </w:tcPr>
          <w:p>
            <w:r>
              <w:t>Liegen mehrere weitere Verträge nebeneinander vor, kann im Folgenden die Unterrichtung gemäß den anwendbaren Gestaltungshinweisen auch durch eine entsprechende, jeweils auf den konkreten Vertrag bezogene, wiederholte Nennung der Hinweise erfolgen.</w:t>
            </w:r>
          </w:p>
        </w:tc>
      </w:tr>
      <w:tr>
        <w:trPr>
          <w:cantSplit/>
        </w:trPr>
        <w:tc>
          <w:tcPr>
            <w:tcW w:type="dxa" w:w="2351"/>
          </w:tcPr>
          <w:p/>
        </w:tc>
        <w:tc>
          <w:tcPr>
            <w:tcW w:type="dxa" w:w="7053"/>
            <w:gridSpan w:val="3"/>
          </w:tcPr>
          <w:p>
            <w:r>
              <w:t>Bei einem verbundenen Vertrag nach § 358 BGB, der nicht den Erwerb von Finanzinstrumenten zum Gegenstand hat, ist hier Folgendes einzufügen:</w:t>
            </w:r>
          </w:p>
        </w:tc>
      </w:tr>
      <w:tr>
        <w:trPr>
          <w:cantSplit/>
        </w:trPr>
        <w:tc>
          <w:tcPr>
            <w:tcW w:type="dxa" w:w="2351"/>
          </w:tcPr>
          <w:p/>
        </w:tc>
        <w:tc>
          <w:tcPr>
            <w:tcW w:type="dxa" w:w="2351"/>
          </w:tcPr>
          <w:p>
            <w:r>
              <w:t>„–</w:t>
            </w:r>
          </w:p>
        </w:tc>
        <w:tc>
          <w:tcPr>
            <w:tcW w:type="dxa" w:w="4702"/>
            <w:gridSpan w:val="2"/>
          </w:tcPr>
          <w:p>
            <w:r>
              <w:t>Steht dem Darlehensnehmer in Bezug auf [einsetzen***: den verbundenen Vertrag] ein Widerrufsrecht zu, sind im Fall des wirksamen Widerrufs [einsetzen***: des verbundenen Vertrags] Ansprüche des Darlehensgebers auf Zahlung von Zinsen und Kosten aus der Rückabwicklung des Darlehensvertrags gegen den Darlehensnehmer ausgeschlossen.“</w:t>
            </w:r>
          </w:p>
        </w:tc>
      </w:tr>
      <w:tr>
        <w:trPr>
          <w:cantSplit/>
        </w:trPr>
        <w:tc>
          <w:tcPr>
            <w:tcW w:type="dxa" w:w="2351"/>
          </w:tcPr>
          <w:p/>
        </w:tc>
        <w:tc>
          <w:tcPr>
            <w:tcW w:type="dxa" w:w="7053"/>
            <w:gridSpan w:val="3"/>
          </w:tcPr>
          <w:p>
            <w:r>
              <w:t xml:space="preserve">Bei einem verbundenen Vertrag nach § 358 BGB, der nicht den Erwerb von Finanzinstrumenten zum Gegenstand hat, oder bei einem zusammenhängenden Vertrag, wenn von Gestaltungshinweis </w:t>
            </w:r>
            <w:r>
              <w:t xml:space="preserve">  Gebrauch gemacht wurde, ist hier Folgendes einzufügen:</w:t>
            </w:r>
          </w:p>
        </w:tc>
      </w:tr>
      <w:tr>
        <w:trPr>
          <w:cantSplit/>
        </w:trPr>
        <w:tc>
          <w:tcPr>
            <w:tcW w:type="dxa" w:w="2351"/>
          </w:tcPr>
          <w:p/>
        </w:tc>
        <w:tc>
          <w:tcPr>
            <w:tcW w:type="dxa" w:w="2351"/>
          </w:tcPr>
          <w:p>
            <w:r>
              <w:t>„–</w:t>
            </w:r>
          </w:p>
        </w:tc>
        <w:tc>
          <w:tcPr>
            <w:tcW w:type="dxa" w:w="4702"/>
            <w:gridSpan w:val="2"/>
          </w:tcPr>
          <w:p>
            <w:r>
              <w:t>Ist der Darlehensnehmer auf Grund des Widerrufs dieses Darlehensvertrags an [einsetzen***: den verbundenen Vertrag und/oder den zusammenhängenden Vertrag] nicht mehr gebunden, sind insoweit die beiderseits empfangenen Leistungen zurückzugewähren.“</w:t>
            </w:r>
          </w:p>
        </w:tc>
      </w:tr>
      <w:tr>
        <w:trPr>
          <w:cantSplit/>
        </w:trPr>
        <w:tc>
          <w:tcPr>
            <w:tcW w:type="dxa" w:w="2351"/>
          </w:tcPr>
          <w:p/>
        </w:tc>
        <w:tc>
          <w:tcPr>
            <w:tcW w:type="dxa" w:w="7053"/>
            <w:gridSpan w:val="3"/>
          </w:tcPr>
          <w:p>
            <w:r>
              <w:t xml:space="preserve">Bei einem verbundenen Vertrag nach § 358 BGB über die Überlassung einer Sache oder bei einem zusammenhängenden Vertrag, gerichtet auf die Überlassung einer Sache, wenn von Gestaltungshinweis </w:t>
            </w:r>
            <w:r>
              <w:t xml:space="preserve">  Gebrauch gemacht wurde, ist hier nachstehender Unterabsatz einzufügen:</w:t>
            </w:r>
          </w:p>
        </w:tc>
      </w:tr>
      <w:tr>
        <w:trPr>
          <w:cantSplit/>
        </w:trPr>
        <w:tc>
          <w:tcPr>
            <w:tcW w:type="dxa" w:w="2351"/>
          </w:tcPr>
          <w:p/>
        </w:tc>
        <w:tc>
          <w:tcPr>
            <w:tcW w:type="dxa" w:w="2351"/>
          </w:tcPr>
          <w:p>
            <w:r>
              <w:t>„–</w:t>
            </w:r>
          </w:p>
        </w:tc>
        <w:tc>
          <w:tcPr>
            <w:tcW w:type="dxa" w:w="4702"/>
            <w:gridSpan w:val="2"/>
          </w:tcPr>
          <w:p>
            <w:r>
              <w:t>Der Darlehensnehmer ist nicht verpflichtet, die Sache zurückzusenden, wenn der an [einsetzen***: dem verbundenen Vertrag oder dem zusammenhängenden Vertrag] beteiligte Unternehmer angeboten hat, die Sachen abzuholen. Grundsätzlich trägt der Darlehensnehmer die unmittelbaren Kosten der Rücksendung der Waren. Dies gilt nicht, wenn der an [einsetzen***: dem verbundenen Vertrag oder dem zusammenhängenden Vertrag] beteiligte Unternehmer sich bereit erklärt hat, diese Kosten zu tragen, oder er es unterlassen hat, den Verbraucher über die Pflicht, die unmittelbaren Kosten der Rücksendung zu tragen, zu unterrichten. Bei außerhalb von Geschäftsräumen geschlossenen Verträgen, bei denen die Waren zum Zeitpunkt des Vertragsschlusses zur Wohnung des Verbrauchers gebracht worden sind, ist der Unternehmer verpflichtet, die Waren auf eigene Kosten abzuholen, wenn die Waren so beschaffen sind, dass sie nicht per Post zurückgesandt werden können.“</w:t>
            </w:r>
          </w:p>
        </w:tc>
      </w:tr>
      <w:tr>
        <w:trPr>
          <w:cantSplit/>
        </w:trPr>
        <w:tc>
          <w:tcPr>
            <w:tcW w:type="dxa" w:w="2351"/>
          </w:tcPr>
          <w:p/>
        </w:tc>
        <w:tc>
          <w:tcPr>
            <w:tcW w:type="dxa" w:w="7053"/>
            <w:gridSpan w:val="3"/>
          </w:tcPr>
          <w:p>
            <w:r>
              <w:t>Der Unterabsatz kann wie folgt ergänzt werden:</w:t>
            </w:r>
          </w:p>
        </w:tc>
      </w:tr>
      <w:tr>
        <w:trPr>
          <w:cantSplit/>
        </w:trPr>
        <w:tc>
          <w:tcPr>
            <w:tcW w:type="dxa" w:w="2351"/>
          </w:tcPr>
          <w:p/>
        </w:tc>
        <w:tc>
          <w:tcPr>
            <w:tcW w:type="dxa" w:w="7053"/>
            <w:gridSpan w:val="3"/>
          </w:tcPr>
          <w:p>
            <w:r>
              <w:t>„Wenn der Darlehensnehmer die auf Grund [einsetzen***: des verbundenen Vertrags oder des zusammenhängenden Vertrags] überlassene Sache nicht oder teilweise nicht oder nur in verschlechtertem Zustand zurückgewähren kann, hat er insoweit Wertersatz zu leisten. Dies kommt allerdings nur in Betracht, wenn der Wertverlust auf einen Umgang mit den Waren zurückzuführen ist, der zur Prüfung der Beschaffenheit, der Eigenschaften und der Funktionsweise der Waren nicht notwendig war.”</w:t>
            </w:r>
          </w:p>
        </w:tc>
      </w:tr>
      <w:tr>
        <w:trPr>
          <w:cantSplit/>
        </w:trPr>
        <w:tc>
          <w:tcPr>
            <w:tcW w:type="dxa" w:w="2351"/>
          </w:tcPr>
          <w:p/>
        </w:tc>
        <w:tc>
          <w:tcPr>
            <w:tcW w:type="dxa" w:w="7053"/>
            <w:gridSpan w:val="3"/>
          </w:tcPr>
          <w:p>
            <w:r>
              <w:t>Bei einem Vertrag über eine entgeltliche Finanzierungshilfe gilt Folgendes:</w:t>
            </w:r>
          </w:p>
        </w:tc>
      </w:tr>
      <w:tr>
        <w:trPr>
          <w:cantSplit/>
        </w:trPr>
        <w:tc>
          <w:tcPr>
            <w:tcW w:type="dxa" w:w="2351"/>
          </w:tcPr>
          <w:p/>
        </w:tc>
        <w:tc>
          <w:tcPr>
            <w:tcW w:type="dxa" w:w="2351"/>
          </w:tcPr>
          <w:p>
            <w:r>
              <w:t>a)</w:t>
            </w:r>
          </w:p>
        </w:tc>
        <w:tc>
          <w:tcPr>
            <w:tcW w:type="dxa" w:w="4702"/>
            <w:gridSpan w:val="2"/>
          </w:tcPr>
          <w:p>
            <w:r>
              <w:t xml:space="preserve">Ist Vertragsgegenstand die Überlassung einer Sache mit Ausnahme der Lieferung von Wasser, Gas oder Strom, die nicht in einem begrenzten Volumen oder in einer bestimmten Menge zum Verkauf angeboten werden, sind hier die konkreten Hinweise entsprechend Gestaltungshinweis </w:t>
            </w:r>
            <w:r>
              <w:t xml:space="preserve">  Buchstabe a und b der Anlage 1 zu Artikel 246a § 1 Absatz 2 Satz 2 EGBGB zu geben.</w:t>
            </w:r>
          </w:p>
        </w:tc>
      </w:tr>
      <w:tr>
        <w:trPr>
          <w:cantSplit/>
        </w:trPr>
        <w:tc>
          <w:tcPr>
            <w:tcW w:type="dxa" w:w="2351"/>
          </w:tcPr>
          <w:p/>
        </w:tc>
        <w:tc>
          <w:tcPr>
            <w:tcW w:type="dxa" w:w="2351"/>
          </w:tcPr>
          <w:p/>
        </w:tc>
        <w:tc>
          <w:tcPr>
            <w:tcW w:type="dxa" w:w="4702"/>
            <w:gridSpan w:val="2"/>
          </w:tcPr>
          <w:p>
            <w:r>
              <w:t xml:space="preserve">Diese können durch die konkreten Hinweise entsprechend Gestaltungshinweis </w:t>
            </w:r>
            <w:r>
              <w:t xml:space="preserve">  Buchstabe c der Anlage 1 zu Artikel 246a § 1 Absatz 2 Satz 2 EGBGB ergänzt werden.</w:t>
            </w:r>
          </w:p>
        </w:tc>
      </w:tr>
      <w:tr>
        <w:trPr>
          <w:cantSplit/>
        </w:trPr>
        <w:tc>
          <w:tcPr>
            <w:tcW w:type="dxa" w:w="2351"/>
          </w:tcPr>
          <w:p/>
        </w:tc>
        <w:tc>
          <w:tcPr>
            <w:tcW w:type="dxa" w:w="2351"/>
          </w:tcPr>
          <w:p>
            <w:r>
              <w:t>b)</w:t>
            </w:r>
          </w:p>
        </w:tc>
        <w:tc>
          <w:tcPr>
            <w:tcW w:type="dxa" w:w="4702"/>
            <w:gridSpan w:val="2"/>
          </w:tcPr>
          <w:p>
            <w:r>
              <w:t>Ist Vertragsgegenstand die Erbringung einer Finanzdienstleistung, kann hier folgender Hinweis gegeben werden:</w:t>
            </w:r>
          </w:p>
        </w:tc>
      </w:tr>
      <w:tr>
        <w:trPr>
          <w:cantSplit/>
        </w:trPr>
        <w:tc>
          <w:tcPr>
            <w:tcW w:type="dxa" w:w="2351"/>
          </w:tcPr>
          <w:p/>
        </w:tc>
        <w:tc>
          <w:tcPr>
            <w:tcW w:type="dxa" w:w="2351"/>
          </w:tcPr>
          <w:p/>
        </w:tc>
        <w:tc>
          <w:tcPr>
            <w:tcW w:type="dxa" w:w="4702"/>
            <w:gridSpan w:val="2"/>
          </w:tcPr>
          <w:p>
            <w:r>
              <w:t>„Der Darlehensnehmer ist zur Zahlung von Wertersatz für die bis zum Widerruf erbrachte Dienstleistung verpflichtet, wenn er ausdrücklich zugestimmt hat, dass vor dem Ende der Widerrufsfrist mit der Ausführung der Gegenleistung begonnen wird. Besteht eine Verpflichtung zur Zahlung von Wertersatz, kann dies dazu führen, dass der Darlehensnehmer die vertraglichen Zahlungsverpflichtungen für den Zeitraum bis zum Widerruf dennoch erfüllen muss.”</w:t>
            </w:r>
          </w:p>
        </w:tc>
      </w:tr>
      <w:tr>
        <w:trPr>
          <w:cantSplit/>
        </w:trPr>
        <w:tc>
          <w:tcPr>
            <w:tcW w:type="dxa" w:w="2351"/>
          </w:tcPr>
          <w:p/>
        </w:tc>
        <w:tc>
          <w:tcPr>
            <w:tcW w:type="dxa" w:w="2351"/>
          </w:tcPr>
          <w:p>
            <w:r>
              <w:t>c)</w:t>
            </w:r>
          </w:p>
        </w:tc>
        <w:tc>
          <w:tcPr>
            <w:tcW w:type="dxa" w:w="4702"/>
            <w:gridSpan w:val="2"/>
          </w:tcPr>
          <w:p>
            <w:r>
              <w:t xml:space="preserve">Ist Vertragsgegenstand die Erbringung einer Dienstleistung, die nicht in der Überlassung einer Sache gemäß Buchstabe a oder in einer Finanzdienstleistung besteht, oder die Lieferung von Wasser, Gas oder Strom, wenn sie nicht in einem begrenzten Volumen oder in einer bestimmten Menge zum Verkauf angeboten werden, oder die Lieferung von Fernwärme, können hier die konkreten Hinweise entsprechend Gestaltungshinweis </w:t>
            </w:r>
            <w:r>
              <w:t xml:space="preserve">  der Anlage 1 zu Artikel 246a § 1 Absatz 2 Satz 2 EGBGB gegeben werden.</w:t>
            </w:r>
          </w:p>
        </w:tc>
      </w:tr>
      <w:tr>
        <w:trPr>
          <w:cantSplit/>
        </w:trPr>
        <w:tc>
          <w:tcPr>
            <w:tcW w:type="dxa" w:w="2351"/>
          </w:tcPr>
          <w:p/>
        </w:tc>
        <w:tc>
          <w:tcPr>
            <w:tcW w:type="dxa" w:w="2351"/>
          </w:tcPr>
          <w:p>
            <w:r>
              <w:t>d)</w:t>
            </w:r>
          </w:p>
        </w:tc>
        <w:tc>
          <w:tcPr>
            <w:tcW w:type="dxa" w:w="4702"/>
            <w:gridSpan w:val="2"/>
          </w:tcPr>
          <w:p>
            <w:r>
              <w:t>Ist Vertragsgegenstand die Lieferung von nicht auf einem körperlichen Datenträger befindlichen digitalen Inhalten, kann hier folgender Hinweis gegeben werden:</w:t>
            </w:r>
          </w:p>
        </w:tc>
      </w:tr>
      <w:tr>
        <w:trPr>
          <w:cantSplit/>
        </w:trPr>
        <w:tc>
          <w:tcPr>
            <w:tcW w:type="dxa" w:w="2351"/>
          </w:tcPr>
          <w:p/>
        </w:tc>
        <w:tc>
          <w:tcPr>
            <w:tcW w:type="dxa" w:w="2351"/>
          </w:tcPr>
          <w:p/>
        </w:tc>
        <w:tc>
          <w:tcPr>
            <w:tcW w:type="dxa" w:w="4702"/>
            <w:gridSpan w:val="2"/>
          </w:tcPr>
          <w:p>
            <w:r>
              <w:t>„Der Darlehensnehmer ist zur Zahlung von Wertersatz für die bis zum Widerruf gelieferten digitalen Inhalte verpflichtet, wenn er ausdrücklich zugestimmt hat, dass vor dem Ende der Widerrufsfrist mit der Lieferung der digitalen Inhalte begonnen wird.”</w:t>
            </w:r>
          </w:p>
        </w:tc>
      </w:tr>
      <w:tr>
        <w:trPr>
          <w:cantSplit/>
        </w:trPr>
        <w:tc>
          <w:tcPr>
            <w:tcW w:type="dxa" w:w="2351"/>
          </w:tcPr>
          <w:p/>
        </w:tc>
        <w:tc>
          <w:tcPr>
            <w:tcW w:type="dxa" w:w="7053"/>
            <w:gridSpan w:val="3"/>
          </w:tcPr>
          <w:p>
            <w:r>
              <w:t>Bei einem angegebenen Geschäft nach § 360 Absatz 2 Satz 2 BGB ist hier Folgendes einzufügen:</w:t>
            </w:r>
          </w:p>
        </w:tc>
      </w:tr>
      <w:tr>
        <w:trPr>
          <w:cantSplit/>
        </w:trPr>
        <w:tc>
          <w:tcPr>
            <w:tcW w:type="dxa" w:w="2351"/>
          </w:tcPr>
          <w:p/>
        </w:tc>
        <w:tc>
          <w:tcPr>
            <w:tcW w:type="dxa" w:w="2351"/>
          </w:tcPr>
          <w:p>
            <w:r>
              <w:t>„–</w:t>
            </w:r>
          </w:p>
        </w:tc>
        <w:tc>
          <w:tcPr>
            <w:tcW w:type="dxa" w:w="4702"/>
            <w:gridSpan w:val="2"/>
          </w:tcPr>
          <w:p>
            <w:r>
              <w:t>Ist der Darlehensnehmer auf Grund des Widerrufs des [einsetzen***: angegebenen Geschäfts] an den Darlehensvertrag nicht mehr gebunden, führt das hinsichtlich des Darlehensvertrags zu den gleichen Folgen, die eintreten würden, wenn der Darlehensvertrag selbst widerrufen worden wäre (vgl. oben unter „Widerrufsfolgen“).“</w:t>
            </w:r>
          </w:p>
        </w:tc>
      </w:tr>
      <w:tr>
        <w:trPr>
          <w:cantSplit/>
        </w:trPr>
        <w:tc>
          <w:tcPr>
            <w:tcW w:type="dxa" w:w="2351"/>
          </w:tcPr>
          <w:p/>
        </w:tc>
        <w:tc>
          <w:tcPr>
            <w:tcW w:type="dxa" w:w="7053"/>
            <w:gridSpan w:val="3"/>
          </w:tcPr>
          <w:p>
            <w:r>
              <w:t>Bei einem verbundenen Vertrag nach § 358 BGB, der nicht den Erwerb von Finanzinstrumenten zum Gegenstand hat, ist hier Folgendes einzufügen:</w:t>
            </w:r>
          </w:p>
        </w:tc>
      </w:tr>
      <w:tr>
        <w:trPr>
          <w:cantSplit/>
        </w:trPr>
        <w:tc>
          <w:tcPr>
            <w:tcW w:type="dxa" w:w="2351"/>
          </w:tcPr>
          <w:p/>
        </w:tc>
        <w:tc>
          <w:tcPr>
            <w:tcW w:type="dxa" w:w="2351"/>
          </w:tcPr>
          <w:p>
            <w:r>
              <w:t>„–</w:t>
            </w:r>
          </w:p>
        </w:tc>
        <w:tc>
          <w:tcPr>
            <w:tcW w:type="dxa" w:w="4702"/>
            <w:gridSpan w:val="2"/>
          </w:tcPr>
          <w:p>
            <w:r>
              <w:t>Wenn der Darlehensnehmer infolge des Widerrufs des Darlehensvertrags nicht mehr an den weiteren Vertrag gebunden ist oder infolge des Widerrufs des weiteren Vertrags nicht mehr an den Darlehensvertrag gebunden ist, gilt ergänzend Folgendes: Ist das Darlehen bei Wirksamwerden des Widerrufs dem Vertragspartner des Darlehensnehmers aus [einsetzen***: dem verbundenen Vertrag] bereits zugeflossen, tritt der Darlehensgeber im Verhältnis zum Darlehensnehmer hinsichtlich der Rechtsfolgen des Widerrufs in die Rechte und Pflichten des Vertragspartners aus dem weiteren Vertrag ein.“</w:t>
            </w:r>
          </w:p>
        </w:tc>
      </w:tr>
      <w:tr>
        <w:trPr>
          <w:cantSplit/>
        </w:trPr>
        <w:tc>
          <w:tcPr>
            <w:tcW w:type="dxa" w:w="2351"/>
          </w:tcPr>
          <w:p/>
        </w:tc>
        <w:tc>
          <w:tcPr>
            <w:tcW w:type="dxa" w:w="7053"/>
            <w:gridSpan w:val="3"/>
          </w:tcPr>
          <w:p>
            <w:r>
              <w:t>Dieser Hinweis entfällt, wenn der Darlehensgeber zugleich Vertragspartner des Darlehensnehmers aus dem weiteren Vertrag ist.</w:t>
            </w:r>
          </w:p>
        </w:tc>
      </w:tr>
      <w:tr>
        <w:trPr>
          <w:cantSplit/>
        </w:trPr>
        <w:tc>
          <w:tcPr>
            <w:tcW w:type="dxa" w:w="2351"/>
          </w:tcPr>
          <w:p/>
        </w:tc>
        <w:tc>
          <w:tcPr>
            <w:tcW w:type="dxa" w:w="7053"/>
            <w:gridSpan w:val="3"/>
          </w:tcPr>
          <w:p>
            <w:r>
              <w:t>Bei einem verbundenen Vertrag nach § 358 BGB, der nicht den Erwerb von Finanzinstrumenten zum Gegenstand hat, sind hier folgende Überschrift und folgender Hinweis einzufügen:</w:t>
            </w:r>
          </w:p>
        </w:tc>
      </w:tr>
      <w:tr>
        <w:trPr>
          <w:cantSplit/>
        </w:trPr>
        <w:tc>
          <w:tcPr>
            <w:tcW w:type="dxa" w:w="2351"/>
          </w:tcPr>
          <w:p/>
        </w:tc>
        <w:tc>
          <w:tcPr>
            <w:tcW w:type="dxa" w:w="7053"/>
            <w:gridSpan w:val="3"/>
          </w:tcPr>
          <w:p>
            <w:r>
              <w:rPr>
                <w:b/>
              </w:rPr>
              <w:t>„Einwendungen bei verbundenen Verträgen.”</w:t>
            </w:r>
          </w:p>
        </w:tc>
      </w:tr>
      <w:tr>
        <w:trPr>
          <w:cantSplit/>
        </w:trPr>
        <w:tc>
          <w:tcPr>
            <w:tcW w:type="dxa" w:w="2351"/>
          </w:tcPr>
          <w:p/>
        </w:tc>
        <w:tc>
          <w:tcPr>
            <w:tcW w:type="dxa" w:w="7053"/>
            <w:gridSpan w:val="3"/>
          </w:tcPr>
          <w:p>
            <w:r>
              <w:t>„Der Darlehensnehmer kann die Rückzahlung des Darlehens verweigern, soweit ihn Einwendungen berechtigen würden, seine Leistung gegenüber dem Vertragspartner aus dem verbundenen Vertrag zu verweigern. Dies gilt nicht, wenn das finanzierte Entgelt weniger als 200 Euro beträgt oder wenn der Rechtsgrund für die Einwendung auf einer Vereinbarung beruht, die zwischen dem Darlehensnehmer und dem anderen Vertragspartner nach dem Abschluss des Darlehensvertrags getroffen wurde. Kann der Darlehensnehmer von dem anderen Vertragspartner Nacherfüllung verlangen, so kann er die Rückzahlung des Darlehens erst verweigern, wenn die Nacherfüllung fehlgeschlagen ist.”</w:t>
            </w:r>
          </w:p>
        </w:tc>
      </w:tr>
      <w:tr>
        <w:trPr>
          <w:cantSplit/>
        </w:trPr>
        <w:tc>
          <w:tcPr>
            <w:tcW w:type="dxa" w:w="2351"/>
          </w:tcPr>
          <w:p/>
        </w:tc>
        <w:tc>
          <w:tcPr>
            <w:tcW w:type="dxa" w:w="7053"/>
            <w:gridSpan w:val="3"/>
          </w:tcPr>
          <w:p>
            <w:r>
              <w:t>Dieser Hinweis und die Überschrift können entfallen, wenn der Darlehensgeber weiß, dass das finanzierte Entgelt weniger als 200 Euro beträgt.</w:t>
            </w:r>
          </w:p>
        </w:tc>
      </w:tr>
      <w:tr>
        <w:trPr>
          <w:cantSplit/>
        </w:trPr>
        <w:tc>
          <w:tcPr>
            <w:tcW w:type="dxa" w:w="2351"/>
          </w:tcPr>
          <w:p>
            <w:r>
              <w:t>*</w:t>
            </w:r>
          </w:p>
        </w:tc>
        <w:tc>
          <w:tcPr>
            <w:tcW w:type="dxa" w:w="7053"/>
            <w:gridSpan w:val="3"/>
          </w:tcPr>
          <w:p>
            <w:r>
              <w:t>Die Vertragsparteien können auch direkt angesprochen werden (z. B. „Sie“, „Wir“). Es kann auch die weibliche Form der jeweiligen Bezeichnung und/oder die genaue Bezeichnung der Vertragsparteien verwendet werden. Es können auch die Bezeichnungen „Kreditnehmer“ und „Kreditgeber“ verwendet werden. Bei entgeltlichen Finanzierungshilfen sind die Bezeichnungen entsprechend anzupassen, beispielsweise mit „Leasinggeber“ und „Leasingnehmer“.</w:t>
            </w:r>
          </w:p>
        </w:tc>
      </w:tr>
      <w:tr>
        <w:trPr>
          <w:cantSplit/>
        </w:trPr>
        <w:tc>
          <w:tcPr>
            <w:tcW w:type="dxa" w:w="2351"/>
          </w:tcPr>
          <w:p>
            <w:r>
              <w:t>**</w:t>
            </w:r>
          </w:p>
        </w:tc>
        <w:tc>
          <w:tcPr>
            <w:tcW w:type="dxa" w:w="7053"/>
            <w:gridSpan w:val="3"/>
          </w:tcPr>
          <w:p>
            <w:r>
              <w:t>Dieser Klammerzusatz entfällt bei durchgängiger genauer Bezeichnung des Vertrags/Geschäfts.</w:t>
            </w:r>
          </w:p>
        </w:tc>
      </w:tr>
      <w:tr>
        <w:trPr>
          <w:cantSplit/>
        </w:trPr>
        <w:tc>
          <w:tcPr>
            <w:tcW w:type="dxa" w:w="2351"/>
          </w:tcPr>
          <w:p>
            <w:r>
              <w:t>***</w:t>
            </w:r>
          </w:p>
        </w:tc>
        <w:tc>
          <w:tcPr>
            <w:tcW w:type="dxa" w:w="7053"/>
            <w:gridSpan w:val="3"/>
          </w:tcPr>
          <w:p>
            <w:r>
              <w:t>Die Bezugnahme auf den betreffenden Vertrag/auf das betreffende Geschäft kann nach erstmaliger genauer Bezeichnung im Weiteren durch Verwendung der allgemeinen Bezeichnung des jeweiligen Vertrags/Geschäfts (verbundener Vertrag, angegebenes Geschäft, zusammenhängender Vertrag) erfolgen.</w:t>
            </w:r>
          </w:p>
        </w:tc>
      </w:tr>
    </w:tbl>
    <w:p>
      <w:pPr>
        <w:spacing w:after="0"/>
      </w:pPr>
    </w:p>
    <w:p>
      <w:pPr>
        <w:pStyle w:val="Heading3"/>
      </w:pPr>
      <w:bookmarkStart w:id="508" w:name="b507"/>
      <w:r>
        <w:t>Anlage 9 (zu Artikel 246 Absatz 3)Muster für die Widerrufsbelehrung bei unentgeltlichen Darlehensverträgen zwischen einem Unternehmer als Darlehensgeber und einem Verbraucher als Darlehensnehmer</w:t>
      </w:r>
      <w:bookmarkEnd w:id="508"/>
    </w:p>
    <w:p>
      <w:r>
        <w:rPr>
          <w:color w:val="404040"/>
          <w:sz w:val="21"/>
        </w:rPr>
        <w:t>(Fundstelle: BGBl. I 2016, S. 436 - 438;</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9"/>
      </w:tblPr>
      <w:tblGrid>
        <w:gridCol w:w="9406"/>
      </w:tblGrid>
      <w:tr>
        <w:trPr>
          <w:cantSplit/>
        </w:trPr>
        <w:tc>
          <w:tcPr>
            <w:tcW w:type="dxa" w:w="9406"/>
          </w:tcPr>
          <w:p>
            <w:r>
              <w:rPr>
                <w:b/>
              </w:rPr>
              <w:t>Widerrufsbelehrung</w:t>
            </w:r>
          </w:p>
        </w:tc>
      </w:tr>
      <w:tr>
        <w:trPr>
          <w:cantSplit/>
        </w:trPr>
        <w:tc>
          <w:tcPr>
            <w:tcW w:type="dxa" w:w="9406"/>
          </w:tcPr>
          <w:p>
            <w:r>
              <w:rPr>
                <w:b/>
              </w:rPr>
              <w:t>Widerrufsrecht</w:t>
            </w:r>
          </w:p>
        </w:tc>
      </w:tr>
      <w:tr>
        <w:trPr>
          <w:cantSplit/>
        </w:trPr>
        <w:tc>
          <w:tcPr>
            <w:tcW w:type="dxa" w:w="9406"/>
          </w:tcPr>
          <w:p>
            <w:r>
              <w:t xml:space="preserve">Der Darlehensnehmer* kann seine Vertragserklärung innerhalb von 14 Tagen ohne Angabe von Gründen widerrufen. Die Frist beginnt nach Abschluss des Vertrags, aber erst, nachdem der Darlehensnehmer diese Widerrufsbelehrung auf einem dauerhaften Datenträger erhalten hat. Zur Wahrung der Widerrufsfrist genügt die rechtzeitige Absendung des Widerrufs, wenn die Erklärung auf einem dauerhaften Datenträger (z. B. Brief, Telefax, E-Mail) erfolgt. Der Widerruf ist zu richten an: </w:t>
            </w: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r>
              <w:rPr>
                <w:b/>
              </w:rPr>
              <w:t>Widerrufsfolgen</w:t>
            </w:r>
          </w:p>
        </w:tc>
      </w:tr>
      <w:tr>
        <w:trPr>
          <w:cantSplit/>
        </w:trPr>
        <w:tc>
          <w:tcPr>
            <w:tcW w:type="dxa" w:w="9406"/>
          </w:tcPr>
          <w:p>
            <w:r>
              <w:t>Soweit das Darlehen bereits ausbezahlt wurde, hat es der Darlehensnehmer spätestens innerhalb von 30 Tagen zurückzuzahlen. Die Frist beginnt mit der Absendung der Widerrufserklärung.</w:t>
            </w: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tc>
      </w:tr>
      <w:tr>
        <w:trPr>
          <w:cantSplit/>
        </w:trPr>
        <w:tc>
          <w:tcPr>
            <w:tcW w:type="dxa" w:w="9406"/>
          </w:tcPr>
          <w:p/>
        </w:tc>
      </w:tr>
    </w:tbl>
    <w:p>
      <w:pPr>
        <w:spacing w:after="0"/>
      </w:pPr>
    </w:p>
    <w:p>
      <w:pPr>
        <w:pStyle w:val="Zwischentitel"/>
      </w:pPr>
      <w:r>
        <w:rPr>
          <w:b/>
        </w:rPr>
        <w:t>Gestaltungshinweise:</w:t>
      </w:r>
    </w:p>
    <w:tbl>
      <w:tblPr>
        <w:tblStyle w:val="TableGrid"/>
        <w:tblW w:type="pct" w:w="5000"/>
        <w:tblLook w:firstColumn="1" w:firstRow="1" w:lastColumn="0" w:lastRow="0" w:noHBand="0" w:noVBand="1" w:val="04A0"/>
        <w:tblCaption w:val="Tabelle 2 zu Anlage 9"/>
      </w:tblPr>
      <w:tblGrid>
        <w:gridCol w:w="2351"/>
        <w:gridCol w:w="2351"/>
        <w:gridCol w:w="2351"/>
        <w:gridCol w:w="2351"/>
      </w:tblGrid>
      <w:tr>
        <w:trPr>
          <w:cantSplit/>
        </w:trPr>
        <w:tc>
          <w:tcPr>
            <w:tcW w:type="dxa" w:w="2351"/>
          </w:tcPr>
          <w:p/>
        </w:tc>
        <w:tc>
          <w:tcPr>
            <w:tcW w:type="dxa" w:w="7053"/>
            <w:gridSpan w:val="3"/>
          </w:tcPr>
          <w:p>
            <w:r>
              <w:t>Hier sind einzufügen: Name/Firma und ladungsfähige Anschrift des Widerrufsadressaten. Zusätzlich können angegeben werden: Telefaxnummer, E-Mail-Adresse und/oder, wenn der Darlehensnehmer eine Bestätigung seiner Widerrufserklärung an den Darlehensgeber erhält, auch eine Internet-Adresse.</w:t>
            </w:r>
          </w:p>
        </w:tc>
      </w:tr>
      <w:tr>
        <w:trPr>
          <w:cantSplit/>
        </w:trPr>
        <w:tc>
          <w:tcPr>
            <w:tcW w:type="dxa" w:w="2351"/>
          </w:tcPr>
          <w:p/>
        </w:tc>
        <w:tc>
          <w:tcPr>
            <w:tcW w:type="dxa" w:w="7053"/>
            <w:gridSpan w:val="3"/>
          </w:tcPr>
          <w:p>
            <w:r>
              <w:t xml:space="preserve">Bei Anwendung der Gestaltungshinweise </w:t>
            </w:r>
            <w:r>
              <w:t xml:space="preserve"> , </w:t>
            </w:r>
            <w:r>
              <w:t xml:space="preserve">  oder </w:t>
            </w:r>
            <w:r>
              <w:t xml:space="preserve">  ist hier folgende Unterüberschrift einzufügen:</w:t>
            </w:r>
          </w:p>
        </w:tc>
      </w:tr>
      <w:tr>
        <w:trPr>
          <w:cantSplit/>
        </w:trPr>
        <w:tc>
          <w:tcPr>
            <w:tcW w:type="dxa" w:w="2351"/>
          </w:tcPr>
          <w:p/>
        </w:tc>
        <w:tc>
          <w:tcPr>
            <w:tcW w:type="dxa" w:w="7053"/>
            <w:gridSpan w:val="3"/>
          </w:tcPr>
          <w:p>
            <w:r>
              <w:t>„Besonderheiten bei weiteren Verträgen”.</w:t>
            </w:r>
          </w:p>
        </w:tc>
      </w:tr>
      <w:tr>
        <w:trPr>
          <w:cantSplit/>
        </w:trPr>
        <w:tc>
          <w:tcPr>
            <w:tcW w:type="dxa" w:w="2351"/>
          </w:tcPr>
          <w:p/>
        </w:tc>
        <w:tc>
          <w:tcPr>
            <w:tcW w:type="dxa" w:w="7053"/>
            <w:gridSpan w:val="3"/>
          </w:tcPr>
          <w:p>
            <w:r>
              <w:t>Bei einem verbundenen Vertrag nach § 358 BGB ist hier einzufügen:</w:t>
            </w:r>
          </w:p>
        </w:tc>
      </w:tr>
      <w:tr>
        <w:trPr>
          <w:cantSplit/>
        </w:trPr>
        <w:tc>
          <w:tcPr>
            <w:tcW w:type="dxa" w:w="2351"/>
          </w:tcPr>
          <w:p/>
        </w:tc>
        <w:tc>
          <w:tcPr>
            <w:tcW w:type="dxa" w:w="2351"/>
          </w:tcPr>
          <w:p>
            <w:r>
              <w:t>a)</w:t>
            </w:r>
          </w:p>
        </w:tc>
        <w:tc>
          <w:tcPr>
            <w:tcW w:type="dxa" w:w="4702"/>
            <w:gridSpan w:val="2"/>
          </w:tcPr>
          <w:p>
            <w:r>
              <w:t>Wenn der Vertrag nicht den Erwerb von Finanzinstrumenten zum Gegenstand hat:</w:t>
            </w:r>
          </w:p>
        </w:tc>
      </w:tr>
      <w:tr>
        <w:trPr>
          <w:cantSplit/>
        </w:trPr>
        <w:tc>
          <w:tcPr>
            <w:tcW w:type="dxa" w:w="2351"/>
          </w:tcPr>
          <w:p/>
        </w:tc>
        <w:tc>
          <w:tcPr>
            <w:tcW w:type="dxa" w:w="2351"/>
          </w:tcPr>
          <w:p/>
        </w:tc>
        <w:tc>
          <w:tcPr>
            <w:tcW w:type="dxa" w:w="2351"/>
          </w:tcPr>
          <w:p>
            <w:r>
              <w:t>„–</w:t>
            </w:r>
          </w:p>
        </w:tc>
        <w:tc>
          <w:tcPr>
            <w:tcW w:type="dxa" w:w="2351"/>
          </w:tcPr>
          <w:p>
            <w:r>
              <w:t>Widerruft der Darlehensnehmer diesen Darlehensvertrag, so ist er auch an den [einsetzen: Bezeichnung des verbundenen Vertrags] (im Folgenden: verbundener Vertrag)** nicht mehr gebunden.</w:t>
            </w:r>
          </w:p>
        </w:tc>
      </w:tr>
      <w:tr>
        <w:trPr>
          <w:cantSplit/>
        </w:trPr>
        <w:tc>
          <w:tcPr>
            <w:tcW w:type="dxa" w:w="2351"/>
          </w:tcPr>
          <w:p/>
        </w:tc>
        <w:tc>
          <w:tcPr>
            <w:tcW w:type="dxa" w:w="2351"/>
          </w:tcPr>
          <w:p/>
        </w:tc>
        <w:tc>
          <w:tcPr>
            <w:tcW w:type="dxa" w:w="2351"/>
          </w:tcPr>
          <w:p>
            <w:r>
              <w:t>–</w:t>
            </w:r>
          </w:p>
        </w:tc>
        <w:tc>
          <w:tcPr>
            <w:tcW w:type="dxa" w:w="2351"/>
          </w:tcPr>
          <w:p>
            <w:r>
              <w:t>Steht dem Darlehensnehmer in Bezug auf den [einsetzen***: verbundenen Vertrag] ein Widerrufsrecht zu, so ist er mit wirksamem Widerruf des [einsetzen***: verbundenen Vertrags] auch an den Darlehensvertrag nicht mehr gebunden. Für die Rechtsfolgen des Widerrufs sind die in dem [einsetzen***: verbundenen Vertrag] getroffenen Regelungen und die hierfür erteilte Widerrufsbelehrung maßgeblich.“</w:t>
            </w:r>
          </w:p>
        </w:tc>
      </w:tr>
      <w:tr>
        <w:trPr>
          <w:cantSplit/>
        </w:trPr>
        <w:tc>
          <w:tcPr>
            <w:tcW w:type="dxa" w:w="2351"/>
          </w:tcPr>
          <w:p/>
        </w:tc>
        <w:tc>
          <w:tcPr>
            <w:tcW w:type="dxa" w:w="2351"/>
          </w:tcPr>
          <w:p>
            <w:r>
              <w:t>b)</w:t>
            </w:r>
          </w:p>
        </w:tc>
        <w:tc>
          <w:tcPr>
            <w:tcW w:type="dxa" w:w="4702"/>
            <w:gridSpan w:val="2"/>
          </w:tcPr>
          <w:p>
            <w:r>
              <w:t>Wenn der Vertrag den Erwerb von Finanzinstrumenten zum Gegenstand hat:</w:t>
            </w:r>
          </w:p>
        </w:tc>
      </w:tr>
      <w:tr>
        <w:trPr>
          <w:cantSplit/>
        </w:trPr>
        <w:tc>
          <w:tcPr>
            <w:tcW w:type="dxa" w:w="2351"/>
          </w:tcPr>
          <w:p/>
        </w:tc>
        <w:tc>
          <w:tcPr>
            <w:tcW w:type="dxa" w:w="2351"/>
          </w:tcPr>
          <w:p/>
        </w:tc>
        <w:tc>
          <w:tcPr>
            <w:tcW w:type="dxa" w:w="2351"/>
          </w:tcPr>
          <w:p>
            <w:r>
              <w:t>„–</w:t>
            </w:r>
          </w:p>
        </w:tc>
        <w:tc>
          <w:tcPr>
            <w:tcW w:type="dxa" w:w="2351"/>
          </w:tcPr>
          <w:p>
            <w:r>
              <w:t>Widerruft der Darlehensnehmer den [einsetzen: Bezeichnung des verbundenen Vertrags], so ist er auch an den Darlehensvertrag nicht mehr gebunden.“</w:t>
            </w:r>
          </w:p>
        </w:tc>
      </w:tr>
      <w:tr>
        <w:trPr>
          <w:cantSplit/>
        </w:trPr>
        <w:tc>
          <w:tcPr>
            <w:tcW w:type="dxa" w:w="2351"/>
          </w:tcPr>
          <w:p/>
        </w:tc>
        <w:tc>
          <w:tcPr>
            <w:tcW w:type="dxa" w:w="7053"/>
            <w:gridSpan w:val="3"/>
          </w:tcPr>
          <w:p>
            <w:r>
              <w:t>Bei einem Geschäft, dessen Vertragsgegenstand (die Leistung des Unternehmers) in dem Darlehensvertrag genau angegeben ist und das nicht gleichzeitig die Voraussetzungen eines verbundenen Vertrags gemäß § 358 BGB erfüllt, obwohl das Darlehen ausschließlich zu dessen Finanzierung dient (angegebenes Geschäft gemäß § 360 Absatz 2 Satz 2 BGB), ist hier Folgendes einzufügen:</w:t>
            </w:r>
          </w:p>
        </w:tc>
      </w:tr>
      <w:tr>
        <w:trPr>
          <w:cantSplit/>
        </w:trPr>
        <w:tc>
          <w:tcPr>
            <w:tcW w:type="dxa" w:w="2351"/>
          </w:tcPr>
          <w:p/>
        </w:tc>
        <w:tc>
          <w:tcPr>
            <w:tcW w:type="dxa" w:w="2351"/>
          </w:tcPr>
          <w:p>
            <w:r>
              <w:t>„–</w:t>
            </w:r>
          </w:p>
        </w:tc>
        <w:tc>
          <w:tcPr>
            <w:tcW w:type="dxa" w:w="4702"/>
            <w:gridSpan w:val="2"/>
          </w:tcPr>
          <w:p>
            <w:r>
              <w:t>Steht dem Darlehensnehmer in Bezug auf das [einsetzen: Bezeichnung des im Darlehensvertrag angegebenen Geschäfts] (im Folgenden: angegebenes Geschäft)** ein Widerrufsrecht zu, so ist er mit wirksamem Widerruf des angegebenen Geschäfts auch an diesen Darlehensvertrag nicht mehr gebunden.“</w:t>
            </w:r>
          </w:p>
        </w:tc>
      </w:tr>
      <w:tr>
        <w:trPr>
          <w:cantSplit/>
        </w:trPr>
        <w:tc>
          <w:tcPr>
            <w:tcW w:type="dxa" w:w="2351"/>
          </w:tcPr>
          <w:p/>
        </w:tc>
        <w:tc>
          <w:tcPr>
            <w:tcW w:type="dxa" w:w="7053"/>
            <w:gridSpan w:val="3"/>
          </w:tcPr>
          <w:p>
            <w:r>
              <w:t>Bei einem mit einem Darlehensvertrag zusammenhängenden Vertrag (§ 360 BGB), der nicht gleichzeitig die Voraussetzungen eines verbundenen Vertrags gemäß § 358 BGB erfüllt, kann hier Folgendes eingefügt werden:</w:t>
            </w:r>
          </w:p>
        </w:tc>
      </w:tr>
      <w:tr>
        <w:trPr>
          <w:cantSplit/>
        </w:trPr>
        <w:tc>
          <w:tcPr>
            <w:tcW w:type="dxa" w:w="2351"/>
          </w:tcPr>
          <w:p/>
        </w:tc>
        <w:tc>
          <w:tcPr>
            <w:tcW w:type="dxa" w:w="2351"/>
          </w:tcPr>
          <w:p>
            <w:r>
              <w:t>„–</w:t>
            </w:r>
          </w:p>
        </w:tc>
        <w:tc>
          <w:tcPr>
            <w:tcW w:type="dxa" w:w="4702"/>
            <w:gridSpan w:val="2"/>
          </w:tcPr>
          <w:p>
            <w:r>
              <w:t>Steht dem Darlehensnehmer in Bezug auf diesen Darlehensvertrag ein Widerrufsrecht zu, so ist er mit wirksamem Widerruf des Darlehensvertrags auch an den [einsetzen: Bezeichnung des mit dem Darlehensvertrag zusammenhängenden Vertrags] (im Folgenden: zusammenhängender Vertrag)** nicht mehr gebunden.“</w:t>
            </w:r>
          </w:p>
        </w:tc>
      </w:tr>
      <w:tr>
        <w:trPr>
          <w:cantSplit/>
        </w:trPr>
        <w:tc>
          <w:tcPr>
            <w:tcW w:type="dxa" w:w="2351"/>
          </w:tcPr>
          <w:p/>
        </w:tc>
        <w:tc>
          <w:tcPr>
            <w:tcW w:type="dxa" w:w="7053"/>
            <w:gridSpan w:val="3"/>
          </w:tcPr>
          <w:p>
            <w:r>
              <w:t>Erbringt der Darlehensgeber gegenüber öffentlichen Stellen Aufwendungen gemäß § 357b Absatz 3 Satz 5 BGB und will er sich für den Fall des Widerrufs die Geltendmachung dieses Anspruchs vorbehalten, ist hier Folgendes einzufügen:</w:t>
            </w:r>
          </w:p>
        </w:tc>
      </w:tr>
      <w:tr>
        <w:trPr>
          <w:cantSplit/>
        </w:trPr>
        <w:tc>
          <w:tcPr>
            <w:tcW w:type="dxa" w:w="2351"/>
          </w:tcPr>
          <w:p/>
        </w:tc>
        <w:tc>
          <w:tcPr>
            <w:tcW w:type="dxa" w:w="2351"/>
          </w:tcPr>
          <w:p>
            <w:r>
              <w:t>„–</w:t>
            </w:r>
          </w:p>
        </w:tc>
        <w:tc>
          <w:tcPr>
            <w:tcW w:type="dxa" w:w="4702"/>
            <w:gridSpan w:val="2"/>
          </w:tcPr>
          <w:p>
            <w:r>
              <w:t>Der Darlehensnehmer hat dem Darlehensgeber auch die Aufwendungen zu ersetzen, die der Darlehensgeber gegenüber öffentlichen Stellen erbracht hat und nicht zurückverlangen kann.“</w:t>
            </w:r>
          </w:p>
        </w:tc>
      </w:tr>
      <w:tr>
        <w:trPr>
          <w:cantSplit/>
        </w:trPr>
        <w:tc>
          <w:tcPr>
            <w:tcW w:type="dxa" w:w="2351"/>
          </w:tcPr>
          <w:p/>
        </w:tc>
        <w:tc>
          <w:tcPr>
            <w:tcW w:type="dxa" w:w="7053"/>
            <w:gridSpan w:val="3"/>
          </w:tcPr>
          <w:p>
            <w:r>
              <w:t xml:space="preserve">Bei Anwendung der Gestaltungshinweise </w:t>
            </w:r>
            <w:r>
              <w:t xml:space="preserve"> , </w:t>
            </w:r>
            <w:r>
              <w:t xml:space="preserve"> , </w:t>
            </w:r>
            <w:r>
              <w:t xml:space="preserve"> , </w:t>
            </w:r>
            <w:r>
              <w:t xml:space="preserve"> , </w:t>
            </w:r>
            <w:r>
              <w:t xml:space="preserve">  oder </w:t>
            </w:r>
            <w:r>
              <w:t xml:space="preserve">  ist hier als Unterüberschrift einzufügen:</w:t>
            </w:r>
          </w:p>
        </w:tc>
      </w:tr>
      <w:tr>
        <w:trPr>
          <w:cantSplit/>
        </w:trPr>
        <w:tc>
          <w:tcPr>
            <w:tcW w:type="dxa" w:w="2351"/>
          </w:tcPr>
          <w:p/>
        </w:tc>
        <w:tc>
          <w:tcPr>
            <w:tcW w:type="dxa" w:w="7053"/>
            <w:gridSpan w:val="3"/>
          </w:tcPr>
          <w:p>
            <w:r>
              <w:t>„Besonderheiten bei weiteren Verträgen”.</w:t>
            </w:r>
          </w:p>
        </w:tc>
      </w:tr>
      <w:tr>
        <w:trPr>
          <w:cantSplit/>
        </w:trPr>
        <w:tc>
          <w:tcPr>
            <w:tcW w:type="dxa" w:w="2351"/>
          </w:tcPr>
          <w:p/>
        </w:tc>
        <w:tc>
          <w:tcPr>
            <w:tcW w:type="dxa" w:w="7053"/>
            <w:gridSpan w:val="3"/>
          </w:tcPr>
          <w:p>
            <w:r>
              <w:t xml:space="preserve">Dies gilt nicht, wenn bei einer entgeltlichen Finanzierungshilfe ausschließlich der Hinweis </w:t>
            </w:r>
            <w:r>
              <w:t xml:space="preserve">  verwandt wird und weitere Verträge nicht vorliegen.</w:t>
            </w:r>
          </w:p>
        </w:tc>
      </w:tr>
      <w:tr>
        <w:trPr>
          <w:cantSplit/>
        </w:trPr>
        <w:tc>
          <w:tcPr>
            <w:tcW w:type="dxa" w:w="2351"/>
          </w:tcPr>
          <w:p/>
        </w:tc>
        <w:tc>
          <w:tcPr>
            <w:tcW w:type="dxa" w:w="7053"/>
            <w:gridSpan w:val="3"/>
          </w:tcPr>
          <w:p>
            <w:r>
              <w:t>Liegen mehrere weitere Verträge nebeneinander vor, kann im Folgenden die Unterrichtung gemäß den anwendbaren Gestaltungshinweisen auch durch eine entsprechende, jeweils auf den konkreten Vertrag bezogene, wiederholte Nennung der Hinweise erfolgen.</w:t>
            </w:r>
          </w:p>
        </w:tc>
      </w:tr>
      <w:tr>
        <w:trPr>
          <w:cantSplit/>
        </w:trPr>
        <w:tc>
          <w:tcPr>
            <w:tcW w:type="dxa" w:w="2351"/>
          </w:tcPr>
          <w:p/>
        </w:tc>
        <w:tc>
          <w:tcPr>
            <w:tcW w:type="dxa" w:w="7053"/>
            <w:gridSpan w:val="3"/>
          </w:tcPr>
          <w:p>
            <w:r>
              <w:t xml:space="preserve">Bei einem verbundenen Vertrag nach § 358 BGB, der nicht den Erwerb von Finanzinstrumenten zum Gegenstand hat, oder bei einem zusammenhängenden Vertrag, wenn von Gestaltungshinweis </w:t>
            </w:r>
            <w:r>
              <w:t xml:space="preserve">  Gebrauch gemacht wird, ist hier Folgendes einzufügen:</w:t>
            </w:r>
          </w:p>
        </w:tc>
      </w:tr>
      <w:tr>
        <w:trPr>
          <w:cantSplit/>
        </w:trPr>
        <w:tc>
          <w:tcPr>
            <w:tcW w:type="dxa" w:w="2351"/>
          </w:tcPr>
          <w:p/>
        </w:tc>
        <w:tc>
          <w:tcPr>
            <w:tcW w:type="dxa" w:w="2351"/>
          </w:tcPr>
          <w:p>
            <w:r>
              <w:t>„–</w:t>
            </w:r>
          </w:p>
        </w:tc>
        <w:tc>
          <w:tcPr>
            <w:tcW w:type="dxa" w:w="4702"/>
            <w:gridSpan w:val="2"/>
          </w:tcPr>
          <w:p>
            <w:r>
              <w:t>Ist der Darlehensnehmer auf Grund des Widerrufs dieses Darlehensvertrags an [einsetzen***: den verbundenen Vertrag und/oder den zusammenhängenden Vertrag] nicht mehr gebunden, sind insoweit die beiderseits empfangenen Leistungen zurückzugewähren.“</w:t>
            </w:r>
          </w:p>
        </w:tc>
      </w:tr>
      <w:tr>
        <w:trPr>
          <w:cantSplit/>
        </w:trPr>
        <w:tc>
          <w:tcPr>
            <w:tcW w:type="dxa" w:w="2351"/>
          </w:tcPr>
          <w:p/>
        </w:tc>
        <w:tc>
          <w:tcPr>
            <w:tcW w:type="dxa" w:w="7053"/>
            <w:gridSpan w:val="3"/>
          </w:tcPr>
          <w:p>
            <w:r>
              <w:t xml:space="preserve">Bei einem verbundenen Vertrag nach § 358 BGB über die Überlassung einer Sache oder bei einem zusammenhängenden Vertrag, gerichtet auf die Überlassung einer Sache, wenn von Gestaltungshinweis </w:t>
            </w:r>
            <w:r>
              <w:t xml:space="preserve">  Gebrauch gemacht wurde, ist hier nachstehender Unterabsatz einzufügen:</w:t>
            </w:r>
          </w:p>
        </w:tc>
      </w:tr>
      <w:tr>
        <w:trPr>
          <w:cantSplit/>
        </w:trPr>
        <w:tc>
          <w:tcPr>
            <w:tcW w:type="dxa" w:w="2351"/>
          </w:tcPr>
          <w:p/>
        </w:tc>
        <w:tc>
          <w:tcPr>
            <w:tcW w:type="dxa" w:w="2351"/>
          </w:tcPr>
          <w:p>
            <w:r>
              <w:t>„–</w:t>
            </w:r>
          </w:p>
        </w:tc>
        <w:tc>
          <w:tcPr>
            <w:tcW w:type="dxa" w:w="4702"/>
            <w:gridSpan w:val="2"/>
          </w:tcPr>
          <w:p>
            <w:r>
              <w:t>Der Darlehensnehmer ist nicht verpflichtet, die Sache zurückzusenden, wenn der an [einsetzen***: dem verbundenen Vertrag oder dem zusammenhängenden Vertrag] beteiligte Unternehmer angeboten hat, die Sachen abzuholen. Grundsätzlich trägt der Darlehensnehmer die unmittelbaren Kosten der Rücksendung der Waren. Dies gilt nicht, wenn der an [einsetzen***: dem verbundenen Vertrag oder dem zusammenhängenden Vertrag] beteiligte Unternehmer sich bereit erklärt hat, diese Kosten zu tragen, oder er es unterlassen hat, den Verbraucher über die Pflicht, die unmittelbaren Kosten der Rücksendung zu tragen, zu unterrichten. Bei außerhalb von Geschäftsräumen geschlossenen Verträgen, bei denen die Waren zum Zeitpunkt des Vertragsschlusses zur Wohnung des Verbrauchers gebracht worden sind, ist der Unternehmer verpflichtet, die Waren auf eigene Kosten abzuholen, wenn die Waren so beschaffen sind, dass sie nicht per Post zurückgesandt werden können.“</w:t>
            </w:r>
          </w:p>
        </w:tc>
      </w:tr>
      <w:tr>
        <w:trPr>
          <w:cantSplit/>
        </w:trPr>
        <w:tc>
          <w:tcPr>
            <w:tcW w:type="dxa" w:w="2351"/>
          </w:tcPr>
          <w:p/>
        </w:tc>
        <w:tc>
          <w:tcPr>
            <w:tcW w:type="dxa" w:w="7053"/>
            <w:gridSpan w:val="3"/>
          </w:tcPr>
          <w:p>
            <w:r>
              <w:t>Der Unterabsatz kann wie folgt ergänzt werden:</w:t>
            </w:r>
          </w:p>
        </w:tc>
      </w:tr>
      <w:tr>
        <w:trPr>
          <w:cantSplit/>
        </w:trPr>
        <w:tc>
          <w:tcPr>
            <w:tcW w:type="dxa" w:w="2351"/>
          </w:tcPr>
          <w:p/>
        </w:tc>
        <w:tc>
          <w:tcPr>
            <w:tcW w:type="dxa" w:w="7053"/>
            <w:gridSpan w:val="3"/>
          </w:tcPr>
          <w:p>
            <w:r>
              <w:t>„Wenn der Darlehensnehmer die auf Grund [einsetzen***: des verbundenen Vertrags oder des zusammenhängenden Vertrags] überlassene Sache nicht oder teilweise nicht oder nur in verschlechtertem Zustand zurückgewähren kann, hat er insoweit Wertersatz zu leisten. Dies kommt allerdings nur in Betracht, wenn der Wertverlust auf einen Umgang mit den Waren zurückzuführen ist, der zur Prüfung der Beschaffenheit, der Eigenschaften und der Funktionsweise der Waren nicht notwendig war.”</w:t>
            </w:r>
          </w:p>
        </w:tc>
      </w:tr>
      <w:tr>
        <w:trPr>
          <w:cantSplit/>
        </w:trPr>
        <w:tc>
          <w:tcPr>
            <w:tcW w:type="dxa" w:w="2351"/>
          </w:tcPr>
          <w:p/>
        </w:tc>
        <w:tc>
          <w:tcPr>
            <w:tcW w:type="dxa" w:w="7053"/>
            <w:gridSpan w:val="3"/>
          </w:tcPr>
          <w:p>
            <w:r>
              <w:t>Bei einem Vertrag über eine unentgeltliche Finanzierungshilfe gilt Folgendes:</w:t>
            </w:r>
          </w:p>
        </w:tc>
      </w:tr>
      <w:tr>
        <w:trPr>
          <w:cantSplit/>
        </w:trPr>
        <w:tc>
          <w:tcPr>
            <w:tcW w:type="dxa" w:w="2351"/>
          </w:tcPr>
          <w:p/>
        </w:tc>
        <w:tc>
          <w:tcPr>
            <w:tcW w:type="dxa" w:w="2351"/>
          </w:tcPr>
          <w:p>
            <w:r>
              <w:t>a)</w:t>
            </w:r>
          </w:p>
        </w:tc>
        <w:tc>
          <w:tcPr>
            <w:tcW w:type="dxa" w:w="4702"/>
            <w:gridSpan w:val="2"/>
          </w:tcPr>
          <w:p>
            <w:r>
              <w:t xml:space="preserve">Ist Vertragsgegenstand die Überlassung einer Sache mit Ausnahme der Lieferung von Wasser, Gas oder Strom, die nicht in einem begrenzten Volumen oder in einer bestimmten Menge zum Verkauf angeboten werden, sind hier die konkreten Hinweise entsprechend Gestaltungshinweis </w:t>
            </w:r>
            <w:r>
              <w:t xml:space="preserve">  Buchstabe a und b der Anlage 1 zu Artikel 246a § 1 Absatz 2 Satz 2 EGBGB zu geben.</w:t>
            </w:r>
          </w:p>
        </w:tc>
      </w:tr>
      <w:tr>
        <w:trPr>
          <w:cantSplit/>
        </w:trPr>
        <w:tc>
          <w:tcPr>
            <w:tcW w:type="dxa" w:w="2351"/>
          </w:tcPr>
          <w:p/>
        </w:tc>
        <w:tc>
          <w:tcPr>
            <w:tcW w:type="dxa" w:w="2351"/>
          </w:tcPr>
          <w:p/>
        </w:tc>
        <w:tc>
          <w:tcPr>
            <w:tcW w:type="dxa" w:w="4702"/>
            <w:gridSpan w:val="2"/>
          </w:tcPr>
          <w:p>
            <w:r>
              <w:t xml:space="preserve">Diese können durch die konkreten Hinweise entsprechend Gestaltungshinweis </w:t>
            </w:r>
            <w:r>
              <w:t xml:space="preserve">  Buchstabe c der Anlage 1 zu Artikel 246a § 1 Absatz 2 Satz 2 EGBGB ergänzt werden.</w:t>
            </w:r>
          </w:p>
        </w:tc>
      </w:tr>
      <w:tr>
        <w:trPr>
          <w:cantSplit/>
        </w:trPr>
        <w:tc>
          <w:tcPr>
            <w:tcW w:type="dxa" w:w="2351"/>
          </w:tcPr>
          <w:p/>
        </w:tc>
        <w:tc>
          <w:tcPr>
            <w:tcW w:type="dxa" w:w="2351"/>
          </w:tcPr>
          <w:p>
            <w:r>
              <w:t>b)</w:t>
            </w:r>
          </w:p>
        </w:tc>
        <w:tc>
          <w:tcPr>
            <w:tcW w:type="dxa" w:w="4702"/>
            <w:gridSpan w:val="2"/>
          </w:tcPr>
          <w:p>
            <w:r>
              <w:t>Ist Vertragsgegenstand die Erbringung einer Finanzdienstleistung, kann hier folgender Hinweis gegeben werden:</w:t>
            </w:r>
          </w:p>
        </w:tc>
      </w:tr>
      <w:tr>
        <w:trPr>
          <w:cantSplit/>
        </w:trPr>
        <w:tc>
          <w:tcPr>
            <w:tcW w:type="dxa" w:w="2351"/>
          </w:tcPr>
          <w:p/>
        </w:tc>
        <w:tc>
          <w:tcPr>
            <w:tcW w:type="dxa" w:w="2351"/>
          </w:tcPr>
          <w:p/>
        </w:tc>
        <w:tc>
          <w:tcPr>
            <w:tcW w:type="dxa" w:w="4702"/>
            <w:gridSpan w:val="2"/>
          </w:tcPr>
          <w:p>
            <w:r>
              <w:t>„Der Darlehensnehmer ist zur Zahlung von Wertersatz für die bis zum Widerruf erbrachte Dienstleistung verpflichtet, wenn er ausdrücklich zugestimmt hat, dass vor dem Ende der Widerrufsfrist mit der Ausführung der Gegenleistung begonnen wird. Besteht eine Verpflichtung zur Zahlung von Wertersatz, kann dies dazu führen, dass der Darlehensnehmer die vertraglichen Zahlungsverpflichtungen für den Zeitraum bis zum Widerruf dennoch erfüllen muss.”</w:t>
            </w:r>
          </w:p>
        </w:tc>
      </w:tr>
      <w:tr>
        <w:trPr>
          <w:cantSplit/>
        </w:trPr>
        <w:tc>
          <w:tcPr>
            <w:tcW w:type="dxa" w:w="2351"/>
          </w:tcPr>
          <w:p/>
        </w:tc>
        <w:tc>
          <w:tcPr>
            <w:tcW w:type="dxa" w:w="2351"/>
          </w:tcPr>
          <w:p>
            <w:r>
              <w:t>c)</w:t>
            </w:r>
          </w:p>
        </w:tc>
        <w:tc>
          <w:tcPr>
            <w:tcW w:type="dxa" w:w="4702"/>
            <w:gridSpan w:val="2"/>
          </w:tcPr>
          <w:p>
            <w:r>
              <w:t xml:space="preserve">Ist Vertragsgegenstand die Erbringung einer Dienstleistung, die nicht in der Überlassung einer Sache gemäß Buchstabe a oder in einer Finanzdienstleistung besteht, oder die Lieferung von Wasser, Gas oder Strom, wenn sie nicht in einem begrenzten Volumen oder in einer bestimmten Menge zum Verkauf angeboten werden, oder die Lieferung von Fernwärme, können hier die konkreten Hinweise entsprechend Gestaltungshinweis </w:t>
            </w:r>
            <w:r>
              <w:t xml:space="preserve">  der Anlage 1 zu Artikel 246a § 1 Absatz 2 Satz 2 EGBGB gegeben werden.</w:t>
            </w:r>
          </w:p>
        </w:tc>
      </w:tr>
      <w:tr>
        <w:trPr>
          <w:cantSplit/>
        </w:trPr>
        <w:tc>
          <w:tcPr>
            <w:tcW w:type="dxa" w:w="2351"/>
          </w:tcPr>
          <w:p/>
        </w:tc>
        <w:tc>
          <w:tcPr>
            <w:tcW w:type="dxa" w:w="2351"/>
          </w:tcPr>
          <w:p>
            <w:r>
              <w:t>d)</w:t>
            </w:r>
          </w:p>
        </w:tc>
        <w:tc>
          <w:tcPr>
            <w:tcW w:type="dxa" w:w="4702"/>
            <w:gridSpan w:val="2"/>
          </w:tcPr>
          <w:p>
            <w:r>
              <w:t>Ist Vertragsgegenstand die Lieferung von nicht auf einem körperlichen Datenträger befindlichen digitalen Inhalten, kann hier folgender Hinweis gegeben werden:</w:t>
            </w:r>
          </w:p>
        </w:tc>
      </w:tr>
      <w:tr>
        <w:trPr>
          <w:cantSplit/>
        </w:trPr>
        <w:tc>
          <w:tcPr>
            <w:tcW w:type="dxa" w:w="2351"/>
          </w:tcPr>
          <w:p/>
        </w:tc>
        <w:tc>
          <w:tcPr>
            <w:tcW w:type="dxa" w:w="2351"/>
          </w:tcPr>
          <w:p/>
        </w:tc>
        <w:tc>
          <w:tcPr>
            <w:tcW w:type="dxa" w:w="4702"/>
            <w:gridSpan w:val="2"/>
          </w:tcPr>
          <w:p>
            <w:r>
              <w:t>„Der Darlehensnehmer ist zur Zahlung von Wertersatz für die bis zum Widerruf gelieferten digitalen Inhalte verpflichtet, wenn er ausdrücklich zugestimmt hat, dass vor dem Ende der Widerrufsfrist mit der Lieferung der digitalen Inhalte begonnen wird.”</w:t>
            </w:r>
          </w:p>
        </w:tc>
      </w:tr>
      <w:tr>
        <w:trPr>
          <w:cantSplit/>
        </w:trPr>
        <w:tc>
          <w:tcPr>
            <w:tcW w:type="dxa" w:w="2351"/>
          </w:tcPr>
          <w:p/>
        </w:tc>
        <w:tc>
          <w:tcPr>
            <w:tcW w:type="dxa" w:w="7053"/>
            <w:gridSpan w:val="3"/>
          </w:tcPr>
          <w:p>
            <w:r>
              <w:t>Bei einem angegebenen Geschäft nach § 360 Absatz 2 Satz 2 BGB ist hier Folgendes einzufügen:</w:t>
            </w:r>
          </w:p>
        </w:tc>
      </w:tr>
      <w:tr>
        <w:trPr>
          <w:cantSplit/>
        </w:trPr>
        <w:tc>
          <w:tcPr>
            <w:tcW w:type="dxa" w:w="2351"/>
          </w:tcPr>
          <w:p/>
        </w:tc>
        <w:tc>
          <w:tcPr>
            <w:tcW w:type="dxa" w:w="2351"/>
          </w:tcPr>
          <w:p>
            <w:r>
              <w:t>„–</w:t>
            </w:r>
          </w:p>
        </w:tc>
        <w:tc>
          <w:tcPr>
            <w:tcW w:type="dxa" w:w="4702"/>
            <w:gridSpan w:val="2"/>
          </w:tcPr>
          <w:p>
            <w:r>
              <w:t>Ist der Darlehensnehmer auf Grund des Widerrufs des [einsetzen***: angegebenen Geschäfts] an den Darlehensvertrag nicht mehr gebunden, führt das hinsichtlich des Darlehensvertrags zu den gleichen Folgen, die eintreten würden, wenn der Darlehensvertrag selbst widerrufen worden wäre (vgl. oben unter „Widerrufsfolgen“).“</w:t>
            </w:r>
          </w:p>
        </w:tc>
      </w:tr>
      <w:tr>
        <w:trPr>
          <w:cantSplit/>
        </w:trPr>
        <w:tc>
          <w:tcPr>
            <w:tcW w:type="dxa" w:w="2351"/>
          </w:tcPr>
          <w:p/>
        </w:tc>
        <w:tc>
          <w:tcPr>
            <w:tcW w:type="dxa" w:w="7053"/>
            <w:gridSpan w:val="3"/>
          </w:tcPr>
          <w:p>
            <w:r>
              <w:t>Bei einem verbundenen Vertrag nach § 358 BGB, der nicht den Erwerb von Finanzinstrumenten zum Gegenstand hat, ist hier Folgendes einzufügen:</w:t>
            </w:r>
          </w:p>
        </w:tc>
      </w:tr>
      <w:tr>
        <w:trPr>
          <w:cantSplit/>
        </w:trPr>
        <w:tc>
          <w:tcPr>
            <w:tcW w:type="dxa" w:w="2351"/>
          </w:tcPr>
          <w:p/>
        </w:tc>
        <w:tc>
          <w:tcPr>
            <w:tcW w:type="dxa" w:w="2351"/>
          </w:tcPr>
          <w:p>
            <w:r>
              <w:t>„–</w:t>
            </w:r>
          </w:p>
        </w:tc>
        <w:tc>
          <w:tcPr>
            <w:tcW w:type="dxa" w:w="4702"/>
            <w:gridSpan w:val="2"/>
          </w:tcPr>
          <w:p>
            <w:r>
              <w:t>Wenn der Darlehensnehmer infolge des Widerrufs des Darlehensvertrags nicht mehr an den weiteren Vertrag gebunden ist oder infolge des Widerrufs des weiteren Vertrags nicht mehr an den Darlehensvertrag gebunden ist, gilt ergänzend Folgendes: Ist das Darlehen bei Wirksamwerden des Widerrufs dem Vertragspartner des Darlehensnehmers aus [einsetzen***: dem verbundenen Vertrag] bereits zugeflossen, tritt der Darlehensgeber im Verhältnis zum Darlehensnehmer hinsichtlich der Rechtsfolgen des Widerrufs in die Rechte und Pflichten des Vertragspartners aus dem weiteren Vertrag ein.“</w:t>
            </w:r>
          </w:p>
        </w:tc>
      </w:tr>
      <w:tr>
        <w:trPr>
          <w:cantSplit/>
        </w:trPr>
        <w:tc>
          <w:tcPr>
            <w:tcW w:type="dxa" w:w="2351"/>
          </w:tcPr>
          <w:p/>
        </w:tc>
        <w:tc>
          <w:tcPr>
            <w:tcW w:type="dxa" w:w="7053"/>
            <w:gridSpan w:val="3"/>
          </w:tcPr>
          <w:p>
            <w:r>
              <w:t>Dieser Hinweis entfällt, wenn der Darlehensgeber zugleich Vertragspartner des Darlehensnehmers aus dem weiteren Vertrag ist.</w:t>
            </w:r>
          </w:p>
        </w:tc>
      </w:tr>
      <w:tr>
        <w:trPr>
          <w:cantSplit/>
        </w:trPr>
        <w:tc>
          <w:tcPr>
            <w:tcW w:type="dxa" w:w="2351"/>
          </w:tcPr>
          <w:p/>
        </w:tc>
        <w:tc>
          <w:tcPr>
            <w:tcW w:type="dxa" w:w="7053"/>
            <w:gridSpan w:val="3"/>
          </w:tcPr>
          <w:p>
            <w:r>
              <w:t>Bei einem verbundenen Vertrag nach § 358 BGB, der nicht den Erwerb von Finanzinstrumenten zum Gegenstand hat, sind hier folgende Überschrift und folgender Hinweis einzufügen:</w:t>
            </w:r>
          </w:p>
        </w:tc>
      </w:tr>
      <w:tr>
        <w:trPr>
          <w:cantSplit/>
        </w:trPr>
        <w:tc>
          <w:tcPr>
            <w:tcW w:type="dxa" w:w="2351"/>
          </w:tcPr>
          <w:p/>
        </w:tc>
        <w:tc>
          <w:tcPr>
            <w:tcW w:type="dxa" w:w="7053"/>
            <w:gridSpan w:val="3"/>
          </w:tcPr>
          <w:p>
            <w:r>
              <w:rPr>
                <w:b/>
              </w:rPr>
              <w:t>„Einwendungen bei verbundenen Verträgen”.</w:t>
            </w:r>
          </w:p>
        </w:tc>
      </w:tr>
      <w:tr>
        <w:trPr>
          <w:cantSplit/>
        </w:trPr>
        <w:tc>
          <w:tcPr>
            <w:tcW w:type="dxa" w:w="2351"/>
          </w:tcPr>
          <w:p/>
        </w:tc>
        <w:tc>
          <w:tcPr>
            <w:tcW w:type="dxa" w:w="7053"/>
            <w:gridSpan w:val="3"/>
          </w:tcPr>
          <w:p>
            <w:r>
              <w:t>„Der Darlehensnehmer kann die Rückzahlung des Darlehens verweigern, soweit ihn Einwendungen berechtigen würden, seine Leistung gegenüber dem Vertragspartner aus dem verbundenen Vertrag zu verweigern. Dies gilt nicht, wenn das finanzierte Entgelt weniger als 200 Euro beträgt oder wenn der Rechtsgrund für die Einwendung auf einer Vereinbarung beruht, die zwischen dem Darlehensnehmer und dem anderen Vertragspartner nach dem Abschluss des Darlehensvertrags getroffen wurde. Kann der Darlehensnehmer von dem anderen Vertragspartner Nacherfüllung verlangen, so kann er die Rückzahlung des Darlehens erst verweigern, wenn die Nacherfüllung fehlgeschlagen ist.”</w:t>
            </w:r>
          </w:p>
        </w:tc>
      </w:tr>
      <w:tr>
        <w:trPr>
          <w:cantSplit/>
        </w:trPr>
        <w:tc>
          <w:tcPr>
            <w:tcW w:type="dxa" w:w="2351"/>
          </w:tcPr>
          <w:p/>
        </w:tc>
        <w:tc>
          <w:tcPr>
            <w:tcW w:type="dxa" w:w="7053"/>
            <w:gridSpan w:val="3"/>
          </w:tcPr>
          <w:p>
            <w:r>
              <w:t>Dieser Hinweis und die Überschrift können entfallen, wenn der Darlehensgeber weiß, dass das finanzierte Entgelt weniger als 200 Euro beträgt.</w:t>
            </w:r>
          </w:p>
        </w:tc>
      </w:tr>
      <w:tr>
        <w:trPr>
          <w:cantSplit/>
        </w:trPr>
        <w:tc>
          <w:tcPr>
            <w:tcW w:type="dxa" w:w="2351"/>
          </w:tcPr>
          <w:p>
            <w:r>
              <w:t>*</w:t>
            </w:r>
          </w:p>
        </w:tc>
        <w:tc>
          <w:tcPr>
            <w:tcW w:type="dxa" w:w="7053"/>
            <w:gridSpan w:val="3"/>
          </w:tcPr>
          <w:p>
            <w:r>
              <w:t>Die Vertragsparteien können auch direkt angesprochen werden (z. B. „Sie“, „Wir“). Es kann auch die weibliche Form der jeweiligen Bezeichnung und/oder die genaue Bezeichnung der Vertragsparteien verwendet werden. Es können auch die Bezeichnungen „Kreditnehmer“ und „Kreditgeber“ verwendet werden. Bei unentgeltlichen Finanzierungshilfen sind die Bezeichnungen entsprechend anzupassen, beispielsweise mit „Leasinggeber“ und „Leasingnehmer“.</w:t>
            </w:r>
          </w:p>
        </w:tc>
      </w:tr>
      <w:tr>
        <w:trPr>
          <w:cantSplit/>
        </w:trPr>
        <w:tc>
          <w:tcPr>
            <w:tcW w:type="dxa" w:w="2351"/>
          </w:tcPr>
          <w:p>
            <w:r>
              <w:t>**</w:t>
            </w:r>
          </w:p>
        </w:tc>
        <w:tc>
          <w:tcPr>
            <w:tcW w:type="dxa" w:w="7053"/>
            <w:gridSpan w:val="3"/>
          </w:tcPr>
          <w:p>
            <w:r>
              <w:t>Dieser Klammerzusatz entfällt bei durchgängiger genauer Bezeichnung des Vertrags/Geschäfts.</w:t>
            </w:r>
          </w:p>
        </w:tc>
      </w:tr>
      <w:tr>
        <w:trPr>
          <w:cantSplit/>
        </w:trPr>
        <w:tc>
          <w:tcPr>
            <w:tcW w:type="dxa" w:w="2351"/>
          </w:tcPr>
          <w:p>
            <w:r>
              <w:t>***</w:t>
            </w:r>
          </w:p>
        </w:tc>
        <w:tc>
          <w:tcPr>
            <w:tcW w:type="dxa" w:w="7053"/>
            <w:gridSpan w:val="3"/>
          </w:tcPr>
          <w:p>
            <w:r>
              <w:t>Die Bezugnahme auf den betreffenden Vertrag/auf das betreffende Geschäft kann nach erstmaliger genauer Bezeichnung im Weiteren durch Verwendung der allgemeinen Bezeichnung des jeweiligen Vertrags/Geschäfts (verbundener Vertrag, angegebenes Geschäft, zusammenhängender Vertrag) erfolgen.</w:t>
            </w:r>
          </w:p>
        </w:tc>
      </w:tr>
    </w:tbl>
    <w:p>
      <w:pPr>
        <w:spacing w:after="0"/>
      </w:pPr>
    </w:p>
    <w:p>
      <w:pPr>
        <w:pStyle w:val="Heading3"/>
      </w:pPr>
      <w:bookmarkStart w:id="509" w:name="b508"/>
      <w:r>
        <w:t>Anlage 10 (zu Artikel 249 § 3)Muster für die Widerrufsbelehrung bei Verbraucherbauverträgen</w:t>
      </w:r>
      <w:bookmarkEnd w:id="509"/>
    </w:p>
    <w:p>
      <w:r>
        <w:rPr>
          <w:color w:val="404040"/>
          <w:sz w:val="21"/>
        </w:rPr>
        <w:t>(Fundstelle: BGBl. I 2017, 979)</w:t>
      </w:r>
    </w:p>
    <w:tbl>
      <w:tblPr>
        <w:tblStyle w:val="TableGrid"/>
        <w:tblW w:type="pct" w:w="5000"/>
        <w:tblLook w:firstColumn="1" w:firstRow="1" w:lastColumn="0" w:lastRow="0" w:noHBand="0" w:noVBand="1" w:val="04A0"/>
        <w:tblCaption w:val="Tabelle 1 zu Anlage 10"/>
      </w:tblPr>
      <w:tblGrid>
        <w:gridCol w:w="9406"/>
      </w:tblGrid>
      <w:tr>
        <w:trPr>
          <w:cantSplit/>
        </w:trPr>
        <w:tc>
          <w:tcPr>
            <w:tcW w:type="dxa" w:w="9406"/>
          </w:tcPr>
          <w:p>
            <w:r>
              <w:rPr>
                <w:b/>
              </w:rPr>
              <w:t>Widerrufsbelehrung</w:t>
            </w:r>
          </w:p>
        </w:tc>
      </w:tr>
      <w:tr>
        <w:trPr>
          <w:cantSplit/>
        </w:trPr>
        <w:tc>
          <w:tcPr>
            <w:tcW w:type="dxa" w:w="9406"/>
          </w:tcPr>
          <w:p>
            <w:r>
              <w:rPr>
                <w:b/>
              </w:rPr>
              <w:t>Widerrufsrecht</w:t>
            </w:r>
          </w:p>
        </w:tc>
      </w:tr>
      <w:tr>
        <w:trPr>
          <w:cantSplit/>
        </w:trPr>
        <w:tc>
          <w:tcPr>
            <w:tcW w:type="dxa" w:w="9406"/>
          </w:tcPr>
          <w:p>
            <w:r>
              <w:t>Sie haben das Recht, binnen 14 Tagen ohne Angabe von Gründen diesen Vertrag zu widerrufen.</w:t>
            </w:r>
          </w:p>
        </w:tc>
      </w:tr>
      <w:tr>
        <w:trPr>
          <w:cantSplit/>
        </w:trPr>
        <w:tc>
          <w:tcPr>
            <w:tcW w:type="dxa" w:w="9406"/>
          </w:tcPr>
          <w:p>
            <w:r>
              <w:t>Die Widerrufsfrist beträgt 14 Tage ab dem Tag des Vertragsabschlusses. Sie beginnt nicht zu laufen, bevor Sie diese Belehrung in Textform erhalten haben.</w:t>
            </w:r>
          </w:p>
        </w:tc>
      </w:tr>
      <w:tr>
        <w:trPr>
          <w:cantSplit/>
        </w:trPr>
        <w:tc>
          <w:tcPr>
            <w:tcW w:type="dxa" w:w="9406"/>
          </w:tcPr>
          <w:p>
            <w:r>
              <w:t>Um Ihr Widerrufsrecht auszuüben, müssen Sie uns (*) mittels einer eindeutigen Erklärung (z. B. Brief, Telefax oder E-Mail) über Ihren Entschluss, diesen Vertrag zu widerrufen, informieren.</w:t>
            </w:r>
          </w:p>
        </w:tc>
      </w:tr>
      <w:tr>
        <w:trPr>
          <w:cantSplit/>
        </w:trPr>
        <w:tc>
          <w:tcPr>
            <w:tcW w:type="dxa" w:w="9406"/>
          </w:tcPr>
          <w:p>
            <w:r>
              <w:t>Zur Wahrung der Widerrufsfrist reicht es aus, dass Sie die Erklärung über die Ausübung des Widerrufsrechts vor Ablauf der Widerrufsfrist absenden.</w:t>
            </w:r>
          </w:p>
        </w:tc>
      </w:tr>
      <w:tr>
        <w:trPr>
          <w:cantSplit/>
        </w:trPr>
        <w:tc>
          <w:tcPr>
            <w:tcW w:type="dxa" w:w="9406"/>
          </w:tcPr>
          <w:p>
            <w:r>
              <w:rPr>
                <w:b/>
              </w:rPr>
              <w:t>Folgen des Widerrufs</w:t>
            </w:r>
          </w:p>
        </w:tc>
      </w:tr>
      <w:tr>
        <w:trPr>
          <w:cantSplit/>
        </w:trPr>
        <w:tc>
          <w:tcPr>
            <w:tcW w:type="dxa" w:w="9406"/>
          </w:tcPr>
          <w:p>
            <w:r>
              <w:t>Wenn Sie diesen Vertrag widerrufen, haben wir Ihnen alle Zahlungen, die wir von Ihnen erhalten haben, unverzüglich zurückzuzahlen.</w:t>
            </w:r>
          </w:p>
        </w:tc>
      </w:tr>
      <w:tr>
        <w:trPr>
          <w:cantSplit/>
        </w:trPr>
        <w:tc>
          <w:tcPr>
            <w:tcW w:type="dxa" w:w="9406"/>
          </w:tcPr>
          <w:p>
            <w:r>
              <w:t>Sie müssen uns im Falle des Widerrufs alle Leistungen zurückgeben, die Sie bis zum Widerruf von uns erhalten haben. Ist die Rückgewähr einer Leistung ihrer Natur nach ausgeschlossen, lassen sich etwa verwendete Baumaterialien nicht ohne Zerstörung entfernen, müssen Sie Wertersatz dafür bezahlen.</w:t>
            </w:r>
          </w:p>
        </w:tc>
      </w:tr>
    </w:tbl>
    <w:p>
      <w:pPr>
        <w:spacing w:after="0"/>
      </w:pPr>
    </w:p>
    <w:tbl>
      <w:tblPr>
        <w:tblStyle w:val="TableGrid"/>
        <w:tblW w:type="pct" w:w="5000"/>
        <w:tblLook w:firstColumn="1" w:firstRow="1" w:lastColumn="0" w:lastRow="0" w:noHBand="0" w:noVBand="1" w:val="04A0"/>
        <w:tblCaption w:val="Tabelle 2 zu Anlage 10"/>
      </w:tblPr>
      <w:tblGrid>
        <w:gridCol w:w="4703"/>
        <w:gridCol w:w="4703"/>
      </w:tblGrid>
      <w:tr>
        <w:trPr>
          <w:cantSplit/>
        </w:trPr>
        <w:tc>
          <w:tcPr>
            <w:tcW w:type="dxa" w:w="9406"/>
            <w:gridSpan w:val="2"/>
          </w:tcPr>
          <w:p>
            <w:r>
              <w:rPr>
                <w:b/>
              </w:rPr>
              <w:t>Gestaltungshinweis:</w:t>
            </w:r>
          </w:p>
        </w:tc>
      </w:tr>
      <w:tr>
        <w:trPr>
          <w:cantSplit/>
        </w:trPr>
        <w:tc>
          <w:tcPr>
            <w:tcW w:type="dxa" w:w="4703"/>
          </w:tcPr>
          <w:p>
            <w:r>
              <w:t>*</w:t>
            </w:r>
          </w:p>
        </w:tc>
        <w:tc>
          <w:tcPr>
            <w:tcW w:type="dxa" w:w="4703"/>
          </w:tcPr>
          <w:p>
            <w:r>
              <w:t>Fügen Sie Ihren Namen oder den Namen Ihres Unternehmens, Ihre Anschrift und Ihre Telefonnummer ein. Sofern verfügbar sind zusätzlich anzugeben: Ihre Telefaxnummer und E-Mail-Adresse.</w:t>
            </w:r>
          </w:p>
        </w:tc>
      </w:tr>
    </w:tbl>
    <w:p>
      <w:pPr>
        <w:spacing w:after="0"/>
      </w:pPr>
    </w:p>
    <w:p>
      <w:pPr>
        <w:pStyle w:val="Heading3"/>
      </w:pPr>
      <w:bookmarkStart w:id="510" w:name="b509"/>
      <w:r>
        <w:t>Anlage 11 (zu Artikel 250 § 2 Absatz 1)Muster für das Formblatt zur Unterrichtung des Reisenden bei einer Pauschalreise nach § 651a des Bürgerlichen Gesetzbuchs</w:t>
      </w:r>
      <w:bookmarkEnd w:id="510"/>
    </w:p>
    <w:p>
      <w:r>
        <w:rPr>
          <w:color w:val="404040"/>
          <w:sz w:val="21"/>
        </w:rPr>
        <w:t>(Fundstelle: BGBl. I 2017, 2409 — 2410;</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11"/>
      </w:tblPr>
      <w:tblGrid>
        <w:gridCol w:w="9406"/>
      </w:tblGrid>
      <w:tr>
        <w:trPr>
          <w:cantSplit/>
        </w:trPr>
        <w:tc>
          <w:tcPr>
            <w:tcW w:type="dxa" w:w="9406"/>
          </w:tcPr>
          <w:p>
            <w:r>
              <w:t xml:space="preserve">Bei der Ihnen angebotenen Kombination von Reiseleistungen handelt es sich um eine Pauschalreise im Sinne der Richtlinie (EU) 2015/2302. </w:t>
            </w:r>
          </w:p>
        </w:tc>
      </w:tr>
      <w:tr>
        <w:trPr>
          <w:cantSplit/>
        </w:trPr>
        <w:tc>
          <w:tcPr>
            <w:tcW w:type="dxa" w:w="9406"/>
          </w:tcPr>
          <w:p>
            <w:r>
              <w:t xml:space="preserve">Daher können Sie alle EU-Rechte in Anspruch nehmen, die für Pauschalreisen gelten. Das Unternehmen </w:t>
            </w:r>
            <w:r>
              <w:t xml:space="preserve">  trägt die volle Verantwortung für die ordnungsgemäße Durchführung der gesamten Pauschalreise.</w:t>
            </w:r>
          </w:p>
        </w:tc>
      </w:tr>
      <w:tr>
        <w:trPr>
          <w:cantSplit/>
        </w:trPr>
        <w:tc>
          <w:tcPr>
            <w:tcW w:type="dxa" w:w="9406"/>
          </w:tcPr>
          <w:p>
            <w:r>
              <w:t xml:space="preserve">Zudem verfügt das Unternehmen </w:t>
            </w:r>
            <w:r>
              <w:t xml:space="preserve">  über die gesetzlich vorgeschriebene Absicherung für die Rückzahlung Ihrer Zahlungen und, falls der Transport in der Pauschalreise inbegriffen ist, zur Sicherstellung Ihrer Rückbeförderung im Fall seiner Insolvenz.</w:t>
            </w:r>
            <w:hyperlink w:anchor="f509_1" w:history="1">
              <w:r>
                <w:rPr>
                  <w:rStyle w:val="Fussnotenmarke"/>
                  <w:u w:val="single"/>
                  <w:color w:val="0A3A8C"/>
                </w:rPr>
                <w:t>1</w:t>
              </w:r>
            </w:hyperlink>
          </w:p>
        </w:tc>
      </w:tr>
      <w:tr>
        <w:trPr>
          <w:cantSplit/>
        </w:trPr>
        <w:tc>
          <w:tcPr>
            <w:tcW w:type="dxa" w:w="9406"/>
          </w:tcPr>
          <w:p/>
        </w:tc>
      </w:tr>
    </w:tbl>
    <w:p>
      <w:pPr>
        <w:spacing w:after="0"/>
      </w:pPr>
    </w:p>
    <w:tbl>
      <w:tblPr>
        <w:tblStyle w:val="TableGrid"/>
        <w:tblW w:type="pct" w:w="5000"/>
        <w:tblLook w:firstColumn="1" w:firstRow="1" w:lastColumn="0" w:lastRow="0" w:noHBand="0" w:noVBand="1" w:val="04A0"/>
        <w:tblCaption w:val="Tabelle 2 zu Anlage 11"/>
      </w:tblPr>
      <w:tblGrid>
        <w:gridCol w:w="9406"/>
      </w:tblGrid>
      <w:tr>
        <w:trPr>
          <w:cantSplit/>
        </w:trPr>
        <w:tc>
          <w:tcPr>
            <w:tcW w:type="dxa" w:w="9406"/>
          </w:tcPr>
          <w:p>
            <w:r>
              <w:t xml:space="preserve">  Wichtigste Rechte nach der Richtlinie (EU) 2015/2302</w:t>
            </w:r>
          </w:p>
          <w:p>
            <w:pPr>
              <w:tabs>
                <w:tab w:pos="567" w:val="left"/>
              </w:tabs>
              <w:ind w:left="567" w:hanging="567"/>
            </w:pPr>
            <w:r>
              <w:t>–</w:t>
            </w:r>
            <w:r>
              <w:tab/>
            </w:r>
            <w:r>
              <w:t>Die Reisenden erhalten alle wesentlichen Informationen über die Pauschalreise vor Abschluss des Pauschalreisevertrags.</w:t>
            </w:r>
          </w:p>
          <w:p>
            <w:pPr>
              <w:tabs>
                <w:tab w:pos="567" w:val="left"/>
              </w:tabs>
              <w:ind w:left="567" w:hanging="567"/>
            </w:pPr>
            <w:r>
              <w:t>–</w:t>
            </w:r>
            <w:r>
              <w:tab/>
            </w:r>
            <w:r>
              <w:t>Es haftet immer mindestens ein Unternehmer für die ordnungsgemäße Erbringung aller im Vertrag inbegriffenen Reiseleistungen.</w:t>
            </w:r>
          </w:p>
          <w:p>
            <w:pPr>
              <w:tabs>
                <w:tab w:pos="567" w:val="left"/>
              </w:tabs>
              <w:ind w:left="567" w:hanging="567"/>
            </w:pPr>
            <w:r>
              <w:t>–</w:t>
            </w:r>
            <w:r>
              <w:tab/>
            </w:r>
            <w:r>
              <w:t>Die Reisenden erhalten eine Notruftelefonnummer oder Angaben zu einer Kontaktstelle, über die sie sich mit dem Reiseveranstalter oder dem Reisebüro in Verbindung setzen können.</w:t>
            </w:r>
          </w:p>
          <w:p>
            <w:pPr>
              <w:tabs>
                <w:tab w:pos="567" w:val="left"/>
              </w:tabs>
              <w:ind w:left="567" w:hanging="567"/>
            </w:pPr>
            <w:r>
              <w:t>–</w:t>
            </w:r>
            <w:r>
              <w:tab/>
            </w:r>
            <w:r>
              <w:t>Die Reisenden können die Pauschalreise – innerhalb einer angemessenen Frist und unter Umständen unter zusätzlichen Kosten – auf eine andere Person übertragen.</w:t>
            </w:r>
          </w:p>
          <w:p>
            <w:pPr>
              <w:tabs>
                <w:tab w:pos="567" w:val="left"/>
              </w:tabs>
              <w:ind w:left="567" w:hanging="567"/>
            </w:pPr>
            <w:r>
              <w:t>–</w:t>
            </w:r>
            <w:r>
              <w:tab/>
            </w:r>
            <w:r>
              <w:t>Der Preis der Pauschalreise darf nur erhöht werden, wenn bestimmte Kosten (zum Beispiel Treibstoffpreise) sich erhöhen und wenn dies im Vertrag ausdrücklich vorgesehen ist, und in jedem Fall bis spätestens 20 Tage vor Beginn der Pauschalreise. Wenn die Preiserhöhung 8 % des Pauschalreisepreises übersteigt, kann der Reisende vom Vertrag zurücktreten. Wenn sich ein Reiseveranstalter das Recht auf eine Preiserhöhung vorbehält, hat der Reisende das Recht auf eine Preissenkung, wenn die entsprechenden Kosten sich verringern.</w:t>
            </w:r>
          </w:p>
          <w:p>
            <w:pPr>
              <w:tabs>
                <w:tab w:pos="567" w:val="left"/>
              </w:tabs>
              <w:ind w:left="567" w:hanging="567"/>
            </w:pPr>
            <w:r>
              <w:t>–</w:t>
            </w:r>
            <w:r>
              <w:tab/>
            </w:r>
            <w:r>
              <w:t>Die Reisenden können ohne Zahlung einer Rücktrittsgebühr vom Vertrag zurücktreten und erhalten eine volle Erstattung aller Zahlungen, wenn einer der wesentlichen Bestandteile der Pauschalreise mit Ausnahme des Preises erheblich geändert wird. Wenn der für die Pauschalreise verantwortliche Unternehmer die Pauschalreise vor Beginn der Pauschalreise absagt, haben die Reisenden Anspruch auf eine Kostenerstattung und unter Umständen auf eine Entschädigung.</w:t>
            </w:r>
          </w:p>
          <w:p>
            <w:pPr>
              <w:tabs>
                <w:tab w:pos="567" w:val="left"/>
              </w:tabs>
              <w:ind w:left="567" w:hanging="567"/>
            </w:pPr>
            <w:r>
              <w:t>–</w:t>
            </w:r>
            <w:r>
              <w:tab/>
            </w:r>
            <w:r>
              <w:t>Die Reisenden können bei Eintritt außergewöhnlicher Umstände vor Beginn der Pauschalreise ohne Zahlung einer Rücktrittsgebühr vom Vertrag zurücktreten, beispielsweise wenn am Bestimmungsort schwerwiegende Sicherheitsprobleme bestehen, die die Pauschalreise voraussichtlich beeinträchtigen.</w:t>
            </w:r>
          </w:p>
          <w:p>
            <w:pPr>
              <w:tabs>
                <w:tab w:pos="567" w:val="left"/>
              </w:tabs>
              <w:ind w:left="567" w:hanging="567"/>
            </w:pPr>
            <w:r>
              <w:t>–</w:t>
            </w:r>
            <w:r>
              <w:tab/>
            </w:r>
            <w:r>
              <w:t>Zudem können die Reisenden jederzeit vor Beginn der Pauschalreise gegen Zahlung einer angemessenen und vertretbaren Rücktrittsgebühr vom Vertrag zurücktreten.</w:t>
            </w:r>
          </w:p>
          <w:p>
            <w:pPr>
              <w:tabs>
                <w:tab w:pos="567" w:val="left"/>
              </w:tabs>
              <w:ind w:left="567" w:hanging="567"/>
            </w:pPr>
            <w:r>
              <w:t>–</w:t>
            </w:r>
            <w:r>
              <w:tab/>
            </w:r>
            <w:r>
              <w:t>Können nach Beginn der Pauschalreise wesentliche Bestandteile der Pauschalreise nicht vereinbarungsgemäß durchgeführt werden, so sind dem Reisenden angemessene andere Vorkehrungen ohne Mehrkosten anzubieten. Der Reisende kann ohne Zahlung einer Rücktrittsgebühr vom Vertrag zurücktreten (in der Bundesrepublik Deutschland heißt dieses Recht „Kündigung“), wenn Leistungen nicht gemäß dem Vertrag erbracht werden und dies erhebliche Auswirkungen auf die Erbringung der vertraglichen Pauschalreiseleistungen hat und der Reiseveranstalter es versäumt, Abhilfe zu schaffen.</w:t>
            </w:r>
          </w:p>
          <w:p>
            <w:pPr>
              <w:tabs>
                <w:tab w:pos="567" w:val="left"/>
              </w:tabs>
              <w:ind w:left="567" w:hanging="567"/>
            </w:pPr>
            <w:r>
              <w:t>–</w:t>
            </w:r>
            <w:r>
              <w:tab/>
            </w:r>
            <w:r>
              <w:t>Der Reisende hat Anspruch auf eine Preisminderung und/oder Schadenersatz, wenn die Reiseleistungen nicht oder nicht ordnungsgemäß erbracht werden.</w:t>
            </w:r>
          </w:p>
          <w:p>
            <w:pPr>
              <w:tabs>
                <w:tab w:pos="567" w:val="left"/>
              </w:tabs>
              <w:ind w:left="567" w:hanging="567"/>
            </w:pPr>
            <w:r>
              <w:t>–</w:t>
            </w:r>
            <w:r>
              <w:tab/>
            </w:r>
            <w:r>
              <w:t>Der Reiseveranstalter leistet dem Reisenden Beistand, wenn dieser sich in Schwierigkeiten befindet.</w:t>
            </w:r>
          </w:p>
          <w:p>
            <w:pPr>
              <w:tabs>
                <w:tab w:pos="567" w:val="left"/>
              </w:tabs>
              <w:ind w:left="567" w:hanging="567"/>
            </w:pPr>
            <w:r>
              <w:t>–</w:t>
            </w:r>
            <w:r>
              <w:tab/>
            </w:r>
            <w:r>
              <w:t xml:space="preserve">Im Fall der Insolvenz des Reiseveranstalters oder – in einigen Mitgliedstaaten – des Reisevermittlers werden Zahlungen zurückerstattet. Tritt die Insolvenz des Reiseveranstalters oder, sofern einschlägig, des Reisevermittlers nach Beginn der Pauschalreise ein und ist die Beförderung Bestandteil der Pauschalreise, so wird die Rückbeförderung der Reisenden gewährleistet. </w:t>
            </w:r>
            <w:r>
              <w:t xml:space="preserve">  hat eine Insolvenzabsicherung mit </w:t>
            </w:r>
            <w:r>
              <w:t xml:space="preserve">  abgeschlossen.* Die Reisenden können diese Einrichtung oder gegebenenfalls die zuständige Behörde ( </w:t>
            </w:r>
            <w:r>
              <w:t xml:space="preserve">  ) kontaktieren, wenn ihnen Leistungen aufgrund der Insolvenz von </w:t>
            </w:r>
            <w:r>
              <w:t xml:space="preserve">  verweigert werden.*</w:t>
            </w:r>
          </w:p>
        </w:tc>
      </w:tr>
      <w:tr>
        <w:trPr>
          <w:cantSplit/>
        </w:trPr>
        <w:tc>
          <w:tcPr>
            <w:tcW w:type="dxa" w:w="9406"/>
          </w:tcPr>
          <w:p/>
        </w:tc>
      </w:tr>
    </w:tbl>
    <w:p>
      <w:pPr>
        <w:spacing w:after="0"/>
      </w:pPr>
    </w:p>
    <w:p>
      <w:r>
        <w:rPr>
          <w:b/>
        </w:rPr>
        <w:t>Gestaltungshinweise:</w:t>
      </w:r>
    </w:p>
    <w:p>
      <w:pPr>
        <w:ind w:left="567"/>
      </w:pPr>
      <w:r>
        <w:t>Bei Tagesreisen, deren Reisepreis 500 Euro übersteigt, ist anstelle des vorangegangenen Satzes der folgende Satz einzufügen: „Bei der Ihnen angebotenen Kombination von Reiseleistungen handelt es sich um eine Tagesreise, die nach den Vorschriften des Bürgerlichen Gesetzbuchs wie eine Pauschalreise im Sinne der Richtlinie (EU) 2015/2302 behandelt wird.“</w:t>
      </w:r>
    </w:p>
    <w:p>
      <w:pPr>
        <w:ind w:left="567"/>
      </w:pPr>
      <w:r>
        <w:t>Hier ist die Firma/der Name des Reiseveranstalters einzufügen.</w:t>
      </w:r>
    </w:p>
    <w:p>
      <w:pPr>
        <w:ind w:left="567"/>
      </w:pPr>
      <w:r>
        <w:t xml:space="preserve">Werden die Informationen auf einer Webseite für den elektronischen Geschäftsverkehr zur Verfügung gestellt, ist hier die mit den Wörtern „Weiterführende Informationen zu Ihren wichtigsten Rechten nach der Richtlinie (EU) 2015/2302“ beschriftete Hyperlink-Schaltfläche einzufügen, nach deren Betätigung die Informationen zu </w:t>
      </w:r>
      <w:r>
        <w:t xml:space="preserve">  zur Verfügung gestellt werden.</w:t>
      </w:r>
    </w:p>
    <w:p>
      <w:pPr>
        <w:ind w:left="567"/>
      </w:pPr>
      <w:r>
        <w:t xml:space="preserve">Die Informationen über die wichtigsten Rechte nach der Richtlinie (EU) 2015/2302 werden entweder nach Betätigung der Hyperlink-Schaltfläche zu </w:t>
      </w:r>
      <w:r>
        <w:t xml:space="preserve">  zur Verfügung gestellt oder, wenn die Informationen nicht auf einer Webseite für den elektronischen Geschäftsverkehr zur Verfügung gestellt werden, den Informationen im ersten Kasten unmittelbar unterhalb des Kastens angefügt.</w:t>
      </w:r>
    </w:p>
    <w:p>
      <w:pPr>
        <w:ind w:left="567"/>
      </w:pPr>
      <w:r>
        <w:t>Hier ist einzufügen:</w:t>
      </w:r>
    </w:p>
    <w:p>
      <w:pPr>
        <w:tabs>
          <w:tab w:pos="1134" w:val="left"/>
        </w:tabs>
        <w:ind w:left="1134" w:hanging="567"/>
      </w:pPr>
      <w:r>
        <w:t>a)</w:t>
      </w:r>
      <w:r>
        <w:tab/>
      </w:r>
      <w:r>
        <w:t>wenn ein Fall des § 651s des Bürgerlichen Gesetzbuchs vorliegt: Name der Einrichtung, die den Insolvenzschutz bietet,</w:t>
      </w:r>
    </w:p>
    <w:p>
      <w:pPr>
        <w:tabs>
          <w:tab w:pos="1134" w:val="left"/>
        </w:tabs>
        <w:ind w:left="1134" w:hanging="567"/>
      </w:pPr>
      <w:r>
        <w:t>b)</w:t>
      </w:r>
      <w:r>
        <w:tab/>
      </w:r>
      <w:r>
        <w:t>in allen anderen Fällen: Name des Absicherers (§ 651r Absatz 3 des Bürgerlichen Gesetzbuchs).</w:t>
      </w:r>
    </w:p>
    <w:p>
      <w:pPr>
        <w:ind w:left="567"/>
      </w:pPr>
      <w:r>
        <w:t>Hier sind einzufügen:</w:t>
      </w:r>
    </w:p>
    <w:p>
      <w:pPr>
        <w:tabs>
          <w:tab w:pos="1134" w:val="left"/>
        </w:tabs>
        <w:ind w:left="1134" w:hanging="567"/>
      </w:pPr>
      <w:r>
        <w:t>a)</w:t>
      </w:r>
      <w:r>
        <w:tab/>
      </w:r>
      <w:r>
        <w:t>wenn ein Fall des § 651s des Bürgerlichen Gesetzbuchs vorliegt: Kontaktdaten der Einrichtung, die den Insolvenzschutz bietet, und gegebenenfalls Name und Kontaktdaten der zuständigen Behörde, jeweils einschließlich der Anschrift des Ortes, an dem sie ihren Sitz hat, der E-Mail-Adresse und der Telefonnummer,</w:t>
      </w:r>
    </w:p>
    <w:p>
      <w:pPr>
        <w:tabs>
          <w:tab w:pos="1134" w:val="left"/>
        </w:tabs>
        <w:ind w:left="1134" w:hanging="567"/>
      </w:pPr>
      <w:r>
        <w:t>b)</w:t>
      </w:r>
      <w:r>
        <w:tab/>
      </w:r>
      <w:r>
        <w:t>in allen anderen Fällen: Kontaktdaten des Absicherers (§ 651r Absatz 3 des Bürgerlichen Gesetzbuchs) einschließlich der Anschrift des Ortes, an dem er niedergelassen ist, der E-Mail-Adresse und der Telefonnummer.</w:t>
      </w:r>
    </w:p>
    <w:p>
      <w:pPr>
        <w:ind w:left="567"/>
      </w:pPr>
      <w:r>
        <w:t>Hier ist einzufügen:</w:t>
      </w:r>
    </w:p>
    <w:p>
      <w:pPr>
        <w:tabs>
          <w:tab w:pos="1134" w:val="left"/>
        </w:tabs>
        <w:ind w:left="1134" w:hanging="567"/>
      </w:pPr>
      <w:r>
        <w:t>a)</w:t>
      </w:r>
      <w:r>
        <w:tab/>
      </w:r>
      <w:r>
        <w:t>wenn die Informationen auf einer Webseite für den elektronischen Geschäftsverkehr zur Verfügung gestellt werden: die mit den Wörtern „Richtlinie (EU) 2015/2302 in der in das nationale Recht umgesetzten Form“ beschriftete Hyperlink-Schaltfläche, nach deren Betätigung eine Weiterleitung auf die Webseite www.umsetzung-richtlinie-eu2015-2302.de erfolgt,</w:t>
      </w:r>
    </w:p>
    <w:p>
      <w:pPr>
        <w:tabs>
          <w:tab w:pos="1134" w:val="left"/>
        </w:tabs>
        <w:ind w:left="1134" w:hanging="567"/>
      </w:pPr>
      <w:r>
        <w:t>b)</w:t>
      </w:r>
      <w:r>
        <w:tab/>
      </w:r>
      <w:r>
        <w:t>wenn die Informationen nicht auf einer Webseite für den elektronischen Geschäftsverkehr zur Verfügung gestellt werden: „Webseite, auf der die Richtlinie (EU) 2015/2302 in der in das nationale Recht umgesetzten Form zu finden ist: www.umsetzung-richtlinie-eu2015-2302.de“.</w:t>
      </w:r>
    </w:p>
    <w:p>
      <w:pPr>
        <w:pStyle w:val="Fußnote"/>
      </w:pPr>
      <w:bookmarkStart w:id="511" w:name="f509_1"/>
      <w:r>
        <w:rPr>
          <w:rStyle w:val="Zusatz"/>
          <w:b/>
        </w:rPr>
        <w:t xml:space="preserve">Fußnote 1: </w:t>
      </w:r>
      <w:r>
        <w:t>Besteht gemäß § 651r Absatz 1 des Bürgerlichen Gesetzbuchs keine Verpflichtung des Reiseveranstalters zur Insolvenzsicherung, weil der Reiseveranstalter vor Beendigung der Pauschalreise keine Zahlungen des Reisenden auf den Reisepreis annimmt und der Vertrag keine Rückbeförderung des Reisenden umfasst, entfallen diese Sätze.</w:t>
      </w:r>
      <w:bookmarkEnd w:id="511"/>
    </w:p>
    <w:p>
      <w:pPr>
        <w:pStyle w:val="Heading3"/>
      </w:pPr>
      <w:bookmarkStart w:id="512" w:name="b510"/>
      <w:r>
        <w:t>Anlage 12 (zu Artikel 250 § 2 Absatz 2)Muster für das Formblatt zur Unterrichtung des Reisenden bei Verträgen über Gastschulaufenthalte nach § 651u des Bürgerlichen Gesetzbuchs</w:t>
      </w:r>
      <w:bookmarkEnd w:id="512"/>
    </w:p>
    <w:p>
      <w:r>
        <w:rPr>
          <w:color w:val="404040"/>
          <w:sz w:val="21"/>
        </w:rPr>
        <w:t>(Fundstelle: BGBl. I 2017, 2411 — 2412;</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12"/>
      </w:tblPr>
      <w:tblGrid>
        <w:gridCol w:w="9406"/>
      </w:tblGrid>
      <w:tr>
        <w:trPr>
          <w:cantSplit/>
        </w:trPr>
        <w:tc>
          <w:tcPr>
            <w:tcW w:type="dxa" w:w="9406"/>
          </w:tcPr>
          <w:p>
            <w:r>
              <w:t>Auf den Ihnen angebotenen Vertrag finden die Vorschriften des Bürgerlichen Gesetzbuchs über Pauschalreisen entsprechende Anwendung.</w:t>
            </w:r>
          </w:p>
        </w:tc>
      </w:tr>
      <w:tr>
        <w:trPr>
          <w:cantSplit/>
        </w:trPr>
        <w:tc>
          <w:tcPr>
            <w:tcW w:type="dxa" w:w="9406"/>
          </w:tcPr>
          <w:p>
            <w:r>
              <w:t>Daher können Sie Rechte in Anspruch nehmen, die für Pauschalreisen gelten. Bei einem Gastschulaufenthalt gelten darüber hinaus die besonderen Bestimmungen des § 651u Absatz 2 bis 4 des Bürgerlichen Gesetzbuchs, insbesondere für den Rücktritt vom Vertrag vor Reisebeginn und für die Kündigung.</w:t>
            </w:r>
          </w:p>
        </w:tc>
      </w:tr>
      <w:tr>
        <w:trPr>
          <w:cantSplit/>
        </w:trPr>
        <w:tc>
          <w:tcPr>
            <w:tcW w:type="dxa" w:w="9406"/>
          </w:tcPr>
          <w:p>
            <w:r>
              <w:t xml:space="preserve">Das Unternehmen </w:t>
            </w:r>
            <w:r>
              <w:t xml:space="preserve">  verfügt über die gesetzlich vorgeschriebene Absicherung für den Fall seiner Insolvenz.</w:t>
            </w:r>
            <w:hyperlink w:anchor="f510_1" w:history="1">
              <w:r>
                <w:rPr>
                  <w:rStyle w:val="Fussnotenmarke"/>
                  <w:u w:val="single"/>
                  <w:color w:val="0A3A8C"/>
                </w:rPr>
                <w:t>1</w:t>
              </w:r>
            </w:hyperlink>
            <w:r>
              <w:t xml:space="preserve"> Die Absicherung umfasst die Rückzahlung Ihrer Zahlungen und, falls der Vertrag die Beförderung umfasst, die Sicherstellung der Rückbeförderung.*</w:t>
            </w:r>
          </w:p>
        </w:tc>
      </w:tr>
      <w:tr>
        <w:trPr>
          <w:cantSplit/>
        </w:trPr>
        <w:tc>
          <w:tcPr>
            <w:tcW w:type="dxa" w:w="9406"/>
          </w:tcPr>
          <w:p/>
        </w:tc>
      </w:tr>
    </w:tbl>
    <w:p>
      <w:pPr>
        <w:spacing w:after="0"/>
      </w:pPr>
    </w:p>
    <w:tbl>
      <w:tblPr>
        <w:tblStyle w:val="TableGrid"/>
        <w:tblW w:type="pct" w:w="5000"/>
        <w:tblLook w:firstColumn="1" w:firstRow="1" w:lastColumn="0" w:lastRow="0" w:noHBand="0" w:noVBand="1" w:val="04A0"/>
        <w:tblCaption w:val="Tabelle 2 zu Anlage 12"/>
      </w:tblPr>
      <w:tblGrid>
        <w:gridCol w:w="9406"/>
      </w:tblGrid>
      <w:tr>
        <w:trPr>
          <w:cantSplit/>
        </w:trPr>
        <w:tc>
          <w:tcPr>
            <w:tcW w:type="dxa" w:w="9406"/>
          </w:tcPr>
          <w:p>
            <w:r>
              <w:t xml:space="preserve">  Ihre wichtigsten Rechte nach den Vorschriften des Bürgerlichen Gesetzbuchs</w:t>
            </w:r>
          </w:p>
          <w:p>
            <w:pPr>
              <w:tabs>
                <w:tab w:pos="567" w:val="left"/>
              </w:tabs>
              <w:ind w:left="567" w:hanging="567"/>
            </w:pPr>
            <w:r>
              <w:t>–</w:t>
            </w:r>
            <w:r>
              <w:tab/>
            </w:r>
            <w:r>
              <w:t>Die Reisenden, d. h. in aller Regel nicht die Gastschüler selbst, sondern die Vertragspartner des Reiseveranstalters, erhalten alle wesentlichen Informationen über die Pauschalreise vor Abschluss des Vertrags.</w:t>
            </w:r>
          </w:p>
          <w:p>
            <w:pPr>
              <w:tabs>
                <w:tab w:pos="567" w:val="left"/>
              </w:tabs>
              <w:ind w:left="567" w:hanging="567"/>
            </w:pPr>
            <w:r>
              <w:t>–</w:t>
            </w:r>
            <w:r>
              <w:tab/>
            </w:r>
            <w:r>
              <w:t>Es haftet immer mindestens ein Unternehmer für die ordnungsgemäße Erbringung der von dem Vertrag umfassten Reiseleistungen.</w:t>
            </w:r>
          </w:p>
          <w:p>
            <w:pPr>
              <w:tabs>
                <w:tab w:pos="567" w:val="left"/>
              </w:tabs>
              <w:ind w:left="567" w:hanging="567"/>
            </w:pPr>
            <w:r>
              <w:t>–</w:t>
            </w:r>
            <w:r>
              <w:tab/>
            </w:r>
            <w:r>
              <w:t>Die Reisenden erhalten eine Notruftelefonnummer oder Angaben zu einer Kontaktstelle, über die sie sich mit dem Reiseveranstalter oder dem Reisebüro in Verbindung setzen können.</w:t>
            </w:r>
          </w:p>
          <w:p>
            <w:pPr>
              <w:tabs>
                <w:tab w:pos="567" w:val="left"/>
              </w:tabs>
              <w:ind w:left="567" w:hanging="567"/>
            </w:pPr>
            <w:r>
              <w:t>–</w:t>
            </w:r>
            <w:r>
              <w:tab/>
            </w:r>
            <w:r>
              <w:t>Die Reisenden können die Pauschalreise – innerhalb einer angemessenen Frist und unter Umständen unter zusätzlichen Kosten – auf eine andere Person übertragen.</w:t>
            </w:r>
          </w:p>
          <w:p>
            <w:pPr>
              <w:tabs>
                <w:tab w:pos="567" w:val="left"/>
              </w:tabs>
              <w:ind w:left="567" w:hanging="567"/>
            </w:pPr>
            <w:r>
              <w:t>–</w:t>
            </w:r>
            <w:r>
              <w:tab/>
            </w:r>
            <w:r>
              <w:t>Der Reisepreis darf nur erhöht werden, wenn bestimmte Kosten (zum Beispiel Treibstoffpreise) sich erhöhen und die Preiserhöhung im Vertrag ausdrücklich vorgesehen ist. Eine Preiserhöhung ist nur wirksam, wenn die Unterrichtung des Reisenden nicht später als 20 Tage vor Reisebeginn erfolgt. Übersteigt die Preiserhöhung 8 % des Reisepreises, kann der Reisende vom Vertrag zurücktreten. Wenn sich ein Reiseveranstalter das Recht auf eine Preiserhöhung vorbehält, hat der Reisende das Recht auf eine Preissenkung, wenn die entsprechenden Kosten sich verringern.</w:t>
            </w:r>
          </w:p>
          <w:p>
            <w:pPr>
              <w:tabs>
                <w:tab w:pos="567" w:val="left"/>
              </w:tabs>
              <w:ind w:left="567" w:hanging="567"/>
            </w:pPr>
            <w:r>
              <w:t>–</w:t>
            </w:r>
            <w:r>
              <w:tab/>
            </w:r>
            <w:r>
              <w:t>Die Reisenden können ohne Zahlung einer Rücktrittsgebühr vom Vertrag zurücktreten und erhalten eine volle Erstattung aller Zahlungen, wenn einer der wesentlichen Bestandteile der Pauschalreise mit Ausnahme des Preises erheblich geändert wird. Wenn der Reiseveranstalter die Pauschalreise vor Reisebeginn absagt, haben die Reisenden Anspruch auf eine Kostenerstattung und unter Umständen auf eine Entschädigung.</w:t>
            </w:r>
          </w:p>
          <w:p>
            <w:pPr>
              <w:tabs>
                <w:tab w:pos="567" w:val="left"/>
              </w:tabs>
              <w:ind w:left="567" w:hanging="567"/>
            </w:pPr>
            <w:r>
              <w:t>–</w:t>
            </w:r>
            <w:r>
              <w:tab/>
            </w:r>
            <w:r>
              <w:t>Die Reisenden können bei Eintritt außergewöhnlicher Umstände vor Reisebeginn ohne Zahlung einer Rücktrittsgebühr vom Vertrag zurücktreten, beispielsweise wenn am Bestimmungsort schwerwiegende Sicherheitsprobleme bestehen, die die Pauschalreise voraussichtlich beeinträchtigen.</w:t>
            </w:r>
          </w:p>
          <w:p>
            <w:pPr>
              <w:tabs>
                <w:tab w:pos="567" w:val="left"/>
              </w:tabs>
              <w:ind w:left="567" w:hanging="567"/>
            </w:pPr>
            <w:r>
              <w:t>–</w:t>
            </w:r>
            <w:r>
              <w:tab/>
            </w:r>
            <w:r>
              <w:t>Zudem können die Reisenden vor Reisebeginn jederzeit, d. h. ohne weitere Voraussetzungen, vom Vertrag zurücktreten, gegebenenfalls gegen Zahlung einer angemessenen Rücktrittsgebühr.</w:t>
            </w:r>
          </w:p>
          <w:p>
            <w:pPr>
              <w:tabs>
                <w:tab w:pos="567" w:val="left"/>
              </w:tabs>
              <w:ind w:left="567" w:hanging="567"/>
            </w:pPr>
            <w:r>
              <w:t>–</w:t>
            </w:r>
            <w:r>
              <w:tab/>
            </w:r>
            <w:r>
              <w:t>Der Reisende kann den Vertrag bis zur Beendigung der Reise auch jederzeit kündigen. Der Reiseveranstalter ist dann berechtigt, den vereinbarten Reisepreis abzüglich ersparter Aufwendungen zu verlangen. Der Reiseveranstalter ist verpflichtet, die infolge der Kündigung notwendigen Maßnahmen zu treffen. Er hat insbesondere, falls der Vertrag die Beförderung des Gastschülers umfasst, für dessen Rückbeförderung zu sorgen. Die Mehrkosten trägt in diesem Fall der Reisende.</w:t>
            </w:r>
          </w:p>
          <w:p>
            <w:pPr>
              <w:tabs>
                <w:tab w:pos="567" w:val="left"/>
              </w:tabs>
              <w:ind w:left="567" w:hanging="567"/>
            </w:pPr>
            <w:r>
              <w:t>–</w:t>
            </w:r>
            <w:r>
              <w:tab/>
            </w:r>
            <w:r>
              <w:t>Kann nach Reisebeginn ein erheblicher Teil der Reiseleistungen nicht vereinbarungsgemäß durchgeführt werden, so sind dem Reisenden ohne Mehrkosten angemessene Ersatzleistungen anzubieten. Der Reisende kann den Vertrag kostenfrei kündigen, wenn Leistungen nicht gemäß dem Vertrag erbracht werden, die Pauschalreise hierdurch erheblich beeinträchtigt wird und der Reiseveranstalter es versäumt, Abhilfe zu schaffen. In diesem Fall trägt der Reiseveranstalter die Mehrkosten für eine gegebenenfalls zu veranlassende Rückbeförderung des Gastschülers.</w:t>
            </w:r>
          </w:p>
          <w:p>
            <w:pPr>
              <w:tabs>
                <w:tab w:pos="567" w:val="left"/>
              </w:tabs>
              <w:ind w:left="567" w:hanging="567"/>
            </w:pPr>
            <w:r>
              <w:t>–</w:t>
            </w:r>
            <w:r>
              <w:tab/>
            </w:r>
            <w:r>
              <w:t>Der Reisende hat Anspruch auf eine Preisminderung und/oder Schadenersatz, wenn die Leistungen nicht oder nicht ordnungsgemäß erbracht werden.</w:t>
            </w:r>
          </w:p>
          <w:p>
            <w:pPr>
              <w:tabs>
                <w:tab w:pos="567" w:val="left"/>
              </w:tabs>
              <w:ind w:left="567" w:hanging="567"/>
            </w:pPr>
            <w:r>
              <w:t>–</w:t>
            </w:r>
            <w:r>
              <w:tab/>
            </w:r>
            <w:r>
              <w:t>Der Reiseveranstalter leistet dem Reisenden bzw. dem Gastschüler Beistand, wenn dieser sich in Schwierigkeiten befindet.</w:t>
            </w:r>
          </w:p>
          <w:p>
            <w:pPr>
              <w:tabs>
                <w:tab w:pos="567" w:val="left"/>
              </w:tabs>
              <w:ind w:left="567" w:hanging="567"/>
            </w:pPr>
            <w:r>
              <w:t>–</w:t>
            </w:r>
            <w:r>
              <w:tab/>
            </w:r>
            <w:r>
              <w:t xml:space="preserve">Im Fall der Insolvenz des Reiseveranstalters werden Zahlungen zurückerstattet. Tritt die Insolvenz des Reiseveranstalters nach Reisebeginn ein und ist die Beförderung Bestandteil der Pauschalreise, so wird die Rückbeförderung des Gastschülers gewährleistet.  </w:t>
            </w:r>
            <w:r>
              <w:t xml:space="preserve">   hat eine Insolvenzabsicherung mit  </w:t>
            </w:r>
            <w:r>
              <w:t xml:space="preserve">   abgeschlossen.* Die Reisenden können diese Einrichtung oder gegebenenfalls die zuständige Behörde ( </w:t>
            </w:r>
            <w:r>
              <w:t xml:space="preserve"> ) kontaktieren, wenn ihnen Leistungen aufgrund der Insolvenz von </w:t>
            </w:r>
            <w:r>
              <w:t xml:space="preserve">  verweigert werden.*</w:t>
            </w:r>
          </w:p>
        </w:tc>
      </w:tr>
      <w:tr>
        <w:trPr>
          <w:cantSplit/>
        </w:trPr>
        <w:tc>
          <w:tcPr>
            <w:tcW w:type="dxa" w:w="9406"/>
          </w:tcPr>
          <w:p/>
        </w:tc>
      </w:tr>
    </w:tbl>
    <w:p>
      <w:pPr>
        <w:spacing w:after="0"/>
      </w:pPr>
    </w:p>
    <w:p>
      <w:r>
        <w:rPr>
          <w:b/>
        </w:rPr>
        <w:t>Gestaltungshinweise:</w:t>
      </w:r>
    </w:p>
    <w:p>
      <w:pPr>
        <w:ind w:left="567"/>
      </w:pPr>
      <w:r>
        <w:t>Hier ist die Firma/der Name des Reiseveranstalters einzufügen.</w:t>
      </w:r>
    </w:p>
    <w:p>
      <w:pPr>
        <w:ind w:left="567"/>
      </w:pPr>
      <w:r>
        <w:t xml:space="preserve">Werden die Informationen auf einer Webseite für den elektronischen Geschäftsverkehr zur Verfügung gestellt, ist hier die mit den Wörtern „Weiterführende Informationen zu Ihren wichtigsten Rechten nach den Vorschriften des Bürgerlichen Gesetzbuchs“ beschriftete Hyperlink-Schaltfläche einzufügen, nach deren Betätigung die Informationen zu </w:t>
      </w:r>
      <w:r>
        <w:t xml:space="preserve">  zur Verfügung gestellt werden.</w:t>
      </w:r>
    </w:p>
    <w:p>
      <w:pPr>
        <w:ind w:left="567"/>
      </w:pPr>
      <w:r>
        <w:t xml:space="preserve">Die Informationen über die wichtigsten Rechte werden entweder nach Betätigung der Hyperlink-Schaltfläche zu </w:t>
      </w:r>
      <w:r>
        <w:t xml:space="preserve">  zur Verfügung gestellt oder, wenn die Informationen nicht auf einer Webseite für den elektronischen Geschäftsverkehr zur Verfügung gestellt werden, den Informationen im ersten Kasten unmittelbar unterhalb des Kastens angefügt.</w:t>
      </w:r>
    </w:p>
    <w:p>
      <w:pPr>
        <w:ind w:left="567"/>
      </w:pPr>
      <w:r>
        <w:t>Hier ist einzufügen:</w:t>
      </w:r>
    </w:p>
    <w:p>
      <w:pPr>
        <w:tabs>
          <w:tab w:pos="1134" w:val="left"/>
        </w:tabs>
        <w:ind w:left="1134" w:hanging="567"/>
      </w:pPr>
      <w:r>
        <w:t>a)</w:t>
      </w:r>
      <w:r>
        <w:tab/>
      </w:r>
      <w:r>
        <w:t>wenn ein Fall des § 651s des Bürgerlichen Gesetzbuchs vorliegt: Name der Einrichtung, die den Insolvenzschutz bietet,</w:t>
      </w:r>
    </w:p>
    <w:p>
      <w:pPr>
        <w:tabs>
          <w:tab w:pos="1134" w:val="left"/>
        </w:tabs>
        <w:ind w:left="1134" w:hanging="567"/>
      </w:pPr>
      <w:r>
        <w:t>b)</w:t>
      </w:r>
      <w:r>
        <w:tab/>
      </w:r>
      <w:r>
        <w:t>in allen anderen Fällen: Name des Absicherers (§ 651r Absatz 3 des Bürgerlichen Gesetzbuchs).</w:t>
      </w:r>
    </w:p>
    <w:p>
      <w:pPr>
        <w:ind w:left="567"/>
      </w:pPr>
      <w:r>
        <w:t>Hier sind einzufügen:</w:t>
      </w:r>
    </w:p>
    <w:p>
      <w:pPr>
        <w:tabs>
          <w:tab w:pos="1134" w:val="left"/>
        </w:tabs>
        <w:ind w:left="1134" w:hanging="567"/>
      </w:pPr>
      <w:r>
        <w:t>a)</w:t>
      </w:r>
      <w:r>
        <w:tab/>
      </w:r>
      <w:r>
        <w:t>wenn ein Fall des § 651s des Bürgerlichen Gesetzbuchs vorliegt: Kontaktdaten der Einrichtung, die den Insolvenzschutz bietet, und gegebenenfalls Name und Kontaktdaten der zuständigen Behörde, jeweils einschließlich der Anschrift des Ortes, an dem sie ihren Sitz hat, der E-Mail-Adresse und der Telefonnummer,</w:t>
      </w:r>
    </w:p>
    <w:p>
      <w:pPr>
        <w:tabs>
          <w:tab w:pos="1134" w:val="left"/>
        </w:tabs>
        <w:ind w:left="1134" w:hanging="567"/>
      </w:pPr>
      <w:r>
        <w:t>b)</w:t>
      </w:r>
      <w:r>
        <w:tab/>
      </w:r>
      <w:r>
        <w:t>in allen anderen Fällen: Kontaktdaten des Absicherers (§ 651r Absatz 3 des Bürgerlichen Gesetzbuchs) einschließlich der Anschrift des Ortes, an dem er niedergelassen ist, der E-Mail-Adresse und der Telefonnummer.</w:t>
      </w:r>
    </w:p>
    <w:p>
      <w:pPr>
        <w:ind w:left="567"/>
      </w:pPr>
      <w:r>
        <w:t>Hier ist einzufügen:</w:t>
      </w:r>
    </w:p>
    <w:p>
      <w:pPr>
        <w:tabs>
          <w:tab w:pos="1134" w:val="left"/>
        </w:tabs>
        <w:ind w:left="1134" w:hanging="567"/>
      </w:pPr>
      <w:r>
        <w:t>a)</w:t>
      </w:r>
      <w:r>
        <w:tab/>
      </w:r>
      <w:r>
        <w:t>wenn die Informationen auf einer Webseite für den elektronischen Geschäftsverkehr zur Verfügung gestellt werden: die mit den Wörtern „Weiterleitung zur Gesamtausgabe des Bürgerlichen Gesetzbuchs“ beschriftete Hyperlink-Schaltfläche, nach deren Betätigung eine Weiterleitung auf die Webseite www.gesetze-im-internet.de/bgb erfolgt,</w:t>
      </w:r>
    </w:p>
    <w:p>
      <w:pPr>
        <w:tabs>
          <w:tab w:pos="1134" w:val="left"/>
        </w:tabs>
        <w:ind w:left="1134" w:hanging="567"/>
      </w:pPr>
      <w:r>
        <w:t>b)</w:t>
      </w:r>
      <w:r>
        <w:tab/>
      </w:r>
      <w:r>
        <w:t>wenn die Informationen nicht auf einer Webseite für den elektronischen Geschäftsverkehr zur Verfügung gestellt werden: „Webseite, auf welcher die Gesamtausgabe des Bürgerlichen Gesetzbuchs zu finden ist: www.gesetze-im-internet.de/bgb“.</w:t>
      </w:r>
    </w:p>
    <w:p>
      <w:pPr>
        <w:pStyle w:val="Fußnote"/>
      </w:pPr>
      <w:bookmarkStart w:id="513" w:name="f510_1"/>
      <w:r>
        <w:rPr>
          <w:rStyle w:val="Zusatz"/>
          <w:b/>
        </w:rPr>
        <w:t xml:space="preserve">Fußnote 1: </w:t>
      </w:r>
      <w:r>
        <w:t>Besteht gemäß § 651r Absatz 1 des Bürgerlichen Gesetzbuchs keine Verpflichtung des Reiseveranstalters zur Insolvenzsicherung, weil der Reiseveranstalter vor Beendigung der Pauschalreise keine Zahlungen des Reisenden auf den Reisepreis annimmt und der Vertrag keine Rückbeförderung des Reisenden umfasst, entfallen diese Sätze.</w:t>
      </w:r>
      <w:bookmarkEnd w:id="513"/>
    </w:p>
    <w:p>
      <w:pPr>
        <w:pStyle w:val="Heading3"/>
      </w:pPr>
      <w:bookmarkStart w:id="514" w:name="b511"/>
      <w:r>
        <w:t>Anlage 13 (zu Artikel 250 § 4)Muster für das Formblatt zur Unterrichtung des Reisenden bei einer Pauschalreise nach § 651c des Bürgerlichen Gesetzbuchs</w:t>
      </w:r>
      <w:bookmarkEnd w:id="514"/>
    </w:p>
    <w:p>
      <w:r>
        <w:rPr>
          <w:color w:val="404040"/>
          <w:sz w:val="21"/>
        </w:rPr>
        <w:t>(Fundstelle: BGBl. I 2017, 2413 — 2414;</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13"/>
      </w:tblPr>
      <w:tblGrid>
        <w:gridCol w:w="9406"/>
      </w:tblGrid>
      <w:tr>
        <w:trPr>
          <w:cantSplit/>
        </w:trPr>
        <w:tc>
          <w:tcPr>
            <w:tcW w:type="dxa" w:w="9406"/>
          </w:tcPr>
          <w:p>
            <w:r>
              <w:t xml:space="preserve">Wenn Sie innerhalb von 24 Stunden ab Eingang der Buchungsbestätigung des Unternehmens </w:t>
            </w:r>
            <w:r>
              <w:t xml:space="preserve">  einen Vertrag mit dem Unternehmen </w:t>
            </w:r>
            <w:r>
              <w:t xml:space="preserve">  schließen, handelt es sich bei den von </w:t>
            </w:r>
            <w:r>
              <w:t xml:space="preserve">  und </w:t>
            </w:r>
            <w:r>
              <w:t xml:space="preserve">  zu erbringenden Reiseleistungen um eine Pauschalreise im Sinne der Richtlinie (EU) 2015/2302.</w:t>
            </w:r>
          </w:p>
        </w:tc>
      </w:tr>
      <w:tr>
        <w:trPr>
          <w:cantSplit/>
        </w:trPr>
        <w:tc>
          <w:tcPr>
            <w:tcW w:type="dxa" w:w="9406"/>
          </w:tcPr>
          <w:p>
            <w:r>
              <w:t xml:space="preserve">Daher können Sie alle EU-Rechte in Anspruch nehmen, die für Pauschalreisen gelten. Das Unternehmen </w:t>
            </w:r>
            <w:r>
              <w:t xml:space="preserve">  trägt die volle Verantwortung für die ordnungsgemäße Durchführung der gesamten Pauschalreise.</w:t>
            </w:r>
          </w:p>
        </w:tc>
      </w:tr>
      <w:tr>
        <w:trPr>
          <w:cantSplit/>
        </w:trPr>
        <w:tc>
          <w:tcPr>
            <w:tcW w:type="dxa" w:w="9406"/>
          </w:tcPr>
          <w:p>
            <w:r>
              <w:t xml:space="preserve">Zudem verfügt das Unternehmen </w:t>
            </w:r>
            <w:r>
              <w:t xml:space="preserve">  über die gesetzlich vorgeschriebene Absicherung für die Rückzahlung Ihrer Zahlungen und, falls der Transport in der Pauschalreise inbegriffen ist, zur Sicherstellung Ihrer Rückbeförderung im Fall seiner Insolvenz.</w:t>
            </w:r>
            <w:hyperlink w:anchor="f511_1" w:history="1">
              <w:r>
                <w:rPr>
                  <w:rStyle w:val="Fussnotenmarke"/>
                  <w:u w:val="single"/>
                  <w:color w:val="0A3A8C"/>
                </w:rPr>
                <w:t>1</w:t>
              </w:r>
            </w:hyperlink>
          </w:p>
        </w:tc>
      </w:tr>
      <w:tr>
        <w:trPr>
          <w:cantSplit/>
        </w:trPr>
        <w:tc>
          <w:tcPr>
            <w:tcW w:type="dxa" w:w="9406"/>
          </w:tcPr>
          <w:p/>
        </w:tc>
      </w:tr>
    </w:tbl>
    <w:p>
      <w:pPr>
        <w:spacing w:after="0"/>
      </w:pPr>
    </w:p>
    <w:tbl>
      <w:tblPr>
        <w:tblStyle w:val="TableGrid"/>
        <w:tblW w:type="pct" w:w="5000"/>
        <w:tblLook w:firstColumn="1" w:firstRow="1" w:lastColumn="0" w:lastRow="0" w:noHBand="0" w:noVBand="1" w:val="04A0"/>
        <w:tblCaption w:val="Tabelle 2 zu Anlage 13"/>
      </w:tblPr>
      <w:tblGrid>
        <w:gridCol w:w="9406"/>
      </w:tblGrid>
      <w:tr>
        <w:trPr>
          <w:cantSplit/>
        </w:trPr>
        <w:tc>
          <w:tcPr>
            <w:tcW w:type="dxa" w:w="9406"/>
          </w:tcPr>
          <w:p>
            <w:r>
              <w:t xml:space="preserve">  Wichtigste Rechte nach der Richtlinie (EU) 2015/2302</w:t>
            </w:r>
          </w:p>
          <w:p>
            <w:pPr>
              <w:tabs>
                <w:tab w:pos="567" w:val="left"/>
              </w:tabs>
              <w:ind w:left="567" w:hanging="567"/>
            </w:pPr>
            <w:r>
              <w:t>–</w:t>
            </w:r>
            <w:r>
              <w:tab/>
            </w:r>
            <w:r>
              <w:t>Die Reisenden erhalten alle wesentlichen Informationen über die Pauschalreise vor Abschluss des Pauschalreisevertrags.</w:t>
            </w:r>
          </w:p>
          <w:p>
            <w:pPr>
              <w:tabs>
                <w:tab w:pos="567" w:val="left"/>
              </w:tabs>
              <w:ind w:left="567" w:hanging="567"/>
            </w:pPr>
            <w:r>
              <w:t>–</w:t>
            </w:r>
            <w:r>
              <w:tab/>
            </w:r>
            <w:r>
              <w:t>Es haftet immer mindestens ein Unternehmer für die ordnungsgemäße Erbringung aller im Vertrag inbegriffenen Reiseleistungen.</w:t>
            </w:r>
          </w:p>
          <w:p>
            <w:pPr>
              <w:tabs>
                <w:tab w:pos="567" w:val="left"/>
              </w:tabs>
              <w:ind w:left="567" w:hanging="567"/>
            </w:pPr>
            <w:r>
              <w:t>–</w:t>
            </w:r>
            <w:r>
              <w:tab/>
            </w:r>
            <w:r>
              <w:t>Die Reisenden erhalten eine Notruftelefonnummer oder Angaben zu einer Kontaktstelle, über die sie sich mit dem Reiseveranstalter oder dem Reisebüro in Verbindung setzen können.</w:t>
            </w:r>
          </w:p>
          <w:p>
            <w:pPr>
              <w:tabs>
                <w:tab w:pos="567" w:val="left"/>
              </w:tabs>
              <w:ind w:left="567" w:hanging="567"/>
            </w:pPr>
            <w:r>
              <w:t>–</w:t>
            </w:r>
            <w:r>
              <w:tab/>
            </w:r>
            <w:r>
              <w:t>Die Reisenden können die Pauschalreise – innerhalb einer angemessenen Frist und unter Umständen unter zusätzlichen Kosten – auf eine andere Person übertragen.</w:t>
            </w:r>
          </w:p>
          <w:p>
            <w:pPr>
              <w:tabs>
                <w:tab w:pos="567" w:val="left"/>
              </w:tabs>
              <w:ind w:left="567" w:hanging="567"/>
            </w:pPr>
            <w:r>
              <w:t>–</w:t>
            </w:r>
            <w:r>
              <w:tab/>
            </w:r>
            <w:r>
              <w:t>Der Preis der Pauschalreise darf nur erhöht werden, wenn bestimmte Kosten (zum Beispiel Treibstoffpreise) sich erhöhen und wenn dies im Vertrag ausdrücklich vorgesehen ist, und in jedem Fall bis spätestens 20 Tage vor Beginn der Pauschalreise. Wenn die Preiserhöhung 8 % des Pauschalreisepreises übersteigt, kann der Reisende vom Vertrag zurücktreten. Wenn sich ein Reiseveranstalter das Recht auf eine Preiserhöhung vorbehält, hat der Reisende das Recht auf eine Preissenkung, wenn die entsprechenden Kosten sich verringern.</w:t>
            </w:r>
          </w:p>
          <w:p>
            <w:pPr>
              <w:tabs>
                <w:tab w:pos="567" w:val="left"/>
              </w:tabs>
              <w:ind w:left="567" w:hanging="567"/>
            </w:pPr>
            <w:r>
              <w:t>–</w:t>
            </w:r>
            <w:r>
              <w:tab/>
            </w:r>
            <w:r>
              <w:t>Die Reisenden können ohne Zahlung einer Rücktrittsgebühr vom Vertrag zurücktreten und erhalten eine volle Erstattung aller Zahlungen, wenn einer der wesentlichen Bestandteile der Pauschalreise mit Ausnahme des Preises erheblich geändert wird. Wenn der für die Pauschalreise verantwortliche Unternehmer die Pauschalreise vor Beginn der Pauschalreise absagt, haben die Reisenden Anspruch auf eine Kostenerstattung und unter Umständen auf eine Entschädigung.</w:t>
            </w:r>
          </w:p>
          <w:p>
            <w:pPr>
              <w:tabs>
                <w:tab w:pos="567" w:val="left"/>
              </w:tabs>
              <w:ind w:left="567" w:hanging="567"/>
            </w:pPr>
            <w:r>
              <w:t>–</w:t>
            </w:r>
            <w:r>
              <w:tab/>
            </w:r>
            <w:r>
              <w:t>Die Reisenden können bei Eintritt außergewöhnlicher Umstände vor Beginn der Pauschalreise ohne Zahlung einer Rücktrittsgebühr vom Vertrag zurücktreten, beispielsweise wenn am Bestimmungsort schwerwiegende Sicherheitsprobleme bestehen, die die Pauschalreise voraussichtlich beeinträchtigen.</w:t>
            </w:r>
          </w:p>
          <w:p>
            <w:pPr>
              <w:tabs>
                <w:tab w:pos="567" w:val="left"/>
              </w:tabs>
              <w:ind w:left="567" w:hanging="567"/>
            </w:pPr>
            <w:r>
              <w:t>–</w:t>
            </w:r>
            <w:r>
              <w:tab/>
            </w:r>
            <w:r>
              <w:t>Zudem können die Reisenden jederzeit vor Beginn der Pauschalreise gegen Zahlung einer angemessenen und vertretbaren Rücktrittsgebühr vom Vertrag zurücktreten.</w:t>
            </w:r>
          </w:p>
          <w:p>
            <w:pPr>
              <w:tabs>
                <w:tab w:pos="567" w:val="left"/>
              </w:tabs>
              <w:ind w:left="567" w:hanging="567"/>
            </w:pPr>
            <w:r>
              <w:t>–</w:t>
            </w:r>
            <w:r>
              <w:tab/>
            </w:r>
            <w:r>
              <w:t>Können nach Beginn der Pauschalreise wesentliche Bestandteile der Pauschalreise nicht vereinbarungsgemäß durchgeführt werden, so sind dem Reisenden angemessene andere Vorkehrungen ohne Mehrkosten anzubieten. Der Reisende kann ohne Zahlung einer Rücktrittsgebühr vom Vertrag zurücktreten (in der Bundesrepublik Deutschland heißt dieses Recht „Kündigung“), wenn Leistungen nicht gemäß dem Vertrag erbracht werden und dies erhebliche Auswirkungen auf die Erbringung der vertraglichen Pauschalreiseleistungen hat und der Reiseveranstalter es versäumt, Abhilfe zu schaffen.</w:t>
            </w:r>
          </w:p>
          <w:p>
            <w:pPr>
              <w:tabs>
                <w:tab w:pos="567" w:val="left"/>
              </w:tabs>
              <w:ind w:left="567" w:hanging="567"/>
            </w:pPr>
            <w:r>
              <w:t>–</w:t>
            </w:r>
            <w:r>
              <w:tab/>
            </w:r>
            <w:r>
              <w:t>Der Reisende hat Anspruch auf eine Preisminderung und/oder Schadenersatz, wenn die Reiseleistungen nicht oder nicht ordnungsgemäß erbracht werden.</w:t>
            </w:r>
          </w:p>
          <w:p>
            <w:pPr>
              <w:tabs>
                <w:tab w:pos="567" w:val="left"/>
              </w:tabs>
              <w:ind w:left="567" w:hanging="567"/>
            </w:pPr>
            <w:r>
              <w:t>–</w:t>
            </w:r>
            <w:r>
              <w:tab/>
            </w:r>
            <w:r>
              <w:t>Der Reiseveranstalter leistet dem Reisenden Beistand, wenn dieser sich in Schwierigkeiten befindet.</w:t>
            </w:r>
          </w:p>
          <w:p>
            <w:pPr>
              <w:tabs>
                <w:tab w:pos="567" w:val="left"/>
              </w:tabs>
              <w:ind w:left="567" w:hanging="567"/>
            </w:pPr>
            <w:r>
              <w:t>–</w:t>
            </w:r>
            <w:r>
              <w:tab/>
            </w:r>
            <w:r>
              <w:t xml:space="preserve">Im Fall der Insolvenz des Reiseveranstalters oder – in einigen Mitgliedstaaten – des Reisevermittlers werden Zahlungen zurückerstattet. Tritt die Insolvenz des Reiseveranstalters oder, sofern einschlägig, des Reisevermittlers nach Beginn der Pauschalreise ein und ist die Beförderung Bestandteil der Pauschalreise, so wird die Rückbeförderung der Reisenden gewährleistet. </w:t>
            </w:r>
            <w:r>
              <w:t xml:space="preserve">  hat eine Insolvenzabsicherung mit </w:t>
            </w:r>
            <w:r>
              <w:t xml:space="preserve">  abgeschlossen.* Die Reisenden können diese Einrichtung oder gegebenenfalls die zuständige Behörde ( </w:t>
            </w:r>
            <w:r>
              <w:t xml:space="preserve"> ) kontaktieren, wenn ihnen Leistungen aufgrund der Insolvenz von </w:t>
            </w:r>
            <w:r>
              <w:t xml:space="preserve">  verweigert werden.*</w:t>
            </w:r>
          </w:p>
        </w:tc>
      </w:tr>
      <w:tr>
        <w:trPr>
          <w:cantSplit/>
        </w:trPr>
        <w:tc>
          <w:tcPr>
            <w:tcW w:type="dxa" w:w="9406"/>
          </w:tcPr>
          <w:p/>
        </w:tc>
      </w:tr>
    </w:tbl>
    <w:p>
      <w:pPr>
        <w:spacing w:after="0"/>
      </w:pPr>
    </w:p>
    <w:p>
      <w:r>
        <w:rPr>
          <w:b/>
        </w:rPr>
        <w:t>Gestaltungshinweise:</w:t>
      </w:r>
    </w:p>
    <w:p>
      <w:pPr>
        <w:ind w:left="567"/>
      </w:pPr>
      <w:r>
        <w:t>Hier ist die Firma/der Name des als Reiseveranstalter anzusehenden Unternehmers (§ 651c Absatz 1 des Bürgerlichen Gesetzbuchs) einzufügen.</w:t>
      </w:r>
    </w:p>
    <w:p>
      <w:pPr>
        <w:ind w:left="567"/>
      </w:pPr>
      <w:r>
        <w:t>Hier ist die Firma/der Name jedes anderen Unternehmers einzutragen, dem nach § 651c Absatz 1 Nummer 2 des Bürgerlichen Gesetzbuchs Daten übermittelt werden.</w:t>
      </w:r>
    </w:p>
    <w:p>
      <w:pPr>
        <w:ind w:left="567"/>
      </w:pPr>
      <w:r>
        <w:t xml:space="preserve">Hier ist die mit den Wörtern „Weiterführende Informationen zu Ihren wichtigsten Rechten nach der Richtlinie (EU) 2015/2302“ beschriftete Hyperlink-Schaltfläche einzufügen, nach deren Betätigung die Informationen zu </w:t>
      </w:r>
      <w:r>
        <w:t xml:space="preserve">  zur Verfügung gestellt werden.</w:t>
      </w:r>
    </w:p>
    <w:p>
      <w:pPr>
        <w:ind w:left="567"/>
      </w:pPr>
      <w:r>
        <w:t xml:space="preserve">Die Informationen über die wichtigsten Rechte nach der Richtlinie (EU) 2015/2302 werden nach Betätigung der Hyperlink-Schaltfläche zu </w:t>
      </w:r>
      <w:r>
        <w:t xml:space="preserve">  zur Verfügung gestellt.</w:t>
      </w:r>
    </w:p>
    <w:p>
      <w:pPr>
        <w:ind w:left="567"/>
      </w:pPr>
      <w:r>
        <w:t>Hier ist einzufügen:</w:t>
      </w:r>
    </w:p>
    <w:p>
      <w:pPr>
        <w:tabs>
          <w:tab w:pos="1134" w:val="left"/>
        </w:tabs>
        <w:ind w:left="1134" w:hanging="567"/>
      </w:pPr>
      <w:r>
        <w:t>a)</w:t>
      </w:r>
      <w:r>
        <w:tab/>
      </w:r>
      <w:r>
        <w:t>wenn ein Fall des § 651s des Bürgerlichen Gesetzbuchs vorliegt: Name der Einrichtung, die den Insolvenzschutz bietet,</w:t>
      </w:r>
    </w:p>
    <w:p>
      <w:pPr>
        <w:tabs>
          <w:tab w:pos="1134" w:val="left"/>
        </w:tabs>
        <w:ind w:left="1134" w:hanging="567"/>
      </w:pPr>
      <w:r>
        <w:t>b)</w:t>
      </w:r>
      <w:r>
        <w:tab/>
      </w:r>
      <w:r>
        <w:t>in allen anderen Fällen: Name des Absicherers (§ 651r Absatz 3 des Bürgerlichen Gesetzbuchs).</w:t>
      </w:r>
    </w:p>
    <w:p>
      <w:pPr>
        <w:ind w:left="567"/>
      </w:pPr>
      <w:r>
        <w:t>Hier sind einzufügen:</w:t>
      </w:r>
    </w:p>
    <w:p>
      <w:pPr>
        <w:tabs>
          <w:tab w:pos="1134" w:val="left"/>
        </w:tabs>
        <w:ind w:left="1134" w:hanging="567"/>
      </w:pPr>
      <w:r>
        <w:t>a)</w:t>
      </w:r>
      <w:r>
        <w:tab/>
      </w:r>
      <w:r>
        <w:t>wenn ein Fall des § 651s des Bürgerlichen Gesetzbuchs vorliegt: Kontaktdaten der Einrichtung, die den Insolvenzschutz bietet, und gegebenenfalls Name und Kontaktdaten der zuständigen Behörde, jeweils einschließlich der Anschrift des Ortes, an dem sie ihren Sitz hat, der E-Mail-Adresse und der Telefonnummer,</w:t>
      </w:r>
    </w:p>
    <w:p>
      <w:pPr>
        <w:tabs>
          <w:tab w:pos="1134" w:val="left"/>
        </w:tabs>
        <w:ind w:left="1134" w:hanging="567"/>
      </w:pPr>
      <w:r>
        <w:t>b)</w:t>
      </w:r>
      <w:r>
        <w:tab/>
      </w:r>
      <w:r>
        <w:t>in allen anderen Fällen: Kontaktdaten des Absicherers (§ 651r Absatz 3 des Bürgerlichen Gesetzbuchs) einschließlich der Anschrift des Ortes, an dem er niedergelassen ist, der E-Mail-Adresse und der Telefonnummer.</w:t>
      </w:r>
    </w:p>
    <w:p>
      <w:pPr>
        <w:ind w:left="567"/>
      </w:pPr>
      <w:r>
        <w:t>Hier ist die mit den Wörtern „Richtlinie (EU) 2015/2302 in der in das nationale Recht umgesetzten Form“ beschriftete Hyperlink-Schaltfläche einzufügen, nach deren Betätigung eine Weiterleitung auf die Webseite www.umsetzung-richtlinie-eu2015-2302.de erfolgt.</w:t>
      </w:r>
    </w:p>
    <w:p>
      <w:pPr>
        <w:pStyle w:val="Fußnote"/>
      </w:pPr>
      <w:bookmarkStart w:id="515" w:name="f511_1"/>
      <w:r>
        <w:rPr>
          <w:rStyle w:val="Zusatz"/>
          <w:b/>
        </w:rPr>
        <w:t xml:space="preserve">Fußnote 1: </w:t>
      </w:r>
      <w:r>
        <w:t>Besteht gemäß § 651r Absatz 1 des Bürgerlichen Gesetzbuchs keine Verpflichtung des als Reiseveranstalter anzusehenden Unternehmers zur Insolvenzsicherung, weil der als Reiseveranstalter anzusehende Unternehmer vor Beendigung der Pauschalreise keine Zahlungen des Reisenden auf den Reisepreis annimmt und der Vertrag keine Rückbeförderung des Reisenden umfasst, entfallen diese Sätze.</w:t>
      </w:r>
      <w:bookmarkEnd w:id="515"/>
    </w:p>
    <w:p>
      <w:pPr>
        <w:pStyle w:val="Heading3"/>
      </w:pPr>
      <w:bookmarkStart w:id="516" w:name="b512"/>
      <w:r>
        <w:t>Anlage 14 (zu Artikel 251 § 2 Satz 1 Nummer 1 Buchstabe a)Muster für das Formblatt zur Unterrichtung des Reisenden, wenn der Vermittler verbundener Reiseleistungen ein Beförderer ist, mit dem der Reisende einen die Rückbeförderung umfassenden Vertrag geschlossen hat, und die Vermittlung nach § 651w Absatz 1 Satz 1 Nummer 1 des Bürgerlichen Gesetzbuchs erfolgt</w:t>
      </w:r>
      <w:bookmarkEnd w:id="516"/>
    </w:p>
    <w:p>
      <w:r>
        <w:rPr>
          <w:color w:val="404040"/>
          <w:sz w:val="21"/>
        </w:rPr>
        <w:t>(Fundstelle: BGBl. I 2017, 2415;</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14"/>
      </w:tblPr>
      <w:tblGrid>
        <w:gridCol w:w="9406"/>
      </w:tblGrid>
      <w:tr>
        <w:trPr>
          <w:cantSplit/>
        </w:trPr>
        <w:tc>
          <w:tcPr>
            <w:tcW w:type="dxa" w:w="9406"/>
          </w:tcPr>
          <w:p>
            <w:r>
              <w:t xml:space="preserve">Bei Buchung zusätzlicher Reiseleistungen für Ihre Reise über </w:t>
            </w:r>
            <w:r>
              <w:t xml:space="preserve">  im Anschluss an die Auswahl und Zahlung einer Reiseleistung können Sie die nach der Richtlinie (EU) 2015/2302 für Pauschalreisen geltenden Rechte NICHT in Anspruch nehmen.</w:t>
            </w:r>
          </w:p>
        </w:tc>
      </w:tr>
      <w:tr>
        <w:trPr>
          <w:cantSplit/>
        </w:trPr>
        <w:tc>
          <w:tcPr>
            <w:tcW w:type="dxa" w:w="9406"/>
          </w:tcPr>
          <w:p>
            <w:r>
              <w:t xml:space="preserve">Daher ist  </w:t>
            </w:r>
            <w:r>
              <w:t xml:space="preserve">   nicht für die ordnungsgemäße Erbringung solcher zusätzlichen Reiseleistungen verantwortlich. Bei Problemen wenden Sie sich bitte an den jeweiligen Leistungserbringer.</w:t>
            </w:r>
          </w:p>
        </w:tc>
      </w:tr>
      <w:tr>
        <w:trPr>
          <w:cantSplit/>
        </w:trPr>
        <w:tc>
          <w:tcPr>
            <w:tcW w:type="dxa" w:w="9406"/>
          </w:tcPr>
          <w:p>
            <w:r>
              <w:t xml:space="preserve">Bei Buchung zusätzlicher Reiseleistungen bei demselben Besuch des Buchungsportals </w:t>
            </w:r>
            <w:r>
              <w:t xml:space="preserve">  werden diese Reiseleistungen jedoch Teil verbundener Reiseleistungen. In diesem Fall verfügt </w:t>
            </w:r>
            <w:r>
              <w:t xml:space="preserve">  über die nach dem EU-Recht vorgeschriebene Absicherung für die Erstattung Ihrer Zahlungen an </w:t>
            </w:r>
            <w:r>
              <w:t xml:space="preserve">  für Dienstleistungen, die aufgrund der Insolvenz von </w:t>
            </w:r>
            <w:r>
              <w:t xml:space="preserve">  nicht erbracht wurden, sowie erforderlichenfalls für Ihre Rückbeförderung an den Abreiseort. Beachten Sie bitte, dass dies im Fall einer Insolvenz des betreffenden Leistungserbringers keine Erstattung bewirkt.</w:t>
            </w:r>
          </w:p>
        </w:tc>
      </w:tr>
      <w:tr>
        <w:trPr>
          <w:cantSplit/>
        </w:trPr>
        <w:tc>
          <w:tcPr>
            <w:tcW w:type="dxa" w:w="9406"/>
          </w:tcPr>
          <w:p/>
        </w:tc>
      </w:tr>
    </w:tbl>
    <w:p>
      <w:pPr>
        <w:spacing w:after="0"/>
      </w:pPr>
    </w:p>
    <w:tbl>
      <w:tblPr>
        <w:tblStyle w:val="TableGrid"/>
        <w:tblW w:type="pct" w:w="5000"/>
        <w:tblLook w:firstColumn="1" w:firstRow="1" w:lastColumn="0" w:lastRow="0" w:noHBand="0" w:noVBand="1" w:val="04A0"/>
        <w:tblCaption w:val="Tabelle 2 zu Anlage 14"/>
      </w:tblPr>
      <w:tblGrid>
        <w:gridCol w:w="9406"/>
      </w:tblGrid>
      <w:tr>
        <w:trPr>
          <w:cantSplit/>
        </w:trPr>
        <w:tc>
          <w:tcPr>
            <w:tcW w:type="dxa" w:w="9406"/>
          </w:tcPr>
          <w:p>
            <w:r>
              <w:t xml:space="preserve">  hat eine Insolvenzabsicherung mit </w:t>
            </w:r>
            <w:r>
              <w:t xml:space="preserve">  abgeschlossen.</w:t>
            </w:r>
          </w:p>
        </w:tc>
      </w:tr>
      <w:tr>
        <w:trPr>
          <w:cantSplit/>
        </w:trPr>
        <w:tc>
          <w:tcPr>
            <w:tcW w:type="dxa" w:w="9406"/>
          </w:tcPr>
          <w:p>
            <w:r>
              <w:t xml:space="preserve">Die Reisenden können diese Einrichtung oder gegebenenfalls die zuständige Behörde ( </w:t>
            </w:r>
            <w:r>
              <w:t xml:space="preserve"> ) kontaktieren, wenn ihnen Reiseleistungen aufgrund der Insolvenz von </w:t>
            </w:r>
            <w:r>
              <w:t xml:space="preserve">  verweigert werden.</w:t>
            </w:r>
          </w:p>
        </w:tc>
      </w:tr>
      <w:tr>
        <w:trPr>
          <w:cantSplit/>
        </w:trPr>
        <w:tc>
          <w:tcPr>
            <w:tcW w:type="dxa" w:w="9406"/>
          </w:tcPr>
          <w:p>
            <w:r>
              <w:t xml:space="preserve">Hinweis: Diese Insolvenzabsicherung gilt nicht für Verträge mit anderen Parteien als </w:t>
            </w:r>
            <w:r>
              <w:t xml:space="preserve"> , die trotz der Insolvenz des Unternehmens </w:t>
            </w:r>
            <w:r>
              <w:t xml:space="preserve">  erfüllt werden können.</w:t>
            </w:r>
          </w:p>
        </w:tc>
      </w:tr>
      <w:tr>
        <w:trPr>
          <w:cantSplit/>
        </w:trPr>
        <w:tc>
          <w:tcPr>
            <w:tcW w:type="dxa" w:w="9406"/>
          </w:tcPr>
          <w:p/>
        </w:tc>
      </w:tr>
    </w:tbl>
    <w:p>
      <w:pPr>
        <w:spacing w:after="0"/>
      </w:pPr>
    </w:p>
    <w:p>
      <w:r>
        <w:rPr>
          <w:b/>
        </w:rPr>
        <w:t>Gestaltungshinweise:</w:t>
      </w:r>
    </w:p>
    <w:p>
      <w:pPr>
        <w:ind w:left="567"/>
      </w:pPr>
      <w:r>
        <w:t>Hier ist entweder „unser Unternehmen“ oder „das Unternehmen (einsetzen: Firma/Name des Vermittlers verbundener Reiseleistungen)“ einzufügen.</w:t>
      </w:r>
    </w:p>
    <w:p>
      <w:pPr>
        <w:ind w:left="567"/>
      </w:pPr>
      <w:r>
        <w:t>Hier ist entweder „unseres Unternehmens“ oder „des Unternehmens (einsetzen: Firma/Name des Vermittlers verbundener Reiseleistungen)“ einzufügen.</w:t>
      </w:r>
    </w:p>
    <w:p>
      <w:pPr>
        <w:ind w:left="567"/>
      </w:pPr>
      <w:r>
        <w:t>Hier ist die Firma/der Name des Vermittlers verbundener Reiseleistungen einzufügen.</w:t>
      </w:r>
    </w:p>
    <w:p>
      <w:pPr>
        <w:ind w:left="567"/>
      </w:pPr>
      <w:r>
        <w:t>Hier ist die mit den Wörtern „Weiterführende Informationen zum Insolvenzschutz“ beschriftete Hyperlink-Schaltfläche einzufügen, nach deren Betätigung die Informationen im zweiten Kasten zur Verfügung gestellt werden.</w:t>
      </w:r>
    </w:p>
    <w:p>
      <w:pPr>
        <w:ind w:left="567"/>
      </w:pPr>
      <w:r>
        <w:t>Hier ist einzufügen:</w:t>
      </w:r>
    </w:p>
    <w:p>
      <w:pPr>
        <w:tabs>
          <w:tab w:pos="1134" w:val="left"/>
        </w:tabs>
        <w:ind w:left="1134" w:hanging="567"/>
      </w:pPr>
      <w:r>
        <w:t>a)</w:t>
      </w:r>
      <w:r>
        <w:tab/>
      </w:r>
      <w:r>
        <w:t>wenn ein Fall des § 651w Absatz 3 Satz 4 in Verbindung mit § 651s des Bürgerlichen Gesetzbuchs vorliegt: Name der Einrichtung, die den Insolvenzschutz bietet,</w:t>
      </w:r>
    </w:p>
    <w:p>
      <w:pPr>
        <w:tabs>
          <w:tab w:pos="1134" w:val="left"/>
        </w:tabs>
        <w:ind w:left="1134" w:hanging="567"/>
      </w:pPr>
      <w:r>
        <w:t>b)</w:t>
      </w:r>
      <w:r>
        <w:tab/>
      </w:r>
      <w:r>
        <w:t>in allen anderen Fällen: Name des Absicherers (§ 651r Absatz 3 des Bürgerlichen Gesetzbuchs).</w:t>
      </w:r>
    </w:p>
    <w:p>
      <w:pPr>
        <w:ind w:left="567"/>
      </w:pPr>
      <w:r>
        <w:t>Hier sind einzufügen:</w:t>
      </w:r>
    </w:p>
    <w:p>
      <w:pPr>
        <w:tabs>
          <w:tab w:pos="1134" w:val="left"/>
        </w:tabs>
        <w:ind w:left="1134" w:hanging="567"/>
      </w:pPr>
      <w:r>
        <w:t>a)</w:t>
      </w:r>
      <w:r>
        <w:tab/>
      </w:r>
      <w:r>
        <w:t>wenn ein Fall des § 651w Absatz 3 Satz 4 in Verbindung mit § 651s des Bürgerlichen Gesetzbuchs vorliegt: Kontaktdaten der Einrichtung, die den Insolvenzschutz bietet, und gegebenenfalls Name und Kontaktdaten der zuständigen Behörde, jeweils einschließlich der Anschrift des Ortes, an dem sie ihren Sitz hat, der E-Mail-Adresse und der Telefonnummer,</w:t>
      </w:r>
    </w:p>
    <w:p>
      <w:pPr>
        <w:tabs>
          <w:tab w:pos="1134" w:val="left"/>
        </w:tabs>
        <w:ind w:left="1134" w:hanging="567"/>
      </w:pPr>
      <w:r>
        <w:t>b)</w:t>
      </w:r>
      <w:r>
        <w:tab/>
      </w:r>
      <w:r>
        <w:t>in allen anderen Fällen: Kontaktdaten des Absicherers (§ 651r Absatz 3 des Bürgerlichen Gesetzbuchs) einschließlich der Anschrift des Ortes, an dem er niedergelassen ist, der E-Mail-Adresse und der Telefonnummer.</w:t>
      </w:r>
    </w:p>
    <w:p>
      <w:pPr>
        <w:ind w:left="567"/>
      </w:pPr>
      <w:r>
        <w:t>Hier ist die mit den Wörtern „Richtlinie (EU) 2015/2302 in der in das nationale Recht umgesetzten Form“ beschriftete Hyperlink-Schaltfläche einzufügen, nach deren Betätigung eine Weiterleitung auf die Webseite www.umsetzung-richtlinie-eu2015-2302.de erfolgt.</w:t>
      </w:r>
    </w:p>
    <w:p>
      <w:pPr>
        <w:pStyle w:val="Heading3"/>
      </w:pPr>
      <w:bookmarkStart w:id="517" w:name="b513"/>
      <w:r>
        <w:t>Anlage 15 (zu Artikel 251 § 2 Satz 1 Nummer 1 Buchstabe b)Muster für das Formblatt zur Unterrichtung des Reisenden, wenn der Vermittler verbundener Reiseleistungen ein Beförderer ist, mit dem der Reisende einen die Rückbeförderung umfassenden Vertrag geschlossen hat, und die Vermittlung nach § 651w Absatz 1 Satz 1 Nummer 2 des Bürgerlichen Gesetzbuchs erfolgt</w:t>
      </w:r>
      <w:bookmarkEnd w:id="517"/>
    </w:p>
    <w:p>
      <w:r>
        <w:rPr>
          <w:color w:val="404040"/>
          <w:sz w:val="21"/>
        </w:rPr>
        <w:t>(Fundstelle: BGBl. I 2017, 2416;</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15"/>
      </w:tblPr>
      <w:tblGrid>
        <w:gridCol w:w="9406"/>
      </w:tblGrid>
      <w:tr>
        <w:trPr>
          <w:cantSplit/>
        </w:trPr>
        <w:tc>
          <w:tcPr>
            <w:tcW w:type="dxa" w:w="9406"/>
          </w:tcPr>
          <w:p>
            <w:r>
              <w:t>Bei Buchung zusätzlicher Reiseleistungen für Ihre Reise über diesen Link oder diese Links können Sie die nach der Richtlinie (EU) 2015/2302 für Pauschalreisen geltenden Rechte NICHT in Anspruch nehmen.</w:t>
            </w:r>
          </w:p>
        </w:tc>
      </w:tr>
      <w:tr>
        <w:trPr>
          <w:cantSplit/>
        </w:trPr>
        <w:tc>
          <w:tcPr>
            <w:tcW w:type="dxa" w:w="9406"/>
          </w:tcPr>
          <w:p>
            <w:r>
              <w:t xml:space="preserve">Daher ist </w:t>
            </w:r>
            <w:r>
              <w:t xml:space="preserve">  nicht für die ordnungsgemäße Erbringung solcher zusätzlichen Reiseleistungen verantwortlich. Bei Problemen wenden Sie sich bitte an den jeweiligen Leistungserbringer.</w:t>
            </w:r>
          </w:p>
        </w:tc>
      </w:tr>
      <w:tr>
        <w:trPr>
          <w:cantSplit/>
        </w:trPr>
        <w:tc>
          <w:tcPr>
            <w:tcW w:type="dxa" w:w="9406"/>
          </w:tcPr>
          <w:p>
            <w:r>
              <w:t xml:space="preserve">Bei der Buchung zusätzlicher Reiseleistungen über diesen Link oder diese Links innerhalb von 24 Stunden nach Bestätigung Ihrer Buchung durch </w:t>
            </w:r>
            <w:r>
              <w:t xml:space="preserve">  werden diese Reiseleistungen jedoch Teil verbundener Reiseleistungen. In diesem Fall verfügt </w:t>
            </w:r>
            <w:r>
              <w:t xml:space="preserve">  über die nach dem EU-Recht vorgeschriebene Absicherung für die Erstattung Ihrer Zahlungen an </w:t>
            </w:r>
            <w:r>
              <w:t xml:space="preserve">  für Dienstleistungen, die aufgrund der Insolvenz von </w:t>
            </w:r>
            <w:r>
              <w:t xml:space="preserve">  nicht erbracht wurden, sowie erforderlichenfalls für Ihre Rückbeförderung an den Abreiseort. Beachten Sie bitte, dass dies im Fall einer Insolvenz des betreffenden Leistungserbringers keine Erstattung bewirkt.</w:t>
            </w:r>
          </w:p>
        </w:tc>
      </w:tr>
      <w:tr>
        <w:trPr>
          <w:cantSplit/>
        </w:trPr>
        <w:tc>
          <w:tcPr>
            <w:tcW w:type="dxa" w:w="9406"/>
          </w:tcPr>
          <w:p/>
        </w:tc>
      </w:tr>
    </w:tbl>
    <w:p>
      <w:pPr>
        <w:spacing w:after="0"/>
      </w:pPr>
    </w:p>
    <w:tbl>
      <w:tblPr>
        <w:tblStyle w:val="TableGrid"/>
        <w:tblW w:type="pct" w:w="5000"/>
        <w:tblLook w:firstColumn="1" w:firstRow="1" w:lastColumn="0" w:lastRow="0" w:noHBand="0" w:noVBand="1" w:val="04A0"/>
        <w:tblCaption w:val="Tabelle 2 zu Anlage 15"/>
      </w:tblPr>
      <w:tblGrid>
        <w:gridCol w:w="9406"/>
      </w:tblGrid>
      <w:tr>
        <w:trPr>
          <w:cantSplit/>
        </w:trPr>
        <w:tc>
          <w:tcPr>
            <w:tcW w:type="dxa" w:w="9406"/>
          </w:tcPr>
          <w:p>
            <w:r>
              <w:t xml:space="preserve">  hat eine Insolvenzabsicherung mit </w:t>
            </w:r>
            <w:r>
              <w:t xml:space="preserve">  abgeschlossen.</w:t>
            </w:r>
          </w:p>
        </w:tc>
      </w:tr>
      <w:tr>
        <w:trPr>
          <w:cantSplit/>
        </w:trPr>
        <w:tc>
          <w:tcPr>
            <w:tcW w:type="dxa" w:w="9406"/>
          </w:tcPr>
          <w:p>
            <w:r>
              <w:t xml:space="preserve">Die Reisenden können diese Einrichtung oder gegebenenfalls die zuständige Behörde ( </w:t>
            </w:r>
            <w:r>
              <w:t xml:space="preserve"> ) kontaktieren, wenn ihnen Reiseleistungen aufgrund der Insolvenz von </w:t>
            </w:r>
            <w:r>
              <w:t xml:space="preserve">  verweigert werden.</w:t>
            </w:r>
          </w:p>
        </w:tc>
      </w:tr>
      <w:tr>
        <w:trPr>
          <w:cantSplit/>
        </w:trPr>
        <w:tc>
          <w:tcPr>
            <w:tcW w:type="dxa" w:w="9406"/>
          </w:tcPr>
          <w:p>
            <w:r>
              <w:t xml:space="preserve">Hinweis: Diese Insolvenzabsicherung gilt nicht für Verträge mit anderen Parteien als </w:t>
            </w:r>
            <w:r>
              <w:t xml:space="preserve"> , die trotz der Insolvenz des Unternehmens </w:t>
            </w:r>
            <w:r>
              <w:t xml:space="preserve">  erfüllt werden können.</w:t>
            </w:r>
          </w:p>
        </w:tc>
      </w:tr>
      <w:tr>
        <w:trPr>
          <w:cantSplit/>
        </w:trPr>
        <w:tc>
          <w:tcPr>
            <w:tcW w:type="dxa" w:w="9406"/>
          </w:tcPr>
          <w:p/>
        </w:tc>
      </w:tr>
    </w:tbl>
    <w:p>
      <w:pPr>
        <w:spacing w:after="0"/>
      </w:pPr>
    </w:p>
    <w:p>
      <w:r>
        <w:rPr>
          <w:b/>
        </w:rPr>
        <w:t>Gestaltungshinweise:</w:t>
      </w:r>
    </w:p>
    <w:p>
      <w:pPr>
        <w:ind w:left="567"/>
      </w:pPr>
      <w:r>
        <w:t>Hier ist entweder „unser Unternehmen“ oder „das Unternehmen (einsetzen: Firma/Name des Vermittlers verbundener Reiseleistungen)“ einzufügen.</w:t>
      </w:r>
    </w:p>
    <w:p>
      <w:pPr>
        <w:ind w:left="567"/>
      </w:pPr>
      <w:r>
        <w:t>Hier ist die Firma/der Name des Vermittlers verbundener Reiseleistungen einzufügen.</w:t>
      </w:r>
    </w:p>
    <w:p>
      <w:pPr>
        <w:ind w:left="567"/>
      </w:pPr>
      <w:r>
        <w:t>Hier ist die mit den Wörtern „Weiterführende Informationen zum Insolvenzschutz“ beschriftete Hyperlink-Schaltfläche einzufügen, nach deren Betätigung die Informationen im zweiten Kasten zur Verfügung gestellt werden.</w:t>
      </w:r>
    </w:p>
    <w:p>
      <w:pPr>
        <w:ind w:left="567"/>
      </w:pPr>
      <w:r>
        <w:t>Hier ist einzufügen:</w:t>
      </w:r>
    </w:p>
    <w:p>
      <w:pPr>
        <w:tabs>
          <w:tab w:pos="1134" w:val="left"/>
        </w:tabs>
        <w:ind w:left="1134" w:hanging="567"/>
      </w:pPr>
      <w:r>
        <w:t>a)</w:t>
      </w:r>
      <w:r>
        <w:tab/>
      </w:r>
      <w:r>
        <w:t>wenn ein Fall des § 651w Absatz 3 Satz 4 in Verbindung mit § 651s des Bürgerlichen Gesetzbuchs vorliegt: Name der Einrichtung, die den Insolvenzschutz bietet,</w:t>
      </w:r>
    </w:p>
    <w:p>
      <w:pPr>
        <w:tabs>
          <w:tab w:pos="1134" w:val="left"/>
        </w:tabs>
        <w:ind w:left="1134" w:hanging="567"/>
      </w:pPr>
      <w:r>
        <w:t>b)</w:t>
      </w:r>
      <w:r>
        <w:tab/>
      </w:r>
      <w:r>
        <w:t>in allen anderen Fällen: Name des Absicherers (§ 651r Absatz 3 des Bürgerlichen Gesetzbuchs).</w:t>
      </w:r>
    </w:p>
    <w:p>
      <w:pPr>
        <w:ind w:left="567"/>
      </w:pPr>
      <w:r>
        <w:t>Hier sind einzufügen:</w:t>
      </w:r>
    </w:p>
    <w:p>
      <w:pPr>
        <w:tabs>
          <w:tab w:pos="1134" w:val="left"/>
        </w:tabs>
        <w:ind w:left="1134" w:hanging="567"/>
      </w:pPr>
      <w:r>
        <w:t>a)</w:t>
      </w:r>
      <w:r>
        <w:tab/>
      </w:r>
      <w:r>
        <w:t>wenn ein Fall des § 651w Absatz 3 Satz 4 in Verbindung mit § 651s des Bürgerlichen Gesetzbuchs vorliegt: Kontaktdaten der Einrichtung, die den Insolvenzschutz bietet, und gegebenenfalls Name und Kontaktdaten der zuständigen Behörde, jeweils einschließlich der Anschrift des Ortes, an dem sie ihren Sitz hat, der E-Mail-Adresse und der Telefonnummer,</w:t>
      </w:r>
    </w:p>
    <w:p>
      <w:pPr>
        <w:tabs>
          <w:tab w:pos="1134" w:val="left"/>
        </w:tabs>
        <w:ind w:left="1134" w:hanging="567"/>
      </w:pPr>
      <w:r>
        <w:t>b)</w:t>
      </w:r>
      <w:r>
        <w:tab/>
      </w:r>
      <w:r>
        <w:t>in allen anderen Fällen: Kontaktdaten des Absicherers (§ 651r Absatz 3 des Bürgerlichen Gesetzbuchs) einschließlich der Anschrift des Ortes, an dem er niedergelassen ist, der E-Mail-Adresse und der Telefonnummer.</w:t>
      </w:r>
    </w:p>
    <w:p>
      <w:pPr>
        <w:ind w:left="567"/>
      </w:pPr>
      <w:r>
        <w:t>Hier ist die mit den Wörtern „Richtlinie (EU) 2015/2302 in der in das nationale Recht umgesetzten Form“ beschriftete Hyperlink-Schaltfläche einzufügen, nach deren Betätigung eine Weiterleitung auf die Webseite www.umsetzung-richtlinie-eu2015-2302.de erfolgt.</w:t>
      </w:r>
    </w:p>
    <w:p>
      <w:pPr>
        <w:pStyle w:val="Heading3"/>
      </w:pPr>
      <w:bookmarkStart w:id="518" w:name="b514"/>
      <w:r>
        <w:t>Anlage 16 (zu Artikel 251 § 2 Satz 1 Nummer 2 Buchstabe a)Muster für das Formblatt zur Unterrichtung des Reisenden, wenn der Vermittler verbundener Reiseleistungen kein Beförderer ist, mit dem der Reisende einen die Rückbeförderung umfassenden Vertrag geschlossen hat, und die Vermittlung nach § 651w Absatz 1 Satz 1 Nummer 1 des Bürgerlichen Gesetzbuchs erfolgt</w:t>
      </w:r>
      <w:bookmarkEnd w:id="518"/>
    </w:p>
    <w:p>
      <w:r>
        <w:rPr>
          <w:color w:val="404040"/>
          <w:sz w:val="21"/>
        </w:rPr>
        <w:t>(Fundstelle: BGBl. I 2017, 2417 — 2418;</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16"/>
      </w:tblPr>
      <w:tblGrid>
        <w:gridCol w:w="9406"/>
      </w:tblGrid>
      <w:tr>
        <w:trPr>
          <w:cantSplit/>
        </w:trPr>
        <w:tc>
          <w:tcPr>
            <w:tcW w:type="dxa" w:w="9406"/>
          </w:tcPr>
          <w:p>
            <w:r>
              <w:t xml:space="preserve">Bei Buchung zusätzlicher Reiseleistungen für Ihre Reise über </w:t>
            </w:r>
            <w:r>
              <w:t xml:space="preserve">  im Anschluss an die Auswahl und Zahlung einer Reiseleistung können Sie die nach der Richtlinie (EU) 2015/2302 für Pauschalreisen geltenden Rechte NICHT in Anspruch nehmen.</w:t>
            </w:r>
          </w:p>
        </w:tc>
      </w:tr>
      <w:tr>
        <w:trPr>
          <w:cantSplit/>
        </w:trPr>
        <w:tc>
          <w:tcPr>
            <w:tcW w:type="dxa" w:w="9406"/>
          </w:tcPr>
          <w:p>
            <w:r>
              <w:t xml:space="preserve">Daher ist </w:t>
            </w:r>
            <w:r>
              <w:t xml:space="preserve">  nicht für die ordnungsgemäße Erbringung solcher zusätzlichen Reiseleistungen verantwortlich. Bei Problemen wenden Sie sich bitte an den jeweiligen Leistungserbringer.</w:t>
            </w:r>
          </w:p>
        </w:tc>
      </w:tr>
      <w:tr>
        <w:trPr>
          <w:cantSplit/>
        </w:trPr>
        <w:tc>
          <w:tcPr>
            <w:tcW w:type="dxa" w:w="9406"/>
          </w:tcPr>
          <w:p>
            <w:r>
              <w:t xml:space="preserve">Bei Buchung zusätzlicher Reiseleistungen bei demselben Besuch </w:t>
            </w:r>
            <w:r>
              <w:t xml:space="preserve">  werden diese Reiseleistungen jedoch Teil verbundener Reiseleistungen. In diesem Fall verfügt </w:t>
            </w:r>
            <w:r>
              <w:t xml:space="preserve">  über die nach dem EU-Recht vorgeschriebene Absicherung für die Erstattung Ihrer Zahlungen an </w:t>
            </w:r>
            <w:r>
              <w:t xml:space="preserve">  für Dienstleistungen, die aufgrund der Insolvenz von </w:t>
            </w:r>
            <w:r>
              <w:t xml:space="preserve">  nicht erbracht wurden. Beachten Sie bitte, dass dies im Fall einer Insolvenz des betreffenden Leistungserbringers keine Erstattung bewirkt.</w:t>
            </w:r>
            <w:hyperlink w:anchor="f514_1" w:history="1">
              <w:r>
                <w:rPr>
                  <w:rStyle w:val="Fussnotenmarke"/>
                  <w:u w:val="single"/>
                  <w:color w:val="0A3A8C"/>
                </w:rPr>
                <w:t>1</w:t>
              </w:r>
            </w:hyperlink>
          </w:p>
        </w:tc>
      </w:tr>
      <w:tr>
        <w:trPr>
          <w:cantSplit/>
        </w:trPr>
        <w:tc>
          <w:tcPr>
            <w:tcW w:type="dxa" w:w="9406"/>
          </w:tcPr>
          <w:p>
            <w:r>
              <w:t xml:space="preserve">  *</w:t>
            </w:r>
          </w:p>
        </w:tc>
      </w:tr>
    </w:tbl>
    <w:p>
      <w:pPr>
        <w:spacing w:after="0"/>
      </w:pPr>
    </w:p>
    <w:tbl>
      <w:tblPr>
        <w:tblStyle w:val="TableGrid"/>
        <w:tblW w:type="pct" w:w="5000"/>
        <w:tblLook w:firstColumn="1" w:firstRow="1" w:lastColumn="0" w:lastRow="0" w:noHBand="0" w:noVBand="1" w:val="04A0"/>
        <w:tblCaption w:val="Tabelle 2 zu Anlage 16"/>
      </w:tblPr>
      <w:tblGrid>
        <w:gridCol w:w="9406"/>
      </w:tblGrid>
      <w:tr>
        <w:trPr>
          <w:cantSplit/>
        </w:trPr>
        <w:tc>
          <w:tcPr>
            <w:tcW w:type="dxa" w:w="9406"/>
          </w:tcPr>
          <w:p>
            <w:r>
              <w:t xml:space="preserve">  hat eine Insolvenzabsicherung mit </w:t>
            </w:r>
            <w:r>
              <w:t xml:space="preserve">  abgeschlossen.*</w:t>
            </w:r>
          </w:p>
        </w:tc>
      </w:tr>
      <w:tr>
        <w:trPr>
          <w:cantSplit/>
        </w:trPr>
        <w:tc>
          <w:tcPr>
            <w:tcW w:type="dxa" w:w="9406"/>
          </w:tcPr>
          <w:p>
            <w:r>
              <w:t xml:space="preserve">Die Reisenden können diese Einrichtung oder gegebenenfalls die zuständige Behörde ( </w:t>
            </w:r>
            <w:r>
              <w:t xml:space="preserve"> ) kontaktieren, wenn ihnen Reiseleistungen aufgrund der Insolvenz von </w:t>
            </w:r>
            <w:r>
              <w:t xml:space="preserve">  verweigert werden.*</w:t>
            </w:r>
          </w:p>
        </w:tc>
      </w:tr>
      <w:tr>
        <w:trPr>
          <w:cantSplit/>
        </w:trPr>
        <w:tc>
          <w:tcPr>
            <w:tcW w:type="dxa" w:w="9406"/>
          </w:tcPr>
          <w:p>
            <w:r>
              <w:t xml:space="preserve">Hinweis: Diese Insolvenzabsicherung gilt nicht für Verträge mit anderen Parteien als </w:t>
            </w:r>
            <w:r>
              <w:t xml:space="preserve"> , die trotz der Insolvenz des Unternehmens </w:t>
            </w:r>
            <w:r>
              <w:t xml:space="preserve">  erfüllt werden können.*</w:t>
            </w:r>
          </w:p>
        </w:tc>
      </w:tr>
      <w:tr>
        <w:trPr>
          <w:cantSplit/>
        </w:trPr>
        <w:tc>
          <w:tcPr>
            <w:tcW w:type="dxa" w:w="9406"/>
          </w:tcPr>
          <w:p>
            <w:r>
              <w:t xml:space="preserve">  *</w:t>
            </w:r>
          </w:p>
        </w:tc>
      </w:tr>
    </w:tbl>
    <w:p>
      <w:pPr>
        <w:spacing w:after="0"/>
      </w:pPr>
    </w:p>
    <w:p>
      <w:r>
        <w:rPr>
          <w:b/>
        </w:rPr>
        <w:t>Gestaltungshinweise:</w:t>
      </w:r>
    </w:p>
    <w:p>
      <w:pPr>
        <w:ind w:left="567"/>
      </w:pPr>
      <w:r>
        <w:t>Hier ist entweder „unser Unternehmen“ oder „das Unternehmen (einsetzen: Firma/Name des Vermittlers verbundener Reiseleistungen)“ einzufügen.</w:t>
      </w:r>
    </w:p>
    <w:p>
      <w:pPr>
        <w:ind w:left="567"/>
      </w:pPr>
      <w:r>
        <w:t>Hier ist einzufügen:</w:t>
      </w:r>
    </w:p>
    <w:p>
      <w:pPr>
        <w:tabs>
          <w:tab w:pos="1134" w:val="left"/>
        </w:tabs>
        <w:ind w:left="1134" w:hanging="567"/>
      </w:pPr>
      <w:r>
        <w:t>a)</w:t>
      </w:r>
      <w:r>
        <w:tab/>
      </w:r>
      <w:r>
        <w:t>wenn die Informationen auf einer Webseite für den elektronischen Geschäftsverkehr zur Verfügung gestellt werden: entweder „des Buchungsportals unseres Unternehmens“ oder „des Buchungsportals des Unternehmens (einsetzen: Firma/Name des Vermittlers verbundener Reiseleistungen)“,</w:t>
      </w:r>
    </w:p>
    <w:p>
      <w:pPr>
        <w:tabs>
          <w:tab w:pos="1134" w:val="left"/>
        </w:tabs>
        <w:ind w:left="1134" w:hanging="567"/>
      </w:pPr>
      <w:r>
        <w:t>b)</w:t>
      </w:r>
      <w:r>
        <w:tab/>
      </w:r>
      <w:r>
        <w:t>wenn die Informationen bei gleichzeitiger körperlicher Anwesenheit des Reisenden und des Vermittlers verbundener Reiseleistungen zur Verfügung gestellt werden: entweder „unseres Unternehmens oder bei demselben Kontakt mit diesem“ oder „des Unternehmens (einsetzen: Firma/Name des Vermittlers verbundener Reiseleistungen) oder bei demselben Kontakt mit diesem“.</w:t>
      </w:r>
    </w:p>
    <w:p>
      <w:pPr>
        <w:ind w:left="567"/>
      </w:pPr>
      <w:r>
        <w:t>Hier ist die Firma/der Name des Vermittlers verbundener Reiseleistungen einzufügen.</w:t>
      </w:r>
    </w:p>
    <w:p>
      <w:pPr>
        <w:ind w:left="567"/>
      </w:pPr>
      <w:r>
        <w:t xml:space="preserve">Werden die Informationen auf einer Webseite für den elektronischen Geschäftsverkehr zur Verfügung gestellt, ist hier die mit den Wörtern „Weiterführende Informationen zum Insolvenzschutz“ beschriftete Hyperlink-Schaltfläche einzufügen, nach deren Betätigung die Informationen im zweiten Kasten zur Verfügung gestellt werden. </w:t>
      </w:r>
      <w:r>
        <w:rPr>
          <w:rStyle w:val="Satznummer"/>
        </w:rPr>
        <w:t>2</w:t>
      </w:r>
      <w:r>
        <w:t>Werden die Informationen bei gleichzeitiger körperlicher Anwesenheit des Reisenden und des Vermittlers verbundener Reiseleistungen zur Verfügung gestellt, werden die Informationen im zweiten Kasten unmittelbar unterhalb des ersten Kastens angefügt.</w:t>
      </w:r>
    </w:p>
    <w:p>
      <w:pPr>
        <w:ind w:left="567"/>
      </w:pPr>
      <w:r>
        <w:t>Hier ist einzufügen:</w:t>
      </w:r>
    </w:p>
    <w:p>
      <w:pPr>
        <w:tabs>
          <w:tab w:pos="1134" w:val="left"/>
        </w:tabs>
        <w:ind w:left="1134" w:hanging="567"/>
      </w:pPr>
      <w:r>
        <w:t>a)</w:t>
      </w:r>
      <w:r>
        <w:tab/>
      </w:r>
      <w:r>
        <w:t>wenn ein Fall des § 651w Absatz 3 Satz 4 in Verbindung mit § 651s des Bürgerlichen Gesetzbuchs vorliegt: Name der Einrichtung, die den Insolvenzschutz bietet,</w:t>
      </w:r>
    </w:p>
    <w:p>
      <w:pPr>
        <w:tabs>
          <w:tab w:pos="1134" w:val="left"/>
        </w:tabs>
        <w:ind w:left="1134" w:hanging="567"/>
      </w:pPr>
      <w:r>
        <w:t>b)</w:t>
      </w:r>
      <w:r>
        <w:tab/>
      </w:r>
      <w:r>
        <w:t>in allen anderen Fällen: Name des Absicherers (§ 651r Absatz 3 des Bürgerlichen Gesetzbuchs).</w:t>
      </w:r>
    </w:p>
    <w:p>
      <w:pPr>
        <w:ind w:left="567"/>
      </w:pPr>
      <w:r>
        <w:t>Hier sind einzufügen:</w:t>
      </w:r>
    </w:p>
    <w:p>
      <w:pPr>
        <w:tabs>
          <w:tab w:pos="1134" w:val="left"/>
        </w:tabs>
        <w:ind w:left="1134" w:hanging="567"/>
      </w:pPr>
      <w:r>
        <w:t>a)</w:t>
      </w:r>
      <w:r>
        <w:tab/>
      </w:r>
      <w:r>
        <w:t>wenn ein Fall des § 651w Absatz 3 Satz 4 in Verbindung mit § 651s des Bürgerlichen Gesetzbuchs vorliegt: Kontaktdaten der Einrichtung, die den Insolvenzschutz bietet, und gegebenenfalls Name und Kontaktdaten der zuständigen Behörde, jeweils einschließlich der Anschrift des Ortes, an dem sie ihren Sitz hat, der E-Mail-Adresse und der Telefonnummer,</w:t>
      </w:r>
    </w:p>
    <w:p>
      <w:pPr>
        <w:tabs>
          <w:tab w:pos="1134" w:val="left"/>
        </w:tabs>
        <w:ind w:left="1134" w:hanging="567"/>
      </w:pPr>
      <w:r>
        <w:t>b)</w:t>
      </w:r>
      <w:r>
        <w:tab/>
      </w:r>
      <w:r>
        <w:t>in allen anderen Fällen: Kontaktdaten des Absicherers (§ 651r Absatz 3 des Bürgerlichen Gesetzbuchs) einschließlich der Anschrift des Ortes, an dem er niedergelassen ist, der E-Mail-Adresse und der Telefonnummer.</w:t>
      </w:r>
    </w:p>
    <w:p>
      <w:pPr>
        <w:ind w:left="567"/>
      </w:pPr>
      <w:r>
        <w:t>Hier ist einzufügen:</w:t>
      </w:r>
    </w:p>
    <w:p>
      <w:pPr>
        <w:tabs>
          <w:tab w:pos="1134" w:val="left"/>
        </w:tabs>
        <w:ind w:left="1134" w:hanging="567"/>
      </w:pPr>
      <w:r>
        <w:t>a)</w:t>
      </w:r>
      <w:r>
        <w:tab/>
      </w:r>
      <w:r>
        <w:t>wenn die Informationen auf einer Webseite für den elektronischen Geschäftsverkehr zur Verfügung gestellt werden: die mit den Wörtern „Richtlinie (EU) 2015/2302 in der in das nationale Recht umgesetzten Form“ beschriftete Hyperlink-Schaltfläche, nach deren Betätigung eine Weiterleitung auf die Webseite www.umsetzung-richtlinie-eu2015-2302.de erfolgt,</w:t>
      </w:r>
    </w:p>
    <w:p>
      <w:pPr>
        <w:tabs>
          <w:tab w:pos="1134" w:val="left"/>
        </w:tabs>
        <w:ind w:left="1134" w:hanging="567"/>
      </w:pPr>
      <w:r>
        <w:t>b)</w:t>
      </w:r>
      <w:r>
        <w:tab/>
      </w:r>
      <w:r>
        <w:t>wenn die Informationen bei gleichzeitiger körperlicher Anwesenheit des Reisenden und des Vermittlers verbundener Reiseleistungen zur Verfügung gestellt werden: „Webseite, auf der die Richtlinie (EU) 2015/2302 in der in das nationale Recht umgesetzten Form zu finden ist: www.umsetzung-richtlinie-eu2015-2302.de“.</w:t>
      </w:r>
    </w:p>
    <w:p>
      <w:pPr>
        <w:pStyle w:val="Fußnote"/>
      </w:pPr>
      <w:bookmarkStart w:id="519" w:name="f514_1"/>
      <w:r>
        <w:rPr>
          <w:rStyle w:val="Zusatz"/>
          <w:b/>
        </w:rPr>
        <w:t xml:space="preserve">Fußnote 1: </w:t>
      </w:r>
      <w:r>
        <w:t>Besteht gemäß § 651w Absatz 3 des Bürgerlichen Gesetzbuchs keine Verpflichtung des Vermittlers verbundener Reiseleistungen zur Insolvenzsicherung, weil er Zahlungen des Reisenden auf Vergütungen für Reiseleistungen nicht oder erst nach deren Erbringung annimmt, entfallen diese Absätze. Gleiches gilt, soweit solche Zahlungen aufgrund einer vom Leistungserbringer erteilten Inkassovollmacht des Vermittlers verbundener Reiseleistungen auf einem insolvenzfesten Treuhandkonto gutgeschrieben werden.</w:t>
      </w:r>
      <w:bookmarkEnd w:id="519"/>
    </w:p>
    <w:p>
      <w:pPr>
        <w:pStyle w:val="Heading3"/>
      </w:pPr>
      <w:bookmarkStart w:id="520" w:name="b515"/>
      <w:r>
        <w:t>Anlage 17 (zu Artikel 251 § 2 Satz 1 Nummer 2 Buchstabe b)Muster für das Formblatt zur Unterrichtung des Reisenden, wenn der Vermittler verbundener Reiseleistungen kein Beförderer ist, mit dem der Reisende einen die Rückbeförderung umfassenden Vertrag geschlossen hat, und die Vermittlung nach § 651w Absatz 1 Satz 1 Nummer 2 des Bürgerlichen Gesetzbuchs erfolgt</w:t>
      </w:r>
      <w:bookmarkEnd w:id="520"/>
    </w:p>
    <w:p>
      <w:r>
        <w:rPr>
          <w:color w:val="404040"/>
          <w:sz w:val="21"/>
        </w:rPr>
        <w:t>(Fundstelle: BGBl. I 2017, 2419;</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17"/>
      </w:tblPr>
      <w:tblGrid>
        <w:gridCol w:w="9406"/>
      </w:tblGrid>
      <w:tr>
        <w:trPr>
          <w:cantSplit/>
        </w:trPr>
        <w:tc>
          <w:tcPr>
            <w:tcW w:type="dxa" w:w="9406"/>
          </w:tcPr>
          <w:p>
            <w:r>
              <w:t>Bei Buchung zusätzlicher Reiseleistungen für Ihre Reise über diesen Link oder diese Links können Sie die nach der Richtlinie (EU) 2015/2302 für Pauschalreisen geltenden Rechte NICHT in Anspruch nehmen.</w:t>
            </w:r>
          </w:p>
        </w:tc>
      </w:tr>
      <w:tr>
        <w:trPr>
          <w:cantSplit/>
        </w:trPr>
        <w:tc>
          <w:tcPr>
            <w:tcW w:type="dxa" w:w="9406"/>
          </w:tcPr>
          <w:p>
            <w:r>
              <w:t xml:space="preserve">Daher ist </w:t>
            </w:r>
            <w:r>
              <w:t xml:space="preserve">  nicht für die ordnungsgemäße Erbringung solcher zusätzlichen Reiseleistungen verantwortlich. Bei Problemen wenden Sie sich bitte an den jeweiligen Leistungserbringer.</w:t>
            </w:r>
          </w:p>
        </w:tc>
      </w:tr>
      <w:tr>
        <w:trPr>
          <w:cantSplit/>
        </w:trPr>
        <w:tc>
          <w:tcPr>
            <w:tcW w:type="dxa" w:w="9406"/>
          </w:tcPr>
          <w:p>
            <w:r>
              <w:t xml:space="preserve">Bei der Buchung zusätzlicher Reiseleistungen über diesen Link oder diese Links innerhalb von 24 Stunden nach Bestätigung Ihrer Buchung durch </w:t>
            </w:r>
            <w:r>
              <w:t xml:space="preserve">  werden diese Reiseleistungen jedoch Teil verbundener Reiseleistungen. In diesem Fall verfügt </w:t>
            </w:r>
            <w:r>
              <w:t xml:space="preserve">  über die nach dem EU-Recht vorgeschriebene Absicherung für die Erstattung Ihrer Zahlungen an </w:t>
            </w:r>
            <w:r>
              <w:t xml:space="preserve">  für Dienstleistungen, die aufgrund der Insolvenz von </w:t>
            </w:r>
            <w:r>
              <w:t xml:space="preserve">  nicht erbracht wurden. Beachten Sie bitte, dass dies im Fall einer Insolvenz des betreffenden Leistungserbringers keine Erstattung bewirkt.</w:t>
            </w:r>
            <w:hyperlink w:anchor="f515_1" w:history="1">
              <w:r>
                <w:rPr>
                  <w:rStyle w:val="Fussnotenmarke"/>
                  <w:u w:val="single"/>
                  <w:color w:val="0A3A8C"/>
                </w:rPr>
                <w:t>1</w:t>
              </w:r>
            </w:hyperlink>
          </w:p>
        </w:tc>
      </w:tr>
      <w:tr>
        <w:trPr>
          <w:cantSplit/>
        </w:trPr>
        <w:tc>
          <w:tcPr>
            <w:tcW w:type="dxa" w:w="9406"/>
          </w:tcPr>
          <w:p>
            <w:r>
              <w:t xml:space="preserve">  *</w:t>
            </w:r>
          </w:p>
        </w:tc>
      </w:tr>
    </w:tbl>
    <w:p>
      <w:pPr>
        <w:spacing w:after="0"/>
      </w:pPr>
    </w:p>
    <w:tbl>
      <w:tblPr>
        <w:tblStyle w:val="TableGrid"/>
        <w:tblW w:type="pct" w:w="5000"/>
        <w:tblLook w:firstColumn="1" w:firstRow="1" w:lastColumn="0" w:lastRow="0" w:noHBand="0" w:noVBand="1" w:val="04A0"/>
        <w:tblCaption w:val="Tabelle 2 zu Anlage 17"/>
      </w:tblPr>
      <w:tblGrid>
        <w:gridCol w:w="9406"/>
      </w:tblGrid>
      <w:tr>
        <w:trPr>
          <w:cantSplit/>
        </w:trPr>
        <w:tc>
          <w:tcPr>
            <w:tcW w:type="dxa" w:w="9406"/>
          </w:tcPr>
          <w:p>
            <w:r>
              <w:t xml:space="preserve">  hat eine Insolvenzabsicherung mit </w:t>
            </w:r>
            <w:r>
              <w:t xml:space="preserve">  abgeschlossen.*</w:t>
            </w:r>
          </w:p>
        </w:tc>
      </w:tr>
      <w:tr>
        <w:trPr>
          <w:cantSplit/>
        </w:trPr>
        <w:tc>
          <w:tcPr>
            <w:tcW w:type="dxa" w:w="9406"/>
          </w:tcPr>
          <w:p>
            <w:r>
              <w:t xml:space="preserve">Die Reisenden können diese Einrichtung oder gegebenenfalls die zuständige Behörde ( </w:t>
            </w:r>
            <w:r>
              <w:t xml:space="preserve"> ) kontaktieren, wenn ihnen Reiseleistungen aufgrund der Insolvenz von </w:t>
            </w:r>
            <w:r>
              <w:t xml:space="preserve">  verweigert werden.*</w:t>
            </w:r>
          </w:p>
        </w:tc>
      </w:tr>
      <w:tr>
        <w:trPr>
          <w:cantSplit/>
        </w:trPr>
        <w:tc>
          <w:tcPr>
            <w:tcW w:type="dxa" w:w="9406"/>
          </w:tcPr>
          <w:p>
            <w:r>
              <w:t xml:space="preserve">Hinweis: Diese Insolvenzabsicherung gilt nicht für Verträge mit anderen Parteien als </w:t>
            </w:r>
            <w:r>
              <w:t xml:space="preserve"> , die trotz der Insolvenz des Unternehmens </w:t>
            </w:r>
            <w:r>
              <w:t xml:space="preserve">  erfüllt werden können.*</w:t>
            </w:r>
          </w:p>
        </w:tc>
      </w:tr>
      <w:tr>
        <w:trPr>
          <w:cantSplit/>
        </w:trPr>
        <w:tc>
          <w:tcPr>
            <w:tcW w:type="dxa" w:w="9406"/>
          </w:tcPr>
          <w:p>
            <w:r>
              <w:t xml:space="preserve">  *</w:t>
            </w:r>
          </w:p>
        </w:tc>
      </w:tr>
    </w:tbl>
    <w:p>
      <w:pPr>
        <w:spacing w:after="0"/>
      </w:pPr>
    </w:p>
    <w:p>
      <w:r>
        <w:rPr>
          <w:b/>
        </w:rPr>
        <w:t>Gestaltungshinweise:</w:t>
      </w:r>
    </w:p>
    <w:p>
      <w:pPr>
        <w:ind w:left="567"/>
      </w:pPr>
      <w:r>
        <w:t>Hier ist entweder „unser Unternehmen“ oder „das Unternehmen (einsetzen: Firma/Name des Vermittlers verbundener Reiseleistungen)“ einzufügen.</w:t>
      </w:r>
    </w:p>
    <w:p>
      <w:pPr>
        <w:ind w:left="567"/>
      </w:pPr>
      <w:r>
        <w:t>Hier ist die Firma/der Name des Vermittlers verbundener Reiseleistungen einzufügen.</w:t>
      </w:r>
    </w:p>
    <w:p>
      <w:pPr>
        <w:ind w:left="567"/>
      </w:pPr>
      <w:r>
        <w:t>Hier ist die mit den Wörtern „Weiterführende Informationen zum Insolvenzschutz“ beschriftete Hyperlink-Schaltfläche einzufügen, nach deren Betätigung die Informationen im zweiten Kasten zur Verfügung gestellt werden.</w:t>
      </w:r>
    </w:p>
    <w:p>
      <w:pPr>
        <w:ind w:left="567"/>
      </w:pPr>
      <w:r>
        <w:t>Hier ist einzufügen:</w:t>
      </w:r>
    </w:p>
    <w:p>
      <w:pPr>
        <w:tabs>
          <w:tab w:pos="1134" w:val="left"/>
        </w:tabs>
        <w:ind w:left="1134" w:hanging="567"/>
      </w:pPr>
      <w:r>
        <w:t>a)</w:t>
      </w:r>
      <w:r>
        <w:tab/>
      </w:r>
      <w:r>
        <w:t>wenn ein Fall des § 651w Absatz 3 Satz 4 in Verbindung mit § 651s des Bürgerlichen Gesetzbuchs vorliegt: Name der Einrichtung, die den Insolvenzschutz bietet,</w:t>
      </w:r>
    </w:p>
    <w:p>
      <w:pPr>
        <w:tabs>
          <w:tab w:pos="1134" w:val="left"/>
        </w:tabs>
        <w:ind w:left="1134" w:hanging="567"/>
      </w:pPr>
      <w:r>
        <w:t>b)</w:t>
      </w:r>
      <w:r>
        <w:tab/>
      </w:r>
      <w:r>
        <w:t>in allen anderen Fällen: Name des Absicherers (§ 651r Absatz 3 des Bürgerlichen Gesetzbuchs).</w:t>
      </w:r>
    </w:p>
    <w:p>
      <w:pPr>
        <w:ind w:left="567"/>
      </w:pPr>
      <w:r>
        <w:t>Hier sind einzufügen:</w:t>
      </w:r>
    </w:p>
    <w:p>
      <w:pPr>
        <w:tabs>
          <w:tab w:pos="1134" w:val="left"/>
        </w:tabs>
        <w:ind w:left="1134" w:hanging="567"/>
      </w:pPr>
      <w:r>
        <w:t>a)</w:t>
      </w:r>
      <w:r>
        <w:tab/>
      </w:r>
      <w:r>
        <w:t>wenn ein Fall des § 651w Absatz 3 Satz 4 in Verbindung mit § 651s des Bürgerlichen Gesetzbuchs vorliegt: Kontaktdaten der Einrichtung, die den Insolvenzschutz bietet, und gegebenenfalls Name und Kontaktdaten der zuständigen Behörde, jeweils einschließlich der Anschrift des Ortes, an dem sie ihren Sitz hat, der E-Mail-Adresse und der Telefonnummer,</w:t>
      </w:r>
    </w:p>
    <w:p>
      <w:pPr>
        <w:tabs>
          <w:tab w:pos="1134" w:val="left"/>
        </w:tabs>
        <w:ind w:left="1134" w:hanging="567"/>
      </w:pPr>
      <w:r>
        <w:t>b)</w:t>
      </w:r>
      <w:r>
        <w:tab/>
      </w:r>
      <w:r>
        <w:t>in allen anderen Fällen: Kontaktdaten des Absicherers (§ 651r Absatz 3 des Bürgerlichen Gesetzbuchs) einschließlich der Anschrift des Ortes, an dem er niedergelassen ist, der E-Mail-Adresse und der Telefonnummer.</w:t>
      </w:r>
    </w:p>
    <w:p>
      <w:pPr>
        <w:ind w:left="567"/>
      </w:pPr>
      <w:r>
        <w:t>Hier ist die mit den Wörtern „Richtlinie (EU) 2015/2302 in der in das nationale Recht umgesetzten Form“ beschriftete Hyperlink-Schaltfläche einzufügen, nach deren Betätigung eine Weiterleitung auf die Webseite www.umsetzung-richtlinie-eu2015-2302.de erfolgt.</w:t>
      </w:r>
    </w:p>
    <w:p>
      <w:pPr>
        <w:pStyle w:val="Fußnote"/>
      </w:pPr>
      <w:bookmarkStart w:id="521" w:name="f515_1"/>
      <w:r>
        <w:rPr>
          <w:rStyle w:val="Zusatz"/>
          <w:b/>
        </w:rPr>
        <w:t xml:space="preserve">Fußnote 1: </w:t>
      </w:r>
      <w:r>
        <w:t>Besteht gemäß § 651w Absatz 3 des Bürgerlichen Gesetzbuchs keine Verpflichtung des Vermittlers verbundener Reiseleistungen zur Insolvenzsicherung, weil er Zahlungen des Reisenden auf Vergütungen für Reiseleistungen nicht oder erst nach deren Erbringung annimmt, entfallen diese Absätze. Gleiches gilt, soweit solche Zahlungen aufgrund einer vom Leistungserbringer erteilten Inkassovollmacht des Vermittlers verbundener Reiseleistungen auf einem insolvenzfesten Treuhandkonto gutgeschrieben werden.</w:t>
      </w:r>
      <w:bookmarkEnd w:id="521"/>
    </w:p>
    <w:p>
      <w:pPr>
        <w:pStyle w:val="Heading3"/>
      </w:pPr>
      <w:bookmarkStart w:id="522" w:name="b516"/>
      <w:r>
        <w:t>Anlage 18 (zu Artikel 252 Absatz 1 Satz 1)Muster für den Sicherungsschein</w:t>
      </w:r>
      <w:bookmarkEnd w:id="522"/>
    </w:p>
    <w:p>
      <w:r>
        <w:rPr>
          <w:color w:val="404040"/>
          <w:sz w:val="21"/>
        </w:rPr>
        <w:t>(Fundstelle: BGBl. I 2021, 2121;</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18"/>
      </w:tblPr>
      <w:tblGrid>
        <w:gridCol w:w="9406"/>
      </w:tblGrid>
      <w:tr>
        <w:trPr>
          <w:cantSplit/>
        </w:trPr>
        <w:tc>
          <w:tcPr>
            <w:tcW w:type="dxa" w:w="9406"/>
          </w:tcPr>
          <w:p>
            <w:r>
              <w:t>(gegebenenfalls einsetzen Sicherungsscheinnummer)</w:t>
            </w:r>
          </w:p>
        </w:tc>
      </w:tr>
      <w:tr>
        <w:trPr>
          <w:cantSplit/>
        </w:trPr>
        <w:tc>
          <w:tcPr>
            <w:tcW w:type="dxa" w:w="9406"/>
          </w:tcPr>
          <w:p>
            <w:r>
              <w:rPr>
                <w:b/>
              </w:rPr>
              <w:t>Sicherungsschein für</w:t>
            </w:r>
            <w:r>
              <w:br/>
            </w:r>
            <w:r>
              <w:rPr>
                <w:b/>
              </w:rPr>
              <w:t xml:space="preserve">  Pauschalreisen</w:t>
            </w:r>
          </w:p>
        </w:tc>
      </w:tr>
      <w:tr>
        <w:trPr>
          <w:cantSplit/>
        </w:trPr>
        <w:tc>
          <w:tcPr>
            <w:tcW w:type="dxa" w:w="9406"/>
          </w:tcPr>
          <w:p>
            <w:r>
              <w:rPr>
                <w:b/>
              </w:rPr>
              <w:t xml:space="preserve">gemäß </w:t>
            </w:r>
            <w:r>
              <w:rPr>
                <w:b/>
              </w:rPr>
              <w:t xml:space="preserve">  § 651r des Bürgerlichen Gesetzbuchs</w:t>
            </w:r>
          </w:p>
        </w:tc>
      </w:tr>
      <w:tr>
        <w:trPr>
          <w:cantSplit/>
        </w:trPr>
        <w:tc>
          <w:tcPr>
            <w:tcW w:type="dxa" w:w="9406"/>
          </w:tcPr>
          <w:p>
            <w:r>
              <w:t xml:space="preserve">               für </w:t>
            </w:r>
            <w:r>
              <w:t xml:space="preserve">..................................................               </w:t>
            </w:r>
          </w:p>
        </w:tc>
      </w:tr>
      <w:tr>
        <w:trPr>
          <w:cantSplit/>
        </w:trPr>
        <w:tc>
          <w:tcPr>
            <w:tcW w:type="dxa" w:w="9406"/>
          </w:tcPr>
          <w:p>
            <w:r>
              <w:t xml:space="preserve">(einsetzen: Namen des Reisenden, die Wörter „den umseitig bezeichneten Reisenden“ oder die Buchungsnummer) </w:t>
            </w:r>
          </w:p>
        </w:tc>
      </w:tr>
      <w:tr>
        <w:trPr>
          <w:cantSplit/>
        </w:trPr>
        <w:tc>
          <w:tcPr>
            <w:tcW w:type="dxa" w:w="9406"/>
          </w:tcPr>
          <w:p>
            <w:r>
              <w:t xml:space="preserve">(gegebenenfalls einsetzen: Geltungsdauer des Sicherungsscheins) </w:t>
            </w:r>
          </w:p>
        </w:tc>
      </w:tr>
      <w:tr>
        <w:trPr>
          <w:cantSplit/>
        </w:trPr>
        <w:tc>
          <w:tcPr>
            <w:tcW w:type="dxa" w:w="9406"/>
          </w:tcPr>
          <w:p>
            <w:r>
              <w:t xml:space="preserve">Dem Reisenden steht im Fall der Insolvenz </w:t>
            </w:r>
            <w:r>
              <w:t xml:space="preserve">  gegenüber dem unten angegebenen Absicherer unter den gesetzlichen Voraussetzungen ein unmittelbarer Anspruch nach § 651r Absatz 4 des Bürgerlichen Gesetzbuchs zu.</w:t>
            </w:r>
          </w:p>
        </w:tc>
      </w:tr>
      <w:tr>
        <w:trPr>
          <w:cantSplit/>
        </w:trPr>
        <w:tc>
          <w:tcPr>
            <w:tcW w:type="dxa" w:w="9406"/>
          </w:tcPr>
          <w:p>
            <w:r>
              <w:t xml:space="preserve">Die Einstandspflicht des Absicherers für die zu erbringenden Leistungen ist auf 1 Million Euro für jeden Insolvenzfall begrenzt. Sollte diese Summe nicht für alle Reisenden ausreichen, so verringern sich die einzelnen Leistungsansprüche der Reisenden in dem Verhältnis, in dem der Gesamtbetrag ihrer Ansprüche zum Höchstbetrag steht.  </w:t>
            </w:r>
          </w:p>
        </w:tc>
      </w:tr>
      <w:tr>
        <w:trPr>
          <w:cantSplit/>
        </w:trPr>
        <w:tc>
          <w:tcPr>
            <w:tcW w:type="dxa" w:w="9406"/>
          </w:tcPr>
          <w:p>
            <w:r>
              <w:t>Bei Rückfragen wenden Sie sich an: (mindestens einsetzen: Namen, Anschrift und Telefonnummer der anzusprechenden Stelle; falls diese nicht für die Schadensabwicklung zuständig ist, auch Namen, Anschrift und Telefonnummer der dafür zuständigen Stelle).</w:t>
            </w:r>
          </w:p>
        </w:tc>
      </w:tr>
      <w:tr>
        <w:trPr>
          <w:cantSplit/>
        </w:trPr>
        <w:tc>
          <w:tcPr>
            <w:tcW w:type="dxa" w:w="9406"/>
          </w:tcPr>
          <w:p>
            <w:r>
              <w:t>(einsetzen: Namen, ladungsfähige Anschrift des Absicherers)</w:t>
            </w:r>
          </w:p>
        </w:tc>
      </w:tr>
      <w:tr>
        <w:trPr>
          <w:cantSplit/>
        </w:trPr>
        <w:tc>
          <w:tcPr>
            <w:tcW w:type="dxa" w:w="9406"/>
          </w:tcPr>
          <w:p>
            <w:r>
              <w:t>Absicherer</w:t>
            </w:r>
          </w:p>
        </w:tc>
      </w:tr>
    </w:tbl>
    <w:p>
      <w:pPr>
        <w:spacing w:after="0"/>
      </w:pPr>
    </w:p>
    <w:p>
      <w:r>
        <w:rPr>
          <w:b/>
        </w:rPr>
        <w:t>Gestaltungshinweise:</w:t>
      </w:r>
    </w:p>
    <w:p>
      <w:pPr>
        <w:ind w:left="567"/>
      </w:pPr>
      <w:r>
        <w:t>Hier ist bei einer Vermittlung verbundener Reiseleistungen (§ 651w des Bürgerlichen Gesetzbuchs) anstelle des nachfolgenden Wortes „Pauschalreisen“ Folgendes einzufügen: „verbundene Reiseleistungen“.</w:t>
      </w:r>
    </w:p>
    <w:p>
      <w:pPr>
        <w:ind w:left="567"/>
      </w:pPr>
      <w:r>
        <w:t>Hier ist bei einer Vermittlung verbundener Reiseleistungen (§ 651w des Bürgerlichen Gesetzbuchs) anstelle der nachfolgenden Angabe „§ 651r“ Folgendes einzufügen: „den §§ 651r und 651w“.</w:t>
      </w:r>
    </w:p>
    <w:p>
      <w:pPr>
        <w:ind w:left="567"/>
      </w:pPr>
      <w:r>
        <w:t xml:space="preserve">Diese Angaben können entfallen. </w:t>
      </w:r>
      <w:r>
        <w:rPr>
          <w:rStyle w:val="Satznummer"/>
        </w:rPr>
        <w:t>2</w:t>
      </w:r>
      <w:r>
        <w:t>In diesem Fall ist folgender Satz einzufügen: „Dieser Sicherungsschein gilt für den Buchenden und alle Reiseteilnehmer.“</w:t>
      </w:r>
    </w:p>
    <w:p>
      <w:pPr>
        <w:ind w:left="567"/>
      </w:pPr>
      <w:r>
        <w:t>Falls der Sicherungsschein befristet ist, muss die Frist mindestens den Zeitraum vom Vertragsschluss bis zur Beendigung der Reise umfassen.</w:t>
      </w:r>
    </w:p>
    <w:p>
      <w:pPr>
        <w:ind w:left="567"/>
      </w:pPr>
      <w:r>
        <w:t>Hier ist einzufügen:</w:t>
      </w:r>
    </w:p>
    <w:p>
      <w:pPr>
        <w:tabs>
          <w:tab w:pos="1134" w:val="left"/>
        </w:tabs>
        <w:ind w:left="1134" w:hanging="567"/>
      </w:pPr>
      <w:r>
        <w:t>a)</w:t>
      </w:r>
      <w:r>
        <w:tab/>
      </w:r>
      <w:r>
        <w:t>wenn ein Pauschalreisevertrag vorliegt: entweder die Wörter „des umseitig bezeichneten Reiseveranstalters“ oder „der“/„des“ und sodann Firma/Name und Anschrift des Reiseveranstalters.</w:t>
      </w:r>
    </w:p>
    <w:p>
      <w:pPr>
        <w:tabs>
          <w:tab w:pos="1134" w:val="left"/>
        </w:tabs>
        <w:ind w:left="1134" w:hanging="567"/>
      </w:pPr>
      <w:r>
        <w:t>b)</w:t>
      </w:r>
      <w:r>
        <w:tab/>
      </w:r>
      <w:r>
        <w:t>wenn eine Vermittlung verbundener Reiseleistungen (§ 651w des Bürgerlichen Gesetzbuchs) vorliegt: „der“/„des“ und sodann Firma/Name und Anschrift des Vermittlers verbundener Reiseleistungen.</w:t>
      </w:r>
    </w:p>
    <w:p>
      <w:pPr>
        <w:ind w:left="567"/>
      </w:pPr>
      <w:r>
        <w:t>Diese Angabe entfällt, wenn</w:t>
      </w:r>
    </w:p>
    <w:p>
      <w:pPr>
        <w:tabs>
          <w:tab w:pos="1134" w:val="left"/>
        </w:tabs>
        <w:ind w:left="1134" w:hanging="567"/>
      </w:pPr>
      <w:r>
        <w:t>a)</w:t>
      </w:r>
      <w:r>
        <w:tab/>
      </w:r>
      <w:r>
        <w:t>die Absicherung durch den Reisesicherungsfonds erfolgt,</w:t>
      </w:r>
    </w:p>
    <w:p>
      <w:pPr>
        <w:tabs>
          <w:tab w:pos="1134" w:val="left"/>
        </w:tabs>
        <w:ind w:left="1134" w:hanging="567"/>
      </w:pPr>
      <w:r>
        <w:t>b)</w:t>
      </w:r>
      <w:r>
        <w:tab/>
      </w:r>
      <w:r>
        <w:t>der Reiseveranstalter oder Vermittler verbundener Reiseleistungen im letzten abgeschlossenen Geschäftsjahr einen Umsatz nach § 1 Nummer 2 des Reisesicherungsfondsgesetzes von mindestens 3 Millionen Euro erzielt hat oder</w:t>
      </w:r>
    </w:p>
    <w:p>
      <w:pPr>
        <w:tabs>
          <w:tab w:pos="1134" w:val="left"/>
        </w:tabs>
        <w:ind w:left="1134" w:hanging="567"/>
      </w:pPr>
      <w:r>
        <w:t>c)</w:t>
      </w:r>
      <w:r>
        <w:tab/>
      </w:r>
      <w:r>
        <w:t>ein Versicherer oder Kreditinstitut in allen anderen Fällen keine Beschränkung der Einstandspflicht nach § 651r Absatz 3 Satz 3 des Bürgerlichen Gesetzbuchs vereinbart.</w:t>
      </w:r>
    </w:p>
    <w:p>
      <w:pPr>
        <w:pStyle w:val="Heading3"/>
      </w:pPr>
      <w:bookmarkStart w:id="523" w:name="b517"/>
      <w:r>
        <w:t>Anlage 19 (zu Artikel 245 § 1 Absatz 1)</w:t>
      </w:r>
      <w:bookmarkEnd w:id="523"/>
    </w:p>
    <w:p>
      <w:r>
        <w:rPr>
          <w:color w:val="404040"/>
          <w:sz w:val="21"/>
        </w:rPr>
        <w:t>(Fundstelle: BGBl. 2026 I Nr. 212, S. 8)</w:t>
      </w:r>
    </w:p>
    <w:p>
      <w:pPr>
        <w:pStyle w:val="Zwischentitel"/>
      </w:pPr>
      <w:r>
        <w:rPr>
          <w:b/>
        </w:rPr>
        <w:t>Anhang</w:t>
      </w:r>
    </w:p>
    <w:p>
      <w:pPr>
        <w:pStyle w:val="Zwischentitel"/>
      </w:pPr>
      <w:r>
        <w:rPr>
          <w:b/>
        </w:rPr>
        <w:t>EUROPÄISCHES FORMULAR FÜR REPARATURINFORMATIONEN</w:t>
      </w:r>
    </w:p>
    <w:p>
      <w:pPr>
        <w:pStyle w:val="Zwischentitel"/>
      </w:pPr>
      <w:r>
        <w:rPr>
          <w:b/>
        </w:rPr>
        <w:t>Teil I</w:t>
      </w:r>
    </w:p>
    <w:p>
      <w:pPr>
        <w:pStyle w:val="Zwischentitel"/>
      </w:pPr>
      <w:r>
        <w:rPr>
          <w:b/>
        </w:rPr>
        <w:t>Identität und Kontaktdaten des Reparaturbetriebs, der die Reparaturleistung erbringt</w:t>
      </w:r>
    </w:p>
    <w:tbl>
      <w:tblPr>
        <w:tblStyle w:val="TableGrid"/>
        <w:tblW w:type="pct" w:w="5000"/>
        <w:tblLook w:firstColumn="1" w:firstRow="1" w:lastColumn="0" w:lastRow="0" w:noHBand="0" w:noVBand="1" w:val="04A0"/>
        <w:tblCaption w:val="Tabelle 1 zu Anlage 19"/>
      </w:tblPr>
      <w:tblGrid>
        <w:gridCol w:w="4703"/>
        <w:gridCol w:w="4703"/>
      </w:tblGrid>
      <w:tr>
        <w:trPr>
          <w:cantSplit/>
        </w:trPr>
        <w:tc>
          <w:tcPr>
            <w:tcW w:type="dxa" w:w="4703"/>
          </w:tcPr>
          <w:p>
            <w:r>
              <w:t>Reparaturbetrieb</w:t>
            </w:r>
          </w:p>
        </w:tc>
        <w:tc>
          <w:tcPr>
            <w:tcW w:type="dxa" w:w="4703"/>
          </w:tcPr>
          <w:p>
            <w:r>
              <w:t>[Name]</w:t>
            </w:r>
          </w:p>
        </w:tc>
      </w:tr>
      <w:tr>
        <w:trPr>
          <w:cantSplit/>
        </w:trPr>
        <w:tc>
          <w:tcPr>
            <w:tcW w:type="dxa" w:w="4703"/>
          </w:tcPr>
          <w:p>
            <w:r>
              <w:t>Anschrift</w:t>
            </w:r>
          </w:p>
        </w:tc>
        <w:tc>
          <w:tcPr>
            <w:tcW w:type="dxa" w:w="4703"/>
          </w:tcPr>
          <w:p>
            <w:r>
              <w:t>[Geografische Anschrift, an die sich Verbraucher wenden können]</w:t>
            </w:r>
          </w:p>
        </w:tc>
      </w:tr>
      <w:tr>
        <w:trPr>
          <w:cantSplit/>
        </w:trPr>
        <w:tc>
          <w:tcPr>
            <w:tcW w:type="dxa" w:w="4703"/>
          </w:tcPr>
          <w:p>
            <w:r>
              <w:t>Telefonnummer</w:t>
            </w:r>
          </w:p>
        </w:tc>
        <w:tc>
          <w:tcPr>
            <w:tcW w:type="dxa" w:w="4703"/>
          </w:tcPr>
          <w:p/>
        </w:tc>
      </w:tr>
      <w:tr>
        <w:trPr>
          <w:cantSplit/>
        </w:trPr>
        <w:tc>
          <w:tcPr>
            <w:tcW w:type="dxa" w:w="4703"/>
          </w:tcPr>
          <w:p>
            <w:r>
              <w:t>E-Mail</w:t>
            </w:r>
          </w:p>
        </w:tc>
        <w:tc>
          <w:tcPr>
            <w:tcW w:type="dxa" w:w="4703"/>
          </w:tcPr>
          <w:p/>
        </w:tc>
      </w:tr>
      <w:tr>
        <w:trPr>
          <w:cantSplit/>
        </w:trPr>
        <w:tc>
          <w:tcPr>
            <w:tcW w:type="dxa" w:w="4703"/>
          </w:tcPr>
          <w:p>
            <w:r>
              <w:t>Andere Online-Kommunikationsmittel, sofern sie vom Reparaturbetrieb bereitgestellt werden, die es den Verbrauchern ermöglichen, schnell und effizient mit dem Reparaturbetrieb Kontakt aufzunehmen und mit ihm zu kommunizieren</w:t>
            </w:r>
          </w:p>
        </w:tc>
        <w:tc>
          <w:tcPr>
            <w:tcW w:type="dxa" w:w="4703"/>
          </w:tcPr>
          <w:p/>
        </w:tc>
      </w:tr>
    </w:tbl>
    <w:p>
      <w:pPr>
        <w:spacing w:after="0"/>
      </w:pPr>
    </w:p>
    <w:p>
      <w:pPr>
        <w:pStyle w:val="Zwischentitel"/>
      </w:pPr>
      <w:r>
        <w:rPr>
          <w:b/>
        </w:rPr>
        <w:t>Teil II</w:t>
      </w:r>
    </w:p>
    <w:p>
      <w:pPr>
        <w:pStyle w:val="Zwischentitel"/>
      </w:pPr>
      <w:r>
        <w:rPr>
          <w:b/>
        </w:rPr>
        <w:t>Angaben zur Reparaturleistung</w:t>
      </w:r>
    </w:p>
    <w:tbl>
      <w:tblPr>
        <w:tblStyle w:val="TableGrid"/>
        <w:tblW w:type="pct" w:w="5000"/>
        <w:tblLook w:firstColumn="1" w:firstRow="1" w:lastColumn="0" w:lastRow="0" w:noHBand="0" w:noVBand="1" w:val="04A0"/>
        <w:tblCaption w:val="Tabelle 2 zu Anlage 19"/>
      </w:tblPr>
      <w:tblGrid>
        <w:gridCol w:w="4703"/>
        <w:gridCol w:w="4703"/>
      </w:tblGrid>
      <w:tr>
        <w:trPr>
          <w:cantSplit/>
        </w:trPr>
        <w:tc>
          <w:tcPr>
            <w:tcW w:type="dxa" w:w="4703"/>
          </w:tcPr>
          <w:p>
            <w:r>
              <w:t>Zu reparierende Ware</w:t>
            </w:r>
          </w:p>
        </w:tc>
        <w:tc>
          <w:tcPr>
            <w:tcW w:type="dxa" w:w="4703"/>
          </w:tcPr>
          <w:p>
            <w:r>
              <w:t>[Bezeichnung der Ware]</w:t>
            </w:r>
          </w:p>
        </w:tc>
      </w:tr>
      <w:tr>
        <w:trPr>
          <w:cantSplit/>
        </w:trPr>
        <w:tc>
          <w:tcPr>
            <w:tcW w:type="dxa" w:w="4703"/>
          </w:tcPr>
          <w:p>
            <w:r>
              <w:t>Art des Defekts</w:t>
            </w:r>
          </w:p>
        </w:tc>
        <w:tc>
          <w:tcPr>
            <w:tcW w:type="dxa" w:w="4703"/>
          </w:tcPr>
          <w:p>
            <w:r>
              <w:t>[Beschreibung des Defekts]</w:t>
            </w:r>
          </w:p>
        </w:tc>
      </w:tr>
      <w:tr>
        <w:trPr>
          <w:cantSplit/>
        </w:trPr>
        <w:tc>
          <w:tcPr>
            <w:tcW w:type="dxa" w:w="4703"/>
          </w:tcPr>
          <w:p>
            <w:r>
              <w:t>Art der vorgeschlagenen Reparatur</w:t>
            </w:r>
          </w:p>
        </w:tc>
        <w:tc>
          <w:tcPr>
            <w:tcW w:type="dxa" w:w="4703"/>
          </w:tcPr>
          <w:p>
            <w:r>
              <w:t>[Welche Maßnahmen werden ergriffen, um den Defekt zu beheben]</w:t>
            </w:r>
          </w:p>
        </w:tc>
      </w:tr>
      <w:tr>
        <w:trPr>
          <w:cantSplit/>
        </w:trPr>
        <w:tc>
          <w:tcPr>
            <w:tcW w:type="dxa" w:w="4703"/>
          </w:tcPr>
          <w:p>
            <w:r>
              <w:t>Preis für die Reparatur bzw., falls dieser nicht ermittelt werden kann, die anwendbare Berechnungsmethode und die Preisobergrenze für die Reparatur</w:t>
            </w:r>
          </w:p>
        </w:tc>
        <w:tc>
          <w:tcPr>
            <w:tcW w:type="dxa" w:w="4703"/>
          </w:tcPr>
          <w:p>
            <w:r>
              <w:t>[Gesamtbetrag bzw., falls dies nicht möglich ist, die Berechnungsmethode und die Obergrenze für die Reparaturleistung in EUR/Landeswährung]</w:t>
            </w:r>
          </w:p>
        </w:tc>
      </w:tr>
      <w:tr>
        <w:trPr>
          <w:cantSplit/>
        </w:trPr>
        <w:tc>
          <w:tcPr>
            <w:tcW w:type="dxa" w:w="4703"/>
          </w:tcPr>
          <w:p>
            <w:r>
              <w:t>Dauer der Reparatur</w:t>
            </w:r>
          </w:p>
        </w:tc>
        <w:tc>
          <w:tcPr>
            <w:tcW w:type="dxa" w:w="4703"/>
          </w:tcPr>
          <w:p>
            <w:r>
              <w:t>[Zeit, innerhalb welcher der Reparaturbetrieb sich verpflichtet, die Leistung zu erbringen, in Tagen]</w:t>
            </w:r>
          </w:p>
        </w:tc>
      </w:tr>
      <w:tr>
        <w:trPr>
          <w:cantSplit/>
        </w:trPr>
        <w:tc>
          <w:tcPr>
            <w:tcW w:type="dxa" w:w="4703"/>
          </w:tcPr>
          <w:p>
            <w:r>
              <w:t>Verfügbarkeit vorübergehender Ersatzwaren</w:t>
            </w:r>
          </w:p>
        </w:tc>
        <w:tc>
          <w:tcPr>
            <w:tcW w:type="dxa" w:w="4703"/>
          </w:tcPr>
          <w:p>
            <w:r>
              <w:t>[Vorübergehende Ersatzware bedeutet, dass der Verbraucher eine gleichwertige Ware zur Verwendung während der Dauer der Reparatur erhält; der Reparaturbetrieb gibt dies mit „Ja“ oder „Nein“ an]</w:t>
            </w:r>
          </w:p>
        </w:tc>
      </w:tr>
      <w:tr>
        <w:trPr>
          <w:cantSplit/>
        </w:trPr>
        <w:tc>
          <w:tcPr>
            <w:tcW w:type="dxa" w:w="4703"/>
          </w:tcPr>
          <w:p>
            <w:r>
              <w:t>Falls ja, führen Sie gegebenenfalls die entsprechenden Kosten an:</w:t>
            </w:r>
          </w:p>
        </w:tc>
        <w:tc>
          <w:tcPr>
            <w:tcW w:type="dxa" w:w="4703"/>
          </w:tcPr>
          <w:p>
            <w:r>
              <w:t>[EUR/Landeswährung]</w:t>
            </w:r>
          </w:p>
        </w:tc>
      </w:tr>
      <w:tr>
        <w:trPr>
          <w:cantSplit/>
        </w:trPr>
        <w:tc>
          <w:tcPr>
            <w:tcW w:type="dxa" w:w="4703"/>
          </w:tcPr>
          <w:p>
            <w:r>
              <w:t>Ort der Übergabe der Waren</w:t>
            </w:r>
          </w:p>
        </w:tc>
        <w:tc>
          <w:tcPr>
            <w:tcW w:type="dxa" w:w="4703"/>
          </w:tcPr>
          <w:p>
            <w:r>
              <w:t>[Ort, an dem der Verbraucher die Waren zur Reparatur übergibt]</w:t>
            </w:r>
          </w:p>
        </w:tc>
      </w:tr>
      <w:tr>
        <w:trPr>
          <w:cantSplit/>
        </w:trPr>
        <w:tc>
          <w:tcPr>
            <w:tcW w:type="dxa" w:w="4703"/>
          </w:tcPr>
          <w:p>
            <w:r>
              <w:t>Verfügbarkeit von Nebenleistungen, falls zutreffend</w:t>
            </w:r>
          </w:p>
        </w:tc>
        <w:tc>
          <w:tcPr>
            <w:tcW w:type="dxa" w:w="4703"/>
          </w:tcPr>
          <w:p>
            <w:r>
              <w:t>[Geben Sie an, ob und in welchem Umfang Nebenleistungen wie Ausbau, Montage und Transport angeboten werden, bzw. „Keine“, wenn für die betreffende Reparatur keine Nebenleistung angeboten wird]</w:t>
            </w:r>
          </w:p>
        </w:tc>
      </w:tr>
      <w:tr>
        <w:trPr>
          <w:cantSplit/>
        </w:trPr>
        <w:tc>
          <w:tcPr>
            <w:tcW w:type="dxa" w:w="4703"/>
          </w:tcPr>
          <w:p>
            <w:r>
              <w:t>Falls ja, führen Sie gegebenenfalls die entsprechenden Kosten an:</w:t>
            </w:r>
          </w:p>
        </w:tc>
        <w:tc>
          <w:tcPr>
            <w:tcW w:type="dxa" w:w="4703"/>
          </w:tcPr>
          <w:p>
            <w:r>
              <w:t>[EUR/Landeswährung, je angebotener Dienst]</w:t>
            </w:r>
          </w:p>
        </w:tc>
      </w:tr>
      <w:tr>
        <w:trPr>
          <w:cantSplit/>
        </w:trPr>
        <w:tc>
          <w:tcPr>
            <w:tcW w:type="dxa" w:w="4703"/>
          </w:tcPr>
          <w:p>
            <w:r>
              <w:t>Gültigkeitsdauer des Europäischen Formulars für Reparaturinformationen</w:t>
            </w:r>
          </w:p>
        </w:tc>
        <w:tc>
          <w:tcPr>
            <w:tcW w:type="dxa" w:w="4703"/>
          </w:tcPr>
          <w:p>
            <w:r>
              <w:t>[Gültigkeitsdauer von mindestens 30 Tagen]</w:t>
            </w:r>
          </w:p>
        </w:tc>
      </w:tr>
      <w:tr>
        <w:trPr>
          <w:cantSplit/>
        </w:trPr>
        <w:tc>
          <w:tcPr>
            <w:tcW w:type="dxa" w:w="4703"/>
          </w:tcPr>
          <w:p>
            <w:r>
              <w:t>Gegebenenfalls zusätzliche Informationen</w:t>
            </w:r>
          </w:p>
        </w:tc>
        <w:tc>
          <w:tcPr>
            <w:tcW w:type="dxa" w:w="4703"/>
          </w:tcPr>
          <w:p/>
        </w:tc>
      </w:tr>
    </w:tbl>
    <w:p>
      <w:pPr>
        <w:spacing w:after="0"/>
      </w:pPr>
    </w:p>
    <w:p>
      <w:r>
        <w:t>Die Hinweise in den eckigen Klammern enthalten Erläuterungen für den Reparaturbetrieb und sind durch die entsprechenden Angaben zu ersetzen.</w:t>
      </w:r>
    </w:p>
    <w:p>
      <w:pPr>
        <w:spacing w:before="480"/>
      </w:pPr>
      <w:r>
        <w:t xml:space="preserve">Ende des Gesetzes: Einführungsgesetz zum Bürgerlichen Gesetzbuche (EGBGB)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gb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Einführungsgesetz zum Bürgerlichen Gesetzbuche (EGBGB)</dc:title>
  <dc:subject>Nicht amtliche Fassung</dc:subject>
  <dc:creator>Barrierefreie Gesetze</dc:creator>
  <cp:keywords/>
  <dc:description/>
  <cp:lastModifiedBy>Barrierefreie Gesetze</cp:lastModifiedBy>
  <cp:revision>1</cp:revision>
  <dcterms:created xsi:type="dcterms:W3CDTF">2026-10-19T19:51:17Z</dcterms:created>
  <dcterms:modified xsi:type="dcterms:W3CDTF">2026-10-19T19:51:17Z</dcterms:modified>
  <cp:category/>
  <dc:language>de-DE</dc:language>
</cp:coreProperties>
</file>